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2F83B" w14:textId="77777777" w:rsidR="000713F8" w:rsidRPr="009E427C" w:rsidRDefault="000713F8" w:rsidP="00190C0B">
      <w:pPr>
        <w:spacing w:after="0" w:line="360" w:lineRule="auto"/>
        <w:jc w:val="both"/>
        <w:rPr>
          <w:rFonts w:ascii="Book Antiqua" w:hAnsi="Book Antiqua"/>
          <w:b/>
          <w:sz w:val="24"/>
          <w:szCs w:val="24"/>
        </w:rPr>
      </w:pPr>
      <w:r w:rsidRPr="009E427C">
        <w:rPr>
          <w:rFonts w:ascii="Book Antiqua" w:hAnsi="Book Antiqua"/>
          <w:b/>
          <w:sz w:val="24"/>
          <w:szCs w:val="24"/>
        </w:rPr>
        <w:t>Name of Journal:</w:t>
      </w:r>
      <w:r w:rsidRPr="009E427C">
        <w:rPr>
          <w:rFonts w:ascii="Book Antiqua" w:hAnsi="Book Antiqua"/>
          <w:b/>
          <w:i/>
          <w:sz w:val="24"/>
          <w:szCs w:val="24"/>
        </w:rPr>
        <w:t xml:space="preserve"> World Journal of Transplantation</w:t>
      </w:r>
    </w:p>
    <w:p w14:paraId="74496AA6" w14:textId="3F8D58B1" w:rsidR="001C0358" w:rsidRPr="009E427C" w:rsidRDefault="001C0358" w:rsidP="00190C0B">
      <w:pPr>
        <w:spacing w:after="0" w:line="360" w:lineRule="auto"/>
        <w:jc w:val="both"/>
        <w:rPr>
          <w:rFonts w:ascii="Book Antiqua" w:hAnsi="Book Antiqua"/>
          <w:b/>
          <w:sz w:val="24"/>
          <w:szCs w:val="24"/>
          <w:lang w:eastAsia="zh-CN"/>
        </w:rPr>
      </w:pPr>
      <w:r w:rsidRPr="009E427C">
        <w:rPr>
          <w:rFonts w:ascii="Book Antiqua" w:hAnsi="Book Antiqua"/>
          <w:b/>
          <w:sz w:val="24"/>
          <w:szCs w:val="24"/>
        </w:rPr>
        <w:t xml:space="preserve">ESPS Manuscript NO: </w:t>
      </w:r>
      <w:r w:rsidRPr="009E427C">
        <w:rPr>
          <w:rFonts w:ascii="Book Antiqua" w:hAnsi="Book Antiqua"/>
          <w:b/>
          <w:sz w:val="24"/>
          <w:szCs w:val="24"/>
          <w:lang w:eastAsia="zh-CN"/>
        </w:rPr>
        <w:t>22007</w:t>
      </w:r>
    </w:p>
    <w:p w14:paraId="5693C3F3" w14:textId="67538074" w:rsidR="000713F8" w:rsidRPr="009E427C" w:rsidRDefault="000713F8" w:rsidP="00190C0B">
      <w:pPr>
        <w:spacing w:after="0" w:line="360" w:lineRule="auto"/>
        <w:jc w:val="both"/>
        <w:rPr>
          <w:rFonts w:ascii="Book Antiqua" w:hAnsi="Book Antiqua"/>
          <w:b/>
          <w:sz w:val="24"/>
          <w:szCs w:val="24"/>
          <w:lang w:eastAsia="zh-CN"/>
        </w:rPr>
      </w:pPr>
      <w:r w:rsidRPr="009E427C">
        <w:rPr>
          <w:rFonts w:ascii="Book Antiqua" w:hAnsi="Book Antiqua"/>
          <w:b/>
          <w:sz w:val="24"/>
          <w:szCs w:val="24"/>
        </w:rPr>
        <w:t xml:space="preserve">Manuscript type: </w:t>
      </w:r>
      <w:proofErr w:type="spellStart"/>
      <w:r w:rsidRPr="009E427C">
        <w:rPr>
          <w:rFonts w:ascii="Book Antiqua" w:hAnsi="Book Antiqua"/>
          <w:b/>
          <w:sz w:val="24"/>
          <w:szCs w:val="24"/>
        </w:rPr>
        <w:t>Minireview</w:t>
      </w:r>
      <w:r w:rsidR="00632799" w:rsidRPr="009E427C">
        <w:rPr>
          <w:rFonts w:ascii="Book Antiqua" w:hAnsi="Book Antiqua"/>
          <w:b/>
          <w:sz w:val="24"/>
          <w:szCs w:val="24"/>
          <w:lang w:eastAsia="zh-CN"/>
        </w:rPr>
        <w:t>s</w:t>
      </w:r>
      <w:proofErr w:type="spellEnd"/>
    </w:p>
    <w:p w14:paraId="4086665B" w14:textId="77777777" w:rsidR="001C0358" w:rsidRPr="009E427C" w:rsidRDefault="001C0358" w:rsidP="00190C0B">
      <w:pPr>
        <w:spacing w:after="0" w:line="360" w:lineRule="auto"/>
        <w:jc w:val="both"/>
        <w:rPr>
          <w:rFonts w:ascii="Book Antiqua" w:hAnsi="Book Antiqua"/>
          <w:sz w:val="24"/>
          <w:szCs w:val="24"/>
          <w:lang w:eastAsia="zh-CN"/>
        </w:rPr>
      </w:pPr>
    </w:p>
    <w:p w14:paraId="0CF39DF6" w14:textId="31B04FA3" w:rsidR="00827979" w:rsidRPr="009E427C" w:rsidRDefault="0083596B" w:rsidP="00190C0B">
      <w:pPr>
        <w:spacing w:after="0" w:line="360" w:lineRule="auto"/>
        <w:jc w:val="both"/>
        <w:rPr>
          <w:rFonts w:ascii="Book Antiqua" w:hAnsi="Book Antiqua"/>
          <w:b/>
          <w:sz w:val="24"/>
          <w:szCs w:val="24"/>
        </w:rPr>
      </w:pPr>
      <w:r w:rsidRPr="009E427C">
        <w:rPr>
          <w:rFonts w:ascii="Book Antiqua" w:hAnsi="Book Antiqua"/>
          <w:b/>
          <w:sz w:val="24"/>
          <w:szCs w:val="24"/>
        </w:rPr>
        <w:t>O</w:t>
      </w:r>
      <w:r w:rsidR="00146E16" w:rsidRPr="009E427C">
        <w:rPr>
          <w:rFonts w:ascii="Book Antiqua" w:hAnsi="Book Antiqua"/>
          <w:b/>
          <w:sz w:val="24"/>
          <w:szCs w:val="24"/>
        </w:rPr>
        <w:t>verview of extended release tacrolimus in solid organ transplant</w:t>
      </w:r>
      <w:r w:rsidR="00A006DE" w:rsidRPr="009E427C">
        <w:rPr>
          <w:rFonts w:ascii="Book Antiqua" w:hAnsi="Book Antiqua"/>
          <w:b/>
          <w:sz w:val="24"/>
          <w:szCs w:val="24"/>
        </w:rPr>
        <w:t>at</w:t>
      </w:r>
      <w:r w:rsidR="00501AAC" w:rsidRPr="009E427C">
        <w:rPr>
          <w:rFonts w:ascii="Book Antiqua" w:hAnsi="Book Antiqua"/>
          <w:b/>
          <w:sz w:val="24"/>
          <w:szCs w:val="24"/>
        </w:rPr>
        <w:t>ion</w:t>
      </w:r>
    </w:p>
    <w:p w14:paraId="2A8AF62C" w14:textId="0C9860F1" w:rsidR="009D4E48" w:rsidRPr="009E427C" w:rsidRDefault="009D4E48" w:rsidP="00190C0B">
      <w:pPr>
        <w:spacing w:after="0" w:line="360" w:lineRule="auto"/>
        <w:jc w:val="both"/>
        <w:rPr>
          <w:rFonts w:ascii="Book Antiqua" w:hAnsi="Book Antiqua"/>
          <w:sz w:val="24"/>
          <w:szCs w:val="24"/>
          <w:lang w:eastAsia="zh-CN"/>
        </w:rPr>
      </w:pPr>
    </w:p>
    <w:p w14:paraId="2D254935" w14:textId="3120948C" w:rsidR="00AF28D8" w:rsidRPr="009E427C" w:rsidRDefault="002B3D86" w:rsidP="00190C0B">
      <w:pPr>
        <w:spacing w:after="0" w:line="360" w:lineRule="auto"/>
        <w:jc w:val="both"/>
        <w:rPr>
          <w:rFonts w:ascii="Book Antiqua" w:hAnsi="Book Antiqua"/>
          <w:sz w:val="24"/>
          <w:szCs w:val="24"/>
          <w:lang w:eastAsia="zh-CN"/>
        </w:rPr>
      </w:pPr>
      <w:r w:rsidRPr="009E427C">
        <w:rPr>
          <w:rFonts w:ascii="Book Antiqua" w:hAnsi="Book Antiqua"/>
          <w:sz w:val="24"/>
          <w:szCs w:val="24"/>
        </w:rPr>
        <w:t xml:space="preserve">Patel </w:t>
      </w:r>
      <w:r w:rsidRPr="009E427C">
        <w:rPr>
          <w:rFonts w:ascii="Book Antiqua" w:hAnsi="Book Antiqua" w:hint="eastAsia"/>
          <w:sz w:val="24"/>
          <w:szCs w:val="24"/>
          <w:lang w:eastAsia="zh-CN"/>
        </w:rPr>
        <w:t xml:space="preserve">N </w:t>
      </w:r>
      <w:r w:rsidRPr="009E427C">
        <w:rPr>
          <w:rFonts w:ascii="Book Antiqua" w:hAnsi="Book Antiqua" w:hint="eastAsia"/>
          <w:i/>
          <w:sz w:val="24"/>
          <w:szCs w:val="24"/>
          <w:lang w:eastAsia="zh-CN"/>
        </w:rPr>
        <w:t>et al</w:t>
      </w:r>
      <w:r w:rsidRPr="009E427C">
        <w:rPr>
          <w:rFonts w:ascii="Book Antiqua" w:hAnsi="Book Antiqua" w:hint="eastAsia"/>
          <w:sz w:val="24"/>
          <w:szCs w:val="24"/>
          <w:lang w:eastAsia="zh-CN"/>
        </w:rPr>
        <w:t xml:space="preserve">. </w:t>
      </w:r>
      <w:r w:rsidR="007D2A21" w:rsidRPr="009E427C">
        <w:rPr>
          <w:rFonts w:ascii="Book Antiqua" w:hAnsi="Book Antiqua"/>
          <w:sz w:val="24"/>
          <w:szCs w:val="24"/>
        </w:rPr>
        <w:t xml:space="preserve">Extended release tacrolimus </w:t>
      </w:r>
    </w:p>
    <w:p w14:paraId="3BE20A51" w14:textId="77777777" w:rsidR="000B635A" w:rsidRPr="009E427C" w:rsidRDefault="000B635A" w:rsidP="00190C0B">
      <w:pPr>
        <w:spacing w:after="0" w:line="360" w:lineRule="auto"/>
        <w:jc w:val="both"/>
        <w:rPr>
          <w:rFonts w:ascii="Book Antiqua" w:hAnsi="Book Antiqua"/>
          <w:b/>
          <w:sz w:val="24"/>
          <w:szCs w:val="24"/>
          <w:lang w:eastAsia="zh-CN"/>
        </w:rPr>
      </w:pPr>
    </w:p>
    <w:p w14:paraId="4247BF2B" w14:textId="3BE3BCE2" w:rsidR="000713F8" w:rsidRPr="009E427C" w:rsidRDefault="00146E16" w:rsidP="00190C0B">
      <w:pPr>
        <w:spacing w:after="0" w:line="360" w:lineRule="auto"/>
        <w:jc w:val="both"/>
        <w:rPr>
          <w:rFonts w:ascii="Book Antiqua" w:hAnsi="Book Antiqua"/>
          <w:b/>
          <w:sz w:val="24"/>
          <w:szCs w:val="24"/>
          <w:lang w:eastAsia="zh-CN"/>
        </w:rPr>
      </w:pPr>
      <w:r w:rsidRPr="009E427C">
        <w:rPr>
          <w:rFonts w:ascii="Book Antiqua" w:hAnsi="Book Antiqua"/>
          <w:b/>
          <w:sz w:val="24"/>
          <w:szCs w:val="24"/>
        </w:rPr>
        <w:t xml:space="preserve">Neha Patel, </w:t>
      </w:r>
      <w:r w:rsidR="000713F8" w:rsidRPr="009E427C">
        <w:rPr>
          <w:rFonts w:ascii="Book Antiqua" w:hAnsi="Book Antiqua"/>
          <w:b/>
          <w:sz w:val="24"/>
          <w:szCs w:val="24"/>
        </w:rPr>
        <w:t>Abigail Coo</w:t>
      </w:r>
      <w:r w:rsidR="00622571" w:rsidRPr="009E427C">
        <w:rPr>
          <w:rFonts w:ascii="Book Antiqua" w:hAnsi="Book Antiqua"/>
          <w:b/>
          <w:sz w:val="24"/>
          <w:szCs w:val="24"/>
        </w:rPr>
        <w:t>k</w:t>
      </w:r>
      <w:r w:rsidR="000713F8" w:rsidRPr="009E427C">
        <w:rPr>
          <w:rFonts w:ascii="Book Antiqua" w:hAnsi="Book Antiqua"/>
          <w:b/>
          <w:sz w:val="24"/>
          <w:szCs w:val="24"/>
        </w:rPr>
        <w:t xml:space="preserve">, Elizabeth </w:t>
      </w:r>
      <w:proofErr w:type="spellStart"/>
      <w:r w:rsidR="000713F8" w:rsidRPr="009E427C">
        <w:rPr>
          <w:rFonts w:ascii="Book Antiqua" w:hAnsi="Book Antiqua"/>
          <w:b/>
          <w:sz w:val="24"/>
          <w:szCs w:val="24"/>
        </w:rPr>
        <w:t>Greenhalgh</w:t>
      </w:r>
      <w:proofErr w:type="spellEnd"/>
      <w:r w:rsidR="000713F8" w:rsidRPr="009E427C">
        <w:rPr>
          <w:rFonts w:ascii="Book Antiqua" w:hAnsi="Book Antiqua"/>
          <w:b/>
          <w:sz w:val="24"/>
          <w:szCs w:val="24"/>
        </w:rPr>
        <w:t xml:space="preserve">, </w:t>
      </w:r>
      <w:r w:rsidR="00A409EF" w:rsidRPr="009E427C">
        <w:rPr>
          <w:rFonts w:ascii="Book Antiqua" w:hAnsi="Book Antiqua"/>
          <w:b/>
          <w:sz w:val="24"/>
          <w:szCs w:val="24"/>
        </w:rPr>
        <w:t xml:space="preserve">Megan </w:t>
      </w:r>
      <w:proofErr w:type="spellStart"/>
      <w:r w:rsidR="00A409EF" w:rsidRPr="009E427C">
        <w:rPr>
          <w:rFonts w:ascii="Book Antiqua" w:hAnsi="Book Antiqua"/>
          <w:b/>
          <w:sz w:val="24"/>
          <w:szCs w:val="24"/>
        </w:rPr>
        <w:t>Rech</w:t>
      </w:r>
      <w:proofErr w:type="spellEnd"/>
      <w:r w:rsidR="00A409EF" w:rsidRPr="009E427C">
        <w:rPr>
          <w:rFonts w:ascii="Book Antiqua" w:hAnsi="Book Antiqua"/>
          <w:b/>
          <w:sz w:val="24"/>
          <w:szCs w:val="24"/>
        </w:rPr>
        <w:t xml:space="preserve">, </w:t>
      </w:r>
      <w:r w:rsidR="000713F8" w:rsidRPr="009E427C">
        <w:rPr>
          <w:rFonts w:ascii="Book Antiqua" w:hAnsi="Book Antiqua"/>
          <w:b/>
          <w:sz w:val="24"/>
          <w:szCs w:val="24"/>
        </w:rPr>
        <w:t xml:space="preserve">Joshua </w:t>
      </w:r>
      <w:proofErr w:type="spellStart"/>
      <w:r w:rsidR="000713F8" w:rsidRPr="009E427C">
        <w:rPr>
          <w:rFonts w:ascii="Book Antiqua" w:hAnsi="Book Antiqua"/>
          <w:b/>
          <w:sz w:val="24"/>
          <w:szCs w:val="24"/>
        </w:rPr>
        <w:t>Rusinak</w:t>
      </w:r>
      <w:proofErr w:type="spellEnd"/>
      <w:r w:rsidR="00A409EF" w:rsidRPr="009E427C">
        <w:rPr>
          <w:rFonts w:ascii="Book Antiqua" w:hAnsi="Book Antiqua"/>
          <w:b/>
          <w:sz w:val="24"/>
          <w:szCs w:val="24"/>
        </w:rPr>
        <w:t xml:space="preserve">, </w:t>
      </w:r>
      <w:proofErr w:type="spellStart"/>
      <w:r w:rsidR="00A409EF" w:rsidRPr="009E427C">
        <w:rPr>
          <w:rFonts w:ascii="Book Antiqua" w:hAnsi="Book Antiqua"/>
          <w:b/>
          <w:sz w:val="24"/>
          <w:szCs w:val="24"/>
        </w:rPr>
        <w:t>Lynley</w:t>
      </w:r>
      <w:proofErr w:type="spellEnd"/>
      <w:r w:rsidR="00A409EF" w:rsidRPr="009E427C">
        <w:rPr>
          <w:rFonts w:ascii="Book Antiqua" w:hAnsi="Book Antiqua"/>
          <w:b/>
          <w:sz w:val="24"/>
          <w:szCs w:val="24"/>
        </w:rPr>
        <w:t xml:space="preserve"> Heinrich</w:t>
      </w:r>
    </w:p>
    <w:p w14:paraId="69B2AAE0" w14:textId="77777777" w:rsidR="000B635A" w:rsidRPr="009E427C" w:rsidRDefault="000B635A" w:rsidP="00190C0B">
      <w:pPr>
        <w:spacing w:after="0" w:line="360" w:lineRule="auto"/>
        <w:jc w:val="both"/>
        <w:rPr>
          <w:rFonts w:ascii="Book Antiqua" w:hAnsi="Book Antiqua"/>
          <w:b/>
          <w:sz w:val="24"/>
          <w:szCs w:val="24"/>
          <w:lang w:eastAsia="zh-CN"/>
        </w:rPr>
      </w:pPr>
    </w:p>
    <w:p w14:paraId="1E0620EF" w14:textId="6758075B" w:rsidR="000713F8" w:rsidRPr="009E427C" w:rsidRDefault="00A409EF" w:rsidP="00190C0B">
      <w:pPr>
        <w:spacing w:after="0" w:line="360" w:lineRule="auto"/>
        <w:jc w:val="both"/>
        <w:rPr>
          <w:rFonts w:ascii="Book Antiqua" w:hAnsi="Book Antiqua"/>
          <w:sz w:val="24"/>
          <w:szCs w:val="24"/>
          <w:lang w:eastAsia="zh-CN"/>
        </w:rPr>
      </w:pPr>
      <w:r w:rsidRPr="009E427C">
        <w:rPr>
          <w:rFonts w:ascii="Book Antiqua" w:hAnsi="Book Antiqua"/>
          <w:b/>
          <w:sz w:val="24"/>
          <w:szCs w:val="24"/>
        </w:rPr>
        <w:t>Neha Patel</w:t>
      </w:r>
      <w:r w:rsidR="000713F8" w:rsidRPr="009E427C">
        <w:rPr>
          <w:rFonts w:ascii="Book Antiqua" w:hAnsi="Book Antiqua"/>
          <w:sz w:val="24"/>
          <w:szCs w:val="24"/>
        </w:rPr>
        <w:t>,</w:t>
      </w:r>
      <w:r w:rsidRPr="009E427C">
        <w:rPr>
          <w:rFonts w:ascii="Book Antiqua" w:hAnsi="Book Antiqua"/>
          <w:sz w:val="24"/>
          <w:szCs w:val="24"/>
        </w:rPr>
        <w:t xml:space="preserve"> </w:t>
      </w:r>
      <w:r w:rsidRPr="009E427C">
        <w:rPr>
          <w:rFonts w:ascii="Book Antiqua" w:hAnsi="Book Antiqua"/>
          <w:b/>
          <w:sz w:val="24"/>
          <w:szCs w:val="24"/>
        </w:rPr>
        <w:t>Abigail Coo</w:t>
      </w:r>
      <w:r w:rsidR="00622571" w:rsidRPr="009E427C">
        <w:rPr>
          <w:rFonts w:ascii="Book Antiqua" w:hAnsi="Book Antiqua"/>
          <w:b/>
          <w:sz w:val="24"/>
          <w:szCs w:val="24"/>
        </w:rPr>
        <w:t>k</w:t>
      </w:r>
      <w:r w:rsidRPr="009E427C">
        <w:rPr>
          <w:rFonts w:ascii="Book Antiqua" w:hAnsi="Book Antiqua"/>
          <w:b/>
          <w:sz w:val="24"/>
          <w:szCs w:val="24"/>
        </w:rPr>
        <w:t xml:space="preserve">, Elizabeth </w:t>
      </w:r>
      <w:proofErr w:type="spellStart"/>
      <w:r w:rsidRPr="009E427C">
        <w:rPr>
          <w:rFonts w:ascii="Book Antiqua" w:hAnsi="Book Antiqua"/>
          <w:b/>
          <w:sz w:val="24"/>
          <w:szCs w:val="24"/>
        </w:rPr>
        <w:t>Greenhalgh</w:t>
      </w:r>
      <w:proofErr w:type="spellEnd"/>
      <w:r w:rsidRPr="009E427C">
        <w:rPr>
          <w:rFonts w:ascii="Book Antiqua" w:hAnsi="Book Antiqua"/>
          <w:b/>
          <w:sz w:val="24"/>
          <w:szCs w:val="24"/>
        </w:rPr>
        <w:t xml:space="preserve">, Megan </w:t>
      </w:r>
      <w:proofErr w:type="spellStart"/>
      <w:r w:rsidRPr="009E427C">
        <w:rPr>
          <w:rFonts w:ascii="Book Antiqua" w:hAnsi="Book Antiqua"/>
          <w:b/>
          <w:sz w:val="24"/>
          <w:szCs w:val="24"/>
        </w:rPr>
        <w:t>Rech</w:t>
      </w:r>
      <w:proofErr w:type="spellEnd"/>
      <w:r w:rsidRPr="009E427C">
        <w:rPr>
          <w:rFonts w:ascii="Book Antiqua" w:hAnsi="Book Antiqua"/>
          <w:b/>
          <w:sz w:val="24"/>
          <w:szCs w:val="24"/>
        </w:rPr>
        <w:t xml:space="preserve">, Joshua </w:t>
      </w:r>
      <w:proofErr w:type="spellStart"/>
      <w:r w:rsidRPr="009E427C">
        <w:rPr>
          <w:rFonts w:ascii="Book Antiqua" w:hAnsi="Book Antiqua"/>
          <w:b/>
          <w:sz w:val="24"/>
          <w:szCs w:val="24"/>
        </w:rPr>
        <w:t>Rusinak</w:t>
      </w:r>
      <w:proofErr w:type="spellEnd"/>
      <w:r w:rsidRPr="009E427C">
        <w:rPr>
          <w:rFonts w:ascii="Book Antiqua" w:hAnsi="Book Antiqua"/>
          <w:b/>
          <w:sz w:val="24"/>
          <w:szCs w:val="24"/>
        </w:rPr>
        <w:t xml:space="preserve"> , </w:t>
      </w:r>
      <w:proofErr w:type="spellStart"/>
      <w:r w:rsidRPr="009E427C">
        <w:rPr>
          <w:rFonts w:ascii="Book Antiqua" w:hAnsi="Book Antiqua"/>
          <w:b/>
          <w:sz w:val="24"/>
          <w:szCs w:val="24"/>
        </w:rPr>
        <w:t>Lynley</w:t>
      </w:r>
      <w:proofErr w:type="spellEnd"/>
      <w:r w:rsidRPr="009E427C">
        <w:rPr>
          <w:rFonts w:ascii="Book Antiqua" w:hAnsi="Book Antiqua"/>
          <w:b/>
          <w:sz w:val="24"/>
          <w:szCs w:val="24"/>
        </w:rPr>
        <w:t xml:space="preserve"> Heinrich</w:t>
      </w:r>
      <w:r w:rsidR="000B635A" w:rsidRPr="009E427C">
        <w:rPr>
          <w:rFonts w:ascii="Book Antiqua" w:hAnsi="Book Antiqua"/>
          <w:b/>
          <w:sz w:val="24"/>
          <w:szCs w:val="24"/>
          <w:lang w:eastAsia="zh-CN"/>
        </w:rPr>
        <w:t>,</w:t>
      </w:r>
      <w:r w:rsidR="000713F8" w:rsidRPr="009E427C">
        <w:rPr>
          <w:rFonts w:ascii="Book Antiqua" w:hAnsi="Book Antiqua"/>
          <w:sz w:val="24"/>
          <w:szCs w:val="24"/>
        </w:rPr>
        <w:t xml:space="preserve"> Department of Pharmacy, Loyola Medical Center, Maywood, IL 60153, United States</w:t>
      </w:r>
    </w:p>
    <w:p w14:paraId="06525155" w14:textId="77777777" w:rsidR="000B635A" w:rsidRPr="009E427C" w:rsidRDefault="000B635A" w:rsidP="00190C0B">
      <w:pPr>
        <w:spacing w:after="0" w:line="360" w:lineRule="auto"/>
        <w:jc w:val="both"/>
        <w:rPr>
          <w:rFonts w:ascii="Book Antiqua" w:hAnsi="Book Antiqua"/>
          <w:sz w:val="24"/>
          <w:szCs w:val="24"/>
          <w:lang w:eastAsia="zh-CN"/>
        </w:rPr>
      </w:pPr>
    </w:p>
    <w:p w14:paraId="057F464D" w14:textId="1D3AED11" w:rsidR="000713F8" w:rsidRPr="009E427C" w:rsidRDefault="000713F8" w:rsidP="00190C0B">
      <w:pPr>
        <w:autoSpaceDE w:val="0"/>
        <w:autoSpaceDN w:val="0"/>
        <w:adjustRightInd w:val="0"/>
        <w:spacing w:after="0" w:line="360" w:lineRule="auto"/>
        <w:jc w:val="both"/>
        <w:rPr>
          <w:rFonts w:ascii="Book Antiqua" w:hAnsi="Book Antiqua" w:cs="Book Antiqua"/>
          <w:sz w:val="24"/>
          <w:szCs w:val="24"/>
        </w:rPr>
      </w:pPr>
      <w:r w:rsidRPr="009E427C">
        <w:rPr>
          <w:rFonts w:ascii="Book Antiqua" w:hAnsi="Book Antiqua"/>
          <w:b/>
          <w:sz w:val="24"/>
          <w:szCs w:val="24"/>
        </w:rPr>
        <w:t xml:space="preserve">Author contributions: </w:t>
      </w:r>
      <w:r w:rsidRPr="009E427C">
        <w:rPr>
          <w:rFonts w:ascii="Book Antiqua" w:hAnsi="Book Antiqua" w:cs="Book Antiqua"/>
          <w:sz w:val="24"/>
          <w:szCs w:val="24"/>
        </w:rPr>
        <w:t>All authors equally contributed to this paper with conception and</w:t>
      </w:r>
      <w:r w:rsidR="000B635A" w:rsidRPr="009E427C">
        <w:rPr>
          <w:rFonts w:ascii="Book Antiqua" w:hAnsi="Book Antiqua" w:cs="Book Antiqua"/>
          <w:sz w:val="24"/>
          <w:szCs w:val="24"/>
          <w:lang w:eastAsia="zh-CN"/>
        </w:rPr>
        <w:t xml:space="preserve"> </w:t>
      </w:r>
      <w:r w:rsidRPr="009E427C">
        <w:rPr>
          <w:rFonts w:ascii="Book Antiqua" w:hAnsi="Book Antiqua" w:cs="Book Antiqua"/>
          <w:sz w:val="24"/>
          <w:szCs w:val="24"/>
        </w:rPr>
        <w:t>design of the study, literature review and analysis, drafting and critical revision and</w:t>
      </w:r>
      <w:r w:rsidR="000B635A" w:rsidRPr="009E427C">
        <w:rPr>
          <w:rFonts w:ascii="Book Antiqua" w:hAnsi="Book Antiqua" w:cs="Book Antiqua"/>
          <w:sz w:val="24"/>
          <w:szCs w:val="24"/>
          <w:lang w:eastAsia="zh-CN"/>
        </w:rPr>
        <w:t xml:space="preserve"> </w:t>
      </w:r>
      <w:r w:rsidRPr="009E427C">
        <w:rPr>
          <w:rFonts w:ascii="Book Antiqua" w:hAnsi="Book Antiqua" w:cs="Book Antiqua"/>
          <w:sz w:val="24"/>
          <w:szCs w:val="24"/>
        </w:rPr>
        <w:t>editing, and final approval of the final version.</w:t>
      </w:r>
    </w:p>
    <w:p w14:paraId="1F06EA52" w14:textId="77777777" w:rsidR="000B635A" w:rsidRPr="009E427C" w:rsidRDefault="000B635A" w:rsidP="00190C0B">
      <w:pPr>
        <w:spacing w:after="0" w:line="360" w:lineRule="auto"/>
        <w:jc w:val="both"/>
        <w:rPr>
          <w:rFonts w:ascii="Book Antiqua" w:hAnsi="Book Antiqua" w:cs="Book Antiqua"/>
          <w:sz w:val="24"/>
          <w:szCs w:val="24"/>
          <w:lang w:eastAsia="zh-CN"/>
        </w:rPr>
      </w:pPr>
    </w:p>
    <w:p w14:paraId="302B22F5" w14:textId="4F80CDE0" w:rsidR="000713F8" w:rsidRPr="009E427C" w:rsidRDefault="009B256B" w:rsidP="00190C0B">
      <w:pPr>
        <w:autoSpaceDE w:val="0"/>
        <w:autoSpaceDN w:val="0"/>
        <w:adjustRightInd w:val="0"/>
        <w:spacing w:after="0" w:line="360" w:lineRule="auto"/>
        <w:jc w:val="both"/>
        <w:rPr>
          <w:rFonts w:ascii="Book Antiqua" w:hAnsi="Book Antiqua" w:cs="Book Antiqua"/>
          <w:sz w:val="24"/>
          <w:szCs w:val="24"/>
          <w:lang w:eastAsia="zh-CN"/>
        </w:rPr>
      </w:pPr>
      <w:r w:rsidRPr="009E427C">
        <w:rPr>
          <w:rFonts w:ascii="Book Antiqua" w:hAnsi="Book Antiqua" w:cs="TimesNewRomanPS-BoldItalicMT"/>
          <w:b/>
          <w:bCs/>
          <w:iCs/>
          <w:sz w:val="24"/>
          <w:szCs w:val="24"/>
        </w:rPr>
        <w:t>Conflict-of-interest</w:t>
      </w:r>
      <w:r w:rsidRPr="009E427C">
        <w:rPr>
          <w:rFonts w:ascii="Book Antiqua" w:hAnsi="Book Antiqua"/>
          <w:sz w:val="24"/>
          <w:szCs w:val="24"/>
        </w:rPr>
        <w:t xml:space="preserve"> </w:t>
      </w:r>
      <w:r w:rsidRPr="009E427C">
        <w:rPr>
          <w:rFonts w:ascii="Book Antiqua" w:hAnsi="Book Antiqua" w:cs="TimesNewRomanPS-BoldItalicMT"/>
          <w:b/>
          <w:bCs/>
          <w:iCs/>
          <w:sz w:val="24"/>
          <w:szCs w:val="24"/>
        </w:rPr>
        <w:t>statement:</w:t>
      </w:r>
      <w:r w:rsidR="000713F8" w:rsidRPr="009E427C">
        <w:rPr>
          <w:rFonts w:ascii="Book Antiqua" w:hAnsi="Book Antiqua" w:cs="Book Antiqua"/>
          <w:sz w:val="24"/>
          <w:szCs w:val="24"/>
        </w:rPr>
        <w:t xml:space="preserve"> No potential conflicts of interest. No financial support.</w:t>
      </w:r>
    </w:p>
    <w:p w14:paraId="569EE39A" w14:textId="77777777" w:rsidR="009B256B" w:rsidRPr="009E427C" w:rsidRDefault="009B256B" w:rsidP="00190C0B">
      <w:pPr>
        <w:autoSpaceDE w:val="0"/>
        <w:autoSpaceDN w:val="0"/>
        <w:adjustRightInd w:val="0"/>
        <w:spacing w:after="0" w:line="360" w:lineRule="auto"/>
        <w:jc w:val="both"/>
        <w:rPr>
          <w:rFonts w:ascii="Book Antiqua" w:hAnsi="Book Antiqua" w:cs="Book Antiqua"/>
          <w:sz w:val="24"/>
          <w:szCs w:val="24"/>
          <w:lang w:eastAsia="zh-CN"/>
        </w:rPr>
      </w:pPr>
    </w:p>
    <w:p w14:paraId="78FE80C4" w14:textId="77777777" w:rsidR="009B256B" w:rsidRPr="009E427C" w:rsidRDefault="009B256B" w:rsidP="00190C0B">
      <w:pPr>
        <w:spacing w:after="0" w:line="360" w:lineRule="auto"/>
        <w:jc w:val="both"/>
        <w:rPr>
          <w:rFonts w:ascii="Book Antiqua" w:hAnsi="Book Antiqua" w:cs="宋体"/>
          <w:sz w:val="24"/>
          <w:szCs w:val="24"/>
        </w:rPr>
      </w:pPr>
      <w:r w:rsidRPr="009E427C">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9E427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E427C">
          <w:rPr>
            <w:rStyle w:val="ae"/>
            <w:rFonts w:ascii="Book Antiqua" w:hAnsi="Book Antiqua"/>
            <w:color w:val="auto"/>
            <w:sz w:val="24"/>
            <w:szCs w:val="24"/>
            <w:u w:val="none"/>
          </w:rPr>
          <w:t>http://creativecommons.org/licenses/by-nc/4.0/</w:t>
        </w:r>
      </w:hyperlink>
      <w:bookmarkEnd w:id="0"/>
      <w:bookmarkEnd w:id="1"/>
      <w:bookmarkEnd w:id="2"/>
      <w:bookmarkEnd w:id="3"/>
    </w:p>
    <w:p w14:paraId="109681CE" w14:textId="77777777" w:rsidR="009B256B" w:rsidRPr="009E427C" w:rsidRDefault="009B256B" w:rsidP="00190C0B">
      <w:pPr>
        <w:autoSpaceDE w:val="0"/>
        <w:autoSpaceDN w:val="0"/>
        <w:adjustRightInd w:val="0"/>
        <w:spacing w:after="0" w:line="360" w:lineRule="auto"/>
        <w:jc w:val="both"/>
        <w:rPr>
          <w:rFonts w:ascii="Book Antiqua" w:hAnsi="Book Antiqua" w:cs="Book Antiqua"/>
          <w:sz w:val="24"/>
          <w:szCs w:val="24"/>
          <w:lang w:eastAsia="zh-CN"/>
        </w:rPr>
      </w:pPr>
    </w:p>
    <w:p w14:paraId="70D8DB8C" w14:textId="77777777" w:rsidR="000713F8" w:rsidRPr="009E427C" w:rsidRDefault="000713F8" w:rsidP="00190C0B">
      <w:pPr>
        <w:autoSpaceDE w:val="0"/>
        <w:autoSpaceDN w:val="0"/>
        <w:adjustRightInd w:val="0"/>
        <w:spacing w:after="0" w:line="360" w:lineRule="auto"/>
        <w:jc w:val="both"/>
        <w:rPr>
          <w:rFonts w:ascii="Book Antiqua" w:hAnsi="Book Antiqua" w:cs="Book Antiqua"/>
          <w:sz w:val="24"/>
          <w:szCs w:val="24"/>
        </w:rPr>
      </w:pPr>
    </w:p>
    <w:p w14:paraId="2EAA1C9C" w14:textId="78B70817" w:rsidR="000713F8" w:rsidRPr="009E427C" w:rsidRDefault="000713F8" w:rsidP="00190C0B">
      <w:pPr>
        <w:autoSpaceDE w:val="0"/>
        <w:autoSpaceDN w:val="0"/>
        <w:adjustRightInd w:val="0"/>
        <w:spacing w:after="0" w:line="360" w:lineRule="auto"/>
        <w:jc w:val="both"/>
        <w:rPr>
          <w:rFonts w:ascii="Book Antiqua" w:hAnsi="Book Antiqua" w:cs="Book Antiqua"/>
          <w:sz w:val="24"/>
          <w:szCs w:val="24"/>
        </w:rPr>
      </w:pPr>
      <w:r w:rsidRPr="009E427C">
        <w:rPr>
          <w:rFonts w:ascii="Book Antiqua" w:hAnsi="Book Antiqua" w:cs="Book Antiqua"/>
          <w:b/>
          <w:sz w:val="24"/>
          <w:szCs w:val="24"/>
        </w:rPr>
        <w:t xml:space="preserve">Correspondence to: Neha Patel, PhD, BCPS, </w:t>
      </w:r>
      <w:r w:rsidRPr="009E427C">
        <w:rPr>
          <w:rFonts w:ascii="Book Antiqua" w:hAnsi="Book Antiqua" w:cs="Book Antiqua"/>
          <w:sz w:val="24"/>
          <w:szCs w:val="24"/>
        </w:rPr>
        <w:t>Department of Pharmacy, Loyola Med</w:t>
      </w:r>
      <w:r w:rsidR="00145AB6" w:rsidRPr="009E427C">
        <w:rPr>
          <w:rFonts w:ascii="Book Antiqua" w:hAnsi="Book Antiqua" w:cs="Book Antiqua"/>
          <w:sz w:val="24"/>
          <w:szCs w:val="24"/>
        </w:rPr>
        <w:t>ical Center, 2160 S. First Ave.</w:t>
      </w:r>
      <w:r w:rsidRPr="009E427C">
        <w:rPr>
          <w:rFonts w:ascii="Book Antiqua" w:hAnsi="Book Antiqua" w:cs="Book Antiqua"/>
          <w:sz w:val="24"/>
          <w:szCs w:val="24"/>
        </w:rPr>
        <w:t xml:space="preserve"> Maywood, IL 60153, United States. </w:t>
      </w:r>
      <w:hyperlink r:id="rId10" w:history="1">
        <w:r w:rsidR="00015452" w:rsidRPr="009E427C">
          <w:rPr>
            <w:rStyle w:val="ae"/>
            <w:rFonts w:ascii="Book Antiqua" w:hAnsi="Book Antiqua" w:cs="Book Antiqua"/>
            <w:color w:val="auto"/>
            <w:sz w:val="24"/>
            <w:szCs w:val="24"/>
            <w:u w:val="none"/>
          </w:rPr>
          <w:t>n</w:t>
        </w:r>
        <w:r w:rsidRPr="009E427C">
          <w:rPr>
            <w:rStyle w:val="ae"/>
            <w:rFonts w:ascii="Book Antiqua" w:hAnsi="Book Antiqua" w:cs="Book Antiqua"/>
            <w:color w:val="auto"/>
            <w:sz w:val="24"/>
            <w:szCs w:val="24"/>
            <w:u w:val="none"/>
          </w:rPr>
          <w:t>ehapatel2@lumc.edu</w:t>
        </w:r>
      </w:hyperlink>
    </w:p>
    <w:p w14:paraId="216E29A1" w14:textId="5167D769" w:rsidR="000713F8" w:rsidRDefault="000713F8" w:rsidP="00190C0B">
      <w:pPr>
        <w:autoSpaceDE w:val="0"/>
        <w:autoSpaceDN w:val="0"/>
        <w:adjustRightInd w:val="0"/>
        <w:spacing w:after="0" w:line="360" w:lineRule="auto"/>
        <w:jc w:val="both"/>
        <w:rPr>
          <w:rFonts w:ascii="Book Antiqua" w:hAnsi="Book Antiqua" w:cs="Book Antiqua"/>
          <w:sz w:val="24"/>
          <w:szCs w:val="24"/>
          <w:lang w:eastAsia="zh-CN"/>
        </w:rPr>
      </w:pPr>
      <w:r w:rsidRPr="009E427C">
        <w:rPr>
          <w:rFonts w:ascii="Book Antiqua" w:hAnsi="Book Antiqua" w:cs="Book Antiqua"/>
          <w:b/>
          <w:sz w:val="24"/>
          <w:szCs w:val="24"/>
        </w:rPr>
        <w:t xml:space="preserve">Telephone: </w:t>
      </w:r>
      <w:r w:rsidR="002A21B3" w:rsidRPr="002A21B3">
        <w:rPr>
          <w:rFonts w:ascii="Book Antiqua" w:hAnsi="Book Antiqua" w:cs="Book Antiqua"/>
          <w:sz w:val="24"/>
          <w:szCs w:val="24"/>
        </w:rPr>
        <w:t>+</w:t>
      </w:r>
      <w:r w:rsidR="00022546" w:rsidRPr="002A21B3">
        <w:rPr>
          <w:rFonts w:ascii="Book Antiqua" w:hAnsi="Book Antiqua" w:cs="Book Antiqua"/>
          <w:sz w:val="24"/>
          <w:szCs w:val="24"/>
        </w:rPr>
        <w:t>1</w:t>
      </w:r>
      <w:r w:rsidR="002A21B3" w:rsidRPr="002A21B3">
        <w:rPr>
          <w:rFonts w:ascii="Book Antiqua" w:hAnsi="Book Antiqua" w:cs="Book Antiqua" w:hint="eastAsia"/>
          <w:sz w:val="24"/>
          <w:szCs w:val="24"/>
          <w:lang w:eastAsia="zh-CN"/>
        </w:rPr>
        <w:t>-</w:t>
      </w:r>
      <w:r w:rsidRPr="002A21B3">
        <w:rPr>
          <w:rFonts w:ascii="Book Antiqua" w:hAnsi="Book Antiqua" w:cs="Book Antiqua"/>
          <w:sz w:val="24"/>
          <w:szCs w:val="24"/>
        </w:rPr>
        <w:t>708-2166058</w:t>
      </w:r>
    </w:p>
    <w:p w14:paraId="181A21E3" w14:textId="77777777" w:rsidR="0074371D" w:rsidRDefault="0074371D" w:rsidP="00190C0B">
      <w:pPr>
        <w:autoSpaceDE w:val="0"/>
        <w:autoSpaceDN w:val="0"/>
        <w:adjustRightInd w:val="0"/>
        <w:spacing w:after="0" w:line="360" w:lineRule="auto"/>
        <w:jc w:val="both"/>
        <w:rPr>
          <w:rFonts w:ascii="Book Antiqua" w:hAnsi="Book Antiqua" w:cs="Book Antiqua"/>
          <w:sz w:val="24"/>
          <w:szCs w:val="24"/>
          <w:lang w:eastAsia="zh-CN"/>
        </w:rPr>
      </w:pPr>
    </w:p>
    <w:p w14:paraId="66AB773D" w14:textId="747C5297" w:rsidR="00171D91" w:rsidRPr="00171D91" w:rsidRDefault="00171D91" w:rsidP="00190C0B">
      <w:pPr>
        <w:widowControl w:val="0"/>
        <w:spacing w:after="0" w:line="360" w:lineRule="auto"/>
        <w:jc w:val="both"/>
        <w:rPr>
          <w:rFonts w:ascii="Book Antiqua" w:eastAsia="宋体" w:hAnsi="Book Antiqua" w:cs="Times New Roman"/>
          <w:b/>
          <w:kern w:val="2"/>
          <w:sz w:val="24"/>
          <w:szCs w:val="24"/>
          <w:lang w:eastAsia="zh-CN"/>
        </w:rPr>
      </w:pPr>
      <w:bookmarkStart w:id="4" w:name="OLE_LINK108"/>
      <w:bookmarkStart w:id="5" w:name="OLE_LINK175"/>
      <w:bookmarkStart w:id="6" w:name="OLE_LINK177"/>
      <w:bookmarkStart w:id="7" w:name="OLE_LINK223"/>
      <w:bookmarkStart w:id="8" w:name="OLE_LINK261"/>
      <w:r w:rsidRPr="00171D91">
        <w:rPr>
          <w:rFonts w:ascii="Book Antiqua" w:eastAsia="宋体" w:hAnsi="Book Antiqua" w:cs="Times New Roman"/>
          <w:b/>
          <w:kern w:val="2"/>
          <w:sz w:val="24"/>
          <w:szCs w:val="24"/>
          <w:lang w:eastAsia="zh-CN"/>
        </w:rPr>
        <w:t xml:space="preserve">Received: </w:t>
      </w:r>
      <w:bookmarkStart w:id="9" w:name="OLE_LINK106"/>
      <w:bookmarkStart w:id="10" w:name="OLE_LINK107"/>
      <w:r w:rsidR="00E22F71">
        <w:rPr>
          <w:rFonts w:ascii="Book Antiqua" w:eastAsia="宋体" w:hAnsi="Book Antiqua" w:cs="Times New Roman" w:hint="eastAsia"/>
          <w:kern w:val="2"/>
          <w:sz w:val="24"/>
          <w:szCs w:val="24"/>
          <w:lang w:eastAsia="zh-CN"/>
        </w:rPr>
        <w:t>August</w:t>
      </w:r>
      <w:r w:rsidRPr="00171D91">
        <w:rPr>
          <w:rFonts w:ascii="Book Antiqua" w:eastAsia="宋体" w:hAnsi="Book Antiqua" w:cs="Times New Roman" w:hint="eastAsia"/>
          <w:kern w:val="2"/>
          <w:sz w:val="24"/>
          <w:szCs w:val="24"/>
          <w:lang w:eastAsia="zh-CN"/>
        </w:rPr>
        <w:t xml:space="preserve"> </w:t>
      </w:r>
      <w:r w:rsidR="00E22F71">
        <w:rPr>
          <w:rFonts w:ascii="Book Antiqua" w:eastAsia="宋体" w:hAnsi="Book Antiqua" w:cs="Times New Roman" w:hint="eastAsia"/>
          <w:kern w:val="2"/>
          <w:sz w:val="24"/>
          <w:szCs w:val="24"/>
          <w:lang w:eastAsia="zh-CN"/>
        </w:rPr>
        <w:t>6</w:t>
      </w:r>
      <w:r w:rsidRPr="00171D91">
        <w:rPr>
          <w:rFonts w:ascii="Book Antiqua" w:eastAsia="宋体" w:hAnsi="Book Antiqua" w:cs="Times New Roman" w:hint="eastAsia"/>
          <w:kern w:val="2"/>
          <w:sz w:val="24"/>
          <w:szCs w:val="24"/>
          <w:lang w:eastAsia="zh-CN"/>
        </w:rPr>
        <w:t>, 2015</w:t>
      </w:r>
      <w:bookmarkEnd w:id="9"/>
      <w:bookmarkEnd w:id="10"/>
    </w:p>
    <w:p w14:paraId="5B0A4F54" w14:textId="13705B5D" w:rsidR="00171D91" w:rsidRPr="00171D91" w:rsidRDefault="00171D91" w:rsidP="00190C0B">
      <w:pPr>
        <w:widowControl w:val="0"/>
        <w:spacing w:after="0" w:line="360" w:lineRule="auto"/>
        <w:jc w:val="both"/>
        <w:rPr>
          <w:rFonts w:ascii="Book Antiqua" w:eastAsia="宋体" w:hAnsi="Book Antiqua" w:cs="Times New Roman"/>
          <w:b/>
          <w:kern w:val="2"/>
          <w:sz w:val="24"/>
          <w:szCs w:val="24"/>
          <w:lang w:eastAsia="zh-CN"/>
        </w:rPr>
      </w:pPr>
      <w:r w:rsidRPr="00171D91">
        <w:rPr>
          <w:rFonts w:ascii="Book Antiqua" w:eastAsia="宋体" w:hAnsi="Book Antiqua" w:cs="Times New Roman" w:hint="eastAsia"/>
          <w:b/>
          <w:kern w:val="2"/>
          <w:sz w:val="24"/>
          <w:szCs w:val="24"/>
          <w:lang w:eastAsia="zh-CN"/>
        </w:rPr>
        <w:t>Peer-review started</w:t>
      </w:r>
      <w:r w:rsidRPr="00171D91">
        <w:rPr>
          <w:rFonts w:ascii="Book Antiqua" w:eastAsia="宋体" w:hAnsi="Book Antiqua" w:cs="Times New Roman"/>
          <w:b/>
          <w:kern w:val="2"/>
          <w:sz w:val="24"/>
          <w:szCs w:val="24"/>
          <w:lang w:eastAsia="zh-CN"/>
        </w:rPr>
        <w:t>:</w:t>
      </w:r>
      <w:r w:rsidRPr="00171D91">
        <w:rPr>
          <w:rFonts w:ascii="Book Antiqua" w:eastAsia="宋体" w:hAnsi="Book Antiqua" w:cs="Times New Roman" w:hint="eastAsia"/>
          <w:b/>
          <w:kern w:val="2"/>
          <w:sz w:val="24"/>
          <w:szCs w:val="24"/>
          <w:lang w:eastAsia="zh-CN"/>
        </w:rPr>
        <w:t xml:space="preserve"> </w:t>
      </w:r>
      <w:r w:rsidR="00E22F71">
        <w:rPr>
          <w:rFonts w:ascii="Book Antiqua" w:eastAsia="宋体" w:hAnsi="Book Antiqua" w:cs="Times New Roman" w:hint="eastAsia"/>
          <w:kern w:val="2"/>
          <w:sz w:val="24"/>
          <w:szCs w:val="24"/>
          <w:lang w:eastAsia="zh-CN"/>
        </w:rPr>
        <w:t>August</w:t>
      </w:r>
      <w:r w:rsidRPr="00171D91">
        <w:rPr>
          <w:rFonts w:ascii="Book Antiqua" w:eastAsia="宋体" w:hAnsi="Book Antiqua" w:cs="Times New Roman" w:hint="eastAsia"/>
          <w:kern w:val="2"/>
          <w:sz w:val="24"/>
          <w:szCs w:val="24"/>
          <w:lang w:eastAsia="zh-CN"/>
        </w:rPr>
        <w:t xml:space="preserve"> </w:t>
      </w:r>
      <w:r w:rsidR="00E22F71">
        <w:rPr>
          <w:rFonts w:ascii="Book Antiqua" w:eastAsia="宋体" w:hAnsi="Book Antiqua" w:cs="Times New Roman" w:hint="eastAsia"/>
          <w:kern w:val="2"/>
          <w:sz w:val="24"/>
          <w:szCs w:val="24"/>
          <w:lang w:eastAsia="zh-CN"/>
        </w:rPr>
        <w:t>7</w:t>
      </w:r>
      <w:r w:rsidRPr="00171D91">
        <w:rPr>
          <w:rFonts w:ascii="Book Antiqua" w:eastAsia="宋体" w:hAnsi="Book Antiqua" w:cs="Times New Roman" w:hint="eastAsia"/>
          <w:kern w:val="2"/>
          <w:sz w:val="24"/>
          <w:szCs w:val="24"/>
          <w:lang w:eastAsia="zh-CN"/>
        </w:rPr>
        <w:t>, 2015</w:t>
      </w:r>
    </w:p>
    <w:p w14:paraId="35922022" w14:textId="6B7C8491" w:rsidR="00171D91" w:rsidRPr="00171D91" w:rsidRDefault="00171D91" w:rsidP="00190C0B">
      <w:pPr>
        <w:widowControl w:val="0"/>
        <w:spacing w:after="0" w:line="360" w:lineRule="auto"/>
        <w:jc w:val="both"/>
        <w:rPr>
          <w:rFonts w:ascii="Book Antiqua" w:eastAsia="宋体" w:hAnsi="Book Antiqua" w:cs="Times New Roman"/>
          <w:b/>
          <w:kern w:val="2"/>
          <w:sz w:val="24"/>
          <w:szCs w:val="24"/>
          <w:lang w:eastAsia="zh-CN"/>
        </w:rPr>
      </w:pPr>
      <w:r w:rsidRPr="00171D91">
        <w:rPr>
          <w:rFonts w:ascii="Book Antiqua" w:eastAsia="宋体" w:hAnsi="Book Antiqua" w:cs="Times New Roman"/>
          <w:b/>
          <w:kern w:val="2"/>
          <w:sz w:val="24"/>
          <w:szCs w:val="24"/>
          <w:lang w:eastAsia="zh-CN"/>
        </w:rPr>
        <w:t>First decision:</w:t>
      </w:r>
      <w:r w:rsidRPr="00171D91">
        <w:rPr>
          <w:rFonts w:ascii="Book Antiqua" w:eastAsia="宋体" w:hAnsi="Book Antiqua" w:cs="Times New Roman" w:hint="eastAsia"/>
          <w:b/>
          <w:kern w:val="2"/>
          <w:sz w:val="24"/>
          <w:szCs w:val="24"/>
          <w:lang w:eastAsia="zh-CN"/>
        </w:rPr>
        <w:t xml:space="preserve"> </w:t>
      </w:r>
      <w:r w:rsidR="003739F4" w:rsidRPr="00171D91">
        <w:rPr>
          <w:rFonts w:ascii="Book Antiqua" w:eastAsia="宋体" w:hAnsi="Book Antiqua" w:cs="Times New Roman" w:hint="eastAsia"/>
          <w:kern w:val="2"/>
          <w:sz w:val="24"/>
          <w:szCs w:val="24"/>
          <w:lang w:eastAsia="zh-CN"/>
        </w:rPr>
        <w:t>October 16</w:t>
      </w:r>
      <w:r w:rsidRPr="00171D91">
        <w:rPr>
          <w:rFonts w:ascii="Book Antiqua" w:eastAsia="宋体" w:hAnsi="Book Antiqua" w:cs="Times New Roman" w:hint="eastAsia"/>
          <w:kern w:val="2"/>
          <w:sz w:val="24"/>
          <w:szCs w:val="24"/>
          <w:lang w:eastAsia="zh-CN"/>
        </w:rPr>
        <w:t>, 2015</w:t>
      </w:r>
    </w:p>
    <w:p w14:paraId="41E7914B" w14:textId="6B59170C" w:rsidR="00171D91" w:rsidRPr="00171D91" w:rsidRDefault="00171D91" w:rsidP="00190C0B">
      <w:pPr>
        <w:widowControl w:val="0"/>
        <w:spacing w:after="0" w:line="360" w:lineRule="auto"/>
        <w:jc w:val="both"/>
        <w:rPr>
          <w:rFonts w:ascii="Book Antiqua" w:eastAsia="宋体" w:hAnsi="Book Antiqua" w:cs="Times New Roman"/>
          <w:b/>
          <w:kern w:val="2"/>
          <w:sz w:val="24"/>
          <w:szCs w:val="24"/>
          <w:lang w:eastAsia="zh-CN"/>
        </w:rPr>
      </w:pPr>
      <w:r w:rsidRPr="00171D91">
        <w:rPr>
          <w:rFonts w:ascii="Book Antiqua" w:eastAsia="宋体" w:hAnsi="Book Antiqua" w:cs="Times New Roman"/>
          <w:b/>
          <w:kern w:val="2"/>
          <w:sz w:val="24"/>
          <w:szCs w:val="24"/>
          <w:lang w:eastAsia="zh-CN"/>
        </w:rPr>
        <w:t xml:space="preserve">Revised: </w:t>
      </w:r>
      <w:bookmarkStart w:id="11" w:name="OLE_LINK11"/>
      <w:bookmarkStart w:id="12" w:name="OLE_LINK12"/>
      <w:r w:rsidR="000F7566">
        <w:rPr>
          <w:rFonts w:ascii="Book Antiqua" w:eastAsia="宋体" w:hAnsi="Book Antiqua" w:cs="Times New Roman" w:hint="eastAsia"/>
          <w:kern w:val="2"/>
          <w:sz w:val="24"/>
          <w:szCs w:val="24"/>
          <w:lang w:eastAsia="zh-CN"/>
        </w:rPr>
        <w:t>November</w:t>
      </w:r>
      <w:r w:rsidRPr="00171D91">
        <w:rPr>
          <w:rFonts w:ascii="Book Antiqua" w:eastAsia="宋体" w:hAnsi="Book Antiqua" w:cs="Times New Roman" w:hint="eastAsia"/>
          <w:kern w:val="2"/>
          <w:sz w:val="24"/>
          <w:szCs w:val="24"/>
          <w:lang w:eastAsia="zh-CN"/>
        </w:rPr>
        <w:t xml:space="preserve"> 16</w:t>
      </w:r>
      <w:bookmarkEnd w:id="11"/>
      <w:bookmarkEnd w:id="12"/>
      <w:r w:rsidRPr="00171D91">
        <w:rPr>
          <w:rFonts w:ascii="Book Antiqua" w:eastAsia="宋体" w:hAnsi="Book Antiqua" w:cs="Times New Roman" w:hint="eastAsia"/>
          <w:kern w:val="2"/>
          <w:sz w:val="24"/>
          <w:szCs w:val="24"/>
          <w:lang w:eastAsia="zh-CN"/>
        </w:rPr>
        <w:t>, 2015</w:t>
      </w:r>
    </w:p>
    <w:p w14:paraId="6BBDB506" w14:textId="3A9FC513" w:rsidR="00171D91" w:rsidRPr="00B50DF3" w:rsidRDefault="00171D91" w:rsidP="00B50DF3">
      <w:pPr>
        <w:rPr>
          <w:rFonts w:ascii="Book Antiqua" w:hAnsi="Book Antiqua"/>
          <w:iCs/>
          <w:sz w:val="24"/>
        </w:rPr>
      </w:pPr>
      <w:r w:rsidRPr="00171D91">
        <w:rPr>
          <w:rFonts w:ascii="Book Antiqua" w:eastAsia="宋体" w:hAnsi="Book Antiqua" w:cs="Times New Roman"/>
          <w:b/>
          <w:kern w:val="2"/>
          <w:sz w:val="24"/>
          <w:szCs w:val="24"/>
          <w:lang w:eastAsia="zh-CN"/>
        </w:rPr>
        <w:t xml:space="preserve">Accepted: </w:t>
      </w:r>
      <w:r w:rsidR="00B50DF3">
        <w:rPr>
          <w:rStyle w:val="af1"/>
        </w:rPr>
        <w:t xml:space="preserve">December </w:t>
      </w:r>
      <w:r w:rsidR="00B50DF3">
        <w:rPr>
          <w:rStyle w:val="af1"/>
          <w:rFonts w:ascii="宋体" w:hAnsi="宋体" w:cs="宋体" w:hint="eastAsia"/>
        </w:rPr>
        <w:t>29</w:t>
      </w:r>
      <w:r w:rsidR="00B50DF3" w:rsidRPr="00235CD4">
        <w:rPr>
          <w:rStyle w:val="af1"/>
        </w:rPr>
        <w:t>, 2015</w:t>
      </w:r>
    </w:p>
    <w:p w14:paraId="67D68BA8" w14:textId="77777777" w:rsidR="00171D91" w:rsidRPr="00171D91" w:rsidRDefault="00171D91" w:rsidP="00190C0B">
      <w:pPr>
        <w:widowControl w:val="0"/>
        <w:spacing w:after="0" w:line="360" w:lineRule="auto"/>
        <w:jc w:val="both"/>
        <w:rPr>
          <w:rFonts w:ascii="Book Antiqua" w:eastAsia="宋体" w:hAnsi="Book Antiqua" w:cs="Times New Roman"/>
          <w:b/>
          <w:kern w:val="2"/>
          <w:sz w:val="24"/>
          <w:szCs w:val="24"/>
          <w:lang w:eastAsia="zh-CN"/>
        </w:rPr>
      </w:pPr>
      <w:r w:rsidRPr="00171D91">
        <w:rPr>
          <w:rFonts w:ascii="Book Antiqua" w:eastAsia="宋体" w:hAnsi="Book Antiqua" w:cs="Times New Roman"/>
          <w:b/>
          <w:kern w:val="2"/>
          <w:sz w:val="24"/>
          <w:szCs w:val="24"/>
          <w:lang w:eastAsia="zh-CN"/>
        </w:rPr>
        <w:t>Article in press:</w:t>
      </w:r>
      <w:r w:rsidRPr="00171D91">
        <w:rPr>
          <w:rFonts w:ascii="Book Antiqua" w:eastAsia="宋体" w:hAnsi="Book Antiqua" w:cs="Times New Roman" w:hint="eastAsia"/>
          <w:kern w:val="2"/>
          <w:sz w:val="24"/>
          <w:szCs w:val="24"/>
          <w:lang w:eastAsia="zh-CN"/>
        </w:rPr>
        <w:t xml:space="preserve"> </w:t>
      </w:r>
    </w:p>
    <w:p w14:paraId="2CB89C33" w14:textId="77777777" w:rsidR="00171D91" w:rsidRPr="00171D91" w:rsidRDefault="00171D91" w:rsidP="00190C0B">
      <w:pPr>
        <w:widowControl w:val="0"/>
        <w:spacing w:after="0" w:line="360" w:lineRule="auto"/>
        <w:jc w:val="both"/>
        <w:rPr>
          <w:rFonts w:ascii="Book Antiqua" w:eastAsia="宋体" w:hAnsi="Book Antiqua" w:cs="Times New Roman"/>
          <w:b/>
          <w:kern w:val="2"/>
          <w:sz w:val="24"/>
          <w:szCs w:val="24"/>
          <w:lang w:eastAsia="zh-CN"/>
        </w:rPr>
      </w:pPr>
      <w:r w:rsidRPr="00171D91">
        <w:rPr>
          <w:rFonts w:ascii="Book Antiqua" w:eastAsia="宋体" w:hAnsi="Book Antiqua" w:cs="Times New Roman"/>
          <w:b/>
          <w:kern w:val="2"/>
          <w:sz w:val="24"/>
          <w:szCs w:val="24"/>
          <w:lang w:eastAsia="zh-CN"/>
        </w:rPr>
        <w:t xml:space="preserve">Published online: </w:t>
      </w:r>
    </w:p>
    <w:bookmarkEnd w:id="4"/>
    <w:bookmarkEnd w:id="5"/>
    <w:bookmarkEnd w:id="6"/>
    <w:bookmarkEnd w:id="7"/>
    <w:bookmarkEnd w:id="8"/>
    <w:p w14:paraId="3D92C19B" w14:textId="77777777" w:rsidR="0074371D" w:rsidRPr="00171D91" w:rsidRDefault="0074371D" w:rsidP="00190C0B">
      <w:pPr>
        <w:autoSpaceDE w:val="0"/>
        <w:autoSpaceDN w:val="0"/>
        <w:adjustRightInd w:val="0"/>
        <w:spacing w:after="0" w:line="360" w:lineRule="auto"/>
        <w:jc w:val="both"/>
        <w:rPr>
          <w:rFonts w:ascii="Book Antiqua" w:hAnsi="Book Antiqua" w:cs="Book Antiqua"/>
          <w:sz w:val="24"/>
          <w:szCs w:val="24"/>
          <w:lang w:eastAsia="zh-CN"/>
        </w:rPr>
      </w:pPr>
    </w:p>
    <w:p w14:paraId="4714F34B" w14:textId="77777777" w:rsidR="00022546" w:rsidRPr="009E427C" w:rsidRDefault="00022546" w:rsidP="00190C0B">
      <w:pPr>
        <w:spacing w:after="0" w:line="360" w:lineRule="auto"/>
        <w:jc w:val="both"/>
        <w:rPr>
          <w:rFonts w:ascii="Book Antiqua" w:hAnsi="Book Antiqua" w:cs="Book Antiqua"/>
          <w:sz w:val="24"/>
          <w:szCs w:val="24"/>
        </w:rPr>
      </w:pPr>
    </w:p>
    <w:p w14:paraId="756E60DE" w14:textId="77777777" w:rsidR="00367D50" w:rsidRDefault="00367D50" w:rsidP="00190C0B">
      <w:pPr>
        <w:jc w:val="both"/>
        <w:rPr>
          <w:rFonts w:ascii="Book Antiqua" w:hAnsi="Book Antiqua"/>
          <w:b/>
          <w:sz w:val="24"/>
          <w:szCs w:val="24"/>
        </w:rPr>
      </w:pPr>
      <w:r>
        <w:rPr>
          <w:rFonts w:ascii="Book Antiqua" w:hAnsi="Book Antiqua"/>
          <w:b/>
          <w:sz w:val="24"/>
          <w:szCs w:val="24"/>
        </w:rPr>
        <w:br w:type="page"/>
      </w:r>
    </w:p>
    <w:p w14:paraId="1BFE92C5" w14:textId="36083F3A" w:rsidR="00E53C0F" w:rsidRPr="009E427C" w:rsidRDefault="00E53C0F" w:rsidP="00190C0B">
      <w:pPr>
        <w:spacing w:after="0" w:line="360" w:lineRule="auto"/>
        <w:jc w:val="both"/>
        <w:rPr>
          <w:rFonts w:ascii="Book Antiqua" w:hAnsi="Book Antiqua"/>
          <w:b/>
          <w:sz w:val="24"/>
          <w:szCs w:val="24"/>
        </w:rPr>
      </w:pPr>
      <w:r w:rsidRPr="009E427C">
        <w:rPr>
          <w:rFonts w:ascii="Book Antiqua" w:hAnsi="Book Antiqua"/>
          <w:b/>
          <w:sz w:val="24"/>
          <w:szCs w:val="24"/>
        </w:rPr>
        <w:lastRenderedPageBreak/>
        <w:t>Abstract</w:t>
      </w:r>
    </w:p>
    <w:p w14:paraId="311DA318" w14:textId="0C7CD888" w:rsidR="00E53C0F" w:rsidRPr="009E427C" w:rsidRDefault="00E53C0F" w:rsidP="00190C0B">
      <w:pPr>
        <w:spacing w:after="0" w:line="360" w:lineRule="auto"/>
        <w:jc w:val="both"/>
        <w:rPr>
          <w:rFonts w:ascii="Book Antiqua" w:hAnsi="Book Antiqua"/>
          <w:sz w:val="24"/>
          <w:szCs w:val="24"/>
          <w:lang w:eastAsia="zh-CN"/>
        </w:rPr>
      </w:pP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Prograf</w:t>
      </w:r>
      <w:proofErr w:type="spellEnd"/>
      <w:r w:rsidRPr="009E427C">
        <w:rPr>
          <w:rFonts w:ascii="Book Antiqua" w:hAnsi="Book Antiqua"/>
          <w:sz w:val="24"/>
          <w:szCs w:val="24"/>
          <w:vertAlign w:val="superscript"/>
        </w:rPr>
        <w:t>©</w:t>
      </w:r>
      <w:r w:rsidRPr="009E427C">
        <w:rPr>
          <w:rFonts w:ascii="Book Antiqua" w:hAnsi="Book Antiqua"/>
          <w:sz w:val="24"/>
          <w:szCs w:val="24"/>
        </w:rPr>
        <w:t xml:space="preserve">, </w:t>
      </w:r>
      <w:proofErr w:type="spellStart"/>
      <w:r w:rsidRPr="009E427C">
        <w:rPr>
          <w:rFonts w:ascii="Book Antiqua" w:hAnsi="Book Antiqua"/>
          <w:sz w:val="24"/>
          <w:szCs w:val="24"/>
        </w:rPr>
        <w:t>Astellas</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Pharma</w:t>
      </w:r>
      <w:proofErr w:type="spellEnd"/>
      <w:r w:rsidRPr="009E427C">
        <w:rPr>
          <w:rFonts w:ascii="Book Antiqua" w:hAnsi="Book Antiqua"/>
          <w:sz w:val="24"/>
          <w:szCs w:val="24"/>
        </w:rPr>
        <w:t xml:space="preserve"> Europe Ltd, </w:t>
      </w:r>
      <w:proofErr w:type="spellStart"/>
      <w:r w:rsidRPr="009E427C">
        <w:rPr>
          <w:rFonts w:ascii="Book Antiqua" w:hAnsi="Book Antiqua"/>
          <w:sz w:val="24"/>
          <w:szCs w:val="24"/>
        </w:rPr>
        <w:t>Staines</w:t>
      </w:r>
      <w:proofErr w:type="spellEnd"/>
      <w:r w:rsidRPr="009E427C">
        <w:rPr>
          <w:rFonts w:ascii="Book Antiqua" w:hAnsi="Book Antiqua"/>
          <w:sz w:val="24"/>
          <w:szCs w:val="24"/>
        </w:rPr>
        <w:t xml:space="preserve">, </w:t>
      </w:r>
      <w:r w:rsidR="005A5CD7" w:rsidRPr="005A5CD7">
        <w:rPr>
          <w:rFonts w:ascii="Book Antiqua" w:hAnsi="Book Antiqua"/>
          <w:sz w:val="24"/>
          <w:szCs w:val="24"/>
        </w:rPr>
        <w:t>United Kingdom</w:t>
      </w:r>
      <w:r w:rsidRPr="009E427C">
        <w:rPr>
          <w:rFonts w:ascii="Book Antiqua" w:hAnsi="Book Antiqua"/>
          <w:sz w:val="24"/>
          <w:szCs w:val="24"/>
        </w:rPr>
        <w:t xml:space="preserve">; referred to as tacrolimus-BID) is an immunosuppressive agent to prevent and treat allograft rejection in kidney transplant recipients in combination with </w:t>
      </w:r>
      <w:proofErr w:type="spellStart"/>
      <w:r w:rsidRPr="009E427C">
        <w:rPr>
          <w:rFonts w:ascii="Book Antiqua" w:hAnsi="Book Antiqua"/>
          <w:sz w:val="24"/>
          <w:szCs w:val="24"/>
        </w:rPr>
        <w:t>mycophenolate</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mofetil</w:t>
      </w:r>
      <w:proofErr w:type="spellEnd"/>
      <w:r w:rsidR="00A006DE" w:rsidRPr="009E427C">
        <w:rPr>
          <w:rFonts w:ascii="Book Antiqua" w:hAnsi="Book Antiqua"/>
          <w:sz w:val="24"/>
          <w:szCs w:val="24"/>
        </w:rPr>
        <w:t>,</w:t>
      </w:r>
      <w:r w:rsidRPr="009E427C">
        <w:rPr>
          <w:rFonts w:ascii="Book Antiqua" w:hAnsi="Book Antiqua"/>
          <w:sz w:val="24"/>
          <w:szCs w:val="24"/>
        </w:rPr>
        <w:t xml:space="preserve"> corticosteroids, with or without </w:t>
      </w:r>
      <w:proofErr w:type="spellStart"/>
      <w:r w:rsidRPr="009E427C">
        <w:rPr>
          <w:rFonts w:ascii="Book Antiqua" w:hAnsi="Book Antiqua"/>
          <w:sz w:val="24"/>
          <w:szCs w:val="24"/>
        </w:rPr>
        <w:t>basiliximab</w:t>
      </w:r>
      <w:proofErr w:type="spellEnd"/>
      <w:r w:rsidRPr="009E427C">
        <w:rPr>
          <w:rFonts w:ascii="Book Antiqua" w:hAnsi="Book Antiqua"/>
          <w:sz w:val="24"/>
          <w:szCs w:val="24"/>
        </w:rPr>
        <w:t xml:space="preserve"> induction. The drug has also been studied in liver, heart and lung transplant; however, these are currently off-label indications.</w:t>
      </w:r>
      <w:r w:rsidR="00074195">
        <w:rPr>
          <w:rFonts w:ascii="Book Antiqua" w:hAnsi="Book Antiqua"/>
          <w:sz w:val="24"/>
          <w:szCs w:val="24"/>
        </w:rPr>
        <w:t xml:space="preserve"> </w:t>
      </w:r>
      <w:r w:rsidRPr="009E427C">
        <w:rPr>
          <w:rFonts w:ascii="Book Antiqua" w:hAnsi="Book Antiqua"/>
          <w:sz w:val="24"/>
          <w:szCs w:val="24"/>
        </w:rPr>
        <w:t xml:space="preserve">An extended release </w:t>
      </w: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 formulation (</w:t>
      </w:r>
      <w:proofErr w:type="spellStart"/>
      <w:r w:rsidRPr="009E427C">
        <w:rPr>
          <w:rFonts w:ascii="Book Antiqua" w:hAnsi="Book Antiqua"/>
          <w:sz w:val="24"/>
          <w:szCs w:val="24"/>
        </w:rPr>
        <w:t>Advagraf</w:t>
      </w:r>
      <w:proofErr w:type="spellEnd"/>
      <w:r w:rsidRPr="009E427C">
        <w:rPr>
          <w:rFonts w:ascii="Book Antiqua" w:hAnsi="Book Antiqua"/>
          <w:sz w:val="24"/>
          <w:szCs w:val="24"/>
          <w:vertAlign w:val="superscript"/>
        </w:rPr>
        <w:t>©</w:t>
      </w:r>
      <w:r w:rsidRPr="009E427C">
        <w:rPr>
          <w:rFonts w:ascii="Book Antiqua" w:hAnsi="Book Antiqua"/>
          <w:sz w:val="24"/>
          <w:szCs w:val="24"/>
        </w:rPr>
        <w:t xml:space="preserve">, </w:t>
      </w:r>
      <w:proofErr w:type="spellStart"/>
      <w:r w:rsidRPr="009E427C">
        <w:rPr>
          <w:rFonts w:ascii="Book Antiqua" w:hAnsi="Book Antiqua"/>
          <w:sz w:val="24"/>
          <w:szCs w:val="24"/>
        </w:rPr>
        <w:t>Astagraf</w:t>
      </w:r>
      <w:proofErr w:type="spellEnd"/>
      <w:r w:rsidRPr="009E427C">
        <w:rPr>
          <w:rFonts w:ascii="Book Antiqua" w:hAnsi="Book Antiqua"/>
          <w:sz w:val="24"/>
          <w:szCs w:val="24"/>
        </w:rPr>
        <w:t xml:space="preserve"> XL</w:t>
      </w:r>
      <w:r w:rsidRPr="009E427C">
        <w:rPr>
          <w:rFonts w:ascii="Book Antiqua" w:hAnsi="Book Antiqua"/>
          <w:sz w:val="24"/>
          <w:szCs w:val="24"/>
          <w:vertAlign w:val="superscript"/>
        </w:rPr>
        <w:t>©</w:t>
      </w:r>
      <w:r w:rsidRPr="009E427C">
        <w:rPr>
          <w:rFonts w:ascii="Book Antiqua" w:hAnsi="Book Antiqua"/>
          <w:sz w:val="24"/>
          <w:szCs w:val="24"/>
        </w:rPr>
        <w:t xml:space="preserve">,) allows for once-daily dosing, with the potential to improve adherence. Extended release tacrolimus has similar absorption, distribution, metabolism and excretion to tacrolimus-BID. </w:t>
      </w:r>
      <w:proofErr w:type="gramStart"/>
      <w:r w:rsidRPr="009E427C">
        <w:rPr>
          <w:rFonts w:ascii="Book Antiqua" w:hAnsi="Book Antiqua"/>
          <w:sz w:val="24"/>
          <w:szCs w:val="24"/>
        </w:rPr>
        <w:t>Phase</w:t>
      </w:r>
      <w:proofErr w:type="gramEnd"/>
      <w:r w:rsidRPr="009E427C">
        <w:rPr>
          <w:rFonts w:ascii="Book Antiqua" w:hAnsi="Book Antiqua"/>
          <w:sz w:val="24"/>
          <w:szCs w:val="24"/>
        </w:rPr>
        <w:t xml:space="preserve"> I pharmacokinetic trials comparing extended release tacrolimus and tacrolimus-BID have demonstrated a decreased maximum concentration (</w:t>
      </w:r>
      <w:proofErr w:type="spellStart"/>
      <w:r w:rsidRPr="009E427C">
        <w:rPr>
          <w:rFonts w:ascii="Book Antiqua" w:hAnsi="Book Antiqua"/>
          <w:sz w:val="24"/>
          <w:szCs w:val="24"/>
        </w:rPr>
        <w:t>C</w:t>
      </w:r>
      <w:r w:rsidRPr="009E427C">
        <w:rPr>
          <w:rFonts w:ascii="Book Antiqua" w:hAnsi="Book Antiqua"/>
          <w:sz w:val="24"/>
          <w:szCs w:val="24"/>
          <w:vertAlign w:val="subscript"/>
        </w:rPr>
        <w:t>max</w:t>
      </w:r>
      <w:proofErr w:type="spellEnd"/>
      <w:r w:rsidRPr="009E427C">
        <w:rPr>
          <w:rFonts w:ascii="Book Antiqua" w:hAnsi="Book Antiqua"/>
          <w:sz w:val="24"/>
          <w:szCs w:val="24"/>
        </w:rPr>
        <w:t>) and delayed time to maximum concentration (</w:t>
      </w:r>
      <w:proofErr w:type="spellStart"/>
      <w:r w:rsidRPr="009E427C">
        <w:rPr>
          <w:rFonts w:ascii="Book Antiqua" w:hAnsi="Book Antiqua"/>
          <w:sz w:val="24"/>
          <w:szCs w:val="24"/>
        </w:rPr>
        <w:t>t</w:t>
      </w:r>
      <w:r w:rsidRPr="009E427C">
        <w:rPr>
          <w:rFonts w:ascii="Book Antiqua" w:hAnsi="Book Antiqua"/>
          <w:sz w:val="24"/>
          <w:szCs w:val="24"/>
          <w:vertAlign w:val="subscript"/>
        </w:rPr>
        <w:t>max</w:t>
      </w:r>
      <w:proofErr w:type="spellEnd"/>
      <w:r w:rsidRPr="009E427C">
        <w:rPr>
          <w:rFonts w:ascii="Book Antiqua" w:hAnsi="Book Antiqua"/>
          <w:sz w:val="24"/>
          <w:szCs w:val="24"/>
        </w:rPr>
        <w:t>) with the extended release formulation; however, AUC</w:t>
      </w:r>
      <w:r w:rsidRPr="009E427C">
        <w:rPr>
          <w:rFonts w:ascii="Book Antiqua" w:hAnsi="Book Antiqua"/>
          <w:sz w:val="24"/>
          <w:szCs w:val="24"/>
          <w:vertAlign w:val="subscript"/>
        </w:rPr>
        <w:t>0-24</w:t>
      </w:r>
      <w:r w:rsidRPr="009E427C">
        <w:rPr>
          <w:rFonts w:ascii="Book Antiqua" w:hAnsi="Book Antiqua"/>
          <w:sz w:val="24"/>
          <w:szCs w:val="24"/>
        </w:rPr>
        <w:t xml:space="preserve"> was comparable between formulations. Overall extended release tacrolimus has a very similar safety and efficacy profile to tacrolimus-BID. It is not recommended in the use of liver transplant patient’s due to the increased risk of mortality in female recipients. There has been minimal data regarding the use of extended release tacrolimus in heart and lung transplant recipients. With the current data available for all organ groups the extended release tacrolimus should be dosed in a 1:1 fashion, the exception may be the </w:t>
      </w:r>
      <w:r w:rsidR="00E024CD" w:rsidRPr="009E427C">
        <w:rPr>
          <w:rFonts w:ascii="Book Antiqua" w:hAnsi="Book Antiqua"/>
          <w:sz w:val="24"/>
          <w:szCs w:val="24"/>
        </w:rPr>
        <w:t>cystic fibrosis</w:t>
      </w:r>
      <w:r w:rsidRPr="009E427C">
        <w:rPr>
          <w:rFonts w:ascii="Book Antiqua" w:hAnsi="Book Antiqua"/>
          <w:sz w:val="24"/>
          <w:szCs w:val="24"/>
        </w:rPr>
        <w:t xml:space="preserve"> population where their initial dose may need to be higher. </w:t>
      </w:r>
    </w:p>
    <w:p w14:paraId="1B896DE1" w14:textId="77777777" w:rsidR="00AD2BA5" w:rsidRPr="009E427C" w:rsidRDefault="00AD2BA5" w:rsidP="00190C0B">
      <w:pPr>
        <w:spacing w:after="0" w:line="360" w:lineRule="auto"/>
        <w:jc w:val="both"/>
        <w:rPr>
          <w:rFonts w:ascii="Book Antiqua" w:hAnsi="Book Antiqua"/>
          <w:sz w:val="24"/>
          <w:szCs w:val="24"/>
          <w:lang w:eastAsia="zh-CN"/>
        </w:rPr>
      </w:pPr>
    </w:p>
    <w:p w14:paraId="59847DF2" w14:textId="1710891B" w:rsidR="00827979" w:rsidRDefault="00827979" w:rsidP="00190C0B">
      <w:pPr>
        <w:spacing w:after="0" w:line="360" w:lineRule="auto"/>
        <w:jc w:val="both"/>
        <w:rPr>
          <w:rFonts w:ascii="Book Antiqua" w:hAnsi="Book Antiqua"/>
          <w:sz w:val="24"/>
          <w:szCs w:val="24"/>
          <w:lang w:eastAsia="zh-CN"/>
        </w:rPr>
      </w:pPr>
      <w:r w:rsidRPr="009E427C">
        <w:rPr>
          <w:rFonts w:ascii="Book Antiqua" w:hAnsi="Book Antiqua"/>
          <w:b/>
          <w:sz w:val="24"/>
          <w:szCs w:val="24"/>
        </w:rPr>
        <w:t>Key</w:t>
      </w:r>
      <w:r w:rsidR="00B01390">
        <w:rPr>
          <w:rFonts w:ascii="Book Antiqua" w:hAnsi="Book Antiqua" w:hint="eastAsia"/>
          <w:b/>
          <w:sz w:val="24"/>
          <w:szCs w:val="24"/>
          <w:lang w:eastAsia="zh-CN"/>
        </w:rPr>
        <w:t xml:space="preserve"> </w:t>
      </w:r>
      <w:r w:rsidRPr="009E427C">
        <w:rPr>
          <w:rFonts w:ascii="Book Antiqua" w:hAnsi="Book Antiqua"/>
          <w:b/>
          <w:sz w:val="24"/>
          <w:szCs w:val="24"/>
        </w:rPr>
        <w:t>words</w:t>
      </w:r>
      <w:r w:rsidR="00146E16" w:rsidRPr="009E427C">
        <w:rPr>
          <w:rFonts w:ascii="Book Antiqua" w:hAnsi="Book Antiqua"/>
          <w:b/>
          <w:sz w:val="24"/>
          <w:szCs w:val="24"/>
        </w:rPr>
        <w:t>:</w:t>
      </w:r>
      <w:r w:rsidR="000713F8" w:rsidRPr="009E427C">
        <w:rPr>
          <w:rFonts w:ascii="Book Antiqua" w:hAnsi="Book Antiqua"/>
          <w:sz w:val="24"/>
          <w:szCs w:val="24"/>
        </w:rPr>
        <w:t xml:space="preserve"> </w:t>
      </w:r>
      <w:r w:rsidR="00146E16" w:rsidRPr="009E427C">
        <w:rPr>
          <w:rFonts w:ascii="Book Antiqua" w:hAnsi="Book Antiqua"/>
          <w:sz w:val="24"/>
          <w:szCs w:val="24"/>
        </w:rPr>
        <w:t>Tacrolimus</w:t>
      </w:r>
      <w:r w:rsidR="00B01390">
        <w:rPr>
          <w:rFonts w:ascii="Book Antiqua" w:hAnsi="Book Antiqua" w:hint="eastAsia"/>
          <w:sz w:val="24"/>
          <w:szCs w:val="24"/>
          <w:lang w:eastAsia="zh-CN"/>
        </w:rPr>
        <w:t>;</w:t>
      </w:r>
      <w:r w:rsidR="00146E16" w:rsidRPr="009E427C">
        <w:rPr>
          <w:rFonts w:ascii="Book Antiqua" w:hAnsi="Book Antiqua"/>
          <w:sz w:val="24"/>
          <w:szCs w:val="24"/>
        </w:rPr>
        <w:t xml:space="preserve"> </w:t>
      </w:r>
      <w:r w:rsidR="00B01390" w:rsidRPr="009E427C">
        <w:rPr>
          <w:rFonts w:ascii="Book Antiqua" w:hAnsi="Book Antiqua"/>
          <w:sz w:val="24"/>
          <w:szCs w:val="24"/>
        </w:rPr>
        <w:t>E</w:t>
      </w:r>
      <w:r w:rsidR="00146E16" w:rsidRPr="009E427C">
        <w:rPr>
          <w:rFonts w:ascii="Book Antiqua" w:hAnsi="Book Antiqua"/>
          <w:sz w:val="24"/>
          <w:szCs w:val="24"/>
        </w:rPr>
        <w:t>xtended release tacrolimus</w:t>
      </w:r>
      <w:r w:rsidR="00B01390">
        <w:rPr>
          <w:rFonts w:ascii="Book Antiqua" w:hAnsi="Book Antiqua" w:hint="eastAsia"/>
          <w:sz w:val="24"/>
          <w:szCs w:val="24"/>
          <w:lang w:eastAsia="zh-CN"/>
        </w:rPr>
        <w:t>;</w:t>
      </w:r>
      <w:r w:rsidR="00146E16" w:rsidRPr="009E427C">
        <w:rPr>
          <w:rFonts w:ascii="Book Antiqua" w:hAnsi="Book Antiqua"/>
          <w:sz w:val="24"/>
          <w:szCs w:val="24"/>
        </w:rPr>
        <w:t xml:space="preserve"> </w:t>
      </w:r>
      <w:r w:rsidR="00B01390" w:rsidRPr="009E427C">
        <w:rPr>
          <w:rFonts w:ascii="Book Antiqua" w:hAnsi="Book Antiqua"/>
          <w:sz w:val="24"/>
          <w:szCs w:val="24"/>
        </w:rPr>
        <w:t>S</w:t>
      </w:r>
      <w:r w:rsidR="00146E16" w:rsidRPr="009E427C">
        <w:rPr>
          <w:rFonts w:ascii="Book Antiqua" w:hAnsi="Book Antiqua"/>
          <w:sz w:val="24"/>
          <w:szCs w:val="24"/>
        </w:rPr>
        <w:t>olid-organ transplant</w:t>
      </w:r>
      <w:r w:rsidR="00B01390">
        <w:rPr>
          <w:rFonts w:ascii="Book Antiqua" w:hAnsi="Book Antiqua" w:hint="eastAsia"/>
          <w:sz w:val="24"/>
          <w:szCs w:val="24"/>
          <w:lang w:eastAsia="zh-CN"/>
        </w:rPr>
        <w:t>;</w:t>
      </w:r>
      <w:r w:rsidR="00146E16" w:rsidRPr="009E427C">
        <w:rPr>
          <w:rFonts w:ascii="Book Antiqua" w:hAnsi="Book Antiqua"/>
          <w:sz w:val="24"/>
          <w:szCs w:val="24"/>
        </w:rPr>
        <w:t xml:space="preserve"> </w:t>
      </w:r>
      <w:r w:rsidR="00B01390" w:rsidRPr="009E427C">
        <w:rPr>
          <w:rFonts w:ascii="Book Antiqua" w:hAnsi="Book Antiqua"/>
          <w:sz w:val="24"/>
          <w:szCs w:val="24"/>
        </w:rPr>
        <w:t>P</w:t>
      </w:r>
      <w:r w:rsidR="00146E16" w:rsidRPr="009E427C">
        <w:rPr>
          <w:rFonts w:ascii="Book Antiqua" w:hAnsi="Book Antiqua"/>
          <w:sz w:val="24"/>
          <w:szCs w:val="24"/>
        </w:rPr>
        <w:t>harmacokinetics</w:t>
      </w:r>
      <w:r w:rsidR="00B01390">
        <w:rPr>
          <w:rFonts w:ascii="Book Antiqua" w:hAnsi="Book Antiqua" w:hint="eastAsia"/>
          <w:sz w:val="24"/>
          <w:szCs w:val="24"/>
          <w:lang w:eastAsia="zh-CN"/>
        </w:rPr>
        <w:t>;</w:t>
      </w:r>
      <w:r w:rsidR="00146E16" w:rsidRPr="009E427C">
        <w:rPr>
          <w:rFonts w:ascii="Book Antiqua" w:hAnsi="Book Antiqua"/>
          <w:sz w:val="24"/>
          <w:szCs w:val="24"/>
        </w:rPr>
        <w:t xml:space="preserve"> </w:t>
      </w:r>
      <w:proofErr w:type="spellStart"/>
      <w:r w:rsidR="00B01390" w:rsidRPr="009E427C">
        <w:rPr>
          <w:rFonts w:ascii="Book Antiqua" w:hAnsi="Book Antiqua"/>
          <w:sz w:val="24"/>
          <w:szCs w:val="24"/>
        </w:rPr>
        <w:t>P</w:t>
      </w:r>
      <w:r w:rsidR="00146E16" w:rsidRPr="009E427C">
        <w:rPr>
          <w:rFonts w:ascii="Book Antiqua" w:hAnsi="Book Antiqua"/>
          <w:sz w:val="24"/>
          <w:szCs w:val="24"/>
        </w:rPr>
        <w:t>harmacoeconomics</w:t>
      </w:r>
      <w:proofErr w:type="spellEnd"/>
    </w:p>
    <w:p w14:paraId="2BBFE0FD" w14:textId="77777777" w:rsidR="00297611" w:rsidRDefault="00297611" w:rsidP="00190C0B">
      <w:pPr>
        <w:spacing w:after="0" w:line="360" w:lineRule="auto"/>
        <w:jc w:val="both"/>
        <w:rPr>
          <w:rFonts w:ascii="Book Antiqua" w:hAnsi="Book Antiqua"/>
          <w:sz w:val="24"/>
          <w:szCs w:val="24"/>
          <w:lang w:eastAsia="zh-CN"/>
        </w:rPr>
      </w:pPr>
    </w:p>
    <w:p w14:paraId="7B270E77" w14:textId="5F37BAC1" w:rsidR="00297611" w:rsidRPr="00297611" w:rsidRDefault="00297611" w:rsidP="00190C0B">
      <w:pPr>
        <w:spacing w:line="360" w:lineRule="auto"/>
        <w:jc w:val="both"/>
        <w:rPr>
          <w:rFonts w:ascii="Book Antiqua" w:hAnsi="Book Antiqua" w:cs="Arial"/>
          <w:sz w:val="24"/>
          <w:szCs w:val="24"/>
          <w:lang w:eastAsia="zh-CN"/>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sidR="00C35299">
        <w:rPr>
          <w:rFonts w:ascii="Book Antiqua" w:hAnsi="Book Antiqua" w:cs="Arial" w:hint="eastAsia"/>
          <w:b/>
          <w:sz w:val="24"/>
          <w:szCs w:val="24"/>
          <w:lang w:eastAsia="zh-CN"/>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w:t>
      </w:r>
      <w:proofErr w:type="gramStart"/>
      <w:r w:rsidRPr="00B01D72">
        <w:rPr>
          <w:rFonts w:ascii="Book Antiqua" w:hAnsi="Book Antiqua" w:cs="Arial"/>
          <w:sz w:val="24"/>
          <w:szCs w:val="24"/>
        </w:rPr>
        <w:t xml:space="preserve">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w:t>
      </w:r>
      <w:proofErr w:type="gramEnd"/>
      <w:r w:rsidRPr="00B01D72">
        <w:rPr>
          <w:rFonts w:ascii="Book Antiqua" w:hAnsi="Book Antiqua" w:cs="Arial"/>
          <w:sz w:val="24"/>
          <w:szCs w:val="24"/>
        </w:rPr>
        <w:t xml:space="preserve"> All rights reserved.</w:t>
      </w:r>
    </w:p>
    <w:p w14:paraId="0248FF1F" w14:textId="77777777" w:rsidR="00AD2BA5" w:rsidRPr="009E427C" w:rsidRDefault="00AD2BA5" w:rsidP="00190C0B">
      <w:pPr>
        <w:spacing w:after="0" w:line="360" w:lineRule="auto"/>
        <w:jc w:val="both"/>
        <w:rPr>
          <w:rFonts w:ascii="Book Antiqua" w:hAnsi="Book Antiqua"/>
          <w:sz w:val="24"/>
          <w:szCs w:val="24"/>
          <w:lang w:eastAsia="zh-CN"/>
        </w:rPr>
      </w:pPr>
    </w:p>
    <w:p w14:paraId="4AE09391" w14:textId="1D04571B" w:rsidR="00827979" w:rsidRDefault="00AD2BA5" w:rsidP="00190C0B">
      <w:pPr>
        <w:spacing w:after="0" w:line="360" w:lineRule="auto"/>
        <w:jc w:val="both"/>
        <w:rPr>
          <w:rFonts w:ascii="Book Antiqua" w:hAnsi="Book Antiqua"/>
          <w:sz w:val="24"/>
          <w:szCs w:val="24"/>
          <w:lang w:eastAsia="zh-CN"/>
        </w:rPr>
      </w:pPr>
      <w:r w:rsidRPr="009E427C">
        <w:rPr>
          <w:rFonts w:ascii="Book Antiqua" w:hAnsi="Book Antiqua"/>
          <w:b/>
          <w:sz w:val="24"/>
          <w:szCs w:val="24"/>
        </w:rPr>
        <w:t>Core tip:</w:t>
      </w:r>
      <w:r w:rsidR="00DB675A" w:rsidRPr="009E427C">
        <w:rPr>
          <w:rFonts w:ascii="Book Antiqua" w:hAnsi="Book Antiqua" w:hint="eastAsia"/>
          <w:sz w:val="24"/>
          <w:szCs w:val="24"/>
          <w:lang w:eastAsia="zh-CN"/>
        </w:rPr>
        <w:t xml:space="preserve"> </w:t>
      </w:r>
      <w:r w:rsidR="005A4F02" w:rsidRPr="009E427C">
        <w:rPr>
          <w:rFonts w:ascii="Book Antiqua" w:hAnsi="Book Antiqua"/>
          <w:sz w:val="24"/>
          <w:szCs w:val="24"/>
        </w:rPr>
        <w:t xml:space="preserve">Tacrolimus is an immunosuppressive agent to prevent and treat allograft rejection in solid organ transplant recipients. An extended release tacrolimus </w:t>
      </w:r>
      <w:r w:rsidR="005A4F02" w:rsidRPr="009E427C">
        <w:rPr>
          <w:rFonts w:ascii="Book Antiqua" w:hAnsi="Book Antiqua"/>
          <w:sz w:val="24"/>
          <w:szCs w:val="24"/>
        </w:rPr>
        <w:lastRenderedPageBreak/>
        <w:t xml:space="preserve">formulation known as </w:t>
      </w:r>
      <w:proofErr w:type="spellStart"/>
      <w:r w:rsidR="005A4F02" w:rsidRPr="009E427C">
        <w:rPr>
          <w:rFonts w:ascii="Book Antiqua" w:hAnsi="Book Antiqua"/>
          <w:sz w:val="24"/>
          <w:szCs w:val="24"/>
        </w:rPr>
        <w:t>Astagraf</w:t>
      </w:r>
      <w:proofErr w:type="spellEnd"/>
      <w:r w:rsidR="005A4F02" w:rsidRPr="009E427C">
        <w:rPr>
          <w:rFonts w:ascii="Book Antiqua" w:hAnsi="Book Antiqua"/>
          <w:sz w:val="24"/>
          <w:szCs w:val="24"/>
        </w:rPr>
        <w:t xml:space="preserve"> XL is now available which allows for once-daily dosing, with the potential to improve adherence. Both tacrolimus formulations have demonstrated comparable steady-state systemic tacrolimus exposure in </w:t>
      </w:r>
      <w:r w:rsidR="005A4F02" w:rsidRPr="009E427C">
        <w:rPr>
          <w:rFonts w:ascii="Book Antiqua" w:hAnsi="Book Antiqua"/>
          <w:i/>
          <w:sz w:val="24"/>
          <w:szCs w:val="24"/>
        </w:rPr>
        <w:t>de novo</w:t>
      </w:r>
      <w:r w:rsidR="005A4F02" w:rsidRPr="009E427C">
        <w:rPr>
          <w:rFonts w:ascii="Book Antiqua" w:hAnsi="Book Antiqua"/>
          <w:sz w:val="24"/>
          <w:szCs w:val="24"/>
        </w:rPr>
        <w:t xml:space="preserve"> kidney and liver transplant recipients. The following review will address the pharmacokinetics of extended release tacrolimus, the data in solid-organ transplantation and the </w:t>
      </w:r>
      <w:proofErr w:type="spellStart"/>
      <w:r w:rsidR="005A4F02" w:rsidRPr="009E427C">
        <w:rPr>
          <w:rFonts w:ascii="Book Antiqua" w:hAnsi="Book Antiqua"/>
          <w:sz w:val="24"/>
          <w:szCs w:val="24"/>
        </w:rPr>
        <w:t>phamacoeconomic</w:t>
      </w:r>
      <w:proofErr w:type="spellEnd"/>
      <w:r w:rsidR="005A4F02" w:rsidRPr="009E427C">
        <w:rPr>
          <w:rFonts w:ascii="Book Antiqua" w:hAnsi="Book Antiqua"/>
          <w:sz w:val="24"/>
          <w:szCs w:val="24"/>
        </w:rPr>
        <w:t xml:space="preserve"> considerations of extended release tacrolimus compared to twice daily tacrolimus. </w:t>
      </w:r>
    </w:p>
    <w:p w14:paraId="4A8E6F1E" w14:textId="77777777" w:rsidR="004A0247" w:rsidRDefault="004A0247" w:rsidP="00190C0B">
      <w:pPr>
        <w:spacing w:after="0" w:line="360" w:lineRule="auto"/>
        <w:jc w:val="both"/>
        <w:rPr>
          <w:rFonts w:ascii="Book Antiqua" w:hAnsi="Book Antiqua"/>
          <w:sz w:val="24"/>
          <w:szCs w:val="24"/>
          <w:lang w:eastAsia="zh-CN"/>
        </w:rPr>
      </w:pPr>
    </w:p>
    <w:p w14:paraId="60956F49" w14:textId="5E88C571" w:rsidR="0083596B" w:rsidRPr="0083596B" w:rsidRDefault="0083596B" w:rsidP="00190C0B">
      <w:pPr>
        <w:spacing w:after="0" w:line="360" w:lineRule="auto"/>
        <w:jc w:val="both"/>
        <w:rPr>
          <w:rFonts w:ascii="Book Antiqua" w:hAnsi="Book Antiqua"/>
          <w:sz w:val="24"/>
          <w:szCs w:val="24"/>
          <w:lang w:eastAsia="zh-CN"/>
        </w:rPr>
      </w:pPr>
      <w:r w:rsidRPr="0083596B">
        <w:rPr>
          <w:rFonts w:ascii="Book Antiqua" w:hAnsi="Book Antiqua"/>
          <w:sz w:val="24"/>
          <w:szCs w:val="24"/>
        </w:rPr>
        <w:t>Patel</w:t>
      </w:r>
      <w:r>
        <w:rPr>
          <w:rFonts w:ascii="Book Antiqua" w:hAnsi="Book Antiqua" w:hint="eastAsia"/>
          <w:sz w:val="24"/>
          <w:szCs w:val="24"/>
          <w:lang w:eastAsia="zh-CN"/>
        </w:rPr>
        <w:t xml:space="preserve"> N</w:t>
      </w:r>
      <w:r w:rsidRPr="0083596B">
        <w:rPr>
          <w:rFonts w:ascii="Book Antiqua" w:hAnsi="Book Antiqua"/>
          <w:sz w:val="24"/>
          <w:szCs w:val="24"/>
        </w:rPr>
        <w:t>, Cook</w:t>
      </w:r>
      <w:r>
        <w:rPr>
          <w:rFonts w:ascii="Book Antiqua" w:hAnsi="Book Antiqua" w:hint="eastAsia"/>
          <w:sz w:val="24"/>
          <w:szCs w:val="24"/>
          <w:lang w:eastAsia="zh-CN"/>
        </w:rPr>
        <w:t xml:space="preserve"> </w:t>
      </w:r>
      <w:proofErr w:type="gramStart"/>
      <w:r>
        <w:rPr>
          <w:rFonts w:ascii="Book Antiqua" w:hAnsi="Book Antiqua" w:hint="eastAsia"/>
          <w:sz w:val="24"/>
          <w:szCs w:val="24"/>
          <w:lang w:eastAsia="zh-CN"/>
        </w:rPr>
        <w:t>A</w:t>
      </w:r>
      <w:proofErr w:type="gramEnd"/>
      <w:r w:rsidRPr="0083596B">
        <w:rPr>
          <w:rFonts w:ascii="Book Antiqua" w:hAnsi="Book Antiqua"/>
          <w:sz w:val="24"/>
          <w:szCs w:val="24"/>
        </w:rPr>
        <w:t xml:space="preserve">, </w:t>
      </w:r>
      <w:proofErr w:type="spellStart"/>
      <w:r w:rsidRPr="0083596B">
        <w:rPr>
          <w:rFonts w:ascii="Book Antiqua" w:hAnsi="Book Antiqua"/>
          <w:sz w:val="24"/>
          <w:szCs w:val="24"/>
        </w:rPr>
        <w:t>Greenhalgh</w:t>
      </w:r>
      <w:proofErr w:type="spellEnd"/>
      <w:r>
        <w:rPr>
          <w:rFonts w:ascii="Book Antiqua" w:hAnsi="Book Antiqua" w:hint="eastAsia"/>
          <w:sz w:val="24"/>
          <w:szCs w:val="24"/>
          <w:lang w:eastAsia="zh-CN"/>
        </w:rPr>
        <w:t xml:space="preserve"> E</w:t>
      </w:r>
      <w:r w:rsidRPr="0083596B">
        <w:rPr>
          <w:rFonts w:ascii="Book Antiqua" w:hAnsi="Book Antiqua"/>
          <w:sz w:val="24"/>
          <w:szCs w:val="24"/>
        </w:rPr>
        <w:t xml:space="preserve">, </w:t>
      </w:r>
      <w:proofErr w:type="spellStart"/>
      <w:r w:rsidRPr="0083596B">
        <w:rPr>
          <w:rFonts w:ascii="Book Antiqua" w:hAnsi="Book Antiqua"/>
          <w:sz w:val="24"/>
          <w:szCs w:val="24"/>
        </w:rPr>
        <w:t>Rech</w:t>
      </w:r>
      <w:proofErr w:type="spellEnd"/>
      <w:r>
        <w:rPr>
          <w:rFonts w:ascii="Book Antiqua" w:hAnsi="Book Antiqua" w:hint="eastAsia"/>
          <w:sz w:val="24"/>
          <w:szCs w:val="24"/>
          <w:lang w:eastAsia="zh-CN"/>
        </w:rPr>
        <w:t xml:space="preserve"> M</w:t>
      </w:r>
      <w:r w:rsidRPr="0083596B">
        <w:rPr>
          <w:rFonts w:ascii="Book Antiqua" w:hAnsi="Book Antiqua"/>
          <w:sz w:val="24"/>
          <w:szCs w:val="24"/>
        </w:rPr>
        <w:t xml:space="preserve">, </w:t>
      </w:r>
      <w:proofErr w:type="spellStart"/>
      <w:r w:rsidRPr="0083596B">
        <w:rPr>
          <w:rFonts w:ascii="Book Antiqua" w:hAnsi="Book Antiqua"/>
          <w:sz w:val="24"/>
          <w:szCs w:val="24"/>
        </w:rPr>
        <w:t>Rusinak</w:t>
      </w:r>
      <w:proofErr w:type="spellEnd"/>
      <w:r>
        <w:rPr>
          <w:rFonts w:ascii="Book Antiqua" w:hAnsi="Book Antiqua" w:hint="eastAsia"/>
          <w:sz w:val="24"/>
          <w:szCs w:val="24"/>
          <w:lang w:eastAsia="zh-CN"/>
        </w:rPr>
        <w:t xml:space="preserve"> J</w:t>
      </w:r>
      <w:r w:rsidRPr="0083596B">
        <w:rPr>
          <w:rFonts w:ascii="Book Antiqua" w:hAnsi="Book Antiqua"/>
          <w:sz w:val="24"/>
          <w:szCs w:val="24"/>
        </w:rPr>
        <w:t>, Heinrich</w:t>
      </w:r>
      <w:r>
        <w:rPr>
          <w:rFonts w:ascii="Book Antiqua" w:hAnsi="Book Antiqua" w:hint="eastAsia"/>
          <w:sz w:val="24"/>
          <w:szCs w:val="24"/>
          <w:lang w:eastAsia="zh-CN"/>
        </w:rPr>
        <w:t xml:space="preserve"> L. </w:t>
      </w:r>
      <w:r w:rsidR="00842E14" w:rsidRPr="0083596B">
        <w:rPr>
          <w:rFonts w:ascii="Book Antiqua" w:hAnsi="Book Antiqua"/>
          <w:sz w:val="24"/>
          <w:szCs w:val="24"/>
        </w:rPr>
        <w:t>O</w:t>
      </w:r>
      <w:r w:rsidRPr="0083596B">
        <w:rPr>
          <w:rFonts w:ascii="Book Antiqua" w:hAnsi="Book Antiqua"/>
          <w:sz w:val="24"/>
          <w:szCs w:val="24"/>
        </w:rPr>
        <w:t>verview of extended release tacrolimus in solid organ transplantation</w:t>
      </w:r>
      <w:r w:rsidR="00E770B0">
        <w:rPr>
          <w:rFonts w:ascii="Book Antiqua" w:hAnsi="Book Antiqua" w:hint="eastAsia"/>
          <w:sz w:val="24"/>
          <w:szCs w:val="24"/>
          <w:lang w:eastAsia="zh-CN"/>
        </w:rPr>
        <w:t>.</w:t>
      </w:r>
      <w:r w:rsidR="00244AFE" w:rsidRPr="00244AFE">
        <w:rPr>
          <w:rFonts w:ascii="Book Antiqua" w:hAnsi="Book Antiqua"/>
          <w:i/>
          <w:iCs/>
          <w:sz w:val="24"/>
          <w:szCs w:val="24"/>
        </w:rPr>
        <w:t xml:space="preserve"> </w:t>
      </w:r>
      <w:r w:rsidR="00244AFE" w:rsidRPr="00125820">
        <w:rPr>
          <w:rFonts w:ascii="Book Antiqua" w:hAnsi="Book Antiqua"/>
          <w:i/>
          <w:iCs/>
          <w:sz w:val="24"/>
          <w:szCs w:val="24"/>
        </w:rPr>
        <w:t>World J Transplant</w:t>
      </w:r>
      <w:r w:rsidR="00244AFE">
        <w:rPr>
          <w:rFonts w:ascii="Book Antiqua" w:hAnsi="Book Antiqua" w:hint="eastAsia"/>
          <w:iCs/>
          <w:sz w:val="24"/>
          <w:szCs w:val="24"/>
        </w:rPr>
        <w:t xml:space="preserve"> 201</w:t>
      </w:r>
      <w:r w:rsidR="00C35299">
        <w:rPr>
          <w:rFonts w:ascii="Book Antiqua" w:hAnsi="Book Antiqua" w:hint="eastAsia"/>
          <w:iCs/>
          <w:sz w:val="24"/>
          <w:szCs w:val="24"/>
          <w:lang w:eastAsia="zh-CN"/>
        </w:rPr>
        <w:t>6</w:t>
      </w:r>
      <w:bookmarkStart w:id="13" w:name="_GoBack"/>
      <w:bookmarkEnd w:id="13"/>
      <w:r w:rsidR="00244AFE">
        <w:rPr>
          <w:rFonts w:ascii="Book Antiqua" w:hAnsi="Book Antiqua" w:hint="eastAsia"/>
          <w:iCs/>
          <w:sz w:val="24"/>
          <w:szCs w:val="24"/>
        </w:rPr>
        <w:t>; In press</w:t>
      </w:r>
    </w:p>
    <w:p w14:paraId="5549A73E" w14:textId="77777777" w:rsidR="004A0247" w:rsidRPr="0083596B" w:rsidRDefault="004A0247" w:rsidP="00190C0B">
      <w:pPr>
        <w:spacing w:after="0" w:line="360" w:lineRule="auto"/>
        <w:jc w:val="both"/>
        <w:rPr>
          <w:rFonts w:ascii="Book Antiqua" w:hAnsi="Book Antiqua"/>
          <w:sz w:val="24"/>
          <w:szCs w:val="24"/>
          <w:lang w:eastAsia="zh-CN"/>
        </w:rPr>
      </w:pPr>
    </w:p>
    <w:p w14:paraId="7B15C182" w14:textId="77777777" w:rsidR="001269BA" w:rsidRDefault="001269BA" w:rsidP="00190C0B">
      <w:pPr>
        <w:jc w:val="both"/>
        <w:rPr>
          <w:rFonts w:ascii="Book Antiqua" w:hAnsi="Book Antiqua"/>
          <w:b/>
          <w:sz w:val="24"/>
          <w:szCs w:val="24"/>
        </w:rPr>
      </w:pPr>
      <w:r>
        <w:rPr>
          <w:rFonts w:ascii="Book Antiqua" w:hAnsi="Book Antiqua"/>
          <w:b/>
          <w:sz w:val="24"/>
          <w:szCs w:val="24"/>
        </w:rPr>
        <w:br w:type="page"/>
      </w:r>
    </w:p>
    <w:p w14:paraId="1299FAB4" w14:textId="62EB61DA" w:rsidR="007E22F4" w:rsidRPr="009E427C" w:rsidRDefault="000713F8" w:rsidP="00190C0B">
      <w:pPr>
        <w:spacing w:after="0" w:line="360" w:lineRule="auto"/>
        <w:jc w:val="both"/>
        <w:rPr>
          <w:rFonts w:ascii="Book Antiqua" w:hAnsi="Book Antiqua"/>
          <w:b/>
          <w:sz w:val="24"/>
          <w:szCs w:val="24"/>
        </w:rPr>
      </w:pPr>
      <w:r w:rsidRPr="009E427C">
        <w:rPr>
          <w:rFonts w:ascii="Book Antiqua" w:hAnsi="Book Antiqua"/>
          <w:b/>
          <w:sz w:val="24"/>
          <w:szCs w:val="24"/>
        </w:rPr>
        <w:lastRenderedPageBreak/>
        <w:t>INTRODUCTION</w:t>
      </w:r>
    </w:p>
    <w:p w14:paraId="38337F64" w14:textId="7BDAF653" w:rsidR="00A96939" w:rsidRPr="009E427C" w:rsidRDefault="007E22F4" w:rsidP="00190C0B">
      <w:pPr>
        <w:spacing w:after="0" w:line="360" w:lineRule="auto"/>
        <w:jc w:val="both"/>
        <w:rPr>
          <w:rFonts w:ascii="Book Antiqua" w:hAnsi="Book Antiqua"/>
          <w:sz w:val="24"/>
          <w:szCs w:val="24"/>
          <w:lang w:eastAsia="zh-CN"/>
        </w:rPr>
      </w:pP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Prograf</w:t>
      </w:r>
      <w:proofErr w:type="spellEnd"/>
      <w:r w:rsidR="00731243" w:rsidRPr="009E427C">
        <w:rPr>
          <w:rFonts w:ascii="Book Antiqua" w:hAnsi="Book Antiqua"/>
          <w:sz w:val="24"/>
          <w:szCs w:val="24"/>
          <w:vertAlign w:val="superscript"/>
        </w:rPr>
        <w:t>©</w:t>
      </w:r>
      <w:r w:rsidRPr="009E427C">
        <w:rPr>
          <w:rFonts w:ascii="Book Antiqua" w:hAnsi="Book Antiqua"/>
          <w:sz w:val="24"/>
          <w:szCs w:val="24"/>
        </w:rPr>
        <w:t xml:space="preserve">, </w:t>
      </w:r>
      <w:proofErr w:type="spellStart"/>
      <w:r w:rsidRPr="009E427C">
        <w:rPr>
          <w:rFonts w:ascii="Book Antiqua" w:hAnsi="Book Antiqua"/>
          <w:sz w:val="24"/>
          <w:szCs w:val="24"/>
        </w:rPr>
        <w:t>Astellas</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Pharma</w:t>
      </w:r>
      <w:proofErr w:type="spellEnd"/>
      <w:r w:rsidRPr="009E427C">
        <w:rPr>
          <w:rFonts w:ascii="Book Antiqua" w:hAnsi="Book Antiqua"/>
          <w:sz w:val="24"/>
          <w:szCs w:val="24"/>
        </w:rPr>
        <w:t xml:space="preserve"> Europe Ltd, </w:t>
      </w:r>
      <w:proofErr w:type="spellStart"/>
      <w:r w:rsidRPr="009E427C">
        <w:rPr>
          <w:rFonts w:ascii="Book Antiqua" w:hAnsi="Book Antiqua"/>
          <w:sz w:val="24"/>
          <w:szCs w:val="24"/>
        </w:rPr>
        <w:t>Staines</w:t>
      </w:r>
      <w:proofErr w:type="spellEnd"/>
      <w:r w:rsidRPr="009E427C">
        <w:rPr>
          <w:rFonts w:ascii="Book Antiqua" w:hAnsi="Book Antiqua"/>
          <w:sz w:val="24"/>
          <w:szCs w:val="24"/>
        </w:rPr>
        <w:t xml:space="preserve">, </w:t>
      </w:r>
      <w:r w:rsidR="00A625C9" w:rsidRPr="005A5CD7">
        <w:rPr>
          <w:rFonts w:ascii="Book Antiqua" w:hAnsi="Book Antiqua"/>
          <w:sz w:val="24"/>
          <w:szCs w:val="24"/>
        </w:rPr>
        <w:t>United Kingdom</w:t>
      </w:r>
      <w:r w:rsidRPr="009E427C">
        <w:rPr>
          <w:rFonts w:ascii="Book Antiqua" w:hAnsi="Book Antiqua"/>
          <w:sz w:val="24"/>
          <w:szCs w:val="24"/>
        </w:rPr>
        <w:t xml:space="preserve">; referred to as tacrolimus-BID) is an immunosuppressive agent to prevent and treat allograft rejection in </w:t>
      </w:r>
      <w:r w:rsidR="00A006DE" w:rsidRPr="009E427C">
        <w:rPr>
          <w:rFonts w:ascii="Book Antiqua" w:hAnsi="Book Antiqua"/>
          <w:sz w:val="24"/>
          <w:szCs w:val="24"/>
        </w:rPr>
        <w:t>solid organ</w:t>
      </w:r>
      <w:r w:rsidRPr="009E427C">
        <w:rPr>
          <w:rFonts w:ascii="Book Antiqua" w:hAnsi="Book Antiqua"/>
          <w:sz w:val="24"/>
          <w:szCs w:val="24"/>
        </w:rPr>
        <w:t xml:space="preserve"> transplant</w:t>
      </w:r>
      <w:r w:rsidR="00AD0DEC" w:rsidRPr="009E427C">
        <w:rPr>
          <w:rFonts w:ascii="Book Antiqua" w:hAnsi="Book Antiqua"/>
          <w:sz w:val="24"/>
          <w:szCs w:val="24"/>
        </w:rPr>
        <w:t xml:space="preserve"> recipients in combination with </w:t>
      </w:r>
      <w:proofErr w:type="spellStart"/>
      <w:r w:rsidR="00AD0DEC" w:rsidRPr="009E427C">
        <w:rPr>
          <w:rFonts w:ascii="Book Antiqua" w:hAnsi="Book Antiqua"/>
          <w:sz w:val="24"/>
          <w:szCs w:val="24"/>
        </w:rPr>
        <w:t>mycophenolate</w:t>
      </w:r>
      <w:proofErr w:type="spellEnd"/>
      <w:r w:rsidR="00AD0DEC" w:rsidRPr="009E427C">
        <w:rPr>
          <w:rFonts w:ascii="Book Antiqua" w:hAnsi="Book Antiqua"/>
          <w:sz w:val="24"/>
          <w:szCs w:val="24"/>
        </w:rPr>
        <w:t xml:space="preserve"> </w:t>
      </w:r>
      <w:proofErr w:type="spellStart"/>
      <w:r w:rsidR="00AD0DEC" w:rsidRPr="009E427C">
        <w:rPr>
          <w:rFonts w:ascii="Book Antiqua" w:hAnsi="Book Antiqua"/>
          <w:sz w:val="24"/>
          <w:szCs w:val="24"/>
        </w:rPr>
        <w:t>mofetil</w:t>
      </w:r>
      <w:proofErr w:type="spellEnd"/>
      <w:r w:rsidR="00AD0DEC" w:rsidRPr="009E427C">
        <w:rPr>
          <w:rFonts w:ascii="Book Antiqua" w:hAnsi="Book Antiqua"/>
          <w:sz w:val="24"/>
          <w:szCs w:val="24"/>
        </w:rPr>
        <w:t xml:space="preserve"> (MMF), corticosteroids, with or without </w:t>
      </w:r>
      <w:proofErr w:type="spellStart"/>
      <w:r w:rsidR="00AD0DEC" w:rsidRPr="009E427C">
        <w:rPr>
          <w:rFonts w:ascii="Book Antiqua" w:hAnsi="Book Antiqua"/>
          <w:sz w:val="24"/>
          <w:szCs w:val="24"/>
        </w:rPr>
        <w:t>basiliximab</w:t>
      </w:r>
      <w:proofErr w:type="spellEnd"/>
      <w:r w:rsidR="00AD0DEC" w:rsidRPr="009E427C">
        <w:rPr>
          <w:rFonts w:ascii="Book Antiqua" w:hAnsi="Book Antiqua"/>
          <w:sz w:val="24"/>
          <w:szCs w:val="24"/>
        </w:rPr>
        <w:t xml:space="preserve"> induction. </w:t>
      </w:r>
      <w:r w:rsidR="00A006DE" w:rsidRPr="009E427C">
        <w:rPr>
          <w:rFonts w:ascii="Book Antiqua" w:hAnsi="Book Antiqua"/>
          <w:sz w:val="24"/>
          <w:szCs w:val="24"/>
        </w:rPr>
        <w:t xml:space="preserve">The drug is currently only FDA approved for kidney transplant recipients. </w:t>
      </w:r>
      <w:r w:rsidR="00AD0DEC" w:rsidRPr="009E427C">
        <w:rPr>
          <w:rFonts w:ascii="Book Antiqua" w:hAnsi="Book Antiqua"/>
          <w:sz w:val="24"/>
          <w:szCs w:val="24"/>
        </w:rPr>
        <w:t>The drug has also been studied in liver, heart and lung transplant; however, these are currently off-label indications.</w:t>
      </w:r>
      <w:r w:rsidR="00074195">
        <w:rPr>
          <w:rFonts w:ascii="Book Antiqua" w:hAnsi="Book Antiqua"/>
          <w:sz w:val="24"/>
          <w:szCs w:val="24"/>
        </w:rPr>
        <w:t xml:space="preserve"> </w:t>
      </w:r>
      <w:r w:rsidRPr="009E427C">
        <w:rPr>
          <w:rFonts w:ascii="Book Antiqua" w:hAnsi="Book Antiqua"/>
          <w:sz w:val="24"/>
          <w:szCs w:val="24"/>
        </w:rPr>
        <w:t xml:space="preserve">An extended release </w:t>
      </w: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 formulation (</w:t>
      </w:r>
      <w:proofErr w:type="spellStart"/>
      <w:r w:rsidRPr="009E427C">
        <w:rPr>
          <w:rFonts w:ascii="Book Antiqua" w:hAnsi="Book Antiqua"/>
          <w:sz w:val="24"/>
          <w:szCs w:val="24"/>
        </w:rPr>
        <w:t>Advagraf</w:t>
      </w:r>
      <w:proofErr w:type="spellEnd"/>
      <w:r w:rsidR="00731243" w:rsidRPr="009E427C">
        <w:rPr>
          <w:rFonts w:ascii="Book Antiqua" w:hAnsi="Book Antiqua"/>
          <w:sz w:val="24"/>
          <w:szCs w:val="24"/>
          <w:vertAlign w:val="superscript"/>
        </w:rPr>
        <w:t>©</w:t>
      </w:r>
      <w:r w:rsidRPr="009E427C">
        <w:rPr>
          <w:rFonts w:ascii="Book Antiqua" w:hAnsi="Book Antiqua"/>
          <w:sz w:val="24"/>
          <w:szCs w:val="24"/>
        </w:rPr>
        <w:t xml:space="preserve">, </w:t>
      </w:r>
      <w:proofErr w:type="spellStart"/>
      <w:r w:rsidRPr="009E427C">
        <w:rPr>
          <w:rFonts w:ascii="Book Antiqua" w:hAnsi="Book Antiqua"/>
          <w:sz w:val="24"/>
          <w:szCs w:val="24"/>
        </w:rPr>
        <w:t>Astagraf</w:t>
      </w:r>
      <w:proofErr w:type="spellEnd"/>
      <w:r w:rsidRPr="009E427C">
        <w:rPr>
          <w:rFonts w:ascii="Book Antiqua" w:hAnsi="Book Antiqua"/>
          <w:sz w:val="24"/>
          <w:szCs w:val="24"/>
        </w:rPr>
        <w:t xml:space="preserve"> XL</w:t>
      </w:r>
      <w:r w:rsidR="00731243" w:rsidRPr="009E427C">
        <w:rPr>
          <w:rFonts w:ascii="Book Antiqua" w:hAnsi="Book Antiqua"/>
          <w:sz w:val="24"/>
          <w:szCs w:val="24"/>
          <w:vertAlign w:val="superscript"/>
        </w:rPr>
        <w:t>©</w:t>
      </w:r>
      <w:r w:rsidRPr="009E427C">
        <w:rPr>
          <w:rFonts w:ascii="Book Antiqua" w:hAnsi="Book Antiqua"/>
          <w:sz w:val="24"/>
          <w:szCs w:val="24"/>
        </w:rPr>
        <w:t xml:space="preserve">) allows for once-daily dosing, with the potential to improve adherence. Non-adherence with dosing has been a significant factor related to graft rejection and graft loss. </w:t>
      </w:r>
      <w:r w:rsidR="00A96939" w:rsidRPr="009E427C">
        <w:rPr>
          <w:rFonts w:ascii="Book Antiqua" w:hAnsi="Book Antiqua"/>
          <w:sz w:val="24"/>
          <w:szCs w:val="24"/>
        </w:rPr>
        <w:t xml:space="preserve">Most patients receive </w:t>
      </w:r>
      <w:proofErr w:type="spellStart"/>
      <w:r w:rsidR="00A96939" w:rsidRPr="009E427C">
        <w:rPr>
          <w:rFonts w:ascii="Book Antiqua" w:hAnsi="Book Antiqua"/>
          <w:sz w:val="24"/>
          <w:szCs w:val="24"/>
        </w:rPr>
        <w:t>immunosuppressants</w:t>
      </w:r>
      <w:proofErr w:type="spellEnd"/>
      <w:r w:rsidR="00A96939" w:rsidRPr="009E427C">
        <w:rPr>
          <w:rFonts w:ascii="Book Antiqua" w:hAnsi="Book Antiqua"/>
          <w:sz w:val="24"/>
          <w:szCs w:val="24"/>
        </w:rPr>
        <w:t xml:space="preserve"> that require multiple doses a day. Patient compliance </w:t>
      </w:r>
      <w:r w:rsidR="006E4383" w:rsidRPr="009E427C">
        <w:rPr>
          <w:rFonts w:ascii="Book Antiqua" w:hAnsi="Book Antiqua"/>
          <w:sz w:val="24"/>
          <w:szCs w:val="24"/>
        </w:rPr>
        <w:t>ha</w:t>
      </w:r>
      <w:r w:rsidR="000C7F4C" w:rsidRPr="009E427C">
        <w:rPr>
          <w:rFonts w:ascii="Book Antiqua" w:hAnsi="Book Antiqua"/>
          <w:sz w:val="24"/>
          <w:szCs w:val="24"/>
        </w:rPr>
        <w:t>s</w:t>
      </w:r>
      <w:r w:rsidR="006E4383" w:rsidRPr="009E427C">
        <w:rPr>
          <w:rFonts w:ascii="Book Antiqua" w:hAnsi="Book Antiqua"/>
          <w:sz w:val="24"/>
          <w:szCs w:val="24"/>
        </w:rPr>
        <w:t xml:space="preserve"> been shown to be </w:t>
      </w:r>
      <w:r w:rsidR="00A96939" w:rsidRPr="009E427C">
        <w:rPr>
          <w:rFonts w:ascii="Book Antiqua" w:hAnsi="Book Antiqua"/>
          <w:sz w:val="24"/>
          <w:szCs w:val="24"/>
        </w:rPr>
        <w:t>correlated with the number of prescribed medications taken daily</w:t>
      </w:r>
      <w:r w:rsidR="00974061" w:rsidRPr="009E427C">
        <w:rPr>
          <w:rFonts w:ascii="Book Antiqua" w:hAnsi="Book Antiqua"/>
          <w:sz w:val="24"/>
          <w:szCs w:val="24"/>
        </w:rPr>
        <w:t>;</w:t>
      </w:r>
      <w:r w:rsidR="00A96939" w:rsidRPr="009E427C">
        <w:rPr>
          <w:rFonts w:ascii="Book Antiqua" w:hAnsi="Book Antiqua"/>
          <w:sz w:val="24"/>
          <w:szCs w:val="24"/>
        </w:rPr>
        <w:t xml:space="preserve"> therefore</w:t>
      </w:r>
      <w:r w:rsidR="00974061" w:rsidRPr="009E427C">
        <w:rPr>
          <w:rFonts w:ascii="Book Antiqua" w:hAnsi="Book Antiqua"/>
          <w:sz w:val="24"/>
          <w:szCs w:val="24"/>
        </w:rPr>
        <w:t>,</w:t>
      </w:r>
      <w:r w:rsidR="00A96939" w:rsidRPr="009E427C">
        <w:rPr>
          <w:rFonts w:ascii="Book Antiqua" w:hAnsi="Book Antiqua"/>
          <w:sz w:val="24"/>
          <w:szCs w:val="24"/>
        </w:rPr>
        <w:t xml:space="preserve"> it is benefic</w:t>
      </w:r>
      <w:r w:rsidR="00024057" w:rsidRPr="009E427C">
        <w:rPr>
          <w:rFonts w:ascii="Book Antiqua" w:hAnsi="Book Antiqua"/>
          <w:sz w:val="24"/>
          <w:szCs w:val="24"/>
        </w:rPr>
        <w:t>ial to simpl</w:t>
      </w:r>
      <w:r w:rsidR="00974061" w:rsidRPr="009E427C">
        <w:rPr>
          <w:rFonts w:ascii="Book Antiqua" w:hAnsi="Book Antiqua"/>
          <w:sz w:val="24"/>
          <w:szCs w:val="24"/>
        </w:rPr>
        <w:t>if</w:t>
      </w:r>
      <w:r w:rsidR="003659BA">
        <w:rPr>
          <w:rFonts w:ascii="Book Antiqua" w:hAnsi="Book Antiqua"/>
          <w:sz w:val="24"/>
          <w:szCs w:val="24"/>
        </w:rPr>
        <w:t xml:space="preserve">y dosing </w:t>
      </w:r>
      <w:proofErr w:type="gramStart"/>
      <w:r w:rsidR="003659BA">
        <w:rPr>
          <w:rFonts w:ascii="Book Antiqua" w:hAnsi="Book Antiqua"/>
          <w:sz w:val="24"/>
          <w:szCs w:val="24"/>
        </w:rPr>
        <w:t>frequency</w:t>
      </w:r>
      <w:r w:rsidR="005110F0" w:rsidRPr="009E427C">
        <w:rPr>
          <w:rFonts w:ascii="Book Antiqua" w:hAnsi="Book Antiqua"/>
          <w:sz w:val="24"/>
          <w:szCs w:val="24"/>
          <w:vertAlign w:val="superscript"/>
        </w:rPr>
        <w:t>[</w:t>
      </w:r>
      <w:proofErr w:type="gramEnd"/>
      <w:r w:rsidR="00024057" w:rsidRPr="009E427C">
        <w:rPr>
          <w:rFonts w:ascii="Book Antiqua" w:hAnsi="Book Antiqua"/>
          <w:sz w:val="24"/>
          <w:szCs w:val="24"/>
          <w:vertAlign w:val="superscript"/>
        </w:rPr>
        <w:t>1</w:t>
      </w:r>
      <w:r w:rsidR="005110F0" w:rsidRPr="009E427C">
        <w:rPr>
          <w:rFonts w:ascii="Book Antiqua" w:hAnsi="Book Antiqua"/>
          <w:sz w:val="24"/>
          <w:szCs w:val="24"/>
          <w:vertAlign w:val="superscript"/>
        </w:rPr>
        <w:t>]</w:t>
      </w:r>
      <w:r w:rsidR="003659BA">
        <w:rPr>
          <w:rFonts w:ascii="Book Antiqua" w:hAnsi="Book Antiqua" w:hint="eastAsia"/>
          <w:sz w:val="24"/>
          <w:szCs w:val="24"/>
          <w:lang w:eastAsia="zh-CN"/>
        </w:rPr>
        <w:t>.</w:t>
      </w:r>
      <w:r w:rsidR="00024057" w:rsidRPr="009E427C">
        <w:rPr>
          <w:rFonts w:ascii="Book Antiqua" w:hAnsi="Book Antiqua"/>
          <w:sz w:val="24"/>
          <w:szCs w:val="24"/>
        </w:rPr>
        <w:t xml:space="preserve"> </w:t>
      </w:r>
      <w:r w:rsidRPr="009E427C">
        <w:rPr>
          <w:rFonts w:ascii="Book Antiqua" w:hAnsi="Book Antiqua"/>
          <w:sz w:val="24"/>
          <w:szCs w:val="24"/>
        </w:rPr>
        <w:t xml:space="preserve">Both tacrolimus formulations have demonstrated comparable steady-state systemic tacrolimus exposure in </w:t>
      </w:r>
      <w:r w:rsidRPr="009E427C">
        <w:rPr>
          <w:rFonts w:ascii="Book Antiqua" w:hAnsi="Book Antiqua"/>
          <w:i/>
          <w:sz w:val="24"/>
          <w:szCs w:val="24"/>
        </w:rPr>
        <w:t>de novo</w:t>
      </w:r>
      <w:r w:rsidRPr="009E427C">
        <w:rPr>
          <w:rFonts w:ascii="Book Antiqua" w:hAnsi="Book Antiqua"/>
          <w:sz w:val="24"/>
          <w:szCs w:val="24"/>
        </w:rPr>
        <w:t xml:space="preserve"> kidney </w:t>
      </w:r>
      <w:r w:rsidR="009D6ACD" w:rsidRPr="009E427C">
        <w:rPr>
          <w:rFonts w:ascii="Book Antiqua" w:hAnsi="Book Antiqua"/>
          <w:sz w:val="24"/>
          <w:szCs w:val="24"/>
        </w:rPr>
        <w:t xml:space="preserve">and liver transplant </w:t>
      </w:r>
      <w:proofErr w:type="gramStart"/>
      <w:r w:rsidR="009D6ACD" w:rsidRPr="009E427C">
        <w:rPr>
          <w:rFonts w:ascii="Book Antiqua" w:hAnsi="Book Antiqua"/>
          <w:sz w:val="24"/>
          <w:szCs w:val="24"/>
        </w:rPr>
        <w:t>recipients</w:t>
      </w:r>
      <w:r w:rsidR="003659BA" w:rsidRPr="009E427C">
        <w:rPr>
          <w:rFonts w:ascii="Book Antiqua" w:hAnsi="Book Antiqua"/>
          <w:sz w:val="24"/>
          <w:szCs w:val="24"/>
          <w:vertAlign w:val="superscript"/>
        </w:rPr>
        <w:t>[</w:t>
      </w:r>
      <w:proofErr w:type="gramEnd"/>
      <w:r w:rsidR="003659BA" w:rsidRPr="009E427C">
        <w:rPr>
          <w:rFonts w:ascii="Book Antiqua" w:hAnsi="Book Antiqua"/>
          <w:sz w:val="24"/>
          <w:szCs w:val="24"/>
          <w:vertAlign w:val="superscript"/>
        </w:rPr>
        <w:t>2,3]</w:t>
      </w:r>
      <w:r w:rsidR="003659BA" w:rsidRPr="009E427C">
        <w:rPr>
          <w:rFonts w:ascii="Book Antiqua" w:hAnsi="Book Antiqua"/>
          <w:sz w:val="24"/>
          <w:szCs w:val="24"/>
        </w:rPr>
        <w:t xml:space="preserve">. </w:t>
      </w:r>
      <w:r w:rsidRPr="009E427C">
        <w:rPr>
          <w:rFonts w:ascii="Book Antiqua" w:hAnsi="Book Antiqua"/>
          <w:sz w:val="24"/>
          <w:szCs w:val="24"/>
        </w:rPr>
        <w:t>The following review will address the pharmacokinetics</w:t>
      </w:r>
      <w:r w:rsidR="006E4383" w:rsidRPr="009E427C">
        <w:rPr>
          <w:rFonts w:ascii="Book Antiqua" w:hAnsi="Book Antiqua"/>
          <w:sz w:val="24"/>
          <w:szCs w:val="24"/>
        </w:rPr>
        <w:t xml:space="preserve"> of extended release tacrolimus</w:t>
      </w:r>
      <w:r w:rsidR="00731243" w:rsidRPr="009E427C">
        <w:rPr>
          <w:rFonts w:ascii="Book Antiqua" w:hAnsi="Book Antiqua"/>
          <w:sz w:val="24"/>
          <w:szCs w:val="24"/>
        </w:rPr>
        <w:t xml:space="preserve">, the data in solid-organ transplantation and the </w:t>
      </w:r>
      <w:proofErr w:type="spellStart"/>
      <w:r w:rsidR="00731243" w:rsidRPr="009E427C">
        <w:rPr>
          <w:rFonts w:ascii="Book Antiqua" w:hAnsi="Book Antiqua"/>
          <w:sz w:val="24"/>
          <w:szCs w:val="24"/>
        </w:rPr>
        <w:t>phamacoeconomic</w:t>
      </w:r>
      <w:proofErr w:type="spellEnd"/>
      <w:r w:rsidR="00731243" w:rsidRPr="009E427C">
        <w:rPr>
          <w:rFonts w:ascii="Book Antiqua" w:hAnsi="Book Antiqua"/>
          <w:sz w:val="24"/>
          <w:szCs w:val="24"/>
        </w:rPr>
        <w:t xml:space="preserve"> considerations of extended release tacrolimus </w:t>
      </w:r>
      <w:r w:rsidR="006E4383" w:rsidRPr="009E427C">
        <w:rPr>
          <w:rFonts w:ascii="Book Antiqua" w:hAnsi="Book Antiqua"/>
          <w:sz w:val="24"/>
          <w:szCs w:val="24"/>
        </w:rPr>
        <w:t xml:space="preserve">compared to </w:t>
      </w:r>
      <w:r w:rsidR="00731243" w:rsidRPr="009E427C">
        <w:rPr>
          <w:rFonts w:ascii="Book Antiqua" w:hAnsi="Book Antiqua"/>
          <w:sz w:val="24"/>
          <w:szCs w:val="24"/>
        </w:rPr>
        <w:t>tacrolimus-BID</w:t>
      </w:r>
      <w:r w:rsidR="005110F0" w:rsidRPr="009E427C">
        <w:rPr>
          <w:rFonts w:ascii="Book Antiqua" w:hAnsi="Book Antiqua"/>
          <w:sz w:val="24"/>
          <w:szCs w:val="24"/>
          <w:vertAlign w:val="superscript"/>
        </w:rPr>
        <w:t>[</w:t>
      </w:r>
      <w:r w:rsidR="00024057" w:rsidRPr="009E427C">
        <w:rPr>
          <w:rFonts w:ascii="Book Antiqua" w:hAnsi="Book Antiqua"/>
          <w:sz w:val="24"/>
          <w:szCs w:val="24"/>
          <w:vertAlign w:val="superscript"/>
        </w:rPr>
        <w:t>2,3</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00024057" w:rsidRPr="009E427C">
        <w:rPr>
          <w:rFonts w:ascii="Book Antiqua" w:hAnsi="Book Antiqua"/>
          <w:sz w:val="24"/>
          <w:szCs w:val="24"/>
        </w:rPr>
        <w:t xml:space="preserve"> </w:t>
      </w:r>
    </w:p>
    <w:p w14:paraId="49035781" w14:textId="77777777" w:rsidR="00517AC6" w:rsidRPr="009E427C" w:rsidRDefault="00517AC6" w:rsidP="00190C0B">
      <w:pPr>
        <w:spacing w:after="0" w:line="360" w:lineRule="auto"/>
        <w:ind w:firstLine="720"/>
        <w:jc w:val="both"/>
        <w:rPr>
          <w:rFonts w:ascii="Book Antiqua" w:hAnsi="Book Antiqua"/>
          <w:sz w:val="24"/>
          <w:szCs w:val="24"/>
          <w:lang w:eastAsia="zh-CN"/>
        </w:rPr>
      </w:pPr>
    </w:p>
    <w:p w14:paraId="2AAAFB6B" w14:textId="29007A61" w:rsidR="006E4383"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EXTENDED RELEASE TACROLIMUS PHARMACOKINETICS</w:t>
      </w:r>
    </w:p>
    <w:p w14:paraId="0EB51D01" w14:textId="17AD40B7" w:rsidR="007D45BE" w:rsidRPr="009E427C" w:rsidRDefault="007D45BE" w:rsidP="00190C0B">
      <w:pPr>
        <w:spacing w:after="0" w:line="360" w:lineRule="auto"/>
        <w:jc w:val="both"/>
        <w:rPr>
          <w:rFonts w:ascii="Book Antiqua" w:hAnsi="Book Antiqua"/>
          <w:sz w:val="24"/>
          <w:szCs w:val="24"/>
        </w:rPr>
      </w:pP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-BID is a </w:t>
      </w:r>
      <w:proofErr w:type="spellStart"/>
      <w:r w:rsidRPr="009E427C">
        <w:rPr>
          <w:rFonts w:ascii="Book Antiqua" w:hAnsi="Book Antiqua"/>
          <w:sz w:val="24"/>
          <w:szCs w:val="24"/>
        </w:rPr>
        <w:t>calcineurin</w:t>
      </w:r>
      <w:proofErr w:type="spellEnd"/>
      <w:r w:rsidRPr="009E427C">
        <w:rPr>
          <w:rFonts w:ascii="Book Antiqua" w:hAnsi="Book Antiqua"/>
          <w:sz w:val="24"/>
          <w:szCs w:val="24"/>
        </w:rPr>
        <w:t xml:space="preserve"> inhibitor which exerts its immunosuppressive effect through inhibition of interleukin-2 expression and sub</w:t>
      </w:r>
      <w:r w:rsidR="002A4F88">
        <w:rPr>
          <w:rFonts w:ascii="Book Antiqua" w:hAnsi="Book Antiqua"/>
          <w:sz w:val="24"/>
          <w:szCs w:val="24"/>
        </w:rPr>
        <w:t xml:space="preserve">sequent T-lymphocyte </w:t>
      </w:r>
      <w:proofErr w:type="gramStart"/>
      <w:r w:rsidR="002A4F88">
        <w:rPr>
          <w:rFonts w:ascii="Book Antiqua" w:hAnsi="Book Antiqua"/>
          <w:sz w:val="24"/>
          <w:szCs w:val="24"/>
        </w:rPr>
        <w:t>activation</w:t>
      </w:r>
      <w:r w:rsidR="005110F0" w:rsidRPr="009E427C">
        <w:rPr>
          <w:rFonts w:ascii="Book Antiqua" w:hAnsi="Book Antiqua"/>
          <w:sz w:val="24"/>
          <w:szCs w:val="24"/>
          <w:vertAlign w:val="superscript"/>
        </w:rPr>
        <w:t>[</w:t>
      </w:r>
      <w:proofErr w:type="gramEnd"/>
      <w:r w:rsidR="009366E5" w:rsidRPr="009E427C">
        <w:rPr>
          <w:rFonts w:ascii="Book Antiqua" w:hAnsi="Book Antiqua"/>
          <w:sz w:val="24"/>
          <w:szCs w:val="24"/>
          <w:vertAlign w:val="superscript"/>
        </w:rPr>
        <w:t>4,5</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009366E5" w:rsidRPr="009E427C">
        <w:rPr>
          <w:rFonts w:ascii="Book Antiqua" w:hAnsi="Book Antiqua"/>
          <w:sz w:val="24"/>
          <w:szCs w:val="24"/>
        </w:rPr>
        <w:t xml:space="preserve"> </w:t>
      </w:r>
      <w:r w:rsidRPr="009E427C">
        <w:rPr>
          <w:rFonts w:ascii="Book Antiqua" w:hAnsi="Book Antiqua"/>
          <w:sz w:val="24"/>
          <w:szCs w:val="24"/>
        </w:rPr>
        <w:t>It has variable oral absorption and is a substrate of P-glycoprotein with metabolism through cytochrome P4503A enzymes in the liver and small intestine.</w:t>
      </w:r>
      <w:r w:rsidR="00074195">
        <w:rPr>
          <w:rFonts w:ascii="Book Antiqua" w:hAnsi="Book Antiqua"/>
          <w:sz w:val="24"/>
          <w:szCs w:val="24"/>
        </w:rPr>
        <w:t xml:space="preserve"> </w:t>
      </w:r>
      <w:r w:rsidRPr="009E427C">
        <w:rPr>
          <w:rFonts w:ascii="Book Antiqua" w:hAnsi="Book Antiqua"/>
          <w:sz w:val="24"/>
          <w:szCs w:val="24"/>
        </w:rPr>
        <w:t>Studies have demonstrated differences in tacrolimus pharmacokinetics across various ethnic groups with higher doses needed in African America</w:t>
      </w:r>
      <w:r w:rsidR="002A4F88">
        <w:rPr>
          <w:rFonts w:ascii="Book Antiqua" w:hAnsi="Book Antiqua"/>
          <w:sz w:val="24"/>
          <w:szCs w:val="24"/>
        </w:rPr>
        <w:t xml:space="preserve">n and Latin American </w:t>
      </w:r>
      <w:proofErr w:type="gramStart"/>
      <w:r w:rsidR="002A4F88">
        <w:rPr>
          <w:rFonts w:ascii="Book Antiqua" w:hAnsi="Book Antiqua"/>
          <w:sz w:val="24"/>
          <w:szCs w:val="24"/>
        </w:rPr>
        <w:t>recipients</w:t>
      </w:r>
      <w:r w:rsidR="005110F0" w:rsidRPr="009E427C">
        <w:rPr>
          <w:rFonts w:ascii="Book Antiqua" w:hAnsi="Book Antiqua"/>
          <w:sz w:val="24"/>
          <w:szCs w:val="24"/>
          <w:vertAlign w:val="superscript"/>
        </w:rPr>
        <w:t>[</w:t>
      </w:r>
      <w:proofErr w:type="gramEnd"/>
      <w:r w:rsidR="009366E5" w:rsidRPr="009E427C">
        <w:rPr>
          <w:rFonts w:ascii="Book Antiqua" w:hAnsi="Book Antiqua"/>
          <w:sz w:val="24"/>
          <w:szCs w:val="24"/>
          <w:vertAlign w:val="superscript"/>
        </w:rPr>
        <w:t>6</w:t>
      </w:r>
      <w:r w:rsidRPr="009E427C">
        <w:rPr>
          <w:rFonts w:ascii="Book Antiqua" w:hAnsi="Book Antiqua"/>
          <w:sz w:val="24"/>
          <w:szCs w:val="24"/>
          <w:vertAlign w:val="superscript"/>
        </w:rPr>
        <w:t>,</w:t>
      </w:r>
      <w:r w:rsidR="009366E5" w:rsidRPr="009E427C">
        <w:rPr>
          <w:rFonts w:ascii="Book Antiqua" w:hAnsi="Book Antiqua"/>
          <w:sz w:val="24"/>
          <w:szCs w:val="24"/>
          <w:vertAlign w:val="superscript"/>
        </w:rPr>
        <w:t>7</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Therapeutic drug monitoring is essential to optimizing outcomes due to its variable bioavailabili</w:t>
      </w:r>
      <w:r w:rsidR="002A4F88">
        <w:rPr>
          <w:rFonts w:ascii="Book Antiqua" w:hAnsi="Book Antiqua"/>
          <w:sz w:val="24"/>
          <w:szCs w:val="24"/>
        </w:rPr>
        <w:t xml:space="preserve">ty and narrow therapeutic </w:t>
      </w:r>
      <w:proofErr w:type="gramStart"/>
      <w:r w:rsidR="002A4F88">
        <w:rPr>
          <w:rFonts w:ascii="Book Antiqua" w:hAnsi="Book Antiqua"/>
          <w:sz w:val="24"/>
          <w:szCs w:val="24"/>
        </w:rPr>
        <w:t>index</w:t>
      </w:r>
      <w:r w:rsidR="005110F0" w:rsidRPr="009E427C">
        <w:rPr>
          <w:rFonts w:ascii="Book Antiqua" w:hAnsi="Book Antiqua"/>
          <w:sz w:val="24"/>
          <w:szCs w:val="24"/>
          <w:vertAlign w:val="superscript"/>
        </w:rPr>
        <w:t>[</w:t>
      </w:r>
      <w:proofErr w:type="gramEnd"/>
      <w:r w:rsidR="009366E5" w:rsidRPr="009E427C">
        <w:rPr>
          <w:rFonts w:ascii="Book Antiqua" w:hAnsi="Book Antiqua"/>
          <w:sz w:val="24"/>
          <w:szCs w:val="24"/>
          <w:vertAlign w:val="superscript"/>
        </w:rPr>
        <w:t>8</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Pr="009E427C">
        <w:rPr>
          <w:rFonts w:ascii="Book Antiqua" w:hAnsi="Book Antiqua"/>
          <w:sz w:val="24"/>
          <w:szCs w:val="24"/>
          <w:vertAlign w:val="superscript"/>
        </w:rPr>
        <w:t xml:space="preserve"> </w:t>
      </w:r>
      <w:r w:rsidRPr="009E427C">
        <w:rPr>
          <w:rFonts w:ascii="Book Antiqua" w:hAnsi="Book Antiqua"/>
          <w:sz w:val="24"/>
          <w:szCs w:val="24"/>
        </w:rPr>
        <w:t>Trough concentrations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rPr>
        <w:t xml:space="preserve">) </w:t>
      </w:r>
      <w:r w:rsidRPr="009E427C">
        <w:rPr>
          <w:rFonts w:ascii="Book Antiqua" w:hAnsi="Book Antiqua"/>
          <w:sz w:val="24"/>
          <w:szCs w:val="24"/>
        </w:rPr>
        <w:lastRenderedPageBreak/>
        <w:t xml:space="preserve">are the standard monitoring parameter due to its correlation with overall drug exposure (area under the curve from 0-24 </w:t>
      </w:r>
      <w:r w:rsidR="002A4F88">
        <w:rPr>
          <w:rFonts w:ascii="Book Antiqua" w:hAnsi="Book Antiqua"/>
          <w:sz w:val="24"/>
          <w:szCs w:val="24"/>
        </w:rPr>
        <w:t>h</w:t>
      </w:r>
      <w:r w:rsidRPr="009E427C">
        <w:rPr>
          <w:rFonts w:ascii="Book Antiqua" w:hAnsi="Book Antiqua"/>
          <w:sz w:val="24"/>
          <w:szCs w:val="24"/>
        </w:rPr>
        <w:t>; AUC</w:t>
      </w:r>
      <w:r w:rsidRPr="009E427C">
        <w:rPr>
          <w:rFonts w:ascii="Book Antiqua" w:hAnsi="Book Antiqua"/>
          <w:sz w:val="24"/>
          <w:szCs w:val="24"/>
          <w:vertAlign w:val="subscript"/>
        </w:rPr>
        <w:t>0-24</w:t>
      </w:r>
      <w:r w:rsidRPr="009E427C">
        <w:rPr>
          <w:rFonts w:ascii="Book Antiqua" w:hAnsi="Book Antiqua"/>
          <w:sz w:val="24"/>
          <w:szCs w:val="24"/>
        </w:rPr>
        <w:t>) and clinical efficacy.</w:t>
      </w:r>
      <w:r w:rsidR="00074195">
        <w:rPr>
          <w:rFonts w:ascii="Book Antiqua" w:hAnsi="Book Antiqua"/>
          <w:sz w:val="24"/>
          <w:szCs w:val="24"/>
        </w:rPr>
        <w:t xml:space="preserve"> </w:t>
      </w:r>
    </w:p>
    <w:p w14:paraId="55266800" w14:textId="27A3393E"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Extended release tacrolimus is a modified release formulation, which utilizes </w:t>
      </w:r>
      <w:proofErr w:type="spellStart"/>
      <w:r w:rsidRPr="009E427C">
        <w:rPr>
          <w:rFonts w:ascii="Book Antiqua" w:hAnsi="Book Antiqua"/>
          <w:sz w:val="24"/>
          <w:szCs w:val="24"/>
        </w:rPr>
        <w:t>ethylcellulose</w:t>
      </w:r>
      <w:proofErr w:type="spellEnd"/>
      <w:r w:rsidRPr="009E427C">
        <w:rPr>
          <w:rFonts w:ascii="Book Antiqua" w:hAnsi="Book Antiqua"/>
          <w:sz w:val="24"/>
          <w:szCs w:val="24"/>
        </w:rPr>
        <w:t xml:space="preserve"> to prolong the drug release profile in the gastrointest</w:t>
      </w:r>
      <w:r w:rsidR="00EB28BE">
        <w:rPr>
          <w:rFonts w:ascii="Book Antiqua" w:hAnsi="Book Antiqua"/>
          <w:sz w:val="24"/>
          <w:szCs w:val="24"/>
        </w:rPr>
        <w:t xml:space="preserve">inal tract via water </w:t>
      </w:r>
      <w:proofErr w:type="gramStart"/>
      <w:r w:rsidR="00EB28BE">
        <w:rPr>
          <w:rFonts w:ascii="Book Antiqua" w:hAnsi="Book Antiqua"/>
          <w:sz w:val="24"/>
          <w:szCs w:val="24"/>
        </w:rPr>
        <w:t>permeation</w:t>
      </w:r>
      <w:r w:rsidR="00EB28BE" w:rsidRPr="00EB28BE">
        <w:rPr>
          <w:rFonts w:ascii="Book Antiqua" w:hAnsi="Book Antiqua" w:hint="eastAsia"/>
          <w:sz w:val="24"/>
          <w:szCs w:val="24"/>
          <w:vertAlign w:val="superscript"/>
          <w:lang w:eastAsia="zh-CN"/>
        </w:rPr>
        <w:t>[</w:t>
      </w:r>
      <w:proofErr w:type="gramEnd"/>
      <w:r w:rsidR="009366E5" w:rsidRPr="009E427C">
        <w:rPr>
          <w:rFonts w:ascii="Book Antiqua" w:hAnsi="Book Antiqua"/>
          <w:sz w:val="24"/>
          <w:szCs w:val="24"/>
          <w:vertAlign w:val="superscript"/>
        </w:rPr>
        <w:t>9</w:t>
      </w:r>
      <w:r w:rsidR="00EB28BE">
        <w:rPr>
          <w:rFonts w:ascii="Book Antiqua" w:hAnsi="Book Antiqua" w:hint="eastAsia"/>
          <w:sz w:val="24"/>
          <w:szCs w:val="24"/>
          <w:vertAlign w:val="superscript"/>
          <w:lang w:eastAsia="zh-CN"/>
        </w:rPr>
        <w:t>]</w:t>
      </w:r>
      <w:r w:rsidR="009D6ACD"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Extended release tacrolimus has similar absorption, distribution, metabolism and excretion to tacrolimus-BID.</w:t>
      </w:r>
      <w:r w:rsidR="00074195">
        <w:rPr>
          <w:rFonts w:ascii="Book Antiqua" w:hAnsi="Book Antiqua"/>
          <w:sz w:val="24"/>
          <w:szCs w:val="24"/>
        </w:rPr>
        <w:t xml:space="preserve"> </w:t>
      </w:r>
      <w:r w:rsidRPr="009E427C">
        <w:rPr>
          <w:rFonts w:ascii="Book Antiqua" w:hAnsi="Book Antiqua"/>
          <w:sz w:val="24"/>
          <w:szCs w:val="24"/>
        </w:rPr>
        <w:t>Phase I pharmacokinetic trials comparing extended release tacrolimus and tacrolimus-BID have demonstrated a decreased maximum concentration (</w:t>
      </w:r>
      <w:proofErr w:type="spellStart"/>
      <w:r w:rsidRPr="009E427C">
        <w:rPr>
          <w:rFonts w:ascii="Book Antiqua" w:hAnsi="Book Antiqua"/>
          <w:sz w:val="24"/>
          <w:szCs w:val="24"/>
        </w:rPr>
        <w:t>C</w:t>
      </w:r>
      <w:r w:rsidRPr="009E427C">
        <w:rPr>
          <w:rFonts w:ascii="Book Antiqua" w:hAnsi="Book Antiqua"/>
          <w:sz w:val="24"/>
          <w:szCs w:val="24"/>
          <w:vertAlign w:val="subscript"/>
        </w:rPr>
        <w:t>max</w:t>
      </w:r>
      <w:proofErr w:type="spellEnd"/>
      <w:r w:rsidRPr="009E427C">
        <w:rPr>
          <w:rFonts w:ascii="Book Antiqua" w:hAnsi="Book Antiqua"/>
          <w:sz w:val="24"/>
          <w:szCs w:val="24"/>
        </w:rPr>
        <w:t>) and delayed time to maximum concentration (</w:t>
      </w:r>
      <w:proofErr w:type="spellStart"/>
      <w:r w:rsidRPr="009E427C">
        <w:rPr>
          <w:rFonts w:ascii="Book Antiqua" w:hAnsi="Book Antiqua"/>
          <w:sz w:val="24"/>
          <w:szCs w:val="24"/>
        </w:rPr>
        <w:t>t</w:t>
      </w:r>
      <w:r w:rsidRPr="009E427C">
        <w:rPr>
          <w:rFonts w:ascii="Book Antiqua" w:hAnsi="Book Antiqua"/>
          <w:sz w:val="24"/>
          <w:szCs w:val="24"/>
          <w:vertAlign w:val="subscript"/>
        </w:rPr>
        <w:t>max</w:t>
      </w:r>
      <w:proofErr w:type="spellEnd"/>
      <w:r w:rsidRPr="009E427C">
        <w:rPr>
          <w:rFonts w:ascii="Book Antiqua" w:hAnsi="Book Antiqua"/>
          <w:sz w:val="24"/>
          <w:szCs w:val="24"/>
        </w:rPr>
        <w:t>) with the extended release formulation; however, AUC</w:t>
      </w:r>
      <w:r w:rsidRPr="009E427C">
        <w:rPr>
          <w:rFonts w:ascii="Book Antiqua" w:hAnsi="Book Antiqua"/>
          <w:sz w:val="24"/>
          <w:szCs w:val="24"/>
          <w:vertAlign w:val="subscript"/>
        </w:rPr>
        <w:t>0-24</w:t>
      </w:r>
      <w:r w:rsidRPr="009E427C">
        <w:rPr>
          <w:rFonts w:ascii="Book Antiqua" w:hAnsi="Book Antiqua"/>
          <w:sz w:val="24"/>
          <w:szCs w:val="24"/>
        </w:rPr>
        <w:t xml:space="preserve"> was comparable between formula</w:t>
      </w:r>
      <w:r w:rsidR="003A6D8B">
        <w:rPr>
          <w:rFonts w:ascii="Book Antiqua" w:hAnsi="Book Antiqua"/>
          <w:sz w:val="24"/>
          <w:szCs w:val="24"/>
        </w:rPr>
        <w:t>tions (P-values not available)</w:t>
      </w:r>
      <w:r w:rsidR="005110F0" w:rsidRPr="009E427C">
        <w:rPr>
          <w:rFonts w:ascii="Book Antiqua" w:hAnsi="Book Antiqua"/>
          <w:sz w:val="24"/>
          <w:szCs w:val="24"/>
          <w:vertAlign w:val="superscript"/>
        </w:rPr>
        <w:t>[</w:t>
      </w:r>
      <w:r w:rsidRPr="009E427C">
        <w:rPr>
          <w:rFonts w:ascii="Book Antiqua" w:hAnsi="Book Antiqua"/>
          <w:sz w:val="24"/>
          <w:szCs w:val="24"/>
          <w:vertAlign w:val="superscript"/>
        </w:rPr>
        <w:t>4,</w:t>
      </w:r>
      <w:r w:rsidR="009366E5" w:rsidRPr="009E427C">
        <w:rPr>
          <w:rFonts w:ascii="Book Antiqua" w:hAnsi="Book Antiqua"/>
          <w:sz w:val="24"/>
          <w:szCs w:val="24"/>
          <w:vertAlign w:val="superscript"/>
        </w:rPr>
        <w:t>10,11</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Pr="009E427C">
        <w:rPr>
          <w:rFonts w:ascii="Book Antiqua" w:hAnsi="Book Antiqua"/>
          <w:sz w:val="24"/>
          <w:szCs w:val="24"/>
        </w:rPr>
        <w:t xml:space="preserve"> The differences in </w:t>
      </w:r>
      <w:proofErr w:type="spellStart"/>
      <w:r w:rsidRPr="009E427C">
        <w:rPr>
          <w:rFonts w:ascii="Book Antiqua" w:hAnsi="Book Antiqua"/>
          <w:sz w:val="24"/>
          <w:szCs w:val="24"/>
        </w:rPr>
        <w:t>C</w:t>
      </w:r>
      <w:r w:rsidRPr="009E427C">
        <w:rPr>
          <w:rFonts w:ascii="Book Antiqua" w:hAnsi="Book Antiqua"/>
          <w:sz w:val="24"/>
          <w:szCs w:val="24"/>
          <w:vertAlign w:val="subscript"/>
        </w:rPr>
        <w:t>max</w:t>
      </w:r>
      <w:proofErr w:type="spellEnd"/>
      <w:r w:rsidRPr="009E427C">
        <w:rPr>
          <w:rFonts w:ascii="Book Antiqua" w:hAnsi="Book Antiqua"/>
          <w:sz w:val="24"/>
          <w:szCs w:val="24"/>
        </w:rPr>
        <w:t xml:space="preserve"> and </w:t>
      </w:r>
      <w:proofErr w:type="spellStart"/>
      <w:r w:rsidRPr="009E427C">
        <w:rPr>
          <w:rFonts w:ascii="Book Antiqua" w:hAnsi="Book Antiqua"/>
          <w:sz w:val="24"/>
          <w:szCs w:val="24"/>
        </w:rPr>
        <w:t>t</w:t>
      </w:r>
      <w:r w:rsidRPr="009E427C">
        <w:rPr>
          <w:rFonts w:ascii="Book Antiqua" w:hAnsi="Book Antiqua"/>
          <w:sz w:val="24"/>
          <w:szCs w:val="24"/>
          <w:vertAlign w:val="subscript"/>
        </w:rPr>
        <w:t>max</w:t>
      </w:r>
      <w:proofErr w:type="spellEnd"/>
      <w:r w:rsidRPr="009E427C">
        <w:rPr>
          <w:rFonts w:ascii="Book Antiqua" w:hAnsi="Book Antiqua"/>
          <w:sz w:val="24"/>
          <w:szCs w:val="24"/>
        </w:rPr>
        <w:t xml:space="preserve"> are consistent with a prolonged release formulation. Both formulations demonstrate a diurnal variation with approximately 35% reduction in AUC following the evening dose.</w:t>
      </w:r>
      <w:r w:rsidR="00074195">
        <w:rPr>
          <w:rFonts w:ascii="Book Antiqua" w:hAnsi="Book Antiqua"/>
          <w:sz w:val="24"/>
          <w:szCs w:val="24"/>
        </w:rPr>
        <w:t xml:space="preserve"> </w:t>
      </w:r>
      <w:r w:rsidRPr="009E427C">
        <w:rPr>
          <w:rFonts w:ascii="Book Antiqua" w:hAnsi="Book Antiqua"/>
          <w:sz w:val="24"/>
          <w:szCs w:val="24"/>
        </w:rPr>
        <w:t>Consequently, extended release tacrolimus should be administered in the morning on an empty</w:t>
      </w:r>
      <w:r w:rsidR="003A6D8B">
        <w:rPr>
          <w:rFonts w:ascii="Book Antiqua" w:hAnsi="Book Antiqua"/>
          <w:sz w:val="24"/>
          <w:szCs w:val="24"/>
        </w:rPr>
        <w:t xml:space="preserve"> stomach to optimize absorption</w:t>
      </w:r>
      <w:r w:rsidR="009D6ACD" w:rsidRPr="009E427C">
        <w:rPr>
          <w:rFonts w:ascii="Book Antiqua" w:hAnsi="Book Antiqua"/>
          <w:sz w:val="24"/>
          <w:szCs w:val="24"/>
        </w:rPr>
        <w:t>.</w:t>
      </w:r>
      <w:r w:rsidR="00074195">
        <w:rPr>
          <w:rFonts w:ascii="Book Antiqua" w:hAnsi="Book Antiqua"/>
          <w:sz w:val="24"/>
          <w:szCs w:val="24"/>
          <w:vertAlign w:val="superscript"/>
        </w:rPr>
        <w:t xml:space="preserve"> </w:t>
      </w:r>
      <w:r w:rsidRPr="009E427C">
        <w:rPr>
          <w:rFonts w:ascii="Book Antiqua" w:hAnsi="Book Antiqua"/>
          <w:sz w:val="24"/>
          <w:szCs w:val="24"/>
        </w:rPr>
        <w:t xml:space="preserve">Similar therapeutic trough concentrations may be used for monitoring, as a high and equivalent correlation coefficient was reported between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rPr>
        <w:t xml:space="preserve"> and AUC</w:t>
      </w:r>
      <w:r w:rsidRPr="009E427C">
        <w:rPr>
          <w:rFonts w:ascii="Book Antiqua" w:hAnsi="Book Antiqua"/>
          <w:sz w:val="24"/>
          <w:szCs w:val="24"/>
          <w:vertAlign w:val="subscript"/>
        </w:rPr>
        <w:t xml:space="preserve">0-24 </w:t>
      </w:r>
      <w:r w:rsidRPr="009E427C">
        <w:rPr>
          <w:rFonts w:ascii="Book Antiqua" w:hAnsi="Book Antiqua"/>
          <w:sz w:val="24"/>
          <w:szCs w:val="24"/>
        </w:rPr>
        <w:t xml:space="preserve">for both </w:t>
      </w:r>
      <w:r w:rsidR="003A6D8B">
        <w:rPr>
          <w:rFonts w:ascii="Book Antiqua" w:hAnsi="Book Antiqua"/>
          <w:sz w:val="24"/>
          <w:szCs w:val="24"/>
        </w:rPr>
        <w:t>formulations (r= not available)</w:t>
      </w:r>
      <w:r w:rsidR="005110F0" w:rsidRPr="009E427C">
        <w:rPr>
          <w:rFonts w:ascii="Book Antiqua" w:hAnsi="Book Antiqua"/>
          <w:sz w:val="24"/>
          <w:szCs w:val="24"/>
          <w:vertAlign w:val="superscript"/>
        </w:rPr>
        <w:t>[</w:t>
      </w:r>
      <w:r w:rsidR="000B4725" w:rsidRPr="009E427C">
        <w:rPr>
          <w:rFonts w:ascii="Book Antiqua" w:hAnsi="Book Antiqua"/>
          <w:sz w:val="24"/>
          <w:szCs w:val="24"/>
          <w:vertAlign w:val="superscript"/>
        </w:rPr>
        <w:t>4,1</w:t>
      </w:r>
      <w:r w:rsidR="009366E5" w:rsidRPr="009E427C">
        <w:rPr>
          <w:rFonts w:ascii="Book Antiqua" w:hAnsi="Book Antiqua"/>
          <w:sz w:val="24"/>
          <w:szCs w:val="24"/>
          <w:vertAlign w:val="superscript"/>
        </w:rPr>
        <w:t>0</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Pr="009E427C" w:rsidDel="003E4567">
        <w:rPr>
          <w:rFonts w:ascii="Book Antiqua" w:hAnsi="Book Antiqua"/>
          <w:sz w:val="24"/>
          <w:szCs w:val="24"/>
          <w:vertAlign w:val="superscript"/>
        </w:rPr>
        <w:t xml:space="preserve"> </w:t>
      </w:r>
    </w:p>
    <w:p w14:paraId="248BFBDA" w14:textId="35B25600" w:rsidR="007D45BE" w:rsidRPr="009E427C" w:rsidRDefault="003A6D8B" w:rsidP="00190C0B">
      <w:pPr>
        <w:spacing w:after="0" w:line="360" w:lineRule="auto"/>
        <w:ind w:firstLine="720"/>
        <w:jc w:val="both"/>
        <w:rPr>
          <w:rFonts w:ascii="Book Antiqua" w:hAnsi="Book Antiqua"/>
          <w:sz w:val="24"/>
          <w:szCs w:val="24"/>
        </w:rPr>
      </w:pPr>
      <w:r>
        <w:rPr>
          <w:rFonts w:ascii="Book Antiqua" w:hAnsi="Book Antiqua"/>
          <w:sz w:val="24"/>
          <w:szCs w:val="24"/>
        </w:rPr>
        <w:t xml:space="preserve">A 6 </w:t>
      </w:r>
      <w:proofErr w:type="spellStart"/>
      <w:r>
        <w:rPr>
          <w:rFonts w:ascii="Book Antiqua" w:hAnsi="Book Antiqua"/>
          <w:sz w:val="24"/>
          <w:szCs w:val="24"/>
        </w:rPr>
        <w:t>w</w:t>
      </w:r>
      <w:r w:rsidR="007D45BE" w:rsidRPr="009E427C">
        <w:rPr>
          <w:rFonts w:ascii="Book Antiqua" w:hAnsi="Book Antiqua"/>
          <w:sz w:val="24"/>
          <w:szCs w:val="24"/>
        </w:rPr>
        <w:t>k</w:t>
      </w:r>
      <w:proofErr w:type="spellEnd"/>
      <w:r w:rsidR="007D45BE" w:rsidRPr="009E427C">
        <w:rPr>
          <w:rFonts w:ascii="Book Antiqua" w:hAnsi="Book Antiqua"/>
          <w:sz w:val="24"/>
          <w:szCs w:val="24"/>
        </w:rPr>
        <w:t xml:space="preserve">, phase II, multicenter, open-label study compared the pharmacokinetics of extended release tacrolimus and tacrolimus-BID in </w:t>
      </w:r>
      <w:r w:rsidR="007D45BE" w:rsidRPr="009E427C">
        <w:rPr>
          <w:rFonts w:ascii="Book Antiqua" w:hAnsi="Book Antiqua"/>
          <w:i/>
          <w:sz w:val="24"/>
          <w:szCs w:val="24"/>
        </w:rPr>
        <w:t>de novo</w:t>
      </w:r>
      <w:r w:rsidR="007D45BE" w:rsidRPr="009E427C">
        <w:rPr>
          <w:rFonts w:ascii="Book Antiqua" w:hAnsi="Book Antiqua"/>
          <w:sz w:val="24"/>
          <w:szCs w:val="24"/>
        </w:rPr>
        <w:t xml:space="preserve"> kidney transplant recipien</w:t>
      </w:r>
      <w:r w:rsidR="00C51D4A">
        <w:rPr>
          <w:rFonts w:ascii="Book Antiqua" w:hAnsi="Book Antiqua"/>
          <w:sz w:val="24"/>
          <w:szCs w:val="24"/>
        </w:rPr>
        <w:t xml:space="preserve">ts on day 1, day 14, and 6 </w:t>
      </w:r>
      <w:proofErr w:type="spellStart"/>
      <w:r w:rsidR="00C51D4A">
        <w:rPr>
          <w:rFonts w:ascii="Book Antiqua" w:hAnsi="Book Antiqua"/>
          <w:sz w:val="24"/>
          <w:szCs w:val="24"/>
        </w:rPr>
        <w:t>wk</w:t>
      </w:r>
      <w:proofErr w:type="spellEnd"/>
      <w:r w:rsidR="007D45BE" w:rsidRPr="009E427C">
        <w:rPr>
          <w:rFonts w:ascii="Book Antiqua" w:hAnsi="Book Antiqua"/>
          <w:sz w:val="24"/>
          <w:szCs w:val="24"/>
        </w:rPr>
        <w:t xml:space="preserve"> post-transplant (extended release tacrolimus </w:t>
      </w:r>
      <w:r w:rsidRPr="003A6D8B">
        <w:rPr>
          <w:rFonts w:ascii="Book Antiqua" w:hAnsi="Book Antiqua"/>
          <w:i/>
          <w:sz w:val="24"/>
          <w:szCs w:val="24"/>
        </w:rPr>
        <w:t>n</w:t>
      </w:r>
      <w:r w:rsidRPr="009E427C">
        <w:rPr>
          <w:rFonts w:ascii="Book Antiqua" w:hAnsi="Book Antiqua"/>
          <w:sz w:val="24"/>
          <w:szCs w:val="24"/>
        </w:rPr>
        <w:t xml:space="preserve"> =</w:t>
      </w:r>
      <w:r w:rsidR="007D45BE" w:rsidRPr="009E427C">
        <w:rPr>
          <w:rFonts w:ascii="Book Antiqua" w:hAnsi="Book Antiqua"/>
          <w:sz w:val="24"/>
          <w:szCs w:val="24"/>
        </w:rPr>
        <w:t xml:space="preserve"> 34; tac</w:t>
      </w:r>
      <w:r w:rsidR="009D6ACD" w:rsidRPr="009E427C">
        <w:rPr>
          <w:rFonts w:ascii="Book Antiqua" w:hAnsi="Book Antiqua"/>
          <w:sz w:val="24"/>
          <w:szCs w:val="24"/>
        </w:rPr>
        <w:t xml:space="preserve">rolimus-BID </w:t>
      </w:r>
      <w:r w:rsidRPr="003A6D8B">
        <w:rPr>
          <w:rFonts w:ascii="Book Antiqua" w:hAnsi="Book Antiqua"/>
          <w:i/>
          <w:sz w:val="24"/>
          <w:szCs w:val="24"/>
        </w:rPr>
        <w:t>n</w:t>
      </w:r>
      <w:r w:rsidRPr="009E427C">
        <w:rPr>
          <w:rFonts w:ascii="Book Antiqua" w:hAnsi="Book Antiqua"/>
          <w:sz w:val="24"/>
          <w:szCs w:val="24"/>
        </w:rPr>
        <w:t xml:space="preserve"> =</w:t>
      </w:r>
      <w:r w:rsidR="00433FC5">
        <w:rPr>
          <w:rFonts w:ascii="Book Antiqua" w:hAnsi="Book Antiqua"/>
          <w:sz w:val="24"/>
          <w:szCs w:val="24"/>
        </w:rPr>
        <w:t xml:space="preserve"> 32)</w:t>
      </w:r>
      <w:r w:rsidR="00433FC5" w:rsidRPr="00433FC5">
        <w:rPr>
          <w:rFonts w:ascii="Book Antiqua" w:hAnsi="Book Antiqua" w:hint="eastAsia"/>
          <w:sz w:val="24"/>
          <w:szCs w:val="24"/>
          <w:vertAlign w:val="superscript"/>
          <w:lang w:eastAsia="zh-CN"/>
        </w:rPr>
        <w:t>[</w:t>
      </w:r>
      <w:r w:rsidR="009366E5" w:rsidRPr="009E427C">
        <w:rPr>
          <w:rFonts w:ascii="Book Antiqua" w:hAnsi="Book Antiqua"/>
          <w:sz w:val="24"/>
          <w:szCs w:val="24"/>
          <w:vertAlign w:val="superscript"/>
        </w:rPr>
        <w:t>12</w:t>
      </w:r>
      <w:r w:rsidR="00433FC5">
        <w:rPr>
          <w:rFonts w:ascii="Book Antiqua" w:hAnsi="Book Antiqua" w:hint="eastAsia"/>
          <w:sz w:val="24"/>
          <w:szCs w:val="24"/>
          <w:vertAlign w:val="superscript"/>
          <w:lang w:eastAsia="zh-CN"/>
        </w:rPr>
        <w:t>]</w:t>
      </w:r>
      <w:r w:rsidR="009D6ACD" w:rsidRPr="009E427C">
        <w:rPr>
          <w:rFonts w:ascii="Book Antiqua" w:hAnsi="Book Antiqua"/>
          <w:sz w:val="24"/>
          <w:szCs w:val="24"/>
        </w:rPr>
        <w:t>.</w:t>
      </w:r>
      <w:r w:rsidR="00074195">
        <w:rPr>
          <w:rFonts w:ascii="Book Antiqua" w:hAnsi="Book Antiqua"/>
          <w:sz w:val="24"/>
          <w:szCs w:val="24"/>
        </w:rPr>
        <w:t xml:space="preserve"> </w:t>
      </w:r>
      <w:r w:rsidR="007D45BE" w:rsidRPr="009E427C">
        <w:rPr>
          <w:rFonts w:ascii="Book Antiqua" w:hAnsi="Book Antiqua"/>
          <w:sz w:val="24"/>
          <w:szCs w:val="24"/>
        </w:rPr>
        <w:t>The AUC</w:t>
      </w:r>
      <w:r w:rsidR="007D45BE" w:rsidRPr="009E427C">
        <w:rPr>
          <w:rFonts w:ascii="Book Antiqua" w:hAnsi="Book Antiqua"/>
          <w:sz w:val="24"/>
          <w:szCs w:val="24"/>
          <w:vertAlign w:val="subscript"/>
        </w:rPr>
        <w:t>0-24</w:t>
      </w:r>
      <w:r w:rsidR="007D45BE" w:rsidRPr="009E427C">
        <w:rPr>
          <w:rFonts w:ascii="Book Antiqua" w:hAnsi="Book Antiqua"/>
          <w:sz w:val="24"/>
          <w:szCs w:val="24"/>
        </w:rPr>
        <w:t xml:space="preserve"> was approximately 30% lower for extended release tacrolimus on day 1; however, mean AUC</w:t>
      </w:r>
      <w:r w:rsidR="007D45BE" w:rsidRPr="009E427C">
        <w:rPr>
          <w:rFonts w:ascii="Book Antiqua" w:hAnsi="Book Antiqua"/>
          <w:sz w:val="24"/>
          <w:szCs w:val="24"/>
          <w:vertAlign w:val="subscript"/>
        </w:rPr>
        <w:t xml:space="preserve">0-24 </w:t>
      </w:r>
      <w:r w:rsidR="007D45BE" w:rsidRPr="009E427C">
        <w:rPr>
          <w:rFonts w:ascii="Book Antiqua" w:hAnsi="Book Antiqua"/>
          <w:sz w:val="24"/>
          <w:szCs w:val="24"/>
        </w:rPr>
        <w:t>was comparable on both day 14 and week 6 (Table 1).</w:t>
      </w:r>
      <w:r w:rsidR="00074195">
        <w:rPr>
          <w:rFonts w:ascii="Book Antiqua" w:hAnsi="Book Antiqua"/>
          <w:sz w:val="24"/>
          <w:szCs w:val="24"/>
        </w:rPr>
        <w:t xml:space="preserve"> </w:t>
      </w:r>
      <w:r w:rsidR="007D45BE" w:rsidRPr="009E427C">
        <w:rPr>
          <w:rFonts w:ascii="Book Antiqua" w:hAnsi="Book Antiqua"/>
          <w:sz w:val="24"/>
          <w:szCs w:val="24"/>
        </w:rPr>
        <w:t>Trough concentrations were similar for both formulations by day 4. Similar reductions in initial AUC</w:t>
      </w:r>
      <w:r w:rsidR="007D45BE" w:rsidRPr="009E427C">
        <w:rPr>
          <w:rFonts w:ascii="Book Antiqua" w:hAnsi="Book Antiqua"/>
          <w:sz w:val="24"/>
          <w:szCs w:val="24"/>
          <w:vertAlign w:val="subscript"/>
        </w:rPr>
        <w:t xml:space="preserve">0-24 </w:t>
      </w:r>
      <w:r w:rsidR="007D45BE" w:rsidRPr="009E427C">
        <w:rPr>
          <w:rFonts w:ascii="Book Antiqua" w:hAnsi="Book Antiqua"/>
          <w:sz w:val="24"/>
          <w:szCs w:val="24"/>
        </w:rPr>
        <w:t xml:space="preserve">have been reported in </w:t>
      </w:r>
      <w:r w:rsidR="007D45BE" w:rsidRPr="009E427C">
        <w:rPr>
          <w:rFonts w:ascii="Book Antiqua" w:hAnsi="Book Antiqua"/>
          <w:i/>
          <w:sz w:val="24"/>
          <w:szCs w:val="24"/>
        </w:rPr>
        <w:t>de novo</w:t>
      </w:r>
      <w:r w:rsidR="007D45BE" w:rsidRPr="009E427C">
        <w:rPr>
          <w:rFonts w:ascii="Book Antiqua" w:hAnsi="Book Antiqua"/>
          <w:sz w:val="24"/>
          <w:szCs w:val="24"/>
        </w:rPr>
        <w:t xml:space="preserve"> transplant recipients, which may necessitate an increased initial dose</w:t>
      </w:r>
      <w:r w:rsidR="00D823AE">
        <w:rPr>
          <w:rFonts w:ascii="Book Antiqua" w:hAnsi="Book Antiqua"/>
          <w:sz w:val="24"/>
          <w:szCs w:val="24"/>
        </w:rPr>
        <w:t xml:space="preserve"> of extended release </w:t>
      </w:r>
      <w:proofErr w:type="gramStart"/>
      <w:r w:rsidR="00D823AE">
        <w:rPr>
          <w:rFonts w:ascii="Book Antiqua" w:hAnsi="Book Antiqua"/>
          <w:sz w:val="24"/>
          <w:szCs w:val="24"/>
        </w:rPr>
        <w:t>tacrolimus</w:t>
      </w:r>
      <w:r w:rsidR="005110F0" w:rsidRPr="009E427C">
        <w:rPr>
          <w:rFonts w:ascii="Book Antiqua" w:hAnsi="Book Antiqua"/>
          <w:sz w:val="24"/>
          <w:szCs w:val="24"/>
          <w:vertAlign w:val="superscript"/>
        </w:rPr>
        <w:t>[</w:t>
      </w:r>
      <w:proofErr w:type="gramEnd"/>
      <w:r w:rsidR="007D45BE" w:rsidRPr="009E427C">
        <w:rPr>
          <w:rFonts w:ascii="Book Antiqua" w:hAnsi="Book Antiqua"/>
          <w:sz w:val="24"/>
          <w:szCs w:val="24"/>
          <w:vertAlign w:val="superscript"/>
        </w:rPr>
        <w:t>3,</w:t>
      </w:r>
      <w:r w:rsidR="000B4725" w:rsidRPr="009E427C">
        <w:rPr>
          <w:rFonts w:ascii="Book Antiqua" w:hAnsi="Book Antiqua"/>
          <w:sz w:val="24"/>
          <w:szCs w:val="24"/>
          <w:vertAlign w:val="superscript"/>
        </w:rPr>
        <w:t>12-15</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00074195">
        <w:rPr>
          <w:rFonts w:ascii="Book Antiqua" w:hAnsi="Book Antiqua"/>
          <w:sz w:val="24"/>
          <w:szCs w:val="24"/>
        </w:rPr>
        <w:t xml:space="preserve"> </w:t>
      </w:r>
      <w:r w:rsidR="007D45BE" w:rsidRPr="009E427C">
        <w:rPr>
          <w:rFonts w:ascii="Book Antiqua" w:hAnsi="Book Antiqua"/>
          <w:sz w:val="24"/>
          <w:szCs w:val="24"/>
        </w:rPr>
        <w:t>There was a strong correlation between AUC</w:t>
      </w:r>
      <w:r w:rsidR="007D45BE" w:rsidRPr="009E427C">
        <w:rPr>
          <w:rFonts w:ascii="Book Antiqua" w:hAnsi="Book Antiqua"/>
          <w:sz w:val="24"/>
          <w:szCs w:val="24"/>
          <w:vertAlign w:val="subscript"/>
        </w:rPr>
        <w:t xml:space="preserve">0-24 </w:t>
      </w:r>
      <w:r w:rsidR="007D45BE" w:rsidRPr="009E427C">
        <w:rPr>
          <w:rFonts w:ascii="Book Antiqua" w:hAnsi="Book Antiqua"/>
          <w:sz w:val="24"/>
          <w:szCs w:val="24"/>
        </w:rPr>
        <w:t xml:space="preserve">and </w:t>
      </w:r>
      <w:proofErr w:type="spellStart"/>
      <w:r w:rsidR="007D45BE" w:rsidRPr="009E427C">
        <w:rPr>
          <w:rFonts w:ascii="Book Antiqua" w:hAnsi="Book Antiqua"/>
          <w:sz w:val="24"/>
          <w:szCs w:val="24"/>
        </w:rPr>
        <w:t>C</w:t>
      </w:r>
      <w:r w:rsidR="007D45BE" w:rsidRPr="009E427C">
        <w:rPr>
          <w:rFonts w:ascii="Book Antiqua" w:hAnsi="Book Antiqua"/>
          <w:sz w:val="24"/>
          <w:szCs w:val="24"/>
          <w:vertAlign w:val="subscript"/>
        </w:rPr>
        <w:t>min</w:t>
      </w:r>
      <w:proofErr w:type="spellEnd"/>
      <w:r w:rsidR="007D45BE" w:rsidRPr="009E427C">
        <w:rPr>
          <w:rFonts w:ascii="Book Antiqua" w:hAnsi="Book Antiqua"/>
          <w:sz w:val="24"/>
          <w:szCs w:val="24"/>
        </w:rPr>
        <w:t xml:space="preserve"> for extended release tacrolimus and tacrolimus-BID (r</w:t>
      </w:r>
      <w:r w:rsidR="00D823AE">
        <w:rPr>
          <w:rFonts w:ascii="Book Antiqua" w:hAnsi="Book Antiqua" w:hint="eastAsia"/>
          <w:sz w:val="24"/>
          <w:szCs w:val="24"/>
          <w:lang w:eastAsia="zh-CN"/>
        </w:rPr>
        <w:t xml:space="preserve"> </w:t>
      </w:r>
      <w:r w:rsidR="007D45BE" w:rsidRPr="009E427C">
        <w:rPr>
          <w:rFonts w:ascii="Book Antiqua" w:hAnsi="Book Antiqua"/>
          <w:sz w:val="24"/>
          <w:szCs w:val="24"/>
        </w:rPr>
        <w:t>=</w:t>
      </w:r>
      <w:r w:rsidR="00D823AE">
        <w:rPr>
          <w:rFonts w:ascii="Book Antiqua" w:hAnsi="Book Antiqua" w:hint="eastAsia"/>
          <w:sz w:val="24"/>
          <w:szCs w:val="24"/>
          <w:lang w:eastAsia="zh-CN"/>
        </w:rPr>
        <w:t xml:space="preserve"> </w:t>
      </w:r>
      <w:r w:rsidR="007D45BE" w:rsidRPr="009E427C">
        <w:rPr>
          <w:rFonts w:ascii="Book Antiqua" w:hAnsi="Book Antiqua"/>
          <w:sz w:val="24"/>
          <w:szCs w:val="24"/>
        </w:rPr>
        <w:t>0.83 and r</w:t>
      </w:r>
      <w:r w:rsidR="00D823AE">
        <w:rPr>
          <w:rFonts w:ascii="Book Antiqua" w:hAnsi="Book Antiqua" w:hint="eastAsia"/>
          <w:sz w:val="24"/>
          <w:szCs w:val="24"/>
          <w:lang w:eastAsia="zh-CN"/>
        </w:rPr>
        <w:t xml:space="preserve"> </w:t>
      </w:r>
      <w:r w:rsidR="007D45BE" w:rsidRPr="009E427C">
        <w:rPr>
          <w:rFonts w:ascii="Book Antiqua" w:hAnsi="Book Antiqua"/>
          <w:sz w:val="24"/>
          <w:szCs w:val="24"/>
        </w:rPr>
        <w:t>=</w:t>
      </w:r>
      <w:r w:rsidR="00D823AE">
        <w:rPr>
          <w:rFonts w:ascii="Book Antiqua" w:hAnsi="Book Antiqua" w:hint="eastAsia"/>
          <w:sz w:val="24"/>
          <w:szCs w:val="24"/>
          <w:lang w:eastAsia="zh-CN"/>
        </w:rPr>
        <w:t xml:space="preserve"> </w:t>
      </w:r>
      <w:r w:rsidR="007D45BE" w:rsidRPr="009E427C">
        <w:rPr>
          <w:rFonts w:ascii="Book Antiqua" w:hAnsi="Book Antiqua"/>
          <w:sz w:val="24"/>
          <w:szCs w:val="24"/>
        </w:rPr>
        <w:t xml:space="preserve">0.94, </w:t>
      </w:r>
      <w:r w:rsidR="009D6ACD" w:rsidRPr="009E427C">
        <w:rPr>
          <w:rFonts w:ascii="Book Antiqua" w:hAnsi="Book Antiqua"/>
          <w:sz w:val="24"/>
          <w:szCs w:val="24"/>
        </w:rPr>
        <w:t xml:space="preserve">respectively; </w:t>
      </w:r>
      <w:r w:rsidR="009D6ACD" w:rsidRPr="00D823AE">
        <w:rPr>
          <w:rFonts w:ascii="Book Antiqua" w:hAnsi="Book Antiqua"/>
          <w:i/>
          <w:sz w:val="24"/>
          <w:szCs w:val="24"/>
        </w:rPr>
        <w:t>P</w:t>
      </w:r>
      <w:r w:rsidR="00D823AE">
        <w:rPr>
          <w:rFonts w:ascii="Book Antiqua" w:hAnsi="Book Antiqua" w:hint="eastAsia"/>
          <w:sz w:val="24"/>
          <w:szCs w:val="24"/>
          <w:lang w:eastAsia="zh-CN"/>
        </w:rPr>
        <w:t xml:space="preserve"> </w:t>
      </w:r>
      <w:r w:rsidR="0068630C">
        <w:rPr>
          <w:rFonts w:ascii="Book Antiqua" w:hAnsi="Book Antiqua"/>
          <w:sz w:val="24"/>
          <w:szCs w:val="24"/>
        </w:rPr>
        <w:t>= not available)</w:t>
      </w:r>
      <w:r w:rsidR="005110F0" w:rsidRPr="009E427C">
        <w:rPr>
          <w:rFonts w:ascii="Book Antiqua" w:hAnsi="Book Antiqua"/>
          <w:sz w:val="24"/>
          <w:szCs w:val="24"/>
          <w:vertAlign w:val="superscript"/>
        </w:rPr>
        <w:t>[</w:t>
      </w:r>
      <w:r w:rsidR="009366E5" w:rsidRPr="009E427C">
        <w:rPr>
          <w:rFonts w:ascii="Book Antiqua" w:hAnsi="Book Antiqua"/>
          <w:sz w:val="24"/>
          <w:szCs w:val="24"/>
          <w:vertAlign w:val="superscript"/>
        </w:rPr>
        <w:t>1</w:t>
      </w:r>
      <w:r w:rsidR="000B4725" w:rsidRPr="009E427C">
        <w:rPr>
          <w:rFonts w:ascii="Book Antiqua" w:hAnsi="Book Antiqua"/>
          <w:sz w:val="24"/>
          <w:szCs w:val="24"/>
          <w:vertAlign w:val="superscript"/>
        </w:rPr>
        <w:t>6</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p>
    <w:p w14:paraId="29499311" w14:textId="77777777" w:rsidR="007D45BE" w:rsidRPr="009E427C" w:rsidRDefault="007D45BE" w:rsidP="00190C0B">
      <w:pPr>
        <w:spacing w:after="0" w:line="360" w:lineRule="auto"/>
        <w:jc w:val="both"/>
        <w:rPr>
          <w:rFonts w:ascii="Book Antiqua" w:hAnsi="Book Antiqua"/>
          <w:sz w:val="24"/>
          <w:szCs w:val="24"/>
        </w:rPr>
      </w:pPr>
    </w:p>
    <w:p w14:paraId="069BC7D9" w14:textId="74763E17" w:rsidR="007D45BE" w:rsidRPr="009E427C" w:rsidRDefault="007D45BE" w:rsidP="00190C0B">
      <w:pPr>
        <w:spacing w:after="0" w:line="360" w:lineRule="auto"/>
        <w:ind w:firstLineChars="100" w:firstLine="240"/>
        <w:jc w:val="both"/>
        <w:rPr>
          <w:rFonts w:ascii="Book Antiqua" w:hAnsi="Book Antiqua"/>
          <w:sz w:val="24"/>
          <w:szCs w:val="24"/>
        </w:rPr>
      </w:pPr>
      <w:r w:rsidRPr="009E427C">
        <w:rPr>
          <w:rFonts w:ascii="Book Antiqua" w:hAnsi="Book Antiqua"/>
          <w:sz w:val="24"/>
          <w:szCs w:val="24"/>
        </w:rPr>
        <w:lastRenderedPageBreak/>
        <w:t xml:space="preserve">A randomized, double-blind, phase III trial was subsequently performed to study the effect of pre-transplant initiation of extended release tacrolimus and tacrolimus-BID on the pharmacokinetic profiles in </w:t>
      </w:r>
      <w:r w:rsidRPr="009E427C">
        <w:rPr>
          <w:rFonts w:ascii="Book Antiqua" w:hAnsi="Book Antiqua"/>
          <w:i/>
          <w:sz w:val="24"/>
          <w:szCs w:val="24"/>
        </w:rPr>
        <w:t>de novo</w:t>
      </w:r>
      <w:r w:rsidRPr="009E427C">
        <w:rPr>
          <w:rFonts w:ascii="Book Antiqua" w:hAnsi="Book Antiqua"/>
          <w:sz w:val="24"/>
          <w:szCs w:val="24"/>
        </w:rPr>
        <w:t xml:space="preserve"> kidney transplant (extended release tacrolimus</w:t>
      </w:r>
      <w:r w:rsidR="009D6ACD"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9D6ACD" w:rsidRPr="009E427C">
        <w:rPr>
          <w:rFonts w:ascii="Book Antiqua" w:hAnsi="Book Antiqua"/>
          <w:sz w:val="24"/>
          <w:szCs w:val="24"/>
        </w:rPr>
        <w:t xml:space="preserve"> 17; tacrolimus-BID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9F0435">
        <w:rPr>
          <w:rFonts w:ascii="Book Antiqua" w:hAnsi="Book Antiqua"/>
          <w:sz w:val="24"/>
          <w:szCs w:val="24"/>
        </w:rPr>
        <w:t xml:space="preserve"> 17)</w:t>
      </w:r>
      <w:r w:rsidR="005110F0" w:rsidRPr="009E427C">
        <w:rPr>
          <w:rFonts w:ascii="Book Antiqua" w:hAnsi="Book Antiqua"/>
          <w:sz w:val="24"/>
          <w:szCs w:val="24"/>
          <w:vertAlign w:val="superscript"/>
        </w:rPr>
        <w:t>[</w:t>
      </w:r>
      <w:r w:rsidR="009366E5" w:rsidRPr="009E427C">
        <w:rPr>
          <w:rFonts w:ascii="Book Antiqua" w:hAnsi="Book Antiqua"/>
          <w:sz w:val="24"/>
          <w:szCs w:val="24"/>
          <w:vertAlign w:val="superscript"/>
        </w:rPr>
        <w:t>1</w:t>
      </w:r>
      <w:r w:rsidR="000B4725" w:rsidRPr="009E427C">
        <w:rPr>
          <w:rFonts w:ascii="Book Antiqua" w:hAnsi="Book Antiqua"/>
          <w:sz w:val="24"/>
          <w:szCs w:val="24"/>
          <w:vertAlign w:val="superscript"/>
        </w:rPr>
        <w:t>7</w:t>
      </w:r>
      <w:r w:rsidR="005110F0" w:rsidRPr="009E427C">
        <w:rPr>
          <w:rFonts w:ascii="Book Antiqua" w:hAnsi="Book Antiqua"/>
          <w:sz w:val="24"/>
          <w:szCs w:val="24"/>
          <w:vertAlign w:val="superscript"/>
        </w:rPr>
        <w:t>]</w:t>
      </w:r>
      <w:r w:rsidR="009D6ACD"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 xml:space="preserve">The first dose of tacrolimus </w:t>
      </w:r>
      <w:r w:rsidR="002A4F88">
        <w:rPr>
          <w:rFonts w:ascii="Book Antiqua" w:hAnsi="Book Antiqua"/>
          <w:sz w:val="24"/>
          <w:szCs w:val="24"/>
        </w:rPr>
        <w:t>was administered within 12 h</w:t>
      </w:r>
      <w:r w:rsidRPr="009E427C">
        <w:rPr>
          <w:rFonts w:ascii="Book Antiqua" w:hAnsi="Book Antiqua"/>
          <w:sz w:val="24"/>
          <w:szCs w:val="24"/>
        </w:rPr>
        <w:t xml:space="preserve"> before reperfusion (day 0).</w:t>
      </w:r>
      <w:r w:rsidR="00074195">
        <w:rPr>
          <w:rFonts w:ascii="Book Antiqua" w:hAnsi="Book Antiqua"/>
          <w:sz w:val="24"/>
          <w:szCs w:val="24"/>
        </w:rPr>
        <w:t xml:space="preserve"> </w:t>
      </w:r>
      <w:r w:rsidRPr="009E427C">
        <w:rPr>
          <w:rFonts w:ascii="Book Antiqua" w:hAnsi="Book Antiqua"/>
          <w:sz w:val="24"/>
          <w:szCs w:val="24"/>
        </w:rPr>
        <w:t>The AUC</w:t>
      </w:r>
      <w:r w:rsidRPr="009E427C">
        <w:rPr>
          <w:rFonts w:ascii="Book Antiqua" w:hAnsi="Book Antiqua"/>
          <w:sz w:val="24"/>
          <w:szCs w:val="24"/>
          <w:vertAlign w:val="subscript"/>
        </w:rPr>
        <w:t xml:space="preserve">0-24 </w:t>
      </w:r>
      <w:r w:rsidRPr="009E427C">
        <w:rPr>
          <w:rFonts w:ascii="Book Antiqua" w:hAnsi="Book Antiqua"/>
          <w:sz w:val="24"/>
          <w:szCs w:val="24"/>
        </w:rPr>
        <w:t>was approximately 16% lower in the extended release tacrolimus group on day 1 (ratio of means 83.18%, 90% CI: 56.11-110.25%), but reached comparable AUC</w:t>
      </w:r>
      <w:r w:rsidRPr="009E427C">
        <w:rPr>
          <w:rFonts w:ascii="Book Antiqua" w:hAnsi="Book Antiqua"/>
          <w:sz w:val="24"/>
          <w:szCs w:val="24"/>
          <w:vertAlign w:val="subscript"/>
        </w:rPr>
        <w:t xml:space="preserve">0-24 </w:t>
      </w:r>
      <w:r w:rsidRPr="009E427C">
        <w:rPr>
          <w:rFonts w:ascii="Book Antiqua" w:hAnsi="Book Antiqua"/>
          <w:sz w:val="24"/>
          <w:szCs w:val="24"/>
        </w:rPr>
        <w:t>to tacrolimus-BID on day 3 (ratio of means 102.2%, 90% CI: 76.21-128.18)</w:t>
      </w:r>
      <w:r w:rsidR="009366E5"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The extended release tacrolimus group had a higher AUC</w:t>
      </w:r>
      <w:r w:rsidRPr="009E427C">
        <w:rPr>
          <w:rFonts w:ascii="Book Antiqua" w:hAnsi="Book Antiqua"/>
          <w:sz w:val="24"/>
          <w:szCs w:val="24"/>
          <w:vertAlign w:val="subscript"/>
        </w:rPr>
        <w:t xml:space="preserve">0-24 </w:t>
      </w:r>
      <w:r w:rsidRPr="009E427C">
        <w:rPr>
          <w:rFonts w:ascii="Book Antiqua" w:hAnsi="Book Antiqua"/>
          <w:sz w:val="24"/>
          <w:szCs w:val="24"/>
        </w:rPr>
        <w:t>compared to tacrolimus-BID on both day 7 (</w:t>
      </w:r>
      <w:r w:rsidR="002D4F1B">
        <w:rPr>
          <w:rFonts w:ascii="Book Antiqua" w:hAnsi="Book Antiqua" w:hint="eastAsia"/>
          <w:sz w:val="24"/>
          <w:szCs w:val="24"/>
          <w:lang w:eastAsia="zh-CN"/>
        </w:rPr>
        <w:t>O</w:t>
      </w:r>
      <w:r w:rsidR="0068630C">
        <w:rPr>
          <w:rFonts w:ascii="Book Antiqua" w:hAnsi="Book Antiqua" w:hint="eastAsia"/>
          <w:sz w:val="24"/>
          <w:szCs w:val="24"/>
          <w:lang w:eastAsia="zh-CN"/>
        </w:rPr>
        <w:t>R =</w:t>
      </w:r>
      <w:r w:rsidR="005B3FE1">
        <w:rPr>
          <w:rFonts w:ascii="Book Antiqua" w:hAnsi="Book Antiqua"/>
          <w:sz w:val="24"/>
          <w:szCs w:val="24"/>
        </w:rPr>
        <w:t xml:space="preserve"> 120.81%</w:t>
      </w:r>
      <w:r w:rsidR="00CA57A0">
        <w:rPr>
          <w:rFonts w:ascii="Book Antiqua" w:hAnsi="Book Antiqua" w:hint="eastAsia"/>
          <w:sz w:val="24"/>
          <w:szCs w:val="24"/>
          <w:lang w:eastAsia="zh-CN"/>
        </w:rPr>
        <w:t xml:space="preserve">; </w:t>
      </w:r>
      <w:r w:rsidR="005B3FE1">
        <w:rPr>
          <w:rFonts w:ascii="Book Antiqua" w:hAnsi="Book Antiqua"/>
          <w:sz w:val="24"/>
          <w:szCs w:val="24"/>
        </w:rPr>
        <w:t>90%</w:t>
      </w:r>
      <w:r w:rsidRPr="009E427C">
        <w:rPr>
          <w:rFonts w:ascii="Book Antiqua" w:hAnsi="Book Antiqua"/>
          <w:sz w:val="24"/>
          <w:szCs w:val="24"/>
        </w:rPr>
        <w:t>CI: 100.54-141.09) and day 14 post-transplant (</w:t>
      </w:r>
      <w:r w:rsidR="008115D1">
        <w:rPr>
          <w:rFonts w:ascii="Book Antiqua" w:hAnsi="Book Antiqua" w:hint="eastAsia"/>
          <w:sz w:val="24"/>
          <w:szCs w:val="24"/>
          <w:lang w:eastAsia="zh-CN"/>
        </w:rPr>
        <w:t>OR =</w:t>
      </w:r>
      <w:r w:rsidR="008115D1">
        <w:rPr>
          <w:rFonts w:ascii="Book Antiqua" w:hAnsi="Book Antiqua"/>
          <w:sz w:val="24"/>
          <w:szCs w:val="24"/>
        </w:rPr>
        <w:t xml:space="preserve"> </w:t>
      </w:r>
      <w:r w:rsidR="00CA57A0">
        <w:rPr>
          <w:rFonts w:ascii="Book Antiqua" w:hAnsi="Book Antiqua"/>
          <w:sz w:val="24"/>
          <w:szCs w:val="24"/>
        </w:rPr>
        <w:t>121.24%</w:t>
      </w:r>
      <w:r w:rsidR="00CA57A0">
        <w:rPr>
          <w:rFonts w:ascii="Book Antiqua" w:hAnsi="Book Antiqua" w:hint="eastAsia"/>
          <w:sz w:val="24"/>
          <w:szCs w:val="24"/>
          <w:lang w:eastAsia="zh-CN"/>
        </w:rPr>
        <w:t>;</w:t>
      </w:r>
      <w:r w:rsidR="00CA57A0">
        <w:rPr>
          <w:rFonts w:ascii="Book Antiqua" w:hAnsi="Book Antiqua"/>
          <w:sz w:val="24"/>
          <w:szCs w:val="24"/>
        </w:rPr>
        <w:t xml:space="preserve"> 90%</w:t>
      </w:r>
      <w:r w:rsidRPr="009E427C">
        <w:rPr>
          <w:rFonts w:ascii="Book Antiqua" w:hAnsi="Book Antiqua"/>
          <w:sz w:val="24"/>
          <w:szCs w:val="24"/>
        </w:rPr>
        <w:t>CI: 104.29-138.19%)</w:t>
      </w:r>
      <w:r w:rsidR="009366E5" w:rsidRPr="009E427C">
        <w:rPr>
          <w:rFonts w:ascii="Book Antiqua" w:hAnsi="Book Antiqua"/>
          <w:sz w:val="24"/>
          <w:szCs w:val="24"/>
        </w:rPr>
        <w:t xml:space="preserve">. </w:t>
      </w:r>
      <w:r w:rsidRPr="009E427C">
        <w:rPr>
          <w:rFonts w:ascii="Book Antiqua" w:hAnsi="Book Antiqua"/>
          <w:sz w:val="24"/>
          <w:szCs w:val="24"/>
        </w:rPr>
        <w:t>Therefore, initiation of extended release tacrolimus prior to transplantation may minimize differences in exposure between formulations in the early post-transplant period.</w:t>
      </w:r>
      <w:r w:rsidR="009366E5" w:rsidRPr="009E427C">
        <w:rPr>
          <w:rFonts w:ascii="Book Antiqua" w:hAnsi="Book Antiqua"/>
          <w:sz w:val="24"/>
          <w:szCs w:val="24"/>
        </w:rPr>
        <w:t xml:space="preserve"> </w:t>
      </w:r>
      <w:r w:rsidRPr="009E427C">
        <w:rPr>
          <w:rFonts w:ascii="Book Antiqua" w:hAnsi="Book Antiqua"/>
          <w:sz w:val="24"/>
          <w:szCs w:val="24"/>
        </w:rPr>
        <w:t xml:space="preserve">These data support the FDA-approved dosage recommendation for extended release tacrolimus in </w:t>
      </w:r>
      <w:r w:rsidRPr="009E427C">
        <w:rPr>
          <w:rFonts w:ascii="Book Antiqua" w:hAnsi="Book Antiqua"/>
          <w:i/>
          <w:sz w:val="24"/>
          <w:szCs w:val="24"/>
        </w:rPr>
        <w:t>de novo</w:t>
      </w:r>
      <w:r w:rsidR="00E26055" w:rsidRPr="009E427C">
        <w:rPr>
          <w:rFonts w:ascii="Book Antiqua" w:hAnsi="Book Antiqua"/>
          <w:sz w:val="24"/>
          <w:szCs w:val="24"/>
        </w:rPr>
        <w:t xml:space="preserve"> renal transplantation</w:t>
      </w:r>
      <w:r w:rsidRPr="009E427C">
        <w:rPr>
          <w:rFonts w:ascii="Book Antiqua" w:hAnsi="Book Antiqua"/>
          <w:sz w:val="24"/>
          <w:szCs w:val="24"/>
        </w:rPr>
        <w:t xml:space="preserve"> (Table </w:t>
      </w:r>
      <w:r w:rsidR="00296174" w:rsidRPr="009E427C">
        <w:rPr>
          <w:rFonts w:ascii="Book Antiqua" w:hAnsi="Book Antiqua"/>
          <w:sz w:val="24"/>
          <w:szCs w:val="24"/>
        </w:rPr>
        <w:t>1</w:t>
      </w:r>
      <w:r w:rsidRPr="009E427C">
        <w:rPr>
          <w:rFonts w:ascii="Book Antiqua" w:hAnsi="Book Antiqua"/>
          <w:sz w:val="24"/>
          <w:szCs w:val="24"/>
        </w:rPr>
        <w:t>)</w:t>
      </w:r>
      <w:r w:rsidR="00E26055" w:rsidRPr="009E427C">
        <w:rPr>
          <w:rFonts w:ascii="Book Antiqua" w:hAnsi="Book Antiqua"/>
          <w:sz w:val="24"/>
          <w:szCs w:val="24"/>
          <w:vertAlign w:val="superscript"/>
        </w:rPr>
        <w:t>[9]</w:t>
      </w:r>
      <w:r w:rsidR="00E26055"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 xml:space="preserve">Frequent monitoring of trough concentrations should be implemented in order to minimize excessive exposure as evidenced by </w:t>
      </w:r>
      <w:proofErr w:type="spellStart"/>
      <w:r w:rsidRPr="009E427C">
        <w:rPr>
          <w:rFonts w:ascii="Book Antiqua" w:hAnsi="Book Antiqua"/>
          <w:sz w:val="24"/>
          <w:szCs w:val="24"/>
        </w:rPr>
        <w:t>supratherapeutic</w:t>
      </w:r>
      <w:proofErr w:type="spellEnd"/>
      <w:r w:rsidRPr="009E427C">
        <w:rPr>
          <w:rFonts w:ascii="Book Antiqua" w:hAnsi="Book Antiqua"/>
          <w:sz w:val="24"/>
          <w:szCs w:val="24"/>
        </w:rPr>
        <w:t xml:space="preserve"> concentrations. </w:t>
      </w:r>
    </w:p>
    <w:p w14:paraId="5D85EE8F" w14:textId="300443BA"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Two additional conversion studies from tacrolimus-BID to extended release tacrolimus have demonstrated similar steady-state pharmacokinetics between formulations after a milligram-for-milligram conversion in stab</w:t>
      </w:r>
      <w:r w:rsidR="00CA57A0">
        <w:rPr>
          <w:rFonts w:ascii="Book Antiqua" w:hAnsi="Book Antiqua"/>
          <w:sz w:val="24"/>
          <w:szCs w:val="24"/>
        </w:rPr>
        <w:t xml:space="preserve">le kidney transplant </w:t>
      </w:r>
      <w:proofErr w:type="gramStart"/>
      <w:r w:rsidR="00CA57A0">
        <w:rPr>
          <w:rFonts w:ascii="Book Antiqua" w:hAnsi="Book Antiqua"/>
          <w:sz w:val="24"/>
          <w:szCs w:val="24"/>
        </w:rPr>
        <w:t>recipients</w:t>
      </w:r>
      <w:r w:rsidR="005110F0" w:rsidRPr="009E427C">
        <w:rPr>
          <w:rFonts w:ascii="Book Antiqua" w:hAnsi="Book Antiqua"/>
          <w:sz w:val="24"/>
          <w:szCs w:val="24"/>
          <w:vertAlign w:val="superscript"/>
        </w:rPr>
        <w:t>[</w:t>
      </w:r>
      <w:proofErr w:type="gramEnd"/>
      <w:r w:rsidR="00AA0D7D" w:rsidRPr="009E427C">
        <w:rPr>
          <w:rFonts w:ascii="Book Antiqua" w:hAnsi="Book Antiqua"/>
          <w:sz w:val="24"/>
          <w:szCs w:val="24"/>
          <w:vertAlign w:val="superscript"/>
        </w:rPr>
        <w:t>1</w:t>
      </w:r>
      <w:r w:rsidR="004645FE" w:rsidRPr="009E427C">
        <w:rPr>
          <w:rFonts w:ascii="Book Antiqua" w:hAnsi="Book Antiqua"/>
          <w:sz w:val="24"/>
          <w:szCs w:val="24"/>
          <w:vertAlign w:val="superscript"/>
        </w:rPr>
        <w:t>8</w:t>
      </w:r>
      <w:r w:rsidR="00AA0D7D" w:rsidRPr="009E427C">
        <w:rPr>
          <w:rFonts w:ascii="Book Antiqua" w:hAnsi="Book Antiqua"/>
          <w:sz w:val="24"/>
          <w:szCs w:val="24"/>
          <w:vertAlign w:val="superscript"/>
        </w:rPr>
        <w:t>,</w:t>
      </w:r>
      <w:r w:rsidR="004645FE" w:rsidRPr="009E427C">
        <w:rPr>
          <w:rFonts w:ascii="Book Antiqua" w:hAnsi="Book Antiqua"/>
          <w:sz w:val="24"/>
          <w:szCs w:val="24"/>
          <w:vertAlign w:val="superscript"/>
        </w:rPr>
        <w:t>19</w:t>
      </w:r>
      <w:r w:rsidR="005110F0"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vertAlign w:val="superscript"/>
        </w:rPr>
        <w:t xml:space="preserve"> </w:t>
      </w:r>
      <w:r w:rsidRPr="009E427C">
        <w:rPr>
          <w:rFonts w:ascii="Book Antiqua" w:hAnsi="Book Antiqua"/>
          <w:sz w:val="24"/>
          <w:szCs w:val="24"/>
        </w:rPr>
        <w:t>Both studies used a single sequence, cross-over design with four pharmacokinetic evaluatio</w:t>
      </w:r>
      <w:r w:rsidR="00E26055" w:rsidRPr="009E427C">
        <w:rPr>
          <w:rFonts w:ascii="Book Antiqua" w:hAnsi="Book Antiqua"/>
          <w:sz w:val="24"/>
          <w:szCs w:val="24"/>
        </w:rPr>
        <w:t>ns at steady-state conditions</w:t>
      </w:r>
      <w:r w:rsidR="00AA0D7D" w:rsidRPr="009E427C">
        <w:rPr>
          <w:rFonts w:ascii="Book Antiqua" w:hAnsi="Book Antiqua"/>
          <w:sz w:val="24"/>
          <w:szCs w:val="24"/>
        </w:rPr>
        <w:t xml:space="preserve"> </w:t>
      </w:r>
      <w:r w:rsidRPr="009E427C">
        <w:rPr>
          <w:rFonts w:ascii="Book Antiqua" w:hAnsi="Book Antiqua"/>
          <w:sz w:val="24"/>
          <w:szCs w:val="24"/>
        </w:rPr>
        <w:t xml:space="preserve">(Table </w:t>
      </w:r>
      <w:r w:rsidR="00296174" w:rsidRPr="009E427C">
        <w:rPr>
          <w:rFonts w:ascii="Book Antiqua" w:hAnsi="Book Antiqua"/>
          <w:sz w:val="24"/>
          <w:szCs w:val="24"/>
        </w:rPr>
        <w:t>2</w:t>
      </w:r>
      <w:r w:rsidRPr="009E427C">
        <w:rPr>
          <w:rFonts w:ascii="Book Antiqua" w:hAnsi="Book Antiqua"/>
          <w:sz w:val="24"/>
          <w:szCs w:val="24"/>
        </w:rPr>
        <w:t>)</w:t>
      </w:r>
      <w:r w:rsidR="00E26055" w:rsidRPr="009E427C">
        <w:rPr>
          <w:rFonts w:ascii="Book Antiqua" w:hAnsi="Book Antiqua"/>
          <w:sz w:val="24"/>
          <w:szCs w:val="24"/>
        </w:rPr>
        <w:t>.</w:t>
      </w:r>
      <w:r w:rsidRPr="009E427C">
        <w:rPr>
          <w:rFonts w:ascii="Book Antiqua" w:hAnsi="Book Antiqua"/>
          <w:sz w:val="24"/>
          <w:szCs w:val="24"/>
        </w:rPr>
        <w:t xml:space="preserve"> These data support the conversion of tacrolimus-BID to extended release tacrolimus on a 1:1 (mg: mg) total daily dose basis.</w:t>
      </w:r>
      <w:r w:rsidR="00074195">
        <w:rPr>
          <w:rFonts w:ascii="Book Antiqua" w:hAnsi="Book Antiqua"/>
          <w:sz w:val="24"/>
          <w:szCs w:val="24"/>
        </w:rPr>
        <w:t xml:space="preserve"> </w:t>
      </w:r>
      <w:r w:rsidRPr="009E427C">
        <w:rPr>
          <w:rFonts w:ascii="Book Antiqua" w:hAnsi="Book Antiqua"/>
          <w:sz w:val="24"/>
          <w:szCs w:val="24"/>
        </w:rPr>
        <w:t xml:space="preserve">However, reductions in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rPr>
        <w:t xml:space="preserve"> and AUC</w:t>
      </w:r>
      <w:r w:rsidRPr="009E427C">
        <w:rPr>
          <w:rFonts w:ascii="Book Antiqua" w:hAnsi="Book Antiqua"/>
          <w:sz w:val="24"/>
          <w:szCs w:val="24"/>
          <w:vertAlign w:val="subscript"/>
        </w:rPr>
        <w:t>0-24</w:t>
      </w:r>
      <w:r w:rsidRPr="009E427C">
        <w:rPr>
          <w:rFonts w:ascii="Book Antiqua" w:hAnsi="Book Antiqua"/>
          <w:sz w:val="24"/>
          <w:szCs w:val="24"/>
        </w:rPr>
        <w:t xml:space="preserve"> have been reported following conversion in multiple studies in various solid-organ transplant populations with a dose escalation requirem</w:t>
      </w:r>
      <w:r w:rsidR="00CA57A0">
        <w:rPr>
          <w:rFonts w:ascii="Book Antiqua" w:hAnsi="Book Antiqua"/>
          <w:sz w:val="24"/>
          <w:szCs w:val="24"/>
        </w:rPr>
        <w:t xml:space="preserve">ent in up to 50% of </w:t>
      </w:r>
      <w:proofErr w:type="gramStart"/>
      <w:r w:rsidR="00CA57A0">
        <w:rPr>
          <w:rFonts w:ascii="Book Antiqua" w:hAnsi="Book Antiqua"/>
          <w:sz w:val="24"/>
          <w:szCs w:val="24"/>
        </w:rPr>
        <w:t>recipients</w:t>
      </w:r>
      <w:r w:rsidR="005110F0" w:rsidRPr="009E427C">
        <w:rPr>
          <w:rFonts w:ascii="Book Antiqua" w:hAnsi="Book Antiqua"/>
          <w:sz w:val="24"/>
          <w:szCs w:val="24"/>
          <w:vertAlign w:val="superscript"/>
        </w:rPr>
        <w:t>[</w:t>
      </w:r>
      <w:proofErr w:type="gramEnd"/>
      <w:r w:rsidR="004645FE" w:rsidRPr="009E427C">
        <w:rPr>
          <w:rFonts w:ascii="Book Antiqua" w:hAnsi="Book Antiqua"/>
          <w:sz w:val="24"/>
          <w:szCs w:val="24"/>
          <w:vertAlign w:val="superscript"/>
        </w:rPr>
        <w:t>19</w:t>
      </w:r>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4</w:t>
      </w:r>
      <w:r w:rsidR="005110F0" w:rsidRPr="009E427C">
        <w:rPr>
          <w:rFonts w:ascii="Book Antiqua" w:hAnsi="Book Antiqua"/>
          <w:sz w:val="24"/>
          <w:szCs w:val="24"/>
          <w:vertAlign w:val="superscript"/>
        </w:rPr>
        <w:t>]</w:t>
      </w:r>
      <w:r w:rsidR="00E26055" w:rsidRPr="009E427C">
        <w:rPr>
          <w:rFonts w:ascii="Book Antiqua" w:hAnsi="Book Antiqua"/>
          <w:sz w:val="24"/>
          <w:szCs w:val="24"/>
        </w:rPr>
        <w:t>.</w:t>
      </w:r>
      <w:r w:rsidRPr="009E427C">
        <w:rPr>
          <w:rFonts w:ascii="Book Antiqua" w:hAnsi="Book Antiqua"/>
          <w:sz w:val="24"/>
          <w:szCs w:val="24"/>
        </w:rPr>
        <w:t xml:space="preserve"> Therefore, close therapeutic drug monitoring is warranted following conversion between formulations. </w:t>
      </w:r>
    </w:p>
    <w:p w14:paraId="6E293E80" w14:textId="5C5CFD75" w:rsidR="007D45BE" w:rsidRDefault="007D45BE" w:rsidP="00190C0B">
      <w:pPr>
        <w:spacing w:after="0" w:line="360" w:lineRule="auto"/>
        <w:ind w:firstLine="720"/>
        <w:jc w:val="both"/>
        <w:rPr>
          <w:rFonts w:ascii="Book Antiqua" w:hAnsi="Book Antiqua"/>
          <w:sz w:val="24"/>
          <w:szCs w:val="24"/>
          <w:lang w:eastAsia="zh-CN"/>
        </w:rPr>
      </w:pPr>
      <w:r w:rsidRPr="009E427C">
        <w:rPr>
          <w:rFonts w:ascii="Book Antiqua" w:hAnsi="Book Antiqua"/>
          <w:sz w:val="24"/>
          <w:szCs w:val="24"/>
        </w:rPr>
        <w:t>Regarding special populations, extended release tacrolimus is subject to the same renal and hepatic impairment rec</w:t>
      </w:r>
      <w:r w:rsidR="00CA57A0">
        <w:rPr>
          <w:rFonts w:ascii="Book Antiqua" w:hAnsi="Book Antiqua"/>
          <w:sz w:val="24"/>
          <w:szCs w:val="24"/>
        </w:rPr>
        <w:t>ommendations as tacrolimus-BID.</w:t>
      </w:r>
      <w:r w:rsidRPr="009E427C">
        <w:rPr>
          <w:rFonts w:ascii="Book Antiqua" w:hAnsi="Book Antiqua"/>
          <w:sz w:val="24"/>
          <w:szCs w:val="24"/>
        </w:rPr>
        <w:t xml:space="preserve"> The mean clearance of tacrolimus in patients with renal dysfunction is simi</w:t>
      </w:r>
      <w:r w:rsidR="009F0435">
        <w:rPr>
          <w:rFonts w:ascii="Book Antiqua" w:hAnsi="Book Antiqua"/>
          <w:sz w:val="24"/>
          <w:szCs w:val="24"/>
        </w:rPr>
        <w:t xml:space="preserve">lar to that in healthy </w:t>
      </w:r>
      <w:proofErr w:type="gramStart"/>
      <w:r w:rsidR="009F0435">
        <w:rPr>
          <w:rFonts w:ascii="Book Antiqua" w:hAnsi="Book Antiqua"/>
          <w:sz w:val="24"/>
          <w:szCs w:val="24"/>
        </w:rPr>
        <w:t>subjects</w:t>
      </w:r>
      <w:r w:rsidR="005110F0" w:rsidRPr="009E427C">
        <w:rPr>
          <w:rFonts w:ascii="Book Antiqua" w:hAnsi="Book Antiqua"/>
          <w:sz w:val="24"/>
          <w:szCs w:val="24"/>
          <w:vertAlign w:val="superscript"/>
        </w:rPr>
        <w:t>[</w:t>
      </w:r>
      <w:proofErr w:type="gramEnd"/>
      <w:r w:rsidRPr="009E427C">
        <w:rPr>
          <w:rFonts w:ascii="Book Antiqua" w:hAnsi="Book Antiqua"/>
          <w:sz w:val="24"/>
          <w:szCs w:val="24"/>
          <w:vertAlign w:val="superscript"/>
        </w:rPr>
        <w:t>3</w:t>
      </w:r>
      <w:r w:rsidR="005110F0"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lastRenderedPageBreak/>
        <w:t>Tacrolimus is not dialyzed to any significant extent due to its poor aqueous solubility and extensive erythrocyte and plasma protein binding.</w:t>
      </w:r>
      <w:r w:rsidR="00074195">
        <w:rPr>
          <w:rFonts w:ascii="Book Antiqua" w:hAnsi="Book Antiqua"/>
          <w:sz w:val="24"/>
          <w:szCs w:val="24"/>
        </w:rPr>
        <w:t xml:space="preserve"> </w:t>
      </w:r>
      <w:r w:rsidRPr="009E427C">
        <w:rPr>
          <w:rFonts w:ascii="Book Antiqua" w:hAnsi="Book Antiqua"/>
          <w:sz w:val="24"/>
          <w:szCs w:val="24"/>
        </w:rPr>
        <w:t>Severe hepatic impairment (mean Child-Pugh score &gt;</w:t>
      </w:r>
      <w:r w:rsidR="00CA57A0">
        <w:rPr>
          <w:rFonts w:ascii="Book Antiqua" w:hAnsi="Book Antiqua" w:hint="eastAsia"/>
          <w:sz w:val="24"/>
          <w:szCs w:val="24"/>
          <w:lang w:eastAsia="zh-CN"/>
        </w:rPr>
        <w:t xml:space="preserve"> </w:t>
      </w:r>
      <w:r w:rsidRPr="009E427C">
        <w:rPr>
          <w:rFonts w:ascii="Book Antiqua" w:hAnsi="Book Antiqua"/>
          <w:sz w:val="24"/>
          <w:szCs w:val="24"/>
        </w:rPr>
        <w:t xml:space="preserve">10) necessitates more frequent monitoring of </w:t>
      </w: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rPr>
        <w:t xml:space="preserve"> due to significant reduction in drug clear</w:t>
      </w:r>
      <w:r w:rsidR="00CA57A0">
        <w:rPr>
          <w:rFonts w:ascii="Book Antiqua" w:hAnsi="Book Antiqua"/>
          <w:sz w:val="24"/>
          <w:szCs w:val="24"/>
        </w:rPr>
        <w:t>ance and risk of accumulation.</w:t>
      </w:r>
      <w:r w:rsidR="00074195">
        <w:rPr>
          <w:rFonts w:ascii="Book Antiqua" w:hAnsi="Book Antiqua"/>
          <w:sz w:val="24"/>
          <w:szCs w:val="24"/>
        </w:rPr>
        <w:t xml:space="preserve"> </w:t>
      </w:r>
      <w:r w:rsidRPr="009E427C">
        <w:rPr>
          <w:rFonts w:ascii="Book Antiqua" w:hAnsi="Book Antiqua"/>
          <w:sz w:val="24"/>
          <w:szCs w:val="24"/>
        </w:rPr>
        <w:t>Pertinent pharmacokinetic considerations for non-renal transplant recipients are addressed in the organ-specific section.</w:t>
      </w:r>
    </w:p>
    <w:p w14:paraId="71895E15" w14:textId="77777777" w:rsidR="00CA57A0" w:rsidRPr="009E427C" w:rsidRDefault="00CA57A0" w:rsidP="00190C0B">
      <w:pPr>
        <w:spacing w:after="0" w:line="360" w:lineRule="auto"/>
        <w:ind w:firstLine="720"/>
        <w:jc w:val="both"/>
        <w:rPr>
          <w:rFonts w:ascii="Book Antiqua" w:hAnsi="Book Antiqua"/>
          <w:sz w:val="24"/>
          <w:szCs w:val="24"/>
          <w:lang w:eastAsia="zh-CN"/>
        </w:rPr>
      </w:pPr>
    </w:p>
    <w:p w14:paraId="3685539C" w14:textId="2CE41B0B" w:rsidR="00C93F00"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 xml:space="preserve">KIDNEY TRANSPLANTATION </w:t>
      </w:r>
    </w:p>
    <w:p w14:paraId="6203CDBE" w14:textId="5CF03C0E" w:rsidR="00A56BAC" w:rsidRPr="009E427C" w:rsidRDefault="00B06506" w:rsidP="00190C0B">
      <w:pPr>
        <w:spacing w:after="0" w:line="360" w:lineRule="auto"/>
        <w:jc w:val="both"/>
        <w:rPr>
          <w:rFonts w:ascii="Book Antiqua" w:hAnsi="Book Antiqua"/>
          <w:sz w:val="24"/>
          <w:szCs w:val="24"/>
          <w:vertAlign w:val="superscript"/>
        </w:rPr>
      </w:pPr>
      <w:r w:rsidRPr="009E427C">
        <w:rPr>
          <w:rFonts w:ascii="Book Antiqua" w:hAnsi="Book Antiqua"/>
          <w:sz w:val="24"/>
          <w:szCs w:val="24"/>
        </w:rPr>
        <w:t xml:space="preserve">Extended release tacrolimus is </w:t>
      </w:r>
      <w:r w:rsidR="001C0DAC" w:rsidRPr="009E427C">
        <w:rPr>
          <w:rFonts w:ascii="Book Antiqua" w:hAnsi="Book Antiqua"/>
          <w:sz w:val="24"/>
          <w:szCs w:val="24"/>
        </w:rPr>
        <w:t xml:space="preserve">currently only FDA approved </w:t>
      </w:r>
      <w:r w:rsidRPr="009E427C">
        <w:rPr>
          <w:rFonts w:ascii="Book Antiqua" w:hAnsi="Book Antiqua"/>
          <w:sz w:val="24"/>
          <w:szCs w:val="24"/>
        </w:rPr>
        <w:t>for the prophylaxis of rejection in patients that hav</w:t>
      </w:r>
      <w:r w:rsidR="00CA57A0">
        <w:rPr>
          <w:rFonts w:ascii="Book Antiqua" w:hAnsi="Book Antiqua"/>
          <w:sz w:val="24"/>
          <w:szCs w:val="24"/>
        </w:rPr>
        <w:t xml:space="preserve">e received a kidney </w:t>
      </w:r>
      <w:proofErr w:type="gramStart"/>
      <w:r w:rsidR="00CA57A0">
        <w:rPr>
          <w:rFonts w:ascii="Book Antiqua" w:hAnsi="Book Antiqua"/>
          <w:sz w:val="24"/>
          <w:szCs w:val="24"/>
        </w:rPr>
        <w:t>transplant</w:t>
      </w:r>
      <w:r w:rsidR="005110F0"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9</w:t>
      </w:r>
      <w:r w:rsidR="005110F0" w:rsidRPr="009E427C">
        <w:rPr>
          <w:rFonts w:ascii="Book Antiqua" w:hAnsi="Book Antiqua"/>
          <w:sz w:val="24"/>
          <w:szCs w:val="24"/>
          <w:vertAlign w:val="superscript"/>
        </w:rPr>
        <w:t>]</w:t>
      </w:r>
      <w:r w:rsidR="00E26055" w:rsidRPr="009E427C">
        <w:rPr>
          <w:rFonts w:ascii="Book Antiqua" w:hAnsi="Book Antiqua"/>
          <w:sz w:val="24"/>
          <w:szCs w:val="24"/>
        </w:rPr>
        <w:t>.</w:t>
      </w:r>
      <w:r w:rsidR="00C96403" w:rsidRPr="009E427C">
        <w:rPr>
          <w:rFonts w:ascii="Book Antiqua" w:hAnsi="Book Antiqua"/>
          <w:sz w:val="24"/>
          <w:szCs w:val="24"/>
        </w:rPr>
        <w:t xml:space="preserve"> </w:t>
      </w:r>
      <w:r w:rsidR="00A444F1" w:rsidRPr="009E427C">
        <w:rPr>
          <w:rFonts w:ascii="Book Antiqua" w:hAnsi="Book Antiqua"/>
          <w:sz w:val="24"/>
          <w:szCs w:val="24"/>
        </w:rPr>
        <w:t>One study</w:t>
      </w:r>
      <w:r w:rsidR="00C96403" w:rsidRPr="009E427C">
        <w:rPr>
          <w:rFonts w:ascii="Book Antiqua" w:hAnsi="Book Antiqua"/>
          <w:sz w:val="24"/>
          <w:szCs w:val="24"/>
        </w:rPr>
        <w:t xml:space="preserve"> </w:t>
      </w:r>
      <w:r w:rsidR="00835789" w:rsidRPr="009E427C">
        <w:rPr>
          <w:rFonts w:ascii="Book Antiqua" w:hAnsi="Book Antiqua"/>
          <w:sz w:val="24"/>
          <w:szCs w:val="24"/>
        </w:rPr>
        <w:t>examined</w:t>
      </w:r>
      <w:r w:rsidR="00C96403" w:rsidRPr="009E427C">
        <w:rPr>
          <w:rFonts w:ascii="Book Antiqua" w:hAnsi="Book Antiqua"/>
          <w:sz w:val="24"/>
          <w:szCs w:val="24"/>
        </w:rPr>
        <w:t xml:space="preserve"> </w:t>
      </w:r>
      <w:r w:rsidR="00B63ED6" w:rsidRPr="009E427C">
        <w:rPr>
          <w:rFonts w:ascii="Book Antiqua" w:hAnsi="Book Antiqua"/>
          <w:sz w:val="24"/>
          <w:szCs w:val="24"/>
        </w:rPr>
        <w:t xml:space="preserve">extended </w:t>
      </w:r>
      <w:r w:rsidR="001A525E" w:rsidRPr="009E427C">
        <w:rPr>
          <w:rFonts w:ascii="Book Antiqua" w:hAnsi="Book Antiqua"/>
          <w:sz w:val="24"/>
          <w:szCs w:val="24"/>
        </w:rPr>
        <w:t>release tacrolimus/MMF</w:t>
      </w:r>
      <w:r w:rsidR="00010CBC" w:rsidRPr="009E427C">
        <w:rPr>
          <w:rFonts w:ascii="Book Antiqua" w:hAnsi="Book Antiqua"/>
          <w:sz w:val="24"/>
          <w:szCs w:val="24"/>
        </w:rPr>
        <w:t>, compared to tacrolimus-BID/MMF</w:t>
      </w:r>
      <w:r w:rsidR="001A525E" w:rsidRPr="009E427C">
        <w:rPr>
          <w:rFonts w:ascii="Book Antiqua" w:hAnsi="Book Antiqua"/>
          <w:sz w:val="24"/>
          <w:szCs w:val="24"/>
        </w:rPr>
        <w:t xml:space="preserve"> and cyclosporine</w:t>
      </w:r>
      <w:r w:rsidR="00A444F1" w:rsidRPr="009E427C">
        <w:rPr>
          <w:rFonts w:ascii="Book Antiqua" w:hAnsi="Book Antiqua"/>
          <w:sz w:val="24"/>
          <w:szCs w:val="24"/>
        </w:rPr>
        <w:t xml:space="preserve"> (</w:t>
      </w:r>
      <w:proofErr w:type="spellStart"/>
      <w:r w:rsidR="00A444F1" w:rsidRPr="009E427C">
        <w:rPr>
          <w:rFonts w:ascii="Book Antiqua" w:hAnsi="Book Antiqua"/>
          <w:sz w:val="24"/>
          <w:szCs w:val="24"/>
        </w:rPr>
        <w:t>CsA</w:t>
      </w:r>
      <w:proofErr w:type="spellEnd"/>
      <w:r w:rsidR="00A444F1" w:rsidRPr="009E427C">
        <w:rPr>
          <w:rFonts w:ascii="Book Antiqua" w:hAnsi="Book Antiqua"/>
          <w:sz w:val="24"/>
          <w:szCs w:val="24"/>
        </w:rPr>
        <w:t>)</w:t>
      </w:r>
      <w:r w:rsidR="001A525E" w:rsidRPr="009E427C">
        <w:rPr>
          <w:rFonts w:ascii="Book Antiqua" w:hAnsi="Book Antiqua"/>
          <w:sz w:val="24"/>
          <w:szCs w:val="24"/>
        </w:rPr>
        <w:t xml:space="preserve">/MMF in </w:t>
      </w:r>
      <w:r w:rsidR="001A525E" w:rsidRPr="009E427C">
        <w:rPr>
          <w:rFonts w:ascii="Book Antiqua" w:hAnsi="Book Antiqua"/>
          <w:i/>
          <w:sz w:val="24"/>
          <w:szCs w:val="24"/>
        </w:rPr>
        <w:t>de novo</w:t>
      </w:r>
      <w:r w:rsidR="001A525E" w:rsidRPr="009E427C">
        <w:rPr>
          <w:rFonts w:ascii="Book Antiqua" w:hAnsi="Book Antiqua"/>
          <w:sz w:val="24"/>
          <w:szCs w:val="24"/>
        </w:rPr>
        <w:t xml:space="preserve"> kidney transplant recipients. </w:t>
      </w:r>
      <w:r w:rsidR="00663AD4" w:rsidRPr="009E427C">
        <w:rPr>
          <w:rFonts w:ascii="Book Antiqua" w:hAnsi="Book Antiqua"/>
          <w:sz w:val="24"/>
          <w:szCs w:val="24"/>
        </w:rPr>
        <w:t xml:space="preserve">This was a phase 3, randomized, open-label, multicenter three-arm </w:t>
      </w:r>
      <w:proofErr w:type="spellStart"/>
      <w:r w:rsidR="00663AD4" w:rsidRPr="009E427C">
        <w:rPr>
          <w:rFonts w:ascii="Book Antiqua" w:hAnsi="Book Antiqua"/>
          <w:sz w:val="24"/>
          <w:szCs w:val="24"/>
        </w:rPr>
        <w:t>noninferiority</w:t>
      </w:r>
      <w:proofErr w:type="spellEnd"/>
      <w:r w:rsidR="00663AD4" w:rsidRPr="009E427C">
        <w:rPr>
          <w:rFonts w:ascii="Book Antiqua" w:hAnsi="Book Antiqua"/>
          <w:sz w:val="24"/>
          <w:szCs w:val="24"/>
        </w:rPr>
        <w:t xml:space="preserve"> trial (3 arms: </w:t>
      </w:r>
      <w:r w:rsidR="00CA57A0" w:rsidRPr="009E427C">
        <w:rPr>
          <w:rFonts w:ascii="Book Antiqua" w:hAnsi="Book Antiqua"/>
          <w:sz w:val="24"/>
          <w:szCs w:val="24"/>
        </w:rPr>
        <w:t>E</w:t>
      </w:r>
      <w:r w:rsidR="001474F1" w:rsidRPr="009E427C">
        <w:rPr>
          <w:rFonts w:ascii="Book Antiqua" w:hAnsi="Book Antiqua"/>
          <w:sz w:val="24"/>
          <w:szCs w:val="24"/>
        </w:rPr>
        <w:t>xtended release tac</w:t>
      </w:r>
      <w:r w:rsidR="0019463A" w:rsidRPr="009E427C">
        <w:rPr>
          <w:rFonts w:ascii="Book Antiqua" w:hAnsi="Book Antiqua"/>
          <w:sz w:val="24"/>
          <w:szCs w:val="24"/>
        </w:rPr>
        <w:t>ro</w:t>
      </w:r>
      <w:r w:rsidR="001474F1" w:rsidRPr="009E427C">
        <w:rPr>
          <w:rFonts w:ascii="Book Antiqua" w:hAnsi="Book Antiqua"/>
          <w:sz w:val="24"/>
          <w:szCs w:val="24"/>
        </w:rPr>
        <w:t>limus</w:t>
      </w:r>
      <w:r w:rsidR="00C66156" w:rsidRPr="009E427C">
        <w:rPr>
          <w:rFonts w:ascii="Book Antiqua" w:hAnsi="Book Antiqua"/>
          <w:sz w:val="24"/>
          <w:szCs w:val="24"/>
        </w:rPr>
        <w:t>/</w:t>
      </w:r>
      <w:r w:rsidR="00663AD4" w:rsidRPr="009E427C">
        <w:rPr>
          <w:rFonts w:ascii="Book Antiqua" w:hAnsi="Book Antiqua"/>
          <w:sz w:val="24"/>
          <w:szCs w:val="24"/>
        </w:rPr>
        <w:t>MMF</w:t>
      </w:r>
      <w:r w:rsidR="00A444F1"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A444F1" w:rsidRPr="009E427C">
        <w:rPr>
          <w:rFonts w:ascii="Book Antiqua" w:hAnsi="Book Antiqua"/>
          <w:sz w:val="24"/>
          <w:szCs w:val="24"/>
        </w:rPr>
        <w:t xml:space="preserve"> 214;</w:t>
      </w:r>
      <w:r w:rsidR="00663AD4" w:rsidRPr="009E427C">
        <w:rPr>
          <w:rFonts w:ascii="Book Antiqua" w:hAnsi="Book Antiqua"/>
          <w:sz w:val="24"/>
          <w:szCs w:val="24"/>
        </w:rPr>
        <w:t xml:space="preserve"> </w:t>
      </w:r>
      <w:r w:rsidR="001474F1" w:rsidRPr="009E427C">
        <w:rPr>
          <w:rFonts w:ascii="Book Antiqua" w:hAnsi="Book Antiqua"/>
          <w:sz w:val="24"/>
          <w:szCs w:val="24"/>
        </w:rPr>
        <w:t>tacrolimus-BID</w:t>
      </w:r>
      <w:r w:rsidR="00663AD4" w:rsidRPr="009E427C">
        <w:rPr>
          <w:rFonts w:ascii="Book Antiqua" w:hAnsi="Book Antiqua"/>
          <w:sz w:val="24"/>
          <w:szCs w:val="24"/>
        </w:rPr>
        <w:t>/MMF</w:t>
      </w:r>
      <w:r w:rsidR="00A444F1"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A444F1" w:rsidRPr="009E427C">
        <w:rPr>
          <w:rFonts w:ascii="Book Antiqua" w:hAnsi="Book Antiqua"/>
          <w:sz w:val="24"/>
          <w:szCs w:val="24"/>
        </w:rPr>
        <w:t xml:space="preserve"> 212;</w:t>
      </w:r>
      <w:r w:rsidR="00663AD4" w:rsidRPr="009E427C">
        <w:rPr>
          <w:rFonts w:ascii="Book Antiqua" w:hAnsi="Book Antiqua"/>
          <w:sz w:val="24"/>
          <w:szCs w:val="24"/>
        </w:rPr>
        <w:t xml:space="preserve"> </w:t>
      </w:r>
      <w:proofErr w:type="spellStart"/>
      <w:r w:rsidR="00663AD4" w:rsidRPr="009E427C">
        <w:rPr>
          <w:rFonts w:ascii="Book Antiqua" w:hAnsi="Book Antiqua"/>
          <w:sz w:val="24"/>
          <w:szCs w:val="24"/>
        </w:rPr>
        <w:t>CsA</w:t>
      </w:r>
      <w:proofErr w:type="spellEnd"/>
      <w:r w:rsidR="00663AD4" w:rsidRPr="009E427C">
        <w:rPr>
          <w:rFonts w:ascii="Book Antiqua" w:hAnsi="Book Antiqua"/>
          <w:sz w:val="24"/>
          <w:szCs w:val="24"/>
        </w:rPr>
        <w:t>/MMF</w:t>
      </w:r>
      <w:r w:rsidR="00A444F1"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A444F1" w:rsidRPr="009E427C">
        <w:rPr>
          <w:rFonts w:ascii="Book Antiqua" w:hAnsi="Book Antiqua"/>
          <w:sz w:val="24"/>
          <w:szCs w:val="24"/>
        </w:rPr>
        <w:t xml:space="preserve"> 212</w:t>
      </w:r>
      <w:r w:rsidR="00663AD4" w:rsidRPr="009E427C">
        <w:rPr>
          <w:rFonts w:ascii="Book Antiqua" w:hAnsi="Book Antiqua"/>
          <w:sz w:val="24"/>
          <w:szCs w:val="24"/>
        </w:rPr>
        <w:t>)</w:t>
      </w:r>
      <w:r w:rsidR="005E2E7E" w:rsidRPr="009E427C">
        <w:rPr>
          <w:rFonts w:ascii="Book Antiqua" w:hAnsi="Book Antiqua"/>
          <w:sz w:val="24"/>
          <w:szCs w:val="24"/>
          <w:vertAlign w:val="superscript"/>
        </w:rPr>
        <w:t>[</w:t>
      </w:r>
      <w:r w:rsidR="00E166DA"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vertAlign w:val="superscript"/>
        </w:rPr>
        <w:t xml:space="preserve"> </w:t>
      </w:r>
      <w:r w:rsidR="00010CBC" w:rsidRPr="009E427C">
        <w:rPr>
          <w:rFonts w:ascii="Book Antiqua" w:hAnsi="Book Antiqua"/>
          <w:sz w:val="24"/>
          <w:szCs w:val="24"/>
        </w:rPr>
        <w:t>Included</w:t>
      </w:r>
      <w:r w:rsidR="009F60C7" w:rsidRPr="009E427C">
        <w:rPr>
          <w:rFonts w:ascii="Book Antiqua" w:hAnsi="Book Antiqua"/>
          <w:sz w:val="24"/>
          <w:szCs w:val="24"/>
        </w:rPr>
        <w:t xml:space="preserve"> patients </w:t>
      </w:r>
      <w:r w:rsidR="00010CBC" w:rsidRPr="009E427C">
        <w:rPr>
          <w:rFonts w:ascii="Book Antiqua" w:hAnsi="Book Antiqua"/>
          <w:sz w:val="24"/>
          <w:szCs w:val="24"/>
        </w:rPr>
        <w:t xml:space="preserve">were </w:t>
      </w:r>
      <w:r w:rsidR="009F60C7" w:rsidRPr="009E427C">
        <w:rPr>
          <w:rFonts w:ascii="Book Antiqua" w:hAnsi="Book Antiqua"/>
          <w:sz w:val="24"/>
          <w:szCs w:val="24"/>
        </w:rPr>
        <w:t>≥</w:t>
      </w:r>
      <w:r w:rsidR="002A4F88">
        <w:rPr>
          <w:rFonts w:ascii="Book Antiqua" w:hAnsi="Book Antiqua" w:hint="eastAsia"/>
          <w:sz w:val="24"/>
          <w:szCs w:val="24"/>
          <w:lang w:eastAsia="zh-CN"/>
        </w:rPr>
        <w:t xml:space="preserve"> </w:t>
      </w:r>
      <w:r w:rsidR="009F60C7" w:rsidRPr="009E427C">
        <w:rPr>
          <w:rFonts w:ascii="Book Antiqua" w:hAnsi="Book Antiqua"/>
          <w:sz w:val="24"/>
          <w:szCs w:val="24"/>
        </w:rPr>
        <w:t>12 years of age</w:t>
      </w:r>
      <w:r w:rsidR="007A65AC" w:rsidRPr="009E427C">
        <w:rPr>
          <w:rFonts w:ascii="Book Antiqua" w:hAnsi="Book Antiqua"/>
          <w:sz w:val="24"/>
          <w:szCs w:val="24"/>
        </w:rPr>
        <w:t xml:space="preserve"> who received a primary or re</w:t>
      </w:r>
      <w:r w:rsidR="00010CBC" w:rsidRPr="009E427C">
        <w:rPr>
          <w:rFonts w:ascii="Book Antiqua" w:hAnsi="Book Antiqua"/>
          <w:sz w:val="24"/>
          <w:szCs w:val="24"/>
        </w:rPr>
        <w:t>-</w:t>
      </w:r>
      <w:r w:rsidR="007A65AC" w:rsidRPr="009E427C">
        <w:rPr>
          <w:rFonts w:ascii="Book Antiqua" w:hAnsi="Book Antiqua"/>
          <w:sz w:val="24"/>
          <w:szCs w:val="24"/>
        </w:rPr>
        <w:t>tr</w:t>
      </w:r>
      <w:r w:rsidR="009F60C7" w:rsidRPr="009E427C">
        <w:rPr>
          <w:rFonts w:ascii="Book Antiqua" w:hAnsi="Book Antiqua"/>
          <w:sz w:val="24"/>
          <w:szCs w:val="24"/>
        </w:rPr>
        <w:t xml:space="preserve">ansplanted deceased donor </w:t>
      </w:r>
      <w:r w:rsidR="00E241EE" w:rsidRPr="009E427C">
        <w:rPr>
          <w:rFonts w:ascii="Book Antiqua" w:hAnsi="Book Antiqua"/>
          <w:sz w:val="24"/>
          <w:szCs w:val="24"/>
        </w:rPr>
        <w:t xml:space="preserve">or living donor renal transplant, and received the study drug within 48 h of the transplant. Overall 668 patients were randomized </w:t>
      </w:r>
      <w:r w:rsidR="000724C0" w:rsidRPr="009E427C">
        <w:rPr>
          <w:rFonts w:ascii="Book Antiqua" w:hAnsi="Book Antiqua"/>
          <w:sz w:val="24"/>
          <w:szCs w:val="24"/>
        </w:rPr>
        <w:t>and 638 patients received at least one dose and were included in the efficacy and safety analyses.</w:t>
      </w:r>
      <w:r w:rsidR="00074195">
        <w:rPr>
          <w:rFonts w:ascii="Book Antiqua" w:hAnsi="Book Antiqua"/>
          <w:sz w:val="24"/>
          <w:szCs w:val="24"/>
        </w:rPr>
        <w:t xml:space="preserve"> </w:t>
      </w:r>
      <w:r w:rsidR="000724C0" w:rsidRPr="009E427C">
        <w:rPr>
          <w:rFonts w:ascii="Book Antiqua" w:hAnsi="Book Antiqua"/>
          <w:sz w:val="24"/>
          <w:szCs w:val="24"/>
        </w:rPr>
        <w:t xml:space="preserve">Mean total daily doses were similar between the </w:t>
      </w:r>
      <w:r w:rsidR="0019463A" w:rsidRPr="009E427C">
        <w:rPr>
          <w:rFonts w:ascii="Book Antiqua" w:hAnsi="Book Antiqua"/>
          <w:sz w:val="24"/>
          <w:szCs w:val="24"/>
        </w:rPr>
        <w:t>tacrolimus-BID</w:t>
      </w:r>
      <w:r w:rsidR="000724C0" w:rsidRPr="009E427C">
        <w:rPr>
          <w:rFonts w:ascii="Book Antiqua" w:hAnsi="Book Antiqua"/>
          <w:sz w:val="24"/>
          <w:szCs w:val="24"/>
        </w:rPr>
        <w:t xml:space="preserve">/MMF and </w:t>
      </w:r>
      <w:r w:rsidR="0019463A" w:rsidRPr="009E427C">
        <w:rPr>
          <w:rFonts w:ascii="Book Antiqua" w:hAnsi="Book Antiqua"/>
          <w:sz w:val="24"/>
          <w:szCs w:val="24"/>
        </w:rPr>
        <w:t>extended release tacrolimus</w:t>
      </w:r>
      <w:r w:rsidR="000724C0" w:rsidRPr="009E427C">
        <w:rPr>
          <w:rFonts w:ascii="Book Antiqua" w:hAnsi="Book Antiqua"/>
          <w:sz w:val="24"/>
          <w:szCs w:val="24"/>
        </w:rPr>
        <w:t>/MMF groups</w:t>
      </w:r>
      <w:r w:rsidR="00094D81" w:rsidRPr="009E427C">
        <w:rPr>
          <w:rFonts w:ascii="Book Antiqua" w:hAnsi="Book Antiqua"/>
          <w:sz w:val="24"/>
          <w:szCs w:val="24"/>
        </w:rPr>
        <w:t>, however slightly mor</w:t>
      </w:r>
      <w:r w:rsidR="00A444F1" w:rsidRPr="009E427C">
        <w:rPr>
          <w:rFonts w:ascii="Book Antiqua" w:hAnsi="Book Antiqua"/>
          <w:sz w:val="24"/>
          <w:szCs w:val="24"/>
        </w:rPr>
        <w:t xml:space="preserve">e patients in the </w:t>
      </w:r>
      <w:r w:rsidR="00CA1799" w:rsidRPr="009E427C">
        <w:rPr>
          <w:rFonts w:ascii="Book Antiqua" w:hAnsi="Book Antiqua"/>
          <w:sz w:val="24"/>
          <w:szCs w:val="24"/>
        </w:rPr>
        <w:t>extended release tacrolimus</w:t>
      </w:r>
      <w:r w:rsidR="00A444F1" w:rsidRPr="009E427C">
        <w:rPr>
          <w:rFonts w:ascii="Book Antiqua" w:hAnsi="Book Antiqua"/>
          <w:sz w:val="24"/>
          <w:szCs w:val="24"/>
        </w:rPr>
        <w:t xml:space="preserve">/MMF group compared to </w:t>
      </w:r>
      <w:r w:rsidR="00094D81" w:rsidRPr="009E427C">
        <w:rPr>
          <w:rFonts w:ascii="Book Antiqua" w:hAnsi="Book Antiqua"/>
          <w:sz w:val="24"/>
          <w:szCs w:val="24"/>
        </w:rPr>
        <w:t xml:space="preserve">the </w:t>
      </w:r>
      <w:r w:rsidR="00CA1799" w:rsidRPr="009E427C">
        <w:rPr>
          <w:rFonts w:ascii="Book Antiqua" w:hAnsi="Book Antiqua"/>
          <w:sz w:val="24"/>
          <w:szCs w:val="24"/>
        </w:rPr>
        <w:t>tacrolimus-BID</w:t>
      </w:r>
      <w:r w:rsidR="00094D81" w:rsidRPr="009E427C">
        <w:rPr>
          <w:rFonts w:ascii="Book Antiqua" w:hAnsi="Book Antiqua"/>
          <w:sz w:val="24"/>
          <w:szCs w:val="24"/>
        </w:rPr>
        <w:t>/MMF group had trough concentrations below target but these differences were not significant and very minimal</w:t>
      </w:r>
      <w:r w:rsidR="0019463A" w:rsidRPr="009E427C">
        <w:rPr>
          <w:rFonts w:ascii="Book Antiqua" w:hAnsi="Book Antiqua"/>
          <w:sz w:val="24"/>
          <w:szCs w:val="24"/>
        </w:rPr>
        <w:t xml:space="preserve"> </w:t>
      </w:r>
      <w:r w:rsidR="006A1A61">
        <w:rPr>
          <w:rFonts w:ascii="Book Antiqua" w:hAnsi="Book Antiqua" w:hint="eastAsia"/>
          <w:sz w:val="24"/>
          <w:szCs w:val="24"/>
          <w:lang w:eastAsia="zh-CN"/>
        </w:rPr>
        <w:t>[</w:t>
      </w:r>
      <w:r w:rsidR="0019463A" w:rsidRPr="009E427C">
        <w:rPr>
          <w:rFonts w:ascii="Book Antiqua" w:hAnsi="Book Antiqua"/>
          <w:sz w:val="24"/>
          <w:szCs w:val="24"/>
        </w:rPr>
        <w:t xml:space="preserve">above target day 3: extended release tacrolimus compared to tacrolimus-BID 19% </w:t>
      </w:r>
      <w:r w:rsidR="006A1A61">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36</w:t>
      </w:r>
      <w:r w:rsidR="006A1A61">
        <w:rPr>
          <w:rFonts w:ascii="Book Antiqua" w:hAnsi="Book Antiqua" w:hint="eastAsia"/>
          <w:sz w:val="24"/>
          <w:szCs w:val="24"/>
          <w:lang w:eastAsia="zh-CN"/>
        </w:rPr>
        <w:t>)</w:t>
      </w:r>
      <w:r w:rsidR="0019463A" w:rsidRPr="009E427C">
        <w:rPr>
          <w:rFonts w:ascii="Book Antiqua" w:hAnsi="Book Antiqua"/>
          <w:sz w:val="24"/>
          <w:szCs w:val="24"/>
        </w:rPr>
        <w:t xml:space="preserve">, 27.3%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47</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month 2: 5.6%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10</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6.7%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11</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month 4: 7.5%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13</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4.6%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7</w:t>
      </w:r>
      <w:r w:rsidR="00F55248">
        <w:rPr>
          <w:rFonts w:ascii="Book Antiqua" w:hAnsi="Book Antiqua" w:hint="eastAsia"/>
          <w:sz w:val="24"/>
          <w:szCs w:val="24"/>
          <w:lang w:eastAsia="zh-CN"/>
        </w:rPr>
        <w:t>)</w:t>
      </w:r>
      <w:r w:rsidR="0019463A" w:rsidRPr="009E427C">
        <w:rPr>
          <w:rFonts w:ascii="Book Antiqua" w:hAnsi="Book Antiqua"/>
          <w:sz w:val="24"/>
          <w:szCs w:val="24"/>
        </w:rPr>
        <w:t>; below target day 3: extended release tacrolimus</w:t>
      </w:r>
      <w:r w:rsidR="00074195">
        <w:rPr>
          <w:rFonts w:ascii="Book Antiqua" w:hAnsi="Book Antiqua"/>
          <w:sz w:val="24"/>
          <w:szCs w:val="24"/>
        </w:rPr>
        <w:t xml:space="preserve"> </w:t>
      </w:r>
      <w:r w:rsidR="0019463A" w:rsidRPr="009E427C">
        <w:rPr>
          <w:rFonts w:ascii="Book Antiqua" w:hAnsi="Book Antiqua"/>
          <w:sz w:val="24"/>
          <w:szCs w:val="24"/>
        </w:rPr>
        <w:t xml:space="preserve">compared to tacrolimus-BID 30.7%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58</w:t>
      </w:r>
      <w:r w:rsidR="00F55248">
        <w:rPr>
          <w:rFonts w:ascii="Book Antiqua" w:hAnsi="Book Antiqua" w:hint="eastAsia"/>
          <w:sz w:val="24"/>
          <w:szCs w:val="24"/>
          <w:lang w:eastAsia="zh-CN"/>
        </w:rPr>
        <w:t>)</w:t>
      </w:r>
      <w:r w:rsidR="0019463A" w:rsidRPr="009E427C">
        <w:rPr>
          <w:rFonts w:ascii="Book Antiqua" w:hAnsi="Book Antiqua"/>
          <w:sz w:val="24"/>
          <w:szCs w:val="24"/>
        </w:rPr>
        <w:t>, 27.9%</w:t>
      </w:r>
      <w:r w:rsidR="00F55248">
        <w:rPr>
          <w:rFonts w:ascii="Book Antiqua" w:hAnsi="Book Antiqua" w:hint="eastAsia"/>
          <w:sz w:val="24"/>
          <w:szCs w:val="24"/>
          <w:lang w:eastAsia="zh-CN"/>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48</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month 2: 18.2%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33</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10.15%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17.6</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month 4: 10.3%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18</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13.2% </w:t>
      </w:r>
      <w:r w:rsidR="00F55248">
        <w:rPr>
          <w:rFonts w:ascii="Book Antiqua" w:hAnsi="Book Antiqua" w:hint="eastAsia"/>
          <w:sz w:val="24"/>
          <w:szCs w:val="24"/>
          <w:lang w:eastAsia="zh-CN"/>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19463A" w:rsidRPr="009E427C">
        <w:rPr>
          <w:rFonts w:ascii="Book Antiqua" w:hAnsi="Book Antiqua"/>
          <w:sz w:val="24"/>
          <w:szCs w:val="24"/>
        </w:rPr>
        <w:t xml:space="preserve"> 20</w:t>
      </w:r>
      <w:r w:rsidR="00F55248">
        <w:rPr>
          <w:rFonts w:ascii="Book Antiqua" w:hAnsi="Book Antiqua" w:hint="eastAsia"/>
          <w:sz w:val="24"/>
          <w:szCs w:val="24"/>
          <w:lang w:eastAsia="zh-CN"/>
        </w:rPr>
        <w:t>)</w:t>
      </w:r>
      <w:r w:rsidR="0019463A" w:rsidRPr="009E427C">
        <w:rPr>
          <w:rFonts w:ascii="Book Antiqua" w:hAnsi="Book Antiqua"/>
          <w:sz w:val="24"/>
          <w:szCs w:val="24"/>
        </w:rPr>
        <w:t xml:space="preserve"> respectively</w:t>
      </w:r>
      <w:r w:rsidR="00F55248">
        <w:rPr>
          <w:rFonts w:ascii="Book Antiqua" w:hAnsi="Book Antiqua" w:hint="eastAsia"/>
          <w:sz w:val="24"/>
          <w:szCs w:val="24"/>
          <w:lang w:eastAsia="zh-CN"/>
        </w:rPr>
        <w:t>]</w:t>
      </w:r>
      <w:r w:rsidR="00FF3E45">
        <w:rPr>
          <w:rFonts w:ascii="Book Antiqua" w:hAnsi="Book Antiqua"/>
          <w:sz w:val="24"/>
          <w:szCs w:val="24"/>
        </w:rPr>
        <w:t>.</w:t>
      </w:r>
      <w:r w:rsidR="00723168" w:rsidRPr="009E427C">
        <w:rPr>
          <w:rFonts w:ascii="Book Antiqua" w:hAnsi="Book Antiqua"/>
          <w:sz w:val="24"/>
          <w:szCs w:val="24"/>
        </w:rPr>
        <w:t xml:space="preserve"> Efficacy rates</w:t>
      </w:r>
      <w:r w:rsidR="00E74973" w:rsidRPr="009E427C">
        <w:rPr>
          <w:rFonts w:ascii="Book Antiqua" w:hAnsi="Book Antiqua"/>
          <w:sz w:val="24"/>
          <w:szCs w:val="24"/>
        </w:rPr>
        <w:t xml:space="preserve"> in both </w:t>
      </w:r>
      <w:r w:rsidR="00AD0DEC" w:rsidRPr="009E427C">
        <w:rPr>
          <w:rFonts w:ascii="Book Antiqua" w:hAnsi="Book Antiqua"/>
          <w:sz w:val="24"/>
          <w:szCs w:val="24"/>
        </w:rPr>
        <w:t>tacrolimus groups</w:t>
      </w:r>
      <w:r w:rsidR="00E74973" w:rsidRPr="009E427C">
        <w:rPr>
          <w:rFonts w:ascii="Book Antiqua" w:hAnsi="Book Antiqua"/>
          <w:sz w:val="24"/>
          <w:szCs w:val="24"/>
        </w:rPr>
        <w:t xml:space="preserve"> were statistically non-inferior to that in the </w:t>
      </w:r>
      <w:proofErr w:type="spellStart"/>
      <w:r w:rsidR="00E74973" w:rsidRPr="009E427C">
        <w:rPr>
          <w:rFonts w:ascii="Book Antiqua" w:hAnsi="Book Antiqua"/>
          <w:sz w:val="24"/>
          <w:szCs w:val="24"/>
        </w:rPr>
        <w:t>CsA</w:t>
      </w:r>
      <w:proofErr w:type="spellEnd"/>
      <w:r w:rsidR="00E74973" w:rsidRPr="009E427C">
        <w:rPr>
          <w:rFonts w:ascii="Book Antiqua" w:hAnsi="Book Antiqua"/>
          <w:sz w:val="24"/>
          <w:szCs w:val="24"/>
        </w:rPr>
        <w:t xml:space="preserve"> group. Kaplan-Meier estimates for 1-year patient and graft survival (</w:t>
      </w:r>
      <w:r w:rsidR="00CA1799" w:rsidRPr="009E427C">
        <w:rPr>
          <w:rFonts w:ascii="Book Antiqua" w:hAnsi="Book Antiqua"/>
          <w:sz w:val="24"/>
          <w:szCs w:val="24"/>
        </w:rPr>
        <w:t>extended release tacrolimus</w:t>
      </w:r>
      <w:r w:rsidR="00E74973" w:rsidRPr="009E427C">
        <w:rPr>
          <w:rFonts w:ascii="Book Antiqua" w:hAnsi="Book Antiqua"/>
          <w:sz w:val="24"/>
          <w:szCs w:val="24"/>
        </w:rPr>
        <w:t>/MMF 98.6%</w:t>
      </w:r>
      <w:r w:rsidR="00FF3E45">
        <w:rPr>
          <w:rFonts w:ascii="Book Antiqua" w:hAnsi="Book Antiqua"/>
          <w:sz w:val="24"/>
          <w:szCs w:val="24"/>
        </w:rPr>
        <w:t>, 95%</w:t>
      </w:r>
      <w:r w:rsidR="00CA1799" w:rsidRPr="009E427C">
        <w:rPr>
          <w:rFonts w:ascii="Book Antiqua" w:hAnsi="Book Antiqua"/>
          <w:sz w:val="24"/>
          <w:szCs w:val="24"/>
        </w:rPr>
        <w:t>CI: -1.6%, 3.6%</w:t>
      </w:r>
      <w:r w:rsidR="00470D42" w:rsidRPr="009E427C">
        <w:rPr>
          <w:rFonts w:ascii="Book Antiqua" w:hAnsi="Book Antiqua"/>
          <w:sz w:val="24"/>
          <w:szCs w:val="24"/>
        </w:rPr>
        <w:t xml:space="preserve"> </w:t>
      </w:r>
      <w:r w:rsidR="00E74973" w:rsidRPr="009E427C">
        <w:rPr>
          <w:rFonts w:ascii="Book Antiqua" w:hAnsi="Book Antiqua"/>
          <w:sz w:val="24"/>
          <w:szCs w:val="24"/>
        </w:rPr>
        <w:lastRenderedPageBreak/>
        <w:t>and 96.7%</w:t>
      </w:r>
      <w:r w:rsidR="00FF3E45">
        <w:rPr>
          <w:rFonts w:ascii="Book Antiqua" w:hAnsi="Book Antiqua"/>
          <w:sz w:val="24"/>
          <w:szCs w:val="24"/>
        </w:rPr>
        <w:t>, 95%</w:t>
      </w:r>
      <w:r w:rsidR="00CA1799" w:rsidRPr="009E427C">
        <w:rPr>
          <w:rFonts w:ascii="Book Antiqua" w:hAnsi="Book Antiqua"/>
          <w:sz w:val="24"/>
          <w:szCs w:val="24"/>
        </w:rPr>
        <w:t>CI: -2.7%, 4.6%</w:t>
      </w:r>
      <w:r w:rsidR="00E74973" w:rsidRPr="009E427C">
        <w:rPr>
          <w:rFonts w:ascii="Book Antiqua" w:hAnsi="Book Antiqua"/>
          <w:sz w:val="24"/>
          <w:szCs w:val="24"/>
        </w:rPr>
        <w:t xml:space="preserve">; </w:t>
      </w:r>
      <w:r w:rsidR="00CA1799" w:rsidRPr="009E427C">
        <w:rPr>
          <w:rFonts w:ascii="Book Antiqua" w:hAnsi="Book Antiqua"/>
          <w:sz w:val="24"/>
          <w:szCs w:val="24"/>
        </w:rPr>
        <w:t>tacrolimus-BID</w:t>
      </w:r>
      <w:r w:rsidR="00E74973" w:rsidRPr="009E427C">
        <w:rPr>
          <w:rFonts w:ascii="Book Antiqua" w:hAnsi="Book Antiqua"/>
          <w:sz w:val="24"/>
          <w:szCs w:val="24"/>
        </w:rPr>
        <w:t>/MMF 95.7%</w:t>
      </w:r>
      <w:r w:rsidR="00FF3E45">
        <w:rPr>
          <w:rFonts w:ascii="Book Antiqua" w:hAnsi="Book Antiqua"/>
          <w:sz w:val="24"/>
          <w:szCs w:val="24"/>
        </w:rPr>
        <w:t>, 95%</w:t>
      </w:r>
      <w:r w:rsidR="00CA1799" w:rsidRPr="009E427C">
        <w:rPr>
          <w:rFonts w:ascii="Book Antiqua" w:hAnsi="Book Antiqua"/>
          <w:sz w:val="24"/>
          <w:szCs w:val="24"/>
        </w:rPr>
        <w:t>CI: -5.3%, 1.5%</w:t>
      </w:r>
      <w:r w:rsidR="00E74973" w:rsidRPr="009E427C">
        <w:rPr>
          <w:rFonts w:ascii="Book Antiqua" w:hAnsi="Book Antiqua"/>
          <w:sz w:val="24"/>
          <w:szCs w:val="24"/>
        </w:rPr>
        <w:t xml:space="preserve"> </w:t>
      </w:r>
      <w:r w:rsidR="00FF3E45">
        <w:rPr>
          <w:rFonts w:ascii="Book Antiqua" w:hAnsi="Book Antiqua"/>
          <w:sz w:val="24"/>
          <w:szCs w:val="24"/>
        </w:rPr>
        <w:t>and 92.9%, 95%</w:t>
      </w:r>
      <w:r w:rsidR="00CA1799" w:rsidRPr="009E427C">
        <w:rPr>
          <w:rFonts w:ascii="Book Antiqua" w:hAnsi="Book Antiqua"/>
          <w:sz w:val="24"/>
          <w:szCs w:val="24"/>
        </w:rPr>
        <w:t>CI: -7.3%, 1.6%</w:t>
      </w:r>
      <w:r w:rsidR="00E74973" w:rsidRPr="009E427C">
        <w:rPr>
          <w:rFonts w:ascii="Book Antiqua" w:hAnsi="Book Antiqua"/>
          <w:sz w:val="24"/>
          <w:szCs w:val="24"/>
        </w:rPr>
        <w:t xml:space="preserve">; </w:t>
      </w:r>
      <w:proofErr w:type="spellStart"/>
      <w:r w:rsidR="00E74973" w:rsidRPr="009E427C">
        <w:rPr>
          <w:rFonts w:ascii="Book Antiqua" w:hAnsi="Book Antiqua"/>
          <w:sz w:val="24"/>
          <w:szCs w:val="24"/>
        </w:rPr>
        <w:t>CsA</w:t>
      </w:r>
      <w:proofErr w:type="spellEnd"/>
      <w:r w:rsidR="00E74973" w:rsidRPr="009E427C">
        <w:rPr>
          <w:rFonts w:ascii="Book Antiqua" w:hAnsi="Book Antiqua"/>
          <w:sz w:val="24"/>
          <w:szCs w:val="24"/>
        </w:rPr>
        <w:t>/MMF 97.6%</w:t>
      </w:r>
      <w:r w:rsidR="00CA1799" w:rsidRPr="009E427C">
        <w:rPr>
          <w:rFonts w:ascii="Book Antiqua" w:hAnsi="Book Antiqua"/>
          <w:sz w:val="24"/>
          <w:szCs w:val="24"/>
        </w:rPr>
        <w:t xml:space="preserve"> </w:t>
      </w:r>
      <w:r w:rsidR="00E74973" w:rsidRPr="009E427C">
        <w:rPr>
          <w:rFonts w:ascii="Book Antiqua" w:hAnsi="Book Antiqua"/>
          <w:sz w:val="24"/>
          <w:szCs w:val="24"/>
        </w:rPr>
        <w:t xml:space="preserve">and 95.7%) were similar among the 3 groups. Incidence of </w:t>
      </w:r>
      <w:r w:rsidR="0048010B" w:rsidRPr="009E427C">
        <w:rPr>
          <w:rFonts w:ascii="Book Antiqua" w:hAnsi="Book Antiqua"/>
          <w:sz w:val="24"/>
          <w:szCs w:val="24"/>
        </w:rPr>
        <w:t>biopsy</w:t>
      </w:r>
      <w:r w:rsidR="005D2AD5" w:rsidRPr="009E427C">
        <w:rPr>
          <w:rFonts w:ascii="Book Antiqua" w:hAnsi="Book Antiqua"/>
          <w:sz w:val="24"/>
          <w:szCs w:val="24"/>
        </w:rPr>
        <w:t>-</w:t>
      </w:r>
      <w:r w:rsidR="0048010B" w:rsidRPr="009E427C">
        <w:rPr>
          <w:rFonts w:ascii="Book Antiqua" w:hAnsi="Book Antiqua"/>
          <w:sz w:val="24"/>
          <w:szCs w:val="24"/>
        </w:rPr>
        <w:t>proven acute rejection (</w:t>
      </w:r>
      <w:r w:rsidR="00E74973" w:rsidRPr="009E427C">
        <w:rPr>
          <w:rFonts w:ascii="Book Antiqua" w:hAnsi="Book Antiqua"/>
          <w:sz w:val="24"/>
          <w:szCs w:val="24"/>
        </w:rPr>
        <w:t>BPAR</w:t>
      </w:r>
      <w:r w:rsidR="0048010B" w:rsidRPr="009E427C">
        <w:rPr>
          <w:rFonts w:ascii="Book Antiqua" w:hAnsi="Book Antiqua"/>
          <w:sz w:val="24"/>
          <w:szCs w:val="24"/>
        </w:rPr>
        <w:t>)</w:t>
      </w:r>
      <w:r w:rsidR="00E74973" w:rsidRPr="009E427C">
        <w:rPr>
          <w:rFonts w:ascii="Book Antiqua" w:hAnsi="Book Antiqua"/>
          <w:sz w:val="24"/>
          <w:szCs w:val="24"/>
        </w:rPr>
        <w:t xml:space="preserve"> at 6 </w:t>
      </w:r>
      <w:proofErr w:type="spellStart"/>
      <w:r w:rsidR="00E74973" w:rsidRPr="009E427C">
        <w:rPr>
          <w:rFonts w:ascii="Book Antiqua" w:hAnsi="Book Antiqua"/>
          <w:sz w:val="24"/>
          <w:szCs w:val="24"/>
        </w:rPr>
        <w:t>mo</w:t>
      </w:r>
      <w:proofErr w:type="spellEnd"/>
      <w:r w:rsidR="00E74973" w:rsidRPr="009E427C">
        <w:rPr>
          <w:rFonts w:ascii="Book Antiqua" w:hAnsi="Book Antiqua"/>
          <w:sz w:val="24"/>
          <w:szCs w:val="24"/>
        </w:rPr>
        <w:t xml:space="preserve"> and 1 year was significantly lower in the </w:t>
      </w:r>
      <w:r w:rsidR="00CA1799" w:rsidRPr="009E427C">
        <w:rPr>
          <w:rFonts w:ascii="Book Antiqua" w:hAnsi="Book Antiqua"/>
          <w:sz w:val="24"/>
          <w:szCs w:val="24"/>
        </w:rPr>
        <w:t>tacrolimus-BID</w:t>
      </w:r>
      <w:r w:rsidR="00E74973" w:rsidRPr="009E427C">
        <w:rPr>
          <w:rFonts w:ascii="Book Antiqua" w:hAnsi="Book Antiqua"/>
          <w:sz w:val="24"/>
          <w:szCs w:val="24"/>
        </w:rPr>
        <w:t>/MMF group compared</w:t>
      </w:r>
      <w:r w:rsidR="00B63ED6" w:rsidRPr="009E427C">
        <w:rPr>
          <w:rFonts w:ascii="Book Antiqua" w:hAnsi="Book Antiqua"/>
          <w:sz w:val="24"/>
          <w:szCs w:val="24"/>
        </w:rPr>
        <w:t xml:space="preserve"> to the </w:t>
      </w:r>
      <w:proofErr w:type="spellStart"/>
      <w:r w:rsidR="00B63ED6" w:rsidRPr="009E427C">
        <w:rPr>
          <w:rFonts w:ascii="Book Antiqua" w:hAnsi="Book Antiqua"/>
          <w:sz w:val="24"/>
          <w:szCs w:val="24"/>
        </w:rPr>
        <w:t>CsA</w:t>
      </w:r>
      <w:proofErr w:type="spellEnd"/>
      <w:r w:rsidR="00B63ED6" w:rsidRPr="009E427C">
        <w:rPr>
          <w:rFonts w:ascii="Book Antiqua" w:hAnsi="Book Antiqua"/>
          <w:sz w:val="24"/>
          <w:szCs w:val="24"/>
        </w:rPr>
        <w:t xml:space="preserve">/MMF </w:t>
      </w:r>
      <w:r w:rsidR="005E2E7E" w:rsidRPr="009E427C">
        <w:rPr>
          <w:rFonts w:ascii="Book Antiqua" w:hAnsi="Book Antiqua"/>
          <w:sz w:val="24"/>
          <w:szCs w:val="24"/>
        </w:rPr>
        <w:t>group;</w:t>
      </w:r>
      <w:r w:rsidR="00B63ED6" w:rsidRPr="009E427C">
        <w:rPr>
          <w:rFonts w:ascii="Book Antiqua" w:hAnsi="Book Antiqua"/>
          <w:sz w:val="24"/>
          <w:szCs w:val="24"/>
        </w:rPr>
        <w:t xml:space="preserve"> however, there was </w:t>
      </w:r>
      <w:r w:rsidR="00E74973" w:rsidRPr="009E427C">
        <w:rPr>
          <w:rFonts w:ascii="Book Antiqua" w:hAnsi="Book Antiqua"/>
          <w:sz w:val="24"/>
          <w:szCs w:val="24"/>
        </w:rPr>
        <w:t xml:space="preserve">no statistical difference between the </w:t>
      </w:r>
      <w:r w:rsidR="00CA1799" w:rsidRPr="009E427C">
        <w:rPr>
          <w:rFonts w:ascii="Book Antiqua" w:hAnsi="Book Antiqua"/>
          <w:sz w:val="24"/>
          <w:szCs w:val="24"/>
        </w:rPr>
        <w:t xml:space="preserve">extended release </w:t>
      </w:r>
      <w:proofErr w:type="spellStart"/>
      <w:r w:rsidR="00CA1799" w:rsidRPr="009E427C">
        <w:rPr>
          <w:rFonts w:ascii="Book Antiqua" w:hAnsi="Book Antiqua"/>
          <w:sz w:val="24"/>
          <w:szCs w:val="24"/>
        </w:rPr>
        <w:t>tacrolimus</w:t>
      </w:r>
      <w:proofErr w:type="spellEnd"/>
      <w:r w:rsidR="00E74973" w:rsidRPr="009E427C">
        <w:rPr>
          <w:rFonts w:ascii="Book Antiqua" w:hAnsi="Book Antiqua"/>
          <w:sz w:val="24"/>
          <w:szCs w:val="24"/>
        </w:rPr>
        <w:t xml:space="preserve">/MMF and </w:t>
      </w:r>
      <w:proofErr w:type="spellStart"/>
      <w:r w:rsidR="00E74973" w:rsidRPr="009E427C">
        <w:rPr>
          <w:rFonts w:ascii="Book Antiqua" w:hAnsi="Book Antiqua"/>
          <w:sz w:val="24"/>
          <w:szCs w:val="24"/>
        </w:rPr>
        <w:t>CsA</w:t>
      </w:r>
      <w:proofErr w:type="spellEnd"/>
      <w:r w:rsidR="00E74973" w:rsidRPr="009E427C">
        <w:rPr>
          <w:rFonts w:ascii="Book Antiqua" w:hAnsi="Book Antiqua"/>
          <w:sz w:val="24"/>
          <w:szCs w:val="24"/>
        </w:rPr>
        <w:t xml:space="preserve">/MMF group. </w:t>
      </w:r>
      <w:r w:rsidR="007D31FF" w:rsidRPr="009E427C">
        <w:rPr>
          <w:rFonts w:ascii="Book Antiqua" w:hAnsi="Book Antiqua"/>
          <w:sz w:val="24"/>
          <w:szCs w:val="24"/>
        </w:rPr>
        <w:t xml:space="preserve">Overall </w:t>
      </w:r>
      <w:r w:rsidR="009A2173" w:rsidRPr="009E427C">
        <w:rPr>
          <w:rFonts w:ascii="Book Antiqua" w:hAnsi="Book Antiqua"/>
          <w:sz w:val="24"/>
          <w:szCs w:val="24"/>
        </w:rPr>
        <w:t xml:space="preserve">extended release </w:t>
      </w:r>
      <w:proofErr w:type="spellStart"/>
      <w:r w:rsidR="009A2173" w:rsidRPr="009E427C">
        <w:rPr>
          <w:rFonts w:ascii="Book Antiqua" w:hAnsi="Book Antiqua"/>
          <w:sz w:val="24"/>
          <w:szCs w:val="24"/>
        </w:rPr>
        <w:t>tacrolimus</w:t>
      </w:r>
      <w:proofErr w:type="spellEnd"/>
      <w:r w:rsidR="007D31FF" w:rsidRPr="009E427C">
        <w:rPr>
          <w:rFonts w:ascii="Book Antiqua" w:hAnsi="Book Antiqua"/>
          <w:sz w:val="24"/>
          <w:szCs w:val="24"/>
        </w:rPr>
        <w:t xml:space="preserve">/MMF was </w:t>
      </w:r>
      <w:proofErr w:type="spellStart"/>
      <w:r w:rsidR="007D31FF" w:rsidRPr="009E427C">
        <w:rPr>
          <w:rFonts w:ascii="Book Antiqua" w:hAnsi="Book Antiqua"/>
          <w:sz w:val="24"/>
          <w:szCs w:val="24"/>
        </w:rPr>
        <w:t>noninferior</w:t>
      </w:r>
      <w:proofErr w:type="spellEnd"/>
      <w:r w:rsidR="007D31FF" w:rsidRPr="009E427C">
        <w:rPr>
          <w:rFonts w:ascii="Book Antiqua" w:hAnsi="Book Antiqua"/>
          <w:sz w:val="24"/>
          <w:szCs w:val="24"/>
        </w:rPr>
        <w:t xml:space="preserve"> to </w:t>
      </w:r>
      <w:proofErr w:type="spellStart"/>
      <w:r w:rsidR="007D31FF" w:rsidRPr="009E427C">
        <w:rPr>
          <w:rFonts w:ascii="Book Antiqua" w:hAnsi="Book Antiqua"/>
          <w:sz w:val="24"/>
          <w:szCs w:val="24"/>
        </w:rPr>
        <w:t>CsA</w:t>
      </w:r>
      <w:proofErr w:type="spellEnd"/>
      <w:r w:rsidR="007D31FF" w:rsidRPr="009E427C">
        <w:rPr>
          <w:rFonts w:ascii="Book Antiqua" w:hAnsi="Book Antiqua"/>
          <w:sz w:val="24"/>
          <w:szCs w:val="24"/>
        </w:rPr>
        <w:t xml:space="preserve">/MMF and has a similar efficacy and safety profile to </w:t>
      </w:r>
      <w:r w:rsidR="009A2173" w:rsidRPr="009E427C">
        <w:rPr>
          <w:rFonts w:ascii="Book Antiqua" w:hAnsi="Book Antiqua"/>
          <w:sz w:val="24"/>
          <w:szCs w:val="24"/>
        </w:rPr>
        <w:t>tacrolimus-BID</w:t>
      </w:r>
      <w:r w:rsidR="007D31FF" w:rsidRPr="009E427C">
        <w:rPr>
          <w:rFonts w:ascii="Book Antiqua" w:hAnsi="Book Antiqua"/>
          <w:sz w:val="24"/>
          <w:szCs w:val="24"/>
        </w:rPr>
        <w:t xml:space="preserve">/MMF when combined with corticosteroids and </w:t>
      </w:r>
      <w:proofErr w:type="spellStart"/>
      <w:r w:rsidR="007D31FF" w:rsidRPr="009E427C">
        <w:rPr>
          <w:rFonts w:ascii="Book Antiqua" w:hAnsi="Book Antiqua"/>
          <w:sz w:val="24"/>
          <w:szCs w:val="24"/>
        </w:rPr>
        <w:t>basiliximab</w:t>
      </w:r>
      <w:proofErr w:type="spellEnd"/>
      <w:r w:rsidR="007D31FF" w:rsidRPr="009E427C">
        <w:rPr>
          <w:rFonts w:ascii="Book Antiqua" w:hAnsi="Book Antiqua"/>
          <w:sz w:val="24"/>
          <w:szCs w:val="24"/>
        </w:rPr>
        <w:t xml:space="preserve"> </w:t>
      </w:r>
      <w:proofErr w:type="gramStart"/>
      <w:r w:rsidR="007D31FF" w:rsidRPr="009E427C">
        <w:rPr>
          <w:rFonts w:ascii="Book Antiqua" w:hAnsi="Book Antiqua"/>
          <w:sz w:val="24"/>
          <w:szCs w:val="24"/>
        </w:rPr>
        <w:t>induction</w:t>
      </w:r>
      <w:r w:rsidR="005E2E7E" w:rsidRPr="009E427C">
        <w:rPr>
          <w:rFonts w:ascii="Book Antiqua" w:hAnsi="Book Antiqua"/>
          <w:sz w:val="24"/>
          <w:szCs w:val="24"/>
          <w:vertAlign w:val="superscript"/>
        </w:rPr>
        <w:t>[</w:t>
      </w:r>
      <w:proofErr w:type="gramEnd"/>
      <w:r w:rsidR="00E166DA"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032C00">
        <w:rPr>
          <w:rFonts w:ascii="Book Antiqua" w:hAnsi="Book Antiqua"/>
          <w:sz w:val="24"/>
          <w:szCs w:val="24"/>
        </w:rPr>
        <w:t xml:space="preserve">In 2014 Silva </w:t>
      </w:r>
      <w:r w:rsidR="00032C00" w:rsidRPr="00032C00">
        <w:rPr>
          <w:rFonts w:ascii="Book Antiqua" w:hAnsi="Book Antiqua"/>
          <w:i/>
          <w:sz w:val="24"/>
          <w:szCs w:val="24"/>
        </w:rPr>
        <w:t xml:space="preserve">et </w:t>
      </w:r>
      <w:proofErr w:type="gramStart"/>
      <w:r w:rsidR="00032C00" w:rsidRPr="00032C00">
        <w:rPr>
          <w:rFonts w:ascii="Book Antiqua" w:hAnsi="Book Antiqua"/>
          <w:i/>
          <w:sz w:val="24"/>
          <w:szCs w:val="24"/>
        </w:rPr>
        <w:t>al</w:t>
      </w:r>
      <w:r w:rsidR="0002049A" w:rsidRPr="009E427C">
        <w:rPr>
          <w:rFonts w:ascii="Book Antiqua" w:hAnsi="Book Antiqua"/>
          <w:sz w:val="24"/>
          <w:szCs w:val="24"/>
          <w:vertAlign w:val="superscript"/>
        </w:rPr>
        <w:t>[</w:t>
      </w:r>
      <w:proofErr w:type="gramEnd"/>
      <w:r w:rsidR="0002049A" w:rsidRPr="009E427C">
        <w:rPr>
          <w:rFonts w:ascii="Book Antiqua" w:hAnsi="Book Antiqua"/>
          <w:sz w:val="24"/>
          <w:szCs w:val="24"/>
          <w:vertAlign w:val="superscript"/>
        </w:rPr>
        <w:t>25]</w:t>
      </w:r>
      <w:r w:rsidR="00CB55B8" w:rsidRPr="009E427C">
        <w:rPr>
          <w:rFonts w:ascii="Book Antiqua" w:hAnsi="Book Antiqua"/>
          <w:sz w:val="24"/>
          <w:szCs w:val="24"/>
        </w:rPr>
        <w:t xml:space="preserve"> published the 4-year follow-up results to the original study. </w:t>
      </w:r>
      <w:r w:rsidR="00466992" w:rsidRPr="009E427C">
        <w:rPr>
          <w:rFonts w:ascii="Book Antiqua" w:hAnsi="Book Antiqua"/>
          <w:sz w:val="24"/>
          <w:szCs w:val="24"/>
        </w:rPr>
        <w:t xml:space="preserve">Mean trough concentrations of </w:t>
      </w:r>
      <w:r w:rsidR="005D259B" w:rsidRPr="009E427C">
        <w:rPr>
          <w:rFonts w:ascii="Book Antiqua" w:hAnsi="Book Antiqua"/>
          <w:sz w:val="24"/>
          <w:szCs w:val="24"/>
        </w:rPr>
        <w:t>e</w:t>
      </w:r>
      <w:r w:rsidR="003A63C4" w:rsidRPr="009E427C">
        <w:rPr>
          <w:rFonts w:ascii="Book Antiqua" w:hAnsi="Book Antiqua"/>
          <w:sz w:val="24"/>
          <w:szCs w:val="24"/>
        </w:rPr>
        <w:t>xtended release tacrolimus</w:t>
      </w:r>
      <w:r w:rsidR="00466992" w:rsidRPr="009E427C">
        <w:rPr>
          <w:rFonts w:ascii="Book Antiqua" w:hAnsi="Book Antiqua"/>
          <w:sz w:val="24"/>
          <w:szCs w:val="24"/>
        </w:rPr>
        <w:t xml:space="preserve"> and </w:t>
      </w:r>
      <w:r w:rsidR="005D259B" w:rsidRPr="009E427C">
        <w:rPr>
          <w:rFonts w:ascii="Book Antiqua" w:hAnsi="Book Antiqua"/>
          <w:sz w:val="24"/>
          <w:szCs w:val="24"/>
        </w:rPr>
        <w:t>tacrolimus-BID</w:t>
      </w:r>
      <w:r w:rsidR="00466992" w:rsidRPr="009E427C">
        <w:rPr>
          <w:rFonts w:ascii="Book Antiqua" w:hAnsi="Book Antiqua"/>
          <w:sz w:val="24"/>
          <w:szCs w:val="24"/>
        </w:rPr>
        <w:t xml:space="preserve"> w</w:t>
      </w:r>
      <w:r w:rsidR="00687710">
        <w:rPr>
          <w:rFonts w:ascii="Book Antiqua" w:hAnsi="Book Antiqua" w:hint="eastAsia"/>
          <w:sz w:val="24"/>
          <w:szCs w:val="24"/>
          <w:lang w:eastAsia="zh-CN"/>
        </w:rPr>
        <w:t>as</w:t>
      </w:r>
      <w:r w:rsidR="00466992" w:rsidRPr="009E427C">
        <w:rPr>
          <w:rFonts w:ascii="Book Antiqua" w:hAnsi="Book Antiqua"/>
          <w:sz w:val="24"/>
          <w:szCs w:val="24"/>
        </w:rPr>
        <w:t xml:space="preserve"> similar starting at 1 year ranging from 6.5-7.5 ng/mL in </w:t>
      </w:r>
      <w:r w:rsidR="005D259B" w:rsidRPr="009E427C">
        <w:rPr>
          <w:rFonts w:ascii="Book Antiqua" w:hAnsi="Book Antiqua"/>
          <w:sz w:val="24"/>
          <w:szCs w:val="24"/>
        </w:rPr>
        <w:t>e</w:t>
      </w:r>
      <w:r w:rsidR="003A63C4" w:rsidRPr="009E427C">
        <w:rPr>
          <w:rFonts w:ascii="Book Antiqua" w:hAnsi="Book Antiqua"/>
          <w:sz w:val="24"/>
          <w:szCs w:val="24"/>
        </w:rPr>
        <w:t>xtended release tacrolimus</w:t>
      </w:r>
      <w:r w:rsidR="005D259B" w:rsidRPr="009E427C">
        <w:rPr>
          <w:rFonts w:ascii="Book Antiqua" w:hAnsi="Book Antiqua"/>
          <w:sz w:val="24"/>
          <w:szCs w:val="24"/>
        </w:rPr>
        <w:t xml:space="preserve"> and 6.1-7.8 ng/mL in tacrolimus-BID.</w:t>
      </w:r>
      <w:r w:rsidR="00466992" w:rsidRPr="009E427C">
        <w:rPr>
          <w:rFonts w:ascii="Book Antiqua" w:hAnsi="Book Antiqua"/>
          <w:sz w:val="24"/>
          <w:szCs w:val="24"/>
        </w:rPr>
        <w:t xml:space="preserve"> All groups had similar efficacy reflected by patient and graft survival. In the </w:t>
      </w:r>
      <w:r w:rsidR="005D259B" w:rsidRPr="009E427C">
        <w:rPr>
          <w:rFonts w:ascii="Book Antiqua" w:hAnsi="Book Antiqua"/>
          <w:sz w:val="24"/>
          <w:szCs w:val="24"/>
        </w:rPr>
        <w:t>e</w:t>
      </w:r>
      <w:r w:rsidR="003A63C4" w:rsidRPr="009E427C">
        <w:rPr>
          <w:rFonts w:ascii="Book Antiqua" w:hAnsi="Book Antiqua"/>
          <w:sz w:val="24"/>
          <w:szCs w:val="24"/>
        </w:rPr>
        <w:t xml:space="preserve">xtended release </w:t>
      </w:r>
      <w:proofErr w:type="spellStart"/>
      <w:r w:rsidR="003A63C4" w:rsidRPr="009E427C">
        <w:rPr>
          <w:rFonts w:ascii="Book Antiqua" w:hAnsi="Book Antiqua"/>
          <w:sz w:val="24"/>
          <w:szCs w:val="24"/>
        </w:rPr>
        <w:t>tacrolimus</w:t>
      </w:r>
      <w:proofErr w:type="spellEnd"/>
      <w:r w:rsidR="00466992" w:rsidRPr="009E427C">
        <w:rPr>
          <w:rFonts w:ascii="Book Antiqua" w:hAnsi="Book Antiqua"/>
          <w:sz w:val="24"/>
          <w:szCs w:val="24"/>
        </w:rPr>
        <w:t xml:space="preserve">, </w:t>
      </w:r>
      <w:proofErr w:type="spellStart"/>
      <w:r w:rsidR="005D259B" w:rsidRPr="009E427C">
        <w:rPr>
          <w:rFonts w:ascii="Book Antiqua" w:hAnsi="Book Antiqua"/>
          <w:sz w:val="24"/>
          <w:szCs w:val="24"/>
        </w:rPr>
        <w:t>tacrolimus</w:t>
      </w:r>
      <w:proofErr w:type="spellEnd"/>
      <w:r w:rsidR="005D259B" w:rsidRPr="009E427C">
        <w:rPr>
          <w:rFonts w:ascii="Book Antiqua" w:hAnsi="Book Antiqua"/>
          <w:sz w:val="24"/>
          <w:szCs w:val="24"/>
        </w:rPr>
        <w:t>-BID,</w:t>
      </w:r>
      <w:r w:rsidR="00466992" w:rsidRPr="009E427C">
        <w:rPr>
          <w:rFonts w:ascii="Book Antiqua" w:hAnsi="Book Antiqua"/>
          <w:sz w:val="24"/>
          <w:szCs w:val="24"/>
        </w:rPr>
        <w:t xml:space="preserve"> and </w:t>
      </w:r>
      <w:proofErr w:type="spellStart"/>
      <w:r w:rsidR="00466992" w:rsidRPr="009E427C">
        <w:rPr>
          <w:rFonts w:ascii="Book Antiqua" w:hAnsi="Book Antiqua"/>
          <w:sz w:val="24"/>
          <w:szCs w:val="24"/>
        </w:rPr>
        <w:t>CsA</w:t>
      </w:r>
      <w:proofErr w:type="spellEnd"/>
      <w:r w:rsidR="00466992" w:rsidRPr="009E427C">
        <w:rPr>
          <w:rFonts w:ascii="Book Antiqua" w:hAnsi="Book Antiqua"/>
          <w:sz w:val="24"/>
          <w:szCs w:val="24"/>
        </w:rPr>
        <w:t xml:space="preserve"> groups patient survival was 93.8%</w:t>
      </w:r>
      <w:r w:rsidR="00451891">
        <w:rPr>
          <w:rFonts w:ascii="Book Antiqua" w:hAnsi="Book Antiqua"/>
          <w:sz w:val="24"/>
          <w:szCs w:val="24"/>
        </w:rPr>
        <w:t xml:space="preserve"> (95%</w:t>
      </w:r>
      <w:r w:rsidR="00CA1799" w:rsidRPr="009E427C">
        <w:rPr>
          <w:rFonts w:ascii="Book Antiqua" w:hAnsi="Book Antiqua"/>
          <w:sz w:val="24"/>
          <w:szCs w:val="24"/>
        </w:rPr>
        <w:t>CI: 90.5%, 97.2%)</w:t>
      </w:r>
      <w:r w:rsidR="00466992" w:rsidRPr="009E427C">
        <w:rPr>
          <w:rFonts w:ascii="Book Antiqua" w:hAnsi="Book Antiqua"/>
          <w:sz w:val="24"/>
          <w:szCs w:val="24"/>
        </w:rPr>
        <w:t>, 93.2%</w:t>
      </w:r>
      <w:r w:rsidR="00451891">
        <w:rPr>
          <w:rFonts w:ascii="Book Antiqua" w:hAnsi="Book Antiqua"/>
          <w:sz w:val="24"/>
          <w:szCs w:val="24"/>
        </w:rPr>
        <w:t xml:space="preserve"> (95%</w:t>
      </w:r>
      <w:r w:rsidR="00CA1799" w:rsidRPr="009E427C">
        <w:rPr>
          <w:rFonts w:ascii="Book Antiqua" w:hAnsi="Book Antiqua"/>
          <w:sz w:val="24"/>
          <w:szCs w:val="24"/>
        </w:rPr>
        <w:t>CI: 89.8%, 96.7%)</w:t>
      </w:r>
      <w:r w:rsidR="00466992" w:rsidRPr="009E427C">
        <w:rPr>
          <w:rFonts w:ascii="Book Antiqua" w:hAnsi="Book Antiqua"/>
          <w:sz w:val="24"/>
          <w:szCs w:val="24"/>
        </w:rPr>
        <w:t xml:space="preserve"> and 92.5%</w:t>
      </w:r>
      <w:r w:rsidR="00451891">
        <w:rPr>
          <w:rFonts w:ascii="Book Antiqua" w:hAnsi="Book Antiqua"/>
          <w:sz w:val="24"/>
          <w:szCs w:val="24"/>
        </w:rPr>
        <w:t xml:space="preserve"> (95%</w:t>
      </w:r>
      <w:r w:rsidR="009A2173" w:rsidRPr="009E427C">
        <w:rPr>
          <w:rFonts w:ascii="Book Antiqua" w:hAnsi="Book Antiqua"/>
          <w:sz w:val="24"/>
          <w:szCs w:val="24"/>
        </w:rPr>
        <w:t>CI: 88.6%, 96.3%)</w:t>
      </w:r>
      <w:r w:rsidR="00470D42" w:rsidRPr="009E427C">
        <w:rPr>
          <w:rFonts w:ascii="Book Antiqua" w:hAnsi="Book Antiqua"/>
          <w:sz w:val="24"/>
          <w:szCs w:val="24"/>
        </w:rPr>
        <w:t xml:space="preserve"> </w:t>
      </w:r>
      <w:r w:rsidR="00466992" w:rsidRPr="009E427C">
        <w:rPr>
          <w:rFonts w:ascii="Book Antiqua" w:hAnsi="Book Antiqua"/>
          <w:sz w:val="24"/>
          <w:szCs w:val="24"/>
        </w:rPr>
        <w:t>respectively, while graft survival was 88.1%</w:t>
      </w:r>
      <w:r w:rsidR="00451891">
        <w:rPr>
          <w:rFonts w:ascii="Book Antiqua" w:hAnsi="Book Antiqua"/>
          <w:sz w:val="24"/>
          <w:szCs w:val="24"/>
        </w:rPr>
        <w:t xml:space="preserve"> (95%</w:t>
      </w:r>
      <w:r w:rsidR="009A2173" w:rsidRPr="009E427C">
        <w:rPr>
          <w:rFonts w:ascii="Book Antiqua" w:hAnsi="Book Antiqua"/>
          <w:sz w:val="24"/>
          <w:szCs w:val="24"/>
        </w:rPr>
        <w:t>CI: 83.7%, 92.6%)</w:t>
      </w:r>
      <w:r w:rsidR="00466992" w:rsidRPr="009E427C">
        <w:rPr>
          <w:rFonts w:ascii="Book Antiqua" w:hAnsi="Book Antiqua"/>
          <w:sz w:val="24"/>
          <w:szCs w:val="24"/>
        </w:rPr>
        <w:t>,</w:t>
      </w:r>
      <w:r w:rsidR="00EF238F" w:rsidRPr="009E427C">
        <w:rPr>
          <w:rFonts w:ascii="Book Antiqua" w:hAnsi="Book Antiqua"/>
          <w:sz w:val="24"/>
          <w:szCs w:val="24"/>
        </w:rPr>
        <w:t xml:space="preserve"> 85.4%</w:t>
      </w:r>
      <w:r w:rsidR="00451891">
        <w:rPr>
          <w:rFonts w:ascii="Book Antiqua" w:hAnsi="Book Antiqua"/>
          <w:sz w:val="24"/>
          <w:szCs w:val="24"/>
        </w:rPr>
        <w:t xml:space="preserve"> (95%</w:t>
      </w:r>
      <w:r w:rsidR="009A2173" w:rsidRPr="009E427C">
        <w:rPr>
          <w:rFonts w:ascii="Book Antiqua" w:hAnsi="Book Antiqua"/>
          <w:sz w:val="24"/>
          <w:szCs w:val="24"/>
        </w:rPr>
        <w:t>CI: 80.5%, 90.4%)</w:t>
      </w:r>
      <w:r w:rsidR="00EF238F" w:rsidRPr="009E427C">
        <w:rPr>
          <w:rFonts w:ascii="Book Antiqua" w:hAnsi="Book Antiqua"/>
          <w:sz w:val="24"/>
          <w:szCs w:val="24"/>
        </w:rPr>
        <w:t>, and 85.3%</w:t>
      </w:r>
      <w:r w:rsidR="009A2173" w:rsidRPr="009E427C">
        <w:rPr>
          <w:rFonts w:ascii="Book Antiqua" w:hAnsi="Book Antiqua"/>
          <w:sz w:val="24"/>
          <w:szCs w:val="24"/>
        </w:rPr>
        <w:t xml:space="preserve"> (95%CI: 80.3%, 90.4%)</w:t>
      </w:r>
      <w:r w:rsidR="00EF238F" w:rsidRPr="009E427C">
        <w:rPr>
          <w:rFonts w:ascii="Book Antiqua" w:hAnsi="Book Antiqua"/>
          <w:sz w:val="24"/>
          <w:szCs w:val="24"/>
        </w:rPr>
        <w:t xml:space="preserve"> respectively.</w:t>
      </w:r>
      <w:r w:rsidR="00074195">
        <w:rPr>
          <w:rFonts w:ascii="Book Antiqua" w:hAnsi="Book Antiqua"/>
          <w:sz w:val="24"/>
          <w:szCs w:val="24"/>
          <w:vertAlign w:val="superscript"/>
        </w:rPr>
        <w:t xml:space="preserve"> </w:t>
      </w:r>
      <w:r w:rsidR="00466992" w:rsidRPr="009E427C">
        <w:rPr>
          <w:rFonts w:ascii="Book Antiqua" w:hAnsi="Book Antiqua"/>
          <w:sz w:val="24"/>
          <w:szCs w:val="24"/>
        </w:rPr>
        <w:t>There was a higher rate of graft failure amongst African Americans compared to Caucasians</w:t>
      </w:r>
      <w:r w:rsidR="009A2173" w:rsidRPr="009E427C">
        <w:rPr>
          <w:rFonts w:ascii="Book Antiqua" w:hAnsi="Book Antiqua"/>
          <w:sz w:val="24"/>
          <w:szCs w:val="24"/>
        </w:rPr>
        <w:t xml:space="preserve">. Graft loss for extended tacrolimus was 11.9% (19/160) in Caucasians and 19.5% (8/41) in African Americans, for </w:t>
      </w:r>
      <w:proofErr w:type="spellStart"/>
      <w:r w:rsidR="009A2173" w:rsidRPr="009E427C">
        <w:rPr>
          <w:rFonts w:ascii="Book Antiqua" w:hAnsi="Book Antiqua"/>
          <w:sz w:val="24"/>
          <w:szCs w:val="24"/>
        </w:rPr>
        <w:t>tacorlimus</w:t>
      </w:r>
      <w:proofErr w:type="spellEnd"/>
      <w:r w:rsidR="009A2173" w:rsidRPr="009E427C">
        <w:rPr>
          <w:rFonts w:ascii="Book Antiqua" w:hAnsi="Book Antiqua"/>
          <w:sz w:val="24"/>
          <w:szCs w:val="24"/>
        </w:rPr>
        <w:t xml:space="preserve">-BID it was 10.5% (16/153) in Caucasians and 31.4% (16/51) in African Americans, and for </w:t>
      </w:r>
      <w:proofErr w:type="spellStart"/>
      <w:r w:rsidR="009A2173" w:rsidRPr="009E427C">
        <w:rPr>
          <w:rFonts w:ascii="Book Antiqua" w:hAnsi="Book Antiqua"/>
          <w:sz w:val="24"/>
          <w:szCs w:val="24"/>
        </w:rPr>
        <w:t>CsA</w:t>
      </w:r>
      <w:proofErr w:type="spellEnd"/>
      <w:r w:rsidR="009A2173" w:rsidRPr="009E427C">
        <w:rPr>
          <w:rFonts w:ascii="Book Antiqua" w:hAnsi="Book Antiqua"/>
          <w:sz w:val="24"/>
          <w:szCs w:val="24"/>
        </w:rPr>
        <w:t xml:space="preserve"> 12.3% (20/163) in Caucasians and 22.2% (8/36) in African Americans</w:t>
      </w:r>
      <w:r w:rsidR="00466992" w:rsidRPr="009E427C">
        <w:rPr>
          <w:rFonts w:ascii="Book Antiqua" w:hAnsi="Book Antiqua"/>
          <w:sz w:val="24"/>
          <w:szCs w:val="24"/>
        </w:rPr>
        <w:t xml:space="preserve"> but this is </w:t>
      </w:r>
      <w:r w:rsidR="009A2173" w:rsidRPr="009E427C">
        <w:rPr>
          <w:rFonts w:ascii="Book Antiqua" w:hAnsi="Book Antiqua"/>
          <w:sz w:val="24"/>
          <w:szCs w:val="24"/>
        </w:rPr>
        <w:t xml:space="preserve">consistent </w:t>
      </w:r>
      <w:r w:rsidR="00466992" w:rsidRPr="009E427C">
        <w:rPr>
          <w:rFonts w:ascii="Book Antiqua" w:hAnsi="Book Antiqua"/>
          <w:sz w:val="24"/>
          <w:szCs w:val="24"/>
        </w:rPr>
        <w:t>with 5-year data from the Scientific R</w:t>
      </w:r>
      <w:r w:rsidR="00EF238F" w:rsidRPr="009E427C">
        <w:rPr>
          <w:rFonts w:ascii="Book Antiqua" w:hAnsi="Book Antiqua"/>
          <w:sz w:val="24"/>
          <w:szCs w:val="24"/>
        </w:rPr>
        <w:t xml:space="preserve">egistry of Transplant </w:t>
      </w:r>
      <w:proofErr w:type="gramStart"/>
      <w:r w:rsidR="00EF238F" w:rsidRPr="009E427C">
        <w:rPr>
          <w:rFonts w:ascii="Book Antiqua" w:hAnsi="Book Antiqua"/>
          <w:sz w:val="24"/>
          <w:szCs w:val="24"/>
        </w:rPr>
        <w:t>Recipients</w:t>
      </w:r>
      <w:r w:rsidR="005E2E7E"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6</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466992" w:rsidRPr="009E427C">
        <w:rPr>
          <w:rFonts w:ascii="Book Antiqua" w:hAnsi="Book Antiqua"/>
          <w:sz w:val="24"/>
          <w:szCs w:val="24"/>
        </w:rPr>
        <w:t xml:space="preserve">Overall patient and graft survival rates were high and there was no statistically significant difference amongst groups. Of note this study included a relatively low-risk population </w:t>
      </w:r>
      <w:r w:rsidR="00451891">
        <w:rPr>
          <w:rFonts w:ascii="Book Antiqua" w:hAnsi="Book Antiqua"/>
          <w:sz w:val="24"/>
          <w:szCs w:val="24"/>
        </w:rPr>
        <w:t xml:space="preserve">and adherence was not </w:t>
      </w:r>
      <w:proofErr w:type="gramStart"/>
      <w:r w:rsidR="00451891">
        <w:rPr>
          <w:rFonts w:ascii="Book Antiqua" w:hAnsi="Book Antiqua"/>
          <w:sz w:val="24"/>
          <w:szCs w:val="24"/>
        </w:rPr>
        <w:t>evaluated</w:t>
      </w:r>
      <w:r w:rsidR="005E2E7E"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5</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vertAlign w:val="superscript"/>
        </w:rPr>
        <w:t xml:space="preserve"> </w:t>
      </w:r>
    </w:p>
    <w:p w14:paraId="79444A91" w14:textId="66999C3B" w:rsidR="00197D5B" w:rsidRPr="009E427C" w:rsidRDefault="00872022"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In 2010</w:t>
      </w:r>
      <w:r w:rsidR="005042D8" w:rsidRPr="009E427C">
        <w:rPr>
          <w:rFonts w:ascii="Book Antiqua" w:hAnsi="Book Antiqua"/>
          <w:sz w:val="24"/>
          <w:szCs w:val="24"/>
        </w:rPr>
        <w:t xml:space="preserve"> a phase III multicenter, 1:1 randomized, parallel-group, </w:t>
      </w:r>
      <w:proofErr w:type="spellStart"/>
      <w:r w:rsidR="005042D8" w:rsidRPr="009E427C">
        <w:rPr>
          <w:rFonts w:ascii="Book Antiqua" w:hAnsi="Book Antiqua"/>
          <w:sz w:val="24"/>
          <w:szCs w:val="24"/>
        </w:rPr>
        <w:t>noninferiority</w:t>
      </w:r>
      <w:proofErr w:type="spellEnd"/>
      <w:r w:rsidR="005042D8" w:rsidRPr="009E427C">
        <w:rPr>
          <w:rFonts w:ascii="Book Antiqua" w:hAnsi="Book Antiqua"/>
          <w:sz w:val="24"/>
          <w:szCs w:val="24"/>
        </w:rPr>
        <w:t xml:space="preserve"> study that compared the efficacy and safety of </w:t>
      </w:r>
      <w:r w:rsidRPr="009E427C">
        <w:rPr>
          <w:rFonts w:ascii="Book Antiqua" w:hAnsi="Book Antiqua"/>
          <w:sz w:val="24"/>
          <w:szCs w:val="24"/>
        </w:rPr>
        <w:t>tacrolimus-</w:t>
      </w:r>
      <w:r w:rsidR="005042D8" w:rsidRPr="009E427C">
        <w:rPr>
          <w:rFonts w:ascii="Book Antiqua" w:hAnsi="Book Antiqua"/>
          <w:sz w:val="24"/>
          <w:szCs w:val="24"/>
        </w:rPr>
        <w:t xml:space="preserve">BID and </w:t>
      </w:r>
      <w:r w:rsidRPr="009E427C">
        <w:rPr>
          <w:rFonts w:ascii="Book Antiqua" w:hAnsi="Book Antiqua"/>
          <w:sz w:val="24"/>
          <w:szCs w:val="24"/>
        </w:rPr>
        <w:t>extended release tacrolimus when combined</w:t>
      </w:r>
      <w:r w:rsidR="005042D8" w:rsidRPr="009E427C">
        <w:rPr>
          <w:rFonts w:ascii="Book Antiqua" w:hAnsi="Book Antiqua"/>
          <w:sz w:val="24"/>
          <w:szCs w:val="24"/>
        </w:rPr>
        <w:t xml:space="preserve"> with low dose MMF and corticosteroids without antibody induction in </w:t>
      </w:r>
      <w:r w:rsidR="005042D8" w:rsidRPr="009E427C">
        <w:rPr>
          <w:rFonts w:ascii="Book Antiqua" w:hAnsi="Book Antiqua"/>
          <w:i/>
          <w:sz w:val="24"/>
          <w:szCs w:val="24"/>
        </w:rPr>
        <w:t xml:space="preserve">de novo </w:t>
      </w:r>
      <w:r w:rsidR="005042D8" w:rsidRPr="009E427C">
        <w:rPr>
          <w:rFonts w:ascii="Book Antiqua" w:hAnsi="Book Antiqua"/>
          <w:sz w:val="24"/>
          <w:szCs w:val="24"/>
        </w:rPr>
        <w:t>kidney transplant recipients</w:t>
      </w:r>
      <w:r w:rsidRPr="009E427C">
        <w:rPr>
          <w:rFonts w:ascii="Book Antiqua" w:hAnsi="Book Antiqua"/>
          <w:sz w:val="24"/>
          <w:szCs w:val="24"/>
        </w:rPr>
        <w:t xml:space="preserve"> was published</w:t>
      </w:r>
      <w:r w:rsidR="005042D8" w:rsidRPr="009E427C">
        <w:rPr>
          <w:rFonts w:ascii="Book Antiqua" w:hAnsi="Book Antiqua"/>
          <w:sz w:val="24"/>
          <w:szCs w:val="24"/>
        </w:rPr>
        <w:t xml:space="preserve">. </w:t>
      </w:r>
      <w:r w:rsidR="004365E5" w:rsidRPr="009E427C">
        <w:rPr>
          <w:rFonts w:ascii="Book Antiqua" w:hAnsi="Book Antiqua"/>
          <w:sz w:val="24"/>
          <w:szCs w:val="24"/>
        </w:rPr>
        <w:t xml:space="preserve">The study included </w:t>
      </w:r>
      <w:r w:rsidR="004365E5" w:rsidRPr="009E427C">
        <w:rPr>
          <w:rFonts w:ascii="Book Antiqua" w:hAnsi="Book Antiqua"/>
          <w:sz w:val="24"/>
          <w:szCs w:val="24"/>
        </w:rPr>
        <w:lastRenderedPageBreak/>
        <w:t xml:space="preserve">patients </w:t>
      </w:r>
      <w:r w:rsidR="009F568E" w:rsidRPr="009E427C">
        <w:rPr>
          <w:rFonts w:ascii="Book Antiqua" w:hAnsi="Book Antiqua"/>
          <w:sz w:val="24"/>
          <w:szCs w:val="24"/>
        </w:rPr>
        <w:t xml:space="preserve">18-65 years of age receiving a kidney transplant from </w:t>
      </w:r>
      <w:r w:rsidRPr="009E427C">
        <w:rPr>
          <w:rFonts w:ascii="Book Antiqua" w:hAnsi="Book Antiqua"/>
          <w:sz w:val="24"/>
          <w:szCs w:val="24"/>
        </w:rPr>
        <w:t>a donor 5-65 years of age who were</w:t>
      </w:r>
      <w:r w:rsidR="00451891">
        <w:rPr>
          <w:rFonts w:ascii="Book Antiqua" w:hAnsi="Book Antiqua"/>
          <w:sz w:val="24"/>
          <w:szCs w:val="24"/>
        </w:rPr>
        <w:t xml:space="preserve"> ABO </w:t>
      </w:r>
      <w:proofErr w:type="gramStart"/>
      <w:r w:rsidR="00451891">
        <w:rPr>
          <w:rFonts w:ascii="Book Antiqua" w:hAnsi="Book Antiqua"/>
          <w:sz w:val="24"/>
          <w:szCs w:val="24"/>
        </w:rPr>
        <w:t>compatible</w:t>
      </w:r>
      <w:r w:rsidR="005E2E7E" w:rsidRPr="009E427C">
        <w:rPr>
          <w:rFonts w:ascii="Book Antiqua" w:hAnsi="Book Antiqua"/>
          <w:sz w:val="24"/>
          <w:szCs w:val="24"/>
          <w:vertAlign w:val="superscript"/>
        </w:rPr>
        <w:t>[</w:t>
      </w:r>
      <w:proofErr w:type="gramEnd"/>
      <w:r w:rsidR="00EF238F"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9F568E" w:rsidRPr="009E427C">
        <w:rPr>
          <w:rFonts w:ascii="Book Antiqua" w:hAnsi="Book Antiqua"/>
          <w:sz w:val="24"/>
          <w:szCs w:val="24"/>
        </w:rPr>
        <w:t>Pat</w:t>
      </w:r>
      <w:r w:rsidRPr="009E427C">
        <w:rPr>
          <w:rFonts w:ascii="Book Antiqua" w:hAnsi="Book Antiqua"/>
          <w:sz w:val="24"/>
          <w:szCs w:val="24"/>
        </w:rPr>
        <w:t xml:space="preserve">ients were excluded if they had </w:t>
      </w:r>
      <w:r w:rsidR="009F568E" w:rsidRPr="009E427C">
        <w:rPr>
          <w:rFonts w:ascii="Book Antiqua" w:hAnsi="Book Antiqua"/>
          <w:sz w:val="24"/>
          <w:szCs w:val="24"/>
        </w:rPr>
        <w:t>received a previous non</w:t>
      </w:r>
      <w:r w:rsidR="00827979" w:rsidRPr="009E427C">
        <w:rPr>
          <w:rFonts w:ascii="Book Antiqua" w:hAnsi="Book Antiqua"/>
          <w:sz w:val="24"/>
          <w:szCs w:val="24"/>
        </w:rPr>
        <w:t>-</w:t>
      </w:r>
      <w:r w:rsidR="009F568E" w:rsidRPr="009E427C">
        <w:rPr>
          <w:rFonts w:ascii="Book Antiqua" w:hAnsi="Book Antiqua"/>
          <w:sz w:val="24"/>
          <w:szCs w:val="24"/>
        </w:rPr>
        <w:t>renal transplant,</w:t>
      </w:r>
      <w:r w:rsidR="009A2173" w:rsidRPr="009E427C">
        <w:rPr>
          <w:rFonts w:ascii="Book Antiqua" w:hAnsi="Book Antiqua"/>
          <w:sz w:val="24"/>
          <w:szCs w:val="24"/>
        </w:rPr>
        <w:t xml:space="preserve"> panel reactive antibody</w:t>
      </w:r>
      <w:r w:rsidR="009F568E" w:rsidRPr="009E427C">
        <w:rPr>
          <w:rFonts w:ascii="Book Antiqua" w:hAnsi="Book Antiqua"/>
          <w:sz w:val="24"/>
          <w:szCs w:val="24"/>
        </w:rPr>
        <w:t xml:space="preserve"> &gt;</w:t>
      </w:r>
      <w:r w:rsidR="002A4F88">
        <w:rPr>
          <w:rFonts w:ascii="Book Antiqua" w:hAnsi="Book Antiqua" w:hint="eastAsia"/>
          <w:sz w:val="24"/>
          <w:szCs w:val="24"/>
          <w:lang w:eastAsia="zh-CN"/>
        </w:rPr>
        <w:t xml:space="preserve"> </w:t>
      </w:r>
      <w:r w:rsidR="009F568E" w:rsidRPr="009E427C">
        <w:rPr>
          <w:rFonts w:ascii="Book Antiqua" w:hAnsi="Book Antiqua"/>
          <w:sz w:val="24"/>
          <w:szCs w:val="24"/>
        </w:rPr>
        <w:t xml:space="preserve">50%, </w:t>
      </w:r>
      <w:r w:rsidR="00E024CD" w:rsidRPr="009E427C">
        <w:rPr>
          <w:rFonts w:ascii="Book Antiqua" w:hAnsi="Book Antiqua"/>
          <w:sz w:val="24"/>
          <w:szCs w:val="24"/>
        </w:rPr>
        <w:t>cold ischemic time</w:t>
      </w:r>
      <w:r w:rsidR="002A4F88">
        <w:rPr>
          <w:rFonts w:ascii="Book Antiqua" w:hAnsi="Book Antiqua"/>
          <w:sz w:val="24"/>
          <w:szCs w:val="24"/>
        </w:rPr>
        <w:t xml:space="preserve"> &gt;</w:t>
      </w:r>
      <w:r w:rsidR="002A4F88">
        <w:rPr>
          <w:rFonts w:ascii="Book Antiqua" w:hAnsi="Book Antiqua" w:hint="eastAsia"/>
          <w:sz w:val="24"/>
          <w:szCs w:val="24"/>
          <w:lang w:eastAsia="zh-CN"/>
        </w:rPr>
        <w:t xml:space="preserve"> </w:t>
      </w:r>
      <w:r w:rsidR="002A4F88">
        <w:rPr>
          <w:rFonts w:ascii="Book Antiqua" w:hAnsi="Book Antiqua"/>
          <w:sz w:val="24"/>
          <w:szCs w:val="24"/>
        </w:rPr>
        <w:t>30 h</w:t>
      </w:r>
      <w:r w:rsidR="009F568E" w:rsidRPr="009E427C">
        <w:rPr>
          <w:rFonts w:ascii="Book Antiqua" w:hAnsi="Book Antiqua"/>
          <w:sz w:val="24"/>
          <w:szCs w:val="24"/>
        </w:rPr>
        <w:t xml:space="preserve">, uncontrolled infection or malignancy. </w:t>
      </w:r>
      <w:r w:rsidR="004F15DC" w:rsidRPr="009E427C">
        <w:rPr>
          <w:rFonts w:ascii="Book Antiqua" w:hAnsi="Book Antiqua"/>
          <w:sz w:val="24"/>
          <w:szCs w:val="24"/>
        </w:rPr>
        <w:t>The initial post</w:t>
      </w:r>
      <w:r w:rsidRPr="009E427C">
        <w:rPr>
          <w:rFonts w:ascii="Book Antiqua" w:hAnsi="Book Antiqua"/>
          <w:sz w:val="24"/>
          <w:szCs w:val="24"/>
        </w:rPr>
        <w:t>-</w:t>
      </w:r>
      <w:r w:rsidR="004F15DC" w:rsidRPr="009E427C">
        <w:rPr>
          <w:rFonts w:ascii="Book Antiqua" w:hAnsi="Book Antiqua"/>
          <w:sz w:val="24"/>
          <w:szCs w:val="24"/>
        </w:rPr>
        <w:t>operative dose was 0.2 mg/kg</w:t>
      </w:r>
      <w:r w:rsidR="002A4F88">
        <w:rPr>
          <w:rFonts w:ascii="Book Antiqua" w:hAnsi="Book Antiqua" w:hint="eastAsia"/>
          <w:sz w:val="24"/>
          <w:szCs w:val="24"/>
          <w:lang w:eastAsia="zh-CN"/>
        </w:rPr>
        <w:t xml:space="preserve"> per </w:t>
      </w:r>
      <w:r w:rsidR="004F15DC" w:rsidRPr="009E427C">
        <w:rPr>
          <w:rFonts w:ascii="Book Antiqua" w:hAnsi="Book Antiqua"/>
          <w:sz w:val="24"/>
          <w:szCs w:val="24"/>
        </w:rPr>
        <w:t xml:space="preserve">day for both </w:t>
      </w:r>
      <w:r w:rsidRPr="009E427C">
        <w:rPr>
          <w:rFonts w:ascii="Book Antiqua" w:hAnsi="Book Antiqua"/>
          <w:sz w:val="24"/>
          <w:szCs w:val="24"/>
        </w:rPr>
        <w:t>formulations;</w:t>
      </w:r>
      <w:r w:rsidR="004F15DC" w:rsidRPr="009E427C">
        <w:rPr>
          <w:rFonts w:ascii="Book Antiqua" w:hAnsi="Book Antiqua"/>
          <w:sz w:val="24"/>
          <w:szCs w:val="24"/>
        </w:rPr>
        <w:t xml:space="preserve"> matching placebo was taken twice daily. </w:t>
      </w:r>
      <w:r w:rsidR="003849F6" w:rsidRPr="009E427C">
        <w:rPr>
          <w:rFonts w:ascii="Book Antiqua" w:hAnsi="Book Antiqua"/>
          <w:sz w:val="24"/>
          <w:szCs w:val="24"/>
        </w:rPr>
        <w:t>Overall 667 p</w:t>
      </w:r>
      <w:r w:rsidRPr="009E427C">
        <w:rPr>
          <w:rFonts w:ascii="Book Antiqua" w:hAnsi="Book Antiqua"/>
          <w:sz w:val="24"/>
          <w:szCs w:val="24"/>
        </w:rPr>
        <w:t>atients were randomized (tacrolimus-</w:t>
      </w:r>
      <w:r w:rsidR="003849F6" w:rsidRPr="009E427C">
        <w:rPr>
          <w:rFonts w:ascii="Book Antiqua" w:hAnsi="Book Antiqua"/>
          <w:sz w:val="24"/>
          <w:szCs w:val="24"/>
        </w:rPr>
        <w:t>BID</w:t>
      </w:r>
      <w:r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336; extended release tacrolimus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331</w:t>
      </w:r>
      <w:r w:rsidR="003849F6" w:rsidRPr="009E427C">
        <w:rPr>
          <w:rFonts w:ascii="Book Antiqua" w:hAnsi="Book Antiqua"/>
          <w:sz w:val="24"/>
          <w:szCs w:val="24"/>
        </w:rPr>
        <w:t xml:space="preserve">). </w:t>
      </w:r>
      <w:r w:rsidR="004616D5" w:rsidRPr="009E427C">
        <w:rPr>
          <w:rFonts w:ascii="Book Antiqua" w:hAnsi="Book Antiqua"/>
          <w:sz w:val="24"/>
          <w:szCs w:val="24"/>
        </w:rPr>
        <w:t xml:space="preserve">The mean daily dose of </w:t>
      </w:r>
      <w:r w:rsidRPr="009E427C">
        <w:rPr>
          <w:rFonts w:ascii="Book Antiqua" w:hAnsi="Book Antiqua"/>
          <w:sz w:val="24"/>
          <w:szCs w:val="24"/>
        </w:rPr>
        <w:t>extended release tacrolimus</w:t>
      </w:r>
      <w:r w:rsidR="004616D5" w:rsidRPr="009E427C">
        <w:rPr>
          <w:rFonts w:ascii="Book Antiqua" w:hAnsi="Book Antiqua"/>
          <w:sz w:val="24"/>
          <w:szCs w:val="24"/>
        </w:rPr>
        <w:t xml:space="preserve"> was higher than </w:t>
      </w:r>
      <w:r w:rsidRPr="009E427C">
        <w:rPr>
          <w:rFonts w:ascii="Book Antiqua" w:hAnsi="Book Antiqua"/>
          <w:sz w:val="24"/>
          <w:szCs w:val="24"/>
        </w:rPr>
        <w:t>tacrolimus-BID</w:t>
      </w:r>
      <w:r w:rsidR="004616D5" w:rsidRPr="009E427C">
        <w:rPr>
          <w:rFonts w:ascii="Book Antiqua" w:hAnsi="Book Antiqua"/>
          <w:sz w:val="24"/>
          <w:szCs w:val="24"/>
        </w:rPr>
        <w:t xml:space="preserve"> at all time points, however whole-blood trough levels were lower </w:t>
      </w:r>
      <w:r w:rsidRPr="009E427C">
        <w:rPr>
          <w:rFonts w:ascii="Book Antiqua" w:hAnsi="Book Antiqua"/>
          <w:sz w:val="24"/>
          <w:szCs w:val="24"/>
        </w:rPr>
        <w:t xml:space="preserve">in the </w:t>
      </w:r>
      <w:r w:rsidR="009A2173" w:rsidRPr="009E427C">
        <w:rPr>
          <w:rFonts w:ascii="Book Antiqua" w:hAnsi="Book Antiqua"/>
          <w:sz w:val="24"/>
          <w:szCs w:val="24"/>
        </w:rPr>
        <w:t>extended release tacrolimus</w:t>
      </w:r>
      <w:r w:rsidRPr="009E427C">
        <w:rPr>
          <w:rFonts w:ascii="Book Antiqua" w:hAnsi="Book Antiqua"/>
          <w:sz w:val="24"/>
          <w:szCs w:val="24"/>
        </w:rPr>
        <w:t xml:space="preserve"> group at week 1 (</w:t>
      </w:r>
      <w:r w:rsidR="004616D5" w:rsidRPr="009E427C">
        <w:rPr>
          <w:rFonts w:ascii="Book Antiqua" w:hAnsi="Book Antiqua"/>
          <w:sz w:val="24"/>
          <w:szCs w:val="24"/>
        </w:rPr>
        <w:t>12.8 ± 4.</w:t>
      </w:r>
      <w:r w:rsidR="00451891">
        <w:rPr>
          <w:rFonts w:ascii="Book Antiqua" w:hAnsi="Book Antiqua"/>
          <w:sz w:val="24"/>
          <w:szCs w:val="24"/>
        </w:rPr>
        <w:t xml:space="preserve">8 </w:t>
      </w:r>
      <w:r w:rsidR="00451891" w:rsidRPr="00451891">
        <w:rPr>
          <w:rFonts w:ascii="Book Antiqua" w:hAnsi="Book Antiqua"/>
          <w:i/>
          <w:sz w:val="24"/>
          <w:szCs w:val="24"/>
        </w:rPr>
        <w:t>vs</w:t>
      </w:r>
      <w:r w:rsidR="004616D5" w:rsidRPr="009E427C">
        <w:rPr>
          <w:rFonts w:ascii="Book Antiqua" w:hAnsi="Book Antiqua"/>
          <w:sz w:val="24"/>
          <w:szCs w:val="24"/>
        </w:rPr>
        <w:t xml:space="preserve"> 15.3 ± 5.8 ng/mL, </w:t>
      </w:r>
      <w:r w:rsidR="006C3782" w:rsidRPr="001442DA">
        <w:rPr>
          <w:rFonts w:ascii="Book Antiqua" w:hAnsi="Book Antiqua"/>
          <w:i/>
          <w:sz w:val="24"/>
          <w:szCs w:val="24"/>
        </w:rPr>
        <w:t>P</w:t>
      </w:r>
      <w:r w:rsidRPr="009E427C">
        <w:rPr>
          <w:rFonts w:ascii="Book Antiqua" w:hAnsi="Book Antiqua"/>
          <w:sz w:val="24"/>
          <w:szCs w:val="24"/>
        </w:rPr>
        <w:t xml:space="preserve"> </w:t>
      </w:r>
      <w:r w:rsidR="004616D5" w:rsidRPr="009E427C">
        <w:rPr>
          <w:rFonts w:ascii="Book Antiqua" w:hAnsi="Book Antiqua"/>
          <w:sz w:val="24"/>
          <w:szCs w:val="24"/>
        </w:rPr>
        <w:t>&lt;</w:t>
      </w:r>
      <w:r w:rsidRPr="009E427C">
        <w:rPr>
          <w:rFonts w:ascii="Book Antiqua" w:hAnsi="Book Antiqua"/>
          <w:sz w:val="24"/>
          <w:szCs w:val="24"/>
        </w:rPr>
        <w:t xml:space="preserve"> </w:t>
      </w:r>
      <w:r w:rsidR="004616D5" w:rsidRPr="009E427C">
        <w:rPr>
          <w:rFonts w:ascii="Book Antiqua" w:hAnsi="Book Antiqua"/>
          <w:sz w:val="24"/>
          <w:szCs w:val="24"/>
        </w:rPr>
        <w:t>0.05) but comparable</w:t>
      </w:r>
      <w:r w:rsidR="009F0435">
        <w:rPr>
          <w:rFonts w:ascii="Book Antiqua" w:hAnsi="Book Antiqua"/>
          <w:sz w:val="24"/>
          <w:szCs w:val="24"/>
        </w:rPr>
        <w:t xml:space="preserve"> thereafter</w:t>
      </w:r>
      <w:r w:rsidR="00E26055" w:rsidRPr="009E427C">
        <w:rPr>
          <w:rFonts w:ascii="Book Antiqua" w:hAnsi="Book Antiqua"/>
          <w:sz w:val="24"/>
          <w:szCs w:val="24"/>
          <w:vertAlign w:val="superscript"/>
        </w:rPr>
        <w:t>[</w:t>
      </w:r>
      <w:r w:rsidR="00EF238F" w:rsidRPr="009E427C">
        <w:rPr>
          <w:rFonts w:ascii="Book Antiqua" w:hAnsi="Book Antiqua"/>
          <w:sz w:val="24"/>
          <w:szCs w:val="24"/>
          <w:vertAlign w:val="superscript"/>
        </w:rPr>
        <w:t>3</w:t>
      </w:r>
      <w:r w:rsidR="00E26055"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997B53" w:rsidRPr="009E427C">
        <w:rPr>
          <w:rFonts w:ascii="Book Antiqua" w:hAnsi="Book Antiqua"/>
          <w:sz w:val="24"/>
          <w:szCs w:val="24"/>
        </w:rPr>
        <w:t xml:space="preserve">This is consistent with findings from a previous phase II </w:t>
      </w:r>
      <w:r w:rsidR="00997B53" w:rsidRPr="009E427C">
        <w:rPr>
          <w:rFonts w:ascii="Book Antiqua" w:hAnsi="Book Antiqua"/>
          <w:i/>
          <w:sz w:val="24"/>
          <w:szCs w:val="24"/>
        </w:rPr>
        <w:t xml:space="preserve">de novo </w:t>
      </w:r>
      <w:r w:rsidRPr="009E427C">
        <w:rPr>
          <w:rFonts w:ascii="Book Antiqua" w:hAnsi="Book Antiqua"/>
          <w:sz w:val="24"/>
          <w:szCs w:val="24"/>
        </w:rPr>
        <w:t>study that showed</w:t>
      </w:r>
      <w:r w:rsidR="00997B53" w:rsidRPr="009E427C">
        <w:rPr>
          <w:rFonts w:ascii="Book Antiqua" w:hAnsi="Book Antiqua"/>
          <w:sz w:val="24"/>
          <w:szCs w:val="24"/>
        </w:rPr>
        <w:t xml:space="preserve"> tacrolimus exposure was lower with </w:t>
      </w:r>
      <w:r w:rsidRPr="009E427C">
        <w:rPr>
          <w:rFonts w:ascii="Book Antiqua" w:hAnsi="Book Antiqua"/>
          <w:sz w:val="24"/>
          <w:szCs w:val="24"/>
        </w:rPr>
        <w:t>extended release tacrolimus</w:t>
      </w:r>
      <w:r w:rsidR="00997B53" w:rsidRPr="009E427C">
        <w:rPr>
          <w:rFonts w:ascii="Book Antiqua" w:hAnsi="Book Antiqua"/>
          <w:sz w:val="24"/>
          <w:szCs w:val="24"/>
        </w:rPr>
        <w:t xml:space="preserve"> than </w:t>
      </w:r>
      <w:r w:rsidRPr="009E427C">
        <w:rPr>
          <w:rFonts w:ascii="Book Antiqua" w:hAnsi="Book Antiqua"/>
          <w:sz w:val="24"/>
          <w:szCs w:val="24"/>
        </w:rPr>
        <w:t>tacrolimus-</w:t>
      </w:r>
      <w:r w:rsidR="00997B53" w:rsidRPr="009E427C">
        <w:rPr>
          <w:rFonts w:ascii="Book Antiqua" w:hAnsi="Book Antiqua"/>
          <w:sz w:val="24"/>
          <w:szCs w:val="24"/>
        </w:rPr>
        <w:t>BID on</w:t>
      </w:r>
      <w:r w:rsidR="001442DA">
        <w:rPr>
          <w:rFonts w:ascii="Book Antiqua" w:hAnsi="Book Antiqua"/>
          <w:sz w:val="24"/>
          <w:szCs w:val="24"/>
        </w:rPr>
        <w:t xml:space="preserve"> day 1 but was similar by day 4</w:t>
      </w:r>
      <w:r w:rsidR="00E26055" w:rsidRPr="009E427C">
        <w:rPr>
          <w:rFonts w:ascii="Book Antiqua" w:hAnsi="Book Antiqua"/>
          <w:sz w:val="24"/>
          <w:szCs w:val="24"/>
          <w:vertAlign w:val="superscript"/>
        </w:rPr>
        <w:t>[</w:t>
      </w:r>
      <w:r w:rsidR="00D90E2C" w:rsidRPr="009E427C">
        <w:rPr>
          <w:rFonts w:ascii="Book Antiqua" w:hAnsi="Book Antiqua"/>
          <w:sz w:val="24"/>
          <w:szCs w:val="24"/>
          <w:vertAlign w:val="superscript"/>
        </w:rPr>
        <w:t>1</w:t>
      </w:r>
      <w:r w:rsidR="000B4725" w:rsidRPr="009E427C">
        <w:rPr>
          <w:rFonts w:ascii="Book Antiqua" w:hAnsi="Book Antiqua"/>
          <w:sz w:val="24"/>
          <w:szCs w:val="24"/>
          <w:vertAlign w:val="superscript"/>
        </w:rPr>
        <w:t>6</w:t>
      </w:r>
      <w:r w:rsidR="00462671" w:rsidRPr="009E427C">
        <w:rPr>
          <w:rFonts w:ascii="Book Antiqua" w:hAnsi="Book Antiqua"/>
          <w:sz w:val="24"/>
          <w:szCs w:val="24"/>
          <w:vertAlign w:val="superscript"/>
        </w:rPr>
        <w:t>,</w:t>
      </w:r>
      <w:r w:rsidR="00D90E2C" w:rsidRPr="009E427C">
        <w:rPr>
          <w:rFonts w:ascii="Book Antiqua" w:hAnsi="Book Antiqua"/>
          <w:sz w:val="24"/>
          <w:szCs w:val="24"/>
          <w:vertAlign w:val="superscript"/>
        </w:rPr>
        <w:t>3,21</w:t>
      </w:r>
      <w:r w:rsidR="00E26055"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C51D4A">
        <w:rPr>
          <w:rFonts w:ascii="Book Antiqua" w:hAnsi="Book Antiqua"/>
          <w:sz w:val="24"/>
          <w:szCs w:val="24"/>
        </w:rPr>
        <w:t xml:space="preserve">At 24 </w:t>
      </w:r>
      <w:proofErr w:type="spellStart"/>
      <w:r w:rsidR="00C51D4A">
        <w:rPr>
          <w:rFonts w:ascii="Book Antiqua" w:hAnsi="Book Antiqua"/>
          <w:sz w:val="24"/>
          <w:szCs w:val="24"/>
        </w:rPr>
        <w:t>wk</w:t>
      </w:r>
      <w:proofErr w:type="spellEnd"/>
      <w:r w:rsidR="00B2127E" w:rsidRPr="009E427C">
        <w:rPr>
          <w:rFonts w:ascii="Book Antiqua" w:hAnsi="Book Antiqua"/>
          <w:sz w:val="24"/>
          <w:szCs w:val="24"/>
        </w:rPr>
        <w:t xml:space="preserve"> the BPAR ra</w:t>
      </w:r>
      <w:r w:rsidRPr="009E427C">
        <w:rPr>
          <w:rFonts w:ascii="Book Antiqua" w:hAnsi="Book Antiqua"/>
          <w:sz w:val="24"/>
          <w:szCs w:val="24"/>
        </w:rPr>
        <w:t xml:space="preserve">te was 15.8% </w:t>
      </w:r>
      <w:r w:rsidR="00451891" w:rsidRPr="00451891">
        <w:rPr>
          <w:rFonts w:ascii="Book Antiqua" w:hAnsi="Book Antiqua"/>
          <w:i/>
          <w:sz w:val="24"/>
          <w:szCs w:val="24"/>
        </w:rPr>
        <w:t>vs</w:t>
      </w:r>
      <w:r w:rsidRPr="009E427C">
        <w:rPr>
          <w:rFonts w:ascii="Book Antiqua" w:hAnsi="Book Antiqua"/>
          <w:sz w:val="24"/>
          <w:szCs w:val="24"/>
        </w:rPr>
        <w:t xml:space="preserve"> 20.4% in the tacrolimus-</w:t>
      </w:r>
      <w:r w:rsidR="00B2127E" w:rsidRPr="009E427C">
        <w:rPr>
          <w:rFonts w:ascii="Book Antiqua" w:hAnsi="Book Antiqua"/>
          <w:sz w:val="24"/>
          <w:szCs w:val="24"/>
        </w:rPr>
        <w:t xml:space="preserve">BID and </w:t>
      </w:r>
      <w:r w:rsidRPr="009E427C">
        <w:rPr>
          <w:rFonts w:ascii="Book Antiqua" w:hAnsi="Book Antiqua"/>
          <w:sz w:val="24"/>
          <w:szCs w:val="24"/>
        </w:rPr>
        <w:t>extended release tacrolimus</w:t>
      </w:r>
      <w:r w:rsidR="00B2127E" w:rsidRPr="009E427C">
        <w:rPr>
          <w:rFonts w:ascii="Book Antiqua" w:hAnsi="Book Antiqua"/>
          <w:sz w:val="24"/>
          <w:szCs w:val="24"/>
        </w:rPr>
        <w:t xml:space="preserve"> group</w:t>
      </w:r>
      <w:r w:rsidR="00827979" w:rsidRPr="009E427C">
        <w:rPr>
          <w:rFonts w:ascii="Book Antiqua" w:hAnsi="Book Antiqua"/>
          <w:sz w:val="24"/>
          <w:szCs w:val="24"/>
        </w:rPr>
        <w:t xml:space="preserve"> (</w:t>
      </w:r>
      <w:r w:rsidR="001442DA" w:rsidRPr="001442DA">
        <w:rPr>
          <w:rFonts w:ascii="Book Antiqua" w:hAnsi="Book Antiqua"/>
          <w:i/>
          <w:sz w:val="24"/>
          <w:szCs w:val="24"/>
        </w:rPr>
        <w:t>P</w:t>
      </w:r>
      <w:r w:rsidR="009C727C" w:rsidRPr="009E427C">
        <w:rPr>
          <w:rFonts w:ascii="Book Antiqua" w:hAnsi="Book Antiqua"/>
          <w:sz w:val="24"/>
          <w:szCs w:val="24"/>
        </w:rPr>
        <w:t xml:space="preserve"> = 0.182)</w:t>
      </w:r>
      <w:r w:rsidR="00521489" w:rsidRPr="009E427C">
        <w:rPr>
          <w:rFonts w:ascii="Book Antiqua" w:hAnsi="Book Antiqua"/>
          <w:sz w:val="24"/>
          <w:szCs w:val="24"/>
        </w:rPr>
        <w:t xml:space="preserve">. </w:t>
      </w:r>
      <w:r w:rsidR="00C36B26" w:rsidRPr="009E427C">
        <w:rPr>
          <w:rFonts w:ascii="Book Antiqua" w:hAnsi="Book Antiqua"/>
          <w:sz w:val="24"/>
          <w:szCs w:val="24"/>
        </w:rPr>
        <w:t>There was no correlation with early trough levels and the incidence of BPAR. Kaplan-Meier survival rates were 98.8% for both arms at week 24 and 97.5%</w:t>
      </w:r>
      <w:r w:rsidRPr="009E427C">
        <w:rPr>
          <w:rFonts w:ascii="Book Antiqua" w:hAnsi="Book Antiqua"/>
          <w:sz w:val="24"/>
          <w:szCs w:val="24"/>
        </w:rPr>
        <w:t xml:space="preserve"> and 96.9% at 12 </w:t>
      </w:r>
      <w:proofErr w:type="spellStart"/>
      <w:proofErr w:type="gramStart"/>
      <w:r w:rsidRPr="009E427C">
        <w:rPr>
          <w:rFonts w:ascii="Book Antiqua" w:hAnsi="Book Antiqua"/>
          <w:sz w:val="24"/>
          <w:szCs w:val="24"/>
        </w:rPr>
        <w:t>mo</w:t>
      </w:r>
      <w:proofErr w:type="spellEnd"/>
      <w:proofErr w:type="gramEnd"/>
      <w:r w:rsidRPr="009E427C">
        <w:rPr>
          <w:rFonts w:ascii="Book Antiqua" w:hAnsi="Book Antiqua"/>
          <w:sz w:val="24"/>
          <w:szCs w:val="24"/>
        </w:rPr>
        <w:t xml:space="preserve"> for </w:t>
      </w: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-BID and extended release tacrolimus </w:t>
      </w:r>
      <w:r w:rsidR="00C36B26" w:rsidRPr="009E427C">
        <w:rPr>
          <w:rFonts w:ascii="Book Antiqua" w:hAnsi="Book Antiqua"/>
          <w:sz w:val="24"/>
          <w:szCs w:val="24"/>
        </w:rPr>
        <w:t xml:space="preserve">respectively. Graft survival rates </w:t>
      </w:r>
      <w:r w:rsidR="00C51D4A">
        <w:rPr>
          <w:rFonts w:ascii="Book Antiqua" w:hAnsi="Book Antiqua"/>
          <w:sz w:val="24"/>
          <w:szCs w:val="24"/>
        </w:rPr>
        <w:t xml:space="preserve">were 94.6% and 93.6% at 24 </w:t>
      </w:r>
      <w:proofErr w:type="spellStart"/>
      <w:r w:rsidR="00C51D4A">
        <w:rPr>
          <w:rFonts w:ascii="Book Antiqua" w:hAnsi="Book Antiqua"/>
          <w:sz w:val="24"/>
          <w:szCs w:val="24"/>
        </w:rPr>
        <w:t>wk</w:t>
      </w:r>
      <w:proofErr w:type="spellEnd"/>
      <w:r w:rsidR="00C36B26" w:rsidRPr="009E427C">
        <w:rPr>
          <w:rFonts w:ascii="Book Antiqua" w:hAnsi="Book Antiqua"/>
          <w:sz w:val="24"/>
          <w:szCs w:val="24"/>
        </w:rPr>
        <w:t xml:space="preserve"> and 92.8% and 91.5% at 12 </w:t>
      </w:r>
      <w:proofErr w:type="spellStart"/>
      <w:proofErr w:type="gramStart"/>
      <w:r w:rsidR="00C36B26" w:rsidRPr="009E427C">
        <w:rPr>
          <w:rFonts w:ascii="Book Antiqua" w:hAnsi="Book Antiqua"/>
          <w:sz w:val="24"/>
          <w:szCs w:val="24"/>
        </w:rPr>
        <w:t>mo</w:t>
      </w:r>
      <w:proofErr w:type="spellEnd"/>
      <w:proofErr w:type="gramEnd"/>
      <w:r w:rsidR="00C36B26" w:rsidRPr="009E427C">
        <w:rPr>
          <w:rFonts w:ascii="Book Antiqua" w:hAnsi="Book Antiqua"/>
          <w:sz w:val="24"/>
          <w:szCs w:val="24"/>
        </w:rPr>
        <w:t xml:space="preserve"> respectively. </w:t>
      </w:r>
      <w:r w:rsidR="003D24DA" w:rsidRPr="009E427C">
        <w:rPr>
          <w:rFonts w:ascii="Book Antiqua" w:hAnsi="Book Antiqua"/>
          <w:sz w:val="24"/>
          <w:szCs w:val="24"/>
        </w:rPr>
        <w:t>The incidence</w:t>
      </w:r>
      <w:r w:rsidR="00E024CD" w:rsidRPr="009E427C">
        <w:rPr>
          <w:rFonts w:ascii="Book Antiqua" w:hAnsi="Book Antiqua"/>
          <w:sz w:val="24"/>
          <w:szCs w:val="24"/>
        </w:rPr>
        <w:t xml:space="preserve"> of delayed graft function</w:t>
      </w:r>
      <w:r w:rsidR="000F634C" w:rsidRPr="009E427C">
        <w:rPr>
          <w:rFonts w:ascii="Book Antiqua" w:hAnsi="Book Antiqua"/>
          <w:sz w:val="24"/>
          <w:szCs w:val="24"/>
        </w:rPr>
        <w:t xml:space="preserve">, </w:t>
      </w:r>
      <w:r w:rsidRPr="009E427C">
        <w:rPr>
          <w:rFonts w:ascii="Book Antiqua" w:hAnsi="Book Antiqua"/>
          <w:sz w:val="24"/>
          <w:szCs w:val="24"/>
        </w:rPr>
        <w:t xml:space="preserve">serum </w:t>
      </w:r>
      <w:proofErr w:type="spellStart"/>
      <w:r w:rsidRPr="009E427C">
        <w:rPr>
          <w:rFonts w:ascii="Book Antiqua" w:hAnsi="Book Antiqua"/>
          <w:sz w:val="24"/>
          <w:szCs w:val="24"/>
        </w:rPr>
        <w:t>creatinine</w:t>
      </w:r>
      <w:proofErr w:type="spellEnd"/>
      <w:r w:rsidRPr="009E427C">
        <w:rPr>
          <w:rFonts w:ascii="Book Antiqua" w:hAnsi="Book Antiqua"/>
          <w:sz w:val="24"/>
          <w:szCs w:val="24"/>
        </w:rPr>
        <w:t xml:space="preserve"> (</w:t>
      </w:r>
      <w:proofErr w:type="spellStart"/>
      <w:r w:rsidRPr="009E427C">
        <w:rPr>
          <w:rFonts w:ascii="Book Antiqua" w:hAnsi="Book Antiqua"/>
          <w:sz w:val="24"/>
          <w:szCs w:val="24"/>
        </w:rPr>
        <w:t>SrCr</w:t>
      </w:r>
      <w:proofErr w:type="spellEnd"/>
      <w:r w:rsidRPr="009E427C">
        <w:rPr>
          <w:rFonts w:ascii="Book Antiqua" w:hAnsi="Book Antiqua"/>
          <w:sz w:val="24"/>
          <w:szCs w:val="24"/>
        </w:rPr>
        <w:t>)</w:t>
      </w:r>
      <w:r w:rsidR="003D24DA" w:rsidRPr="009E427C">
        <w:rPr>
          <w:rFonts w:ascii="Book Antiqua" w:hAnsi="Book Antiqua"/>
          <w:sz w:val="24"/>
          <w:szCs w:val="24"/>
        </w:rPr>
        <w:t xml:space="preserve"> and </w:t>
      </w:r>
      <w:proofErr w:type="spellStart"/>
      <w:r w:rsidR="00E024CD" w:rsidRPr="009E427C">
        <w:rPr>
          <w:rFonts w:ascii="Book Antiqua" w:hAnsi="Book Antiqua"/>
          <w:sz w:val="24"/>
          <w:szCs w:val="24"/>
        </w:rPr>
        <w:t>creatinine</w:t>
      </w:r>
      <w:proofErr w:type="spellEnd"/>
      <w:r w:rsidR="00E024CD" w:rsidRPr="009E427C">
        <w:rPr>
          <w:rFonts w:ascii="Book Antiqua" w:hAnsi="Book Antiqua"/>
          <w:sz w:val="24"/>
          <w:szCs w:val="24"/>
        </w:rPr>
        <w:t xml:space="preserve"> clearance</w:t>
      </w:r>
      <w:r w:rsidR="003D24DA" w:rsidRPr="009E427C">
        <w:rPr>
          <w:rFonts w:ascii="Book Antiqua" w:hAnsi="Book Antiqua"/>
          <w:sz w:val="24"/>
          <w:szCs w:val="24"/>
        </w:rPr>
        <w:t xml:space="preserve"> did not differ significantly between the two groups at any time point of the study. </w:t>
      </w:r>
      <w:r w:rsidR="00C80A2F" w:rsidRPr="009E427C">
        <w:rPr>
          <w:rFonts w:ascii="Book Antiqua" w:hAnsi="Book Antiqua"/>
          <w:sz w:val="24"/>
          <w:szCs w:val="24"/>
        </w:rPr>
        <w:t>Overall this study had similar efficacy and com</w:t>
      </w:r>
      <w:r w:rsidRPr="009E427C">
        <w:rPr>
          <w:rFonts w:ascii="Book Antiqua" w:hAnsi="Book Antiqua"/>
          <w:sz w:val="24"/>
          <w:szCs w:val="24"/>
        </w:rPr>
        <w:t>parable safety profile with tacrolimus-BID and extended release tacrolimus</w:t>
      </w:r>
      <w:r w:rsidR="00C80A2F" w:rsidRPr="009E427C">
        <w:rPr>
          <w:rFonts w:ascii="Book Antiqua" w:hAnsi="Book Antiqua"/>
          <w:sz w:val="24"/>
          <w:szCs w:val="24"/>
        </w:rPr>
        <w:t xml:space="preserve"> in a regimen that used low dose MMF without antibody induction in </w:t>
      </w:r>
      <w:r w:rsidR="00C80A2F" w:rsidRPr="009E427C">
        <w:rPr>
          <w:rFonts w:ascii="Book Antiqua" w:hAnsi="Book Antiqua"/>
          <w:i/>
          <w:sz w:val="24"/>
          <w:szCs w:val="24"/>
        </w:rPr>
        <w:t>de novo</w:t>
      </w:r>
      <w:r w:rsidR="00C80A2F" w:rsidRPr="009E427C">
        <w:rPr>
          <w:rFonts w:ascii="Book Antiqua" w:hAnsi="Book Antiqua"/>
          <w:sz w:val="24"/>
          <w:szCs w:val="24"/>
        </w:rPr>
        <w:t xml:space="preserve"> kidney </w:t>
      </w:r>
      <w:proofErr w:type="gramStart"/>
      <w:r w:rsidR="00C80A2F" w:rsidRPr="009E427C">
        <w:rPr>
          <w:rFonts w:ascii="Book Antiqua" w:hAnsi="Book Antiqua"/>
          <w:sz w:val="24"/>
          <w:szCs w:val="24"/>
        </w:rPr>
        <w:t>recipients</w:t>
      </w:r>
      <w:r w:rsidR="005E2E7E" w:rsidRPr="009E427C">
        <w:rPr>
          <w:rFonts w:ascii="Book Antiqua" w:hAnsi="Book Antiqua"/>
          <w:sz w:val="24"/>
          <w:szCs w:val="24"/>
          <w:vertAlign w:val="superscript"/>
        </w:rPr>
        <w:t>[</w:t>
      </w:r>
      <w:proofErr w:type="gramEnd"/>
      <w:r w:rsidR="00462671"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p>
    <w:p w14:paraId="74C51FA0" w14:textId="4923AC06" w:rsidR="000912EB" w:rsidRPr="009E427C" w:rsidRDefault="000F634C"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A multicenter</w:t>
      </w:r>
      <w:r w:rsidR="000912EB" w:rsidRPr="009E427C">
        <w:rPr>
          <w:rFonts w:ascii="Book Antiqua" w:hAnsi="Book Antiqua"/>
          <w:sz w:val="24"/>
          <w:szCs w:val="24"/>
        </w:rPr>
        <w:t>, prospective, randomized e</w:t>
      </w:r>
      <w:r w:rsidR="00437E05" w:rsidRPr="009E427C">
        <w:rPr>
          <w:rFonts w:ascii="Book Antiqua" w:hAnsi="Book Antiqua"/>
          <w:sz w:val="24"/>
          <w:szCs w:val="24"/>
        </w:rPr>
        <w:t>xtension study compa</w:t>
      </w:r>
      <w:r w:rsidR="000B77CE" w:rsidRPr="009E427C">
        <w:rPr>
          <w:rFonts w:ascii="Book Antiqua" w:hAnsi="Book Antiqua"/>
          <w:sz w:val="24"/>
          <w:szCs w:val="24"/>
        </w:rPr>
        <w:t>red</w:t>
      </w:r>
      <w:r w:rsidR="00437E05" w:rsidRPr="009E427C">
        <w:rPr>
          <w:rFonts w:ascii="Book Antiqua" w:hAnsi="Book Antiqua"/>
          <w:sz w:val="24"/>
          <w:szCs w:val="24"/>
        </w:rPr>
        <w:t xml:space="preserve"> extended release tacrolimus </w:t>
      </w:r>
      <w:r w:rsidR="000B77CE" w:rsidRPr="009E427C">
        <w:rPr>
          <w:rFonts w:ascii="Book Antiqua" w:hAnsi="Book Antiqua"/>
          <w:sz w:val="24"/>
          <w:szCs w:val="24"/>
        </w:rPr>
        <w:t xml:space="preserve">to </w:t>
      </w:r>
      <w:proofErr w:type="spellStart"/>
      <w:r w:rsidR="00827979" w:rsidRPr="009E427C">
        <w:rPr>
          <w:rFonts w:ascii="Book Antiqua" w:hAnsi="Book Antiqua"/>
          <w:sz w:val="24"/>
          <w:szCs w:val="24"/>
        </w:rPr>
        <w:t>tacrolimus</w:t>
      </w:r>
      <w:proofErr w:type="spellEnd"/>
      <w:r w:rsidR="00437E05" w:rsidRPr="009E427C">
        <w:rPr>
          <w:rFonts w:ascii="Book Antiqua" w:hAnsi="Book Antiqua"/>
          <w:sz w:val="24"/>
          <w:szCs w:val="24"/>
        </w:rPr>
        <w:t>-BID</w:t>
      </w:r>
      <w:r w:rsidR="000912EB" w:rsidRPr="009E427C">
        <w:rPr>
          <w:rFonts w:ascii="Book Antiqua" w:hAnsi="Book Antiqua"/>
          <w:sz w:val="24"/>
          <w:szCs w:val="24"/>
        </w:rPr>
        <w:t xml:space="preserve"> beyond 6 </w:t>
      </w:r>
      <w:proofErr w:type="spellStart"/>
      <w:r w:rsidR="000912EB" w:rsidRPr="009E427C">
        <w:rPr>
          <w:rFonts w:ascii="Book Antiqua" w:hAnsi="Book Antiqua"/>
          <w:sz w:val="24"/>
          <w:szCs w:val="24"/>
        </w:rPr>
        <w:t>mo</w:t>
      </w:r>
      <w:proofErr w:type="spellEnd"/>
      <w:r w:rsidR="000912EB" w:rsidRPr="009E427C">
        <w:rPr>
          <w:rFonts w:ascii="Book Antiqua" w:hAnsi="Book Antiqua"/>
          <w:sz w:val="24"/>
          <w:szCs w:val="24"/>
        </w:rPr>
        <w:t xml:space="preserve"> </w:t>
      </w:r>
      <w:r w:rsidR="000B77CE" w:rsidRPr="009E427C">
        <w:rPr>
          <w:rFonts w:ascii="Book Antiqua" w:hAnsi="Book Antiqua"/>
          <w:sz w:val="24"/>
          <w:szCs w:val="24"/>
        </w:rPr>
        <w:t>to explore</w:t>
      </w:r>
      <w:r w:rsidR="000912EB" w:rsidRPr="009E427C">
        <w:rPr>
          <w:rFonts w:ascii="Book Antiqua" w:hAnsi="Book Antiqua"/>
          <w:sz w:val="24"/>
          <w:szCs w:val="24"/>
        </w:rPr>
        <w:t xml:space="preserve"> reject</w:t>
      </w:r>
      <w:r w:rsidR="003F6B8E">
        <w:rPr>
          <w:rFonts w:ascii="Book Antiqua" w:hAnsi="Book Antiqua"/>
          <w:sz w:val="24"/>
          <w:szCs w:val="24"/>
        </w:rPr>
        <w:t xml:space="preserve">ion, graft and patient </w:t>
      </w:r>
      <w:proofErr w:type="gramStart"/>
      <w:r w:rsidR="003F6B8E">
        <w:rPr>
          <w:rFonts w:ascii="Book Antiqua" w:hAnsi="Book Antiqua"/>
          <w:sz w:val="24"/>
          <w:szCs w:val="24"/>
        </w:rPr>
        <w:t>survival</w:t>
      </w:r>
      <w:r w:rsidR="00E26055" w:rsidRPr="009E427C">
        <w:rPr>
          <w:rFonts w:ascii="Book Antiqua" w:hAnsi="Book Antiqua"/>
          <w:sz w:val="24"/>
          <w:szCs w:val="24"/>
          <w:vertAlign w:val="superscript"/>
        </w:rPr>
        <w:t>[</w:t>
      </w:r>
      <w:proofErr w:type="gramEnd"/>
      <w:r w:rsidR="000B4725" w:rsidRPr="009E427C">
        <w:rPr>
          <w:rFonts w:ascii="Book Antiqua" w:hAnsi="Book Antiqua"/>
          <w:sz w:val="24"/>
          <w:szCs w:val="24"/>
          <w:vertAlign w:val="superscript"/>
        </w:rPr>
        <w:t>13</w:t>
      </w:r>
      <w:r w:rsidR="00E26055"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437E05" w:rsidRPr="009E427C">
        <w:rPr>
          <w:rFonts w:ascii="Book Antiqua" w:hAnsi="Book Antiqua"/>
          <w:sz w:val="24"/>
          <w:szCs w:val="24"/>
        </w:rPr>
        <w:t>The initial study was a phase III</w:t>
      </w:r>
      <w:r w:rsidR="000912EB" w:rsidRPr="009E427C">
        <w:rPr>
          <w:rFonts w:ascii="Book Antiqua" w:hAnsi="Book Antiqua"/>
          <w:sz w:val="24"/>
          <w:szCs w:val="24"/>
        </w:rPr>
        <w:t xml:space="preserve">, randomized, open-label, comparative, multicenter study in </w:t>
      </w:r>
      <w:r w:rsidR="000912EB" w:rsidRPr="009E427C">
        <w:rPr>
          <w:rFonts w:ascii="Book Antiqua" w:hAnsi="Book Antiqua"/>
          <w:i/>
          <w:sz w:val="24"/>
          <w:szCs w:val="24"/>
        </w:rPr>
        <w:t xml:space="preserve">de novo </w:t>
      </w:r>
      <w:r w:rsidR="000912EB" w:rsidRPr="009E427C">
        <w:rPr>
          <w:rFonts w:ascii="Book Antiqua" w:hAnsi="Book Antiqua"/>
          <w:sz w:val="24"/>
          <w:szCs w:val="24"/>
        </w:rPr>
        <w:t>living don</w:t>
      </w:r>
      <w:r w:rsidR="009F0435">
        <w:rPr>
          <w:rFonts w:ascii="Book Antiqua" w:hAnsi="Book Antiqua"/>
          <w:sz w:val="24"/>
          <w:szCs w:val="24"/>
        </w:rPr>
        <w:t xml:space="preserve">or kidney transplant </w:t>
      </w:r>
      <w:proofErr w:type="gramStart"/>
      <w:r w:rsidR="009F0435">
        <w:rPr>
          <w:rFonts w:ascii="Book Antiqua" w:hAnsi="Book Antiqua"/>
          <w:sz w:val="24"/>
          <w:szCs w:val="24"/>
        </w:rPr>
        <w:t>recipients</w:t>
      </w:r>
      <w:r w:rsidR="005E2E7E"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7</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912EB" w:rsidRPr="009E427C">
        <w:rPr>
          <w:rFonts w:ascii="Book Antiqua" w:hAnsi="Book Antiqua"/>
          <w:sz w:val="24"/>
          <w:szCs w:val="24"/>
        </w:rPr>
        <w:t xml:space="preserve"> The initial dose of </w:t>
      </w:r>
      <w:r w:rsidR="00437E05" w:rsidRPr="009E427C">
        <w:rPr>
          <w:rFonts w:ascii="Book Antiqua" w:hAnsi="Book Antiqua"/>
          <w:sz w:val="24"/>
          <w:szCs w:val="24"/>
        </w:rPr>
        <w:t xml:space="preserve">extended release tacrolimus was 0.3 mg/kg </w:t>
      </w:r>
      <w:r w:rsidR="00827979" w:rsidRPr="009E427C">
        <w:rPr>
          <w:rFonts w:ascii="Book Antiqua" w:hAnsi="Book Antiqua"/>
          <w:sz w:val="24"/>
          <w:szCs w:val="24"/>
        </w:rPr>
        <w:t xml:space="preserve">daily </w:t>
      </w:r>
      <w:r w:rsidR="00437E05" w:rsidRPr="009E427C">
        <w:rPr>
          <w:rFonts w:ascii="Book Antiqua" w:hAnsi="Book Antiqua"/>
          <w:sz w:val="24"/>
          <w:szCs w:val="24"/>
        </w:rPr>
        <w:t>or 0.15 mg/kg of tacrolimus-</w:t>
      </w:r>
      <w:r w:rsidR="000912EB" w:rsidRPr="009E427C">
        <w:rPr>
          <w:rFonts w:ascii="Book Antiqua" w:hAnsi="Book Antiqua"/>
          <w:sz w:val="24"/>
          <w:szCs w:val="24"/>
        </w:rPr>
        <w:t>BID. The extension of the 6-mo</w:t>
      </w:r>
      <w:r w:rsidR="000912EB" w:rsidRPr="009E427C">
        <w:rPr>
          <w:rFonts w:ascii="Book Antiqua" w:hAnsi="Book Antiqua"/>
          <w:i/>
          <w:sz w:val="24"/>
          <w:szCs w:val="24"/>
        </w:rPr>
        <w:t>de novo</w:t>
      </w:r>
      <w:r w:rsidR="000912EB" w:rsidRPr="009E427C">
        <w:rPr>
          <w:rFonts w:ascii="Book Antiqua" w:hAnsi="Book Antiqua"/>
          <w:sz w:val="24"/>
          <w:szCs w:val="24"/>
        </w:rPr>
        <w:t xml:space="preserve"> study was designed as a 39-mo, single-arm follow-up to evaluate t</w:t>
      </w:r>
      <w:r w:rsidR="00437E05" w:rsidRPr="009E427C">
        <w:rPr>
          <w:rFonts w:ascii="Book Antiqua" w:hAnsi="Book Antiqua"/>
          <w:sz w:val="24"/>
          <w:szCs w:val="24"/>
        </w:rPr>
        <w:t>he efficacy and safety of extended release tacrolimus</w:t>
      </w:r>
      <w:r w:rsidR="000912EB" w:rsidRPr="009E427C">
        <w:rPr>
          <w:rFonts w:ascii="Book Antiqua" w:hAnsi="Book Antiqua"/>
          <w:sz w:val="24"/>
          <w:szCs w:val="24"/>
        </w:rPr>
        <w:t xml:space="preserve">. A total of </w:t>
      </w:r>
      <w:r w:rsidR="000912EB" w:rsidRPr="009E427C">
        <w:rPr>
          <w:rFonts w:ascii="Book Antiqua" w:hAnsi="Book Antiqua"/>
          <w:sz w:val="24"/>
          <w:szCs w:val="24"/>
        </w:rPr>
        <w:lastRenderedPageBreak/>
        <w:t>124 patients were randomized</w:t>
      </w:r>
      <w:r w:rsidR="000B77CE" w:rsidRPr="009E427C">
        <w:rPr>
          <w:rFonts w:ascii="Book Antiqua" w:hAnsi="Book Antiqua"/>
          <w:sz w:val="24"/>
          <w:szCs w:val="24"/>
        </w:rPr>
        <w:t>.</w:t>
      </w:r>
      <w:r w:rsidRPr="009E427C">
        <w:rPr>
          <w:rFonts w:ascii="Book Antiqua" w:hAnsi="Book Antiqua"/>
          <w:sz w:val="24"/>
          <w:szCs w:val="24"/>
        </w:rPr>
        <w:t xml:space="preserve"> </w:t>
      </w:r>
      <w:r w:rsidR="000912EB" w:rsidRPr="009E427C">
        <w:rPr>
          <w:rFonts w:ascii="Book Antiqua" w:hAnsi="Book Antiqua"/>
          <w:sz w:val="24"/>
          <w:szCs w:val="24"/>
        </w:rPr>
        <w:t xml:space="preserve">The rate of </w:t>
      </w:r>
      <w:r w:rsidRPr="009E427C">
        <w:rPr>
          <w:rFonts w:ascii="Book Antiqua" w:hAnsi="Book Antiqua"/>
          <w:sz w:val="24"/>
          <w:szCs w:val="24"/>
        </w:rPr>
        <w:t>BPAR</w:t>
      </w:r>
      <w:r w:rsidR="00437E05" w:rsidRPr="009E427C">
        <w:rPr>
          <w:rFonts w:ascii="Book Antiqua" w:hAnsi="Book Antiqua"/>
          <w:sz w:val="24"/>
          <w:szCs w:val="24"/>
        </w:rPr>
        <w:t xml:space="preserve"> </w:t>
      </w:r>
      <w:r w:rsidR="00316D84">
        <w:rPr>
          <w:rFonts w:ascii="Book Antiqua" w:hAnsi="Book Antiqua"/>
          <w:sz w:val="24"/>
          <w:szCs w:val="24"/>
        </w:rPr>
        <w:t xml:space="preserve">was similar between groups </w:t>
      </w:r>
      <w:r w:rsidR="00316D84">
        <w:rPr>
          <w:rFonts w:ascii="Book Antiqua" w:hAnsi="Book Antiqua" w:hint="eastAsia"/>
          <w:sz w:val="24"/>
          <w:szCs w:val="24"/>
          <w:lang w:eastAsia="zh-CN"/>
        </w:rPr>
        <w:t>[</w:t>
      </w:r>
      <w:r w:rsidR="00437E05" w:rsidRPr="009E427C">
        <w:rPr>
          <w:rFonts w:ascii="Book Antiqua" w:hAnsi="Book Antiqua"/>
          <w:sz w:val="24"/>
          <w:szCs w:val="24"/>
        </w:rPr>
        <w:t>19.4% extended release tacrolimus</w:t>
      </w:r>
      <w:r w:rsidR="000912EB" w:rsidRPr="009E427C">
        <w:rPr>
          <w:rFonts w:ascii="Book Antiqua" w:hAnsi="Book Antiqua"/>
          <w:sz w:val="24"/>
          <w:szCs w:val="24"/>
        </w:rPr>
        <w:t xml:space="preserve"> group </w:t>
      </w:r>
      <w:r w:rsidR="00451891" w:rsidRPr="00451891">
        <w:rPr>
          <w:rFonts w:ascii="Book Antiqua" w:hAnsi="Book Antiqua"/>
          <w:i/>
          <w:sz w:val="24"/>
          <w:szCs w:val="24"/>
        </w:rPr>
        <w:t>vs</w:t>
      </w:r>
      <w:r w:rsidR="000B77CE" w:rsidRPr="009E427C">
        <w:rPr>
          <w:rFonts w:ascii="Book Antiqua" w:hAnsi="Book Antiqua"/>
          <w:sz w:val="24"/>
          <w:szCs w:val="24"/>
        </w:rPr>
        <w:t xml:space="preserve"> </w:t>
      </w:r>
      <w:r w:rsidR="00437E05" w:rsidRPr="009E427C">
        <w:rPr>
          <w:rFonts w:ascii="Book Antiqua" w:hAnsi="Book Antiqua"/>
          <w:sz w:val="24"/>
          <w:szCs w:val="24"/>
        </w:rPr>
        <w:t>16.1% in tacrolimus-</w:t>
      </w:r>
      <w:r w:rsidR="000912EB" w:rsidRPr="009E427C">
        <w:rPr>
          <w:rFonts w:ascii="Book Antiqua" w:hAnsi="Book Antiqua"/>
          <w:sz w:val="24"/>
          <w:szCs w:val="24"/>
        </w:rPr>
        <w:t xml:space="preserve">BID </w:t>
      </w:r>
      <w:r w:rsidR="00316D84">
        <w:rPr>
          <w:rFonts w:ascii="Book Antiqua" w:hAnsi="Book Antiqua" w:hint="eastAsia"/>
          <w:sz w:val="24"/>
          <w:szCs w:val="24"/>
          <w:lang w:eastAsia="zh-CN"/>
        </w:rPr>
        <w:t>(</w:t>
      </w:r>
      <w:r w:rsidR="00316D84" w:rsidRPr="00316D84">
        <w:rPr>
          <w:rFonts w:ascii="Book Antiqua" w:hAnsi="Book Antiqua"/>
          <w:i/>
          <w:sz w:val="24"/>
          <w:szCs w:val="24"/>
        </w:rPr>
        <w:t>P</w:t>
      </w:r>
      <w:r w:rsidR="00CA2E51" w:rsidRPr="009E427C">
        <w:rPr>
          <w:rFonts w:ascii="Book Antiqua" w:hAnsi="Book Antiqua"/>
          <w:sz w:val="24"/>
          <w:szCs w:val="24"/>
        </w:rPr>
        <w:t xml:space="preserve"> = 0.638</w:t>
      </w:r>
      <w:r w:rsidR="00316D84" w:rsidRPr="009E427C">
        <w:rPr>
          <w:rFonts w:ascii="Book Antiqua" w:hAnsi="Book Antiqua"/>
          <w:sz w:val="24"/>
          <w:szCs w:val="24"/>
        </w:rPr>
        <w:t>)</w:t>
      </w:r>
      <w:r w:rsidR="00CA2E51" w:rsidRPr="009E427C">
        <w:rPr>
          <w:rFonts w:ascii="Book Antiqua" w:hAnsi="Book Antiqua"/>
          <w:sz w:val="24"/>
          <w:szCs w:val="24"/>
        </w:rPr>
        <w:t>]</w:t>
      </w:r>
      <w:r w:rsidR="000912EB" w:rsidRPr="009E427C">
        <w:rPr>
          <w:rFonts w:ascii="Book Antiqua" w:hAnsi="Book Antiqua"/>
          <w:sz w:val="24"/>
          <w:szCs w:val="24"/>
        </w:rPr>
        <w:t xml:space="preserve">. </w:t>
      </w:r>
      <w:r w:rsidR="00733949" w:rsidRPr="009E427C">
        <w:rPr>
          <w:rFonts w:ascii="Book Antiqua" w:hAnsi="Book Antiqua"/>
          <w:sz w:val="24"/>
          <w:szCs w:val="24"/>
        </w:rPr>
        <w:t>Forty-four</w:t>
      </w:r>
      <w:r w:rsidR="006A1915" w:rsidRPr="009E427C">
        <w:rPr>
          <w:rFonts w:ascii="Book Antiqua" w:hAnsi="Book Antiqua"/>
          <w:sz w:val="24"/>
          <w:szCs w:val="24"/>
        </w:rPr>
        <w:t xml:space="preserve"> patients were enrolled in the 39-mo extension study. One patient </w:t>
      </w:r>
      <w:r w:rsidRPr="009E427C">
        <w:rPr>
          <w:rFonts w:ascii="Book Antiqua" w:hAnsi="Book Antiqua"/>
          <w:sz w:val="24"/>
          <w:szCs w:val="24"/>
        </w:rPr>
        <w:t xml:space="preserve">in the extended release tacrolimus group </w:t>
      </w:r>
      <w:r w:rsidR="006A1915" w:rsidRPr="009E427C">
        <w:rPr>
          <w:rFonts w:ascii="Book Antiqua" w:hAnsi="Book Antiqua"/>
          <w:sz w:val="24"/>
          <w:szCs w:val="24"/>
        </w:rPr>
        <w:t xml:space="preserve">experienced BPAR at 29 </w:t>
      </w:r>
      <w:proofErr w:type="spellStart"/>
      <w:r w:rsidR="006A1915" w:rsidRPr="009E427C">
        <w:rPr>
          <w:rFonts w:ascii="Book Antiqua" w:hAnsi="Book Antiqua"/>
          <w:sz w:val="24"/>
          <w:szCs w:val="24"/>
        </w:rPr>
        <w:t>mo</w:t>
      </w:r>
      <w:proofErr w:type="spellEnd"/>
      <w:r w:rsidR="006A1915" w:rsidRPr="009E427C">
        <w:rPr>
          <w:rFonts w:ascii="Book Antiqua" w:hAnsi="Book Antiqua"/>
          <w:sz w:val="24"/>
          <w:szCs w:val="24"/>
        </w:rPr>
        <w:t xml:space="preserve"> </w:t>
      </w:r>
      <w:proofErr w:type="gramStart"/>
      <w:r w:rsidR="006A1915" w:rsidRPr="009E427C">
        <w:rPr>
          <w:rFonts w:ascii="Book Antiqua" w:hAnsi="Book Antiqua"/>
          <w:sz w:val="24"/>
          <w:szCs w:val="24"/>
        </w:rPr>
        <w:t>who</w:t>
      </w:r>
      <w:proofErr w:type="gramEnd"/>
      <w:r w:rsidR="006A1915" w:rsidRPr="009E427C">
        <w:rPr>
          <w:rFonts w:ascii="Book Antiqua" w:hAnsi="Book Antiqua"/>
          <w:sz w:val="24"/>
          <w:szCs w:val="24"/>
        </w:rPr>
        <w:t xml:space="preserve"> was treated with pulse steroids and </w:t>
      </w:r>
      <w:r w:rsidR="000851B6" w:rsidRPr="009E427C">
        <w:rPr>
          <w:rFonts w:ascii="Book Antiqua" w:hAnsi="Book Antiqua"/>
          <w:sz w:val="24"/>
          <w:szCs w:val="24"/>
        </w:rPr>
        <w:t>subsequently graft</w:t>
      </w:r>
      <w:r w:rsidR="006A1915" w:rsidRPr="009E427C">
        <w:rPr>
          <w:rFonts w:ascii="Book Antiqua" w:hAnsi="Book Antiqua"/>
          <w:sz w:val="24"/>
          <w:szCs w:val="24"/>
        </w:rPr>
        <w:t xml:space="preserve"> function recovered. </w:t>
      </w:r>
      <w:r w:rsidR="000851B6" w:rsidRPr="009E427C">
        <w:rPr>
          <w:rFonts w:ascii="Book Antiqua" w:hAnsi="Book Antiqua"/>
          <w:sz w:val="24"/>
          <w:szCs w:val="24"/>
        </w:rPr>
        <w:t xml:space="preserve">During study period 4 recipients </w:t>
      </w:r>
      <w:r w:rsidR="000B77CE" w:rsidRPr="009E427C">
        <w:rPr>
          <w:rFonts w:ascii="Book Antiqua" w:hAnsi="Book Antiqua"/>
          <w:sz w:val="24"/>
          <w:szCs w:val="24"/>
        </w:rPr>
        <w:t>(</w:t>
      </w:r>
      <w:r w:rsidRPr="009E427C">
        <w:rPr>
          <w:rFonts w:ascii="Book Antiqua" w:hAnsi="Book Antiqua"/>
          <w:sz w:val="24"/>
          <w:szCs w:val="24"/>
        </w:rPr>
        <w:t>9.1%)</w:t>
      </w:r>
      <w:r w:rsidR="000B77CE" w:rsidRPr="009E427C">
        <w:rPr>
          <w:rFonts w:ascii="Book Antiqua" w:hAnsi="Book Antiqua"/>
          <w:sz w:val="24"/>
          <w:szCs w:val="24"/>
        </w:rPr>
        <w:t xml:space="preserve"> </w:t>
      </w:r>
      <w:r w:rsidR="000851B6" w:rsidRPr="009E427C">
        <w:rPr>
          <w:rFonts w:ascii="Book Antiqua" w:hAnsi="Book Antiqua"/>
          <w:sz w:val="24"/>
          <w:szCs w:val="24"/>
        </w:rPr>
        <w:t xml:space="preserve">were converted back to BID dosing due to skin rash, elevated </w:t>
      </w:r>
      <w:proofErr w:type="spellStart"/>
      <w:r w:rsidR="000851B6" w:rsidRPr="009E427C">
        <w:rPr>
          <w:rFonts w:ascii="Book Antiqua" w:hAnsi="Book Antiqua"/>
          <w:sz w:val="24"/>
          <w:szCs w:val="24"/>
        </w:rPr>
        <w:t>SrCr</w:t>
      </w:r>
      <w:proofErr w:type="spellEnd"/>
      <w:r w:rsidR="000851B6" w:rsidRPr="009E427C">
        <w:rPr>
          <w:rFonts w:ascii="Book Antiqua" w:hAnsi="Book Antiqua"/>
          <w:sz w:val="24"/>
          <w:szCs w:val="24"/>
        </w:rPr>
        <w:t xml:space="preserve"> without evidence of rejection, study medication prohibited and BPAR. </w:t>
      </w:r>
      <w:r w:rsidR="00437E05" w:rsidRPr="009E427C">
        <w:rPr>
          <w:rFonts w:ascii="Book Antiqua" w:hAnsi="Book Antiqua"/>
          <w:sz w:val="24"/>
          <w:szCs w:val="24"/>
        </w:rPr>
        <w:t>Overall, extended release tacrolimus</w:t>
      </w:r>
      <w:r w:rsidR="009C5F22" w:rsidRPr="009E427C">
        <w:rPr>
          <w:rFonts w:ascii="Book Antiqua" w:hAnsi="Book Antiqua"/>
          <w:sz w:val="24"/>
          <w:szCs w:val="24"/>
        </w:rPr>
        <w:t xml:space="preserve"> </w:t>
      </w:r>
      <w:r w:rsidR="0048010B" w:rsidRPr="009E427C">
        <w:rPr>
          <w:rFonts w:ascii="Book Antiqua" w:hAnsi="Book Antiqua"/>
          <w:sz w:val="24"/>
          <w:szCs w:val="24"/>
        </w:rPr>
        <w:t xml:space="preserve">was </w:t>
      </w:r>
      <w:r w:rsidR="009C5F22" w:rsidRPr="009E427C">
        <w:rPr>
          <w:rFonts w:ascii="Book Antiqua" w:hAnsi="Book Antiqua"/>
          <w:sz w:val="24"/>
          <w:szCs w:val="24"/>
        </w:rPr>
        <w:t>show</w:t>
      </w:r>
      <w:r w:rsidR="0048010B" w:rsidRPr="009E427C">
        <w:rPr>
          <w:rFonts w:ascii="Book Antiqua" w:hAnsi="Book Antiqua"/>
          <w:sz w:val="24"/>
          <w:szCs w:val="24"/>
        </w:rPr>
        <w:t>n</w:t>
      </w:r>
      <w:r w:rsidR="009C5F22" w:rsidRPr="009E427C">
        <w:rPr>
          <w:rFonts w:ascii="Book Antiqua" w:hAnsi="Book Antiqua"/>
          <w:sz w:val="24"/>
          <w:szCs w:val="24"/>
        </w:rPr>
        <w:t xml:space="preserve"> to be safe and effective for </w:t>
      </w:r>
      <w:proofErr w:type="spellStart"/>
      <w:r w:rsidR="009C5F22" w:rsidRPr="009E427C">
        <w:rPr>
          <w:rFonts w:ascii="Book Antiqua" w:hAnsi="Book Antiqua"/>
          <w:sz w:val="24"/>
          <w:szCs w:val="24"/>
        </w:rPr>
        <w:t>nonsensitiz</w:t>
      </w:r>
      <w:r w:rsidR="00E26055" w:rsidRPr="009E427C">
        <w:rPr>
          <w:rFonts w:ascii="Book Antiqua" w:hAnsi="Book Antiqua"/>
          <w:sz w:val="24"/>
          <w:szCs w:val="24"/>
        </w:rPr>
        <w:t>ed</w:t>
      </w:r>
      <w:proofErr w:type="spellEnd"/>
      <w:r w:rsidR="00E26055" w:rsidRPr="009E427C">
        <w:rPr>
          <w:rFonts w:ascii="Book Antiqua" w:hAnsi="Book Antiqua"/>
          <w:sz w:val="24"/>
          <w:szCs w:val="24"/>
        </w:rPr>
        <w:t xml:space="preserve"> kidney transplant recipients </w:t>
      </w:r>
      <w:r w:rsidR="005E2E7E" w:rsidRPr="009E427C">
        <w:rPr>
          <w:rFonts w:ascii="Book Antiqua" w:hAnsi="Book Antiqua"/>
          <w:sz w:val="24"/>
          <w:szCs w:val="24"/>
          <w:vertAlign w:val="superscript"/>
        </w:rPr>
        <w:t>[</w:t>
      </w:r>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7</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p>
    <w:p w14:paraId="507332FB" w14:textId="47C4E85E" w:rsidR="00827979" w:rsidRPr="009E427C" w:rsidRDefault="009F0435" w:rsidP="00190C0B">
      <w:pPr>
        <w:spacing w:after="0" w:line="360" w:lineRule="auto"/>
        <w:ind w:firstLine="720"/>
        <w:jc w:val="both"/>
        <w:rPr>
          <w:rFonts w:ascii="Book Antiqua" w:hAnsi="Book Antiqua"/>
          <w:sz w:val="24"/>
          <w:szCs w:val="24"/>
        </w:rPr>
      </w:pPr>
      <w:r>
        <w:rPr>
          <w:rFonts w:ascii="Book Antiqua" w:hAnsi="Book Antiqua"/>
          <w:sz w:val="24"/>
          <w:szCs w:val="24"/>
        </w:rPr>
        <w:t xml:space="preserve">Yang </w:t>
      </w:r>
      <w:r w:rsidRPr="009F0435">
        <w:rPr>
          <w:rFonts w:ascii="Book Antiqua" w:hAnsi="Book Antiqua"/>
          <w:i/>
          <w:sz w:val="24"/>
          <w:szCs w:val="24"/>
        </w:rPr>
        <w:t xml:space="preserve">et </w:t>
      </w:r>
      <w:proofErr w:type="gramStart"/>
      <w:r w:rsidRPr="009F0435">
        <w:rPr>
          <w:rFonts w:ascii="Book Antiqua" w:hAnsi="Book Antiqua"/>
          <w:i/>
          <w:sz w:val="24"/>
          <w:szCs w:val="24"/>
        </w:rPr>
        <w:t>al</w:t>
      </w:r>
      <w:r w:rsidRPr="009E427C">
        <w:rPr>
          <w:rFonts w:ascii="Book Antiqua" w:hAnsi="Book Antiqua"/>
          <w:sz w:val="24"/>
          <w:szCs w:val="24"/>
          <w:vertAlign w:val="superscript"/>
        </w:rPr>
        <w:t>[</w:t>
      </w:r>
      <w:proofErr w:type="gramEnd"/>
      <w:r w:rsidRPr="009E427C">
        <w:rPr>
          <w:rFonts w:ascii="Book Antiqua" w:hAnsi="Book Antiqua"/>
          <w:sz w:val="24"/>
          <w:szCs w:val="24"/>
          <w:vertAlign w:val="superscript"/>
        </w:rPr>
        <w:t>28]</w:t>
      </w:r>
      <w:r w:rsidR="00EF3FBC">
        <w:rPr>
          <w:rFonts w:ascii="Book Antiqua" w:hAnsi="Book Antiqua"/>
          <w:sz w:val="24"/>
          <w:szCs w:val="24"/>
        </w:rPr>
        <w:t xml:space="preserve"> performed a 24–</w:t>
      </w:r>
      <w:proofErr w:type="spellStart"/>
      <w:r w:rsidR="00EF3FBC">
        <w:rPr>
          <w:rFonts w:ascii="Book Antiqua" w:hAnsi="Book Antiqua"/>
          <w:sz w:val="24"/>
          <w:szCs w:val="24"/>
        </w:rPr>
        <w:t>w</w:t>
      </w:r>
      <w:r w:rsidR="009C5F22" w:rsidRPr="009E427C">
        <w:rPr>
          <w:rFonts w:ascii="Book Antiqua" w:hAnsi="Book Antiqua"/>
          <w:sz w:val="24"/>
          <w:szCs w:val="24"/>
        </w:rPr>
        <w:t>k</w:t>
      </w:r>
      <w:proofErr w:type="spellEnd"/>
      <w:r w:rsidR="009C5F22" w:rsidRPr="009E427C">
        <w:rPr>
          <w:rFonts w:ascii="Book Antiqua" w:hAnsi="Book Antiqua"/>
          <w:sz w:val="24"/>
          <w:szCs w:val="24"/>
        </w:rPr>
        <w:t xml:space="preserve"> prospective, single-center, open-label, randomized trial to evaluate</w:t>
      </w:r>
      <w:r w:rsidR="004B596D" w:rsidRPr="009E427C">
        <w:rPr>
          <w:rFonts w:ascii="Book Antiqua" w:hAnsi="Book Antiqua"/>
          <w:sz w:val="24"/>
          <w:szCs w:val="24"/>
        </w:rPr>
        <w:t xml:space="preserve"> </w:t>
      </w:r>
      <w:r w:rsidR="009C5F22" w:rsidRPr="009E427C">
        <w:rPr>
          <w:rFonts w:ascii="Book Antiqua" w:hAnsi="Book Antiqua"/>
          <w:sz w:val="24"/>
          <w:szCs w:val="24"/>
        </w:rPr>
        <w:t>the safety and efficacy of switching ta</w:t>
      </w:r>
      <w:r w:rsidR="00726636" w:rsidRPr="009E427C">
        <w:rPr>
          <w:rFonts w:ascii="Book Antiqua" w:hAnsi="Book Antiqua"/>
          <w:sz w:val="24"/>
          <w:szCs w:val="24"/>
        </w:rPr>
        <w:t>c</w:t>
      </w:r>
      <w:r w:rsidR="00437E05" w:rsidRPr="009E427C">
        <w:rPr>
          <w:rFonts w:ascii="Book Antiqua" w:hAnsi="Book Antiqua"/>
          <w:sz w:val="24"/>
          <w:szCs w:val="24"/>
        </w:rPr>
        <w:t>rolimus-</w:t>
      </w:r>
      <w:r w:rsidR="009C5F22" w:rsidRPr="009E427C">
        <w:rPr>
          <w:rFonts w:ascii="Book Antiqua" w:hAnsi="Book Antiqua"/>
          <w:sz w:val="24"/>
          <w:szCs w:val="24"/>
        </w:rPr>
        <w:t xml:space="preserve">BID to </w:t>
      </w:r>
      <w:r w:rsidR="00437E05" w:rsidRPr="009E427C">
        <w:rPr>
          <w:rFonts w:ascii="Book Antiqua" w:hAnsi="Book Antiqua"/>
          <w:sz w:val="24"/>
          <w:szCs w:val="24"/>
        </w:rPr>
        <w:t xml:space="preserve">extended release tacrolimus </w:t>
      </w:r>
      <w:r w:rsidR="009C5F22" w:rsidRPr="009E427C">
        <w:rPr>
          <w:rFonts w:ascii="Book Antiqua" w:hAnsi="Book Antiqua"/>
          <w:sz w:val="24"/>
          <w:szCs w:val="24"/>
        </w:rPr>
        <w:t xml:space="preserve">in stable renal patients. </w:t>
      </w:r>
      <w:r w:rsidR="0063399B" w:rsidRPr="009E427C">
        <w:rPr>
          <w:rFonts w:ascii="Book Antiqua" w:hAnsi="Book Antiqua"/>
          <w:sz w:val="24"/>
          <w:szCs w:val="24"/>
        </w:rPr>
        <w:t>Patients were included if they were &gt;</w:t>
      </w:r>
      <w:r w:rsidR="00970505">
        <w:rPr>
          <w:rFonts w:ascii="Book Antiqua" w:hAnsi="Book Antiqua" w:hint="eastAsia"/>
          <w:sz w:val="24"/>
          <w:szCs w:val="24"/>
          <w:lang w:eastAsia="zh-CN"/>
        </w:rPr>
        <w:t xml:space="preserve"> </w:t>
      </w:r>
      <w:r w:rsidR="0063399B" w:rsidRPr="009E427C">
        <w:rPr>
          <w:rFonts w:ascii="Book Antiqua" w:hAnsi="Book Antiqua"/>
          <w:sz w:val="24"/>
          <w:szCs w:val="24"/>
        </w:rPr>
        <w:t xml:space="preserve">20 years </w:t>
      </w:r>
      <w:r w:rsidR="0048010B" w:rsidRPr="009E427C">
        <w:rPr>
          <w:rFonts w:ascii="Book Antiqua" w:hAnsi="Book Antiqua"/>
          <w:sz w:val="24"/>
          <w:szCs w:val="24"/>
        </w:rPr>
        <w:t xml:space="preserve">of </w:t>
      </w:r>
      <w:r w:rsidR="0063399B" w:rsidRPr="009E427C">
        <w:rPr>
          <w:rFonts w:ascii="Book Antiqua" w:hAnsi="Book Antiqua"/>
          <w:sz w:val="24"/>
          <w:szCs w:val="24"/>
        </w:rPr>
        <w:t>age, had received a kidney transplant ≥</w:t>
      </w:r>
      <w:r w:rsidR="00970505">
        <w:rPr>
          <w:rFonts w:ascii="Book Antiqua" w:hAnsi="Book Antiqua" w:hint="eastAsia"/>
          <w:sz w:val="24"/>
          <w:szCs w:val="24"/>
          <w:lang w:eastAsia="zh-CN"/>
        </w:rPr>
        <w:t xml:space="preserve"> </w:t>
      </w:r>
      <w:r w:rsidR="0063399B" w:rsidRPr="009E427C">
        <w:rPr>
          <w:rFonts w:ascii="Book Antiqua" w:hAnsi="Book Antiqua"/>
          <w:sz w:val="24"/>
          <w:szCs w:val="24"/>
        </w:rPr>
        <w:t xml:space="preserve">12 </w:t>
      </w:r>
      <w:proofErr w:type="spellStart"/>
      <w:r w:rsidR="0063399B" w:rsidRPr="009E427C">
        <w:rPr>
          <w:rFonts w:ascii="Book Antiqua" w:hAnsi="Book Antiqua"/>
          <w:sz w:val="24"/>
          <w:szCs w:val="24"/>
        </w:rPr>
        <w:t>mo</w:t>
      </w:r>
      <w:proofErr w:type="spellEnd"/>
      <w:r w:rsidR="0063399B" w:rsidRPr="009E427C">
        <w:rPr>
          <w:rFonts w:ascii="Book Antiqua" w:hAnsi="Book Antiqua"/>
          <w:sz w:val="24"/>
          <w:szCs w:val="24"/>
        </w:rPr>
        <w:t xml:space="preserve"> prior to enrollment and maintained a stable t</w:t>
      </w:r>
      <w:r w:rsidR="00C51D4A">
        <w:rPr>
          <w:rFonts w:ascii="Book Antiqua" w:hAnsi="Book Antiqua"/>
          <w:sz w:val="24"/>
          <w:szCs w:val="24"/>
        </w:rPr>
        <w:t xml:space="preserve">acrolimus dose at least 12 </w:t>
      </w:r>
      <w:proofErr w:type="spellStart"/>
      <w:r w:rsidR="00C51D4A">
        <w:rPr>
          <w:rFonts w:ascii="Book Antiqua" w:hAnsi="Book Antiqua"/>
          <w:sz w:val="24"/>
          <w:szCs w:val="24"/>
        </w:rPr>
        <w:t>wk</w:t>
      </w:r>
      <w:proofErr w:type="spellEnd"/>
      <w:r w:rsidR="0063399B" w:rsidRPr="009E427C">
        <w:rPr>
          <w:rFonts w:ascii="Book Antiqua" w:hAnsi="Book Antiqua"/>
          <w:sz w:val="24"/>
          <w:szCs w:val="24"/>
        </w:rPr>
        <w:t xml:space="preserve"> before the start of the study </w:t>
      </w:r>
      <w:r w:rsidR="00970505">
        <w:rPr>
          <w:rFonts w:ascii="Book Antiqua" w:hAnsi="Book Antiqua"/>
          <w:sz w:val="24"/>
          <w:szCs w:val="24"/>
        </w:rPr>
        <w:t>drug</w:t>
      </w:r>
      <w:r w:rsidR="00E26055" w:rsidRPr="009E427C">
        <w:rPr>
          <w:rFonts w:ascii="Book Antiqua" w:hAnsi="Book Antiqua"/>
          <w:sz w:val="24"/>
          <w:szCs w:val="24"/>
        </w:rPr>
        <w:t>.</w:t>
      </w:r>
      <w:r w:rsidR="00074195">
        <w:rPr>
          <w:rFonts w:ascii="Book Antiqua" w:hAnsi="Book Antiqua"/>
          <w:sz w:val="24"/>
          <w:szCs w:val="24"/>
        </w:rPr>
        <w:t xml:space="preserve"> </w:t>
      </w:r>
      <w:r w:rsidR="0063399B" w:rsidRPr="009E427C">
        <w:rPr>
          <w:rFonts w:ascii="Book Antiqua" w:hAnsi="Book Antiqua"/>
          <w:sz w:val="24"/>
          <w:szCs w:val="24"/>
        </w:rPr>
        <w:t>They were excluded if they had a prior organ transplant, acute rejection within the pas</w:t>
      </w:r>
      <w:r w:rsidR="00C51D4A">
        <w:rPr>
          <w:rFonts w:ascii="Book Antiqua" w:hAnsi="Book Antiqua"/>
          <w:sz w:val="24"/>
          <w:szCs w:val="24"/>
        </w:rPr>
        <w:t xml:space="preserve">t 12 </w:t>
      </w:r>
      <w:proofErr w:type="spellStart"/>
      <w:r w:rsidR="00C51D4A">
        <w:rPr>
          <w:rFonts w:ascii="Book Antiqua" w:hAnsi="Book Antiqua"/>
          <w:sz w:val="24"/>
          <w:szCs w:val="24"/>
        </w:rPr>
        <w:t>wk</w:t>
      </w:r>
      <w:proofErr w:type="spellEnd"/>
      <w:r w:rsidR="0063399B" w:rsidRPr="009E427C">
        <w:rPr>
          <w:rFonts w:ascii="Book Antiqua" w:hAnsi="Book Antiqua"/>
          <w:sz w:val="24"/>
          <w:szCs w:val="24"/>
        </w:rPr>
        <w:t xml:space="preserve">, malignancy after transplant, </w:t>
      </w:r>
      <w:r w:rsidR="00437E05" w:rsidRPr="009E427C">
        <w:rPr>
          <w:rFonts w:ascii="Book Antiqua" w:hAnsi="Book Antiqua"/>
          <w:sz w:val="24"/>
          <w:szCs w:val="24"/>
        </w:rPr>
        <w:t xml:space="preserve">focal segmental </w:t>
      </w:r>
      <w:proofErr w:type="spellStart"/>
      <w:r w:rsidR="00437E05" w:rsidRPr="009E427C">
        <w:rPr>
          <w:rFonts w:ascii="Book Antiqua" w:hAnsi="Book Antiqua"/>
          <w:sz w:val="24"/>
          <w:szCs w:val="24"/>
        </w:rPr>
        <w:t>gromerulosclerosis</w:t>
      </w:r>
      <w:proofErr w:type="spellEnd"/>
      <w:r w:rsidR="0063399B" w:rsidRPr="009E427C">
        <w:rPr>
          <w:rFonts w:ascii="Book Antiqua" w:hAnsi="Book Antiqua"/>
          <w:sz w:val="24"/>
          <w:szCs w:val="24"/>
        </w:rPr>
        <w:t xml:space="preserve"> and </w:t>
      </w:r>
      <w:proofErr w:type="spellStart"/>
      <w:r w:rsidR="0063399B" w:rsidRPr="009E427C">
        <w:rPr>
          <w:rFonts w:ascii="Book Antiqua" w:hAnsi="Book Antiqua"/>
          <w:sz w:val="24"/>
          <w:szCs w:val="24"/>
        </w:rPr>
        <w:t>SrCr</w:t>
      </w:r>
      <w:proofErr w:type="spellEnd"/>
      <w:r w:rsidR="0063399B" w:rsidRPr="009E427C">
        <w:rPr>
          <w:rFonts w:ascii="Book Antiqua" w:hAnsi="Book Antiqua"/>
          <w:sz w:val="24"/>
          <w:szCs w:val="24"/>
        </w:rPr>
        <w:t xml:space="preserve"> &gt; 1.6 mg/</w:t>
      </w:r>
      <w:proofErr w:type="spellStart"/>
      <w:r w:rsidR="0063399B" w:rsidRPr="009E427C">
        <w:rPr>
          <w:rFonts w:ascii="Book Antiqua" w:hAnsi="Book Antiqua"/>
          <w:sz w:val="24"/>
          <w:szCs w:val="24"/>
        </w:rPr>
        <w:t>dL</w:t>
      </w:r>
      <w:proofErr w:type="spellEnd"/>
      <w:r w:rsidR="0063399B" w:rsidRPr="009E427C">
        <w:rPr>
          <w:rFonts w:ascii="Book Antiqua" w:hAnsi="Book Antiqua"/>
          <w:sz w:val="24"/>
          <w:szCs w:val="24"/>
        </w:rPr>
        <w:t>. Patient</w:t>
      </w:r>
      <w:r w:rsidR="006056F0" w:rsidRPr="009E427C">
        <w:rPr>
          <w:rFonts w:ascii="Book Antiqua" w:hAnsi="Book Antiqua"/>
          <w:sz w:val="24"/>
          <w:szCs w:val="24"/>
        </w:rPr>
        <w:t>s were randomized to either tacrolimus-BID or extended release tacrolimus</w:t>
      </w:r>
      <w:r w:rsidR="0063399B" w:rsidRPr="009E427C">
        <w:rPr>
          <w:rFonts w:ascii="Book Antiqua" w:hAnsi="Book Antiqua"/>
          <w:sz w:val="24"/>
          <w:szCs w:val="24"/>
        </w:rPr>
        <w:t xml:space="preserve"> and doses were converted on a 1:1 (</w:t>
      </w:r>
      <w:proofErr w:type="spellStart"/>
      <w:r w:rsidR="0063399B" w:rsidRPr="009E427C">
        <w:rPr>
          <w:rFonts w:ascii="Book Antiqua" w:hAnsi="Book Antiqua"/>
          <w:sz w:val="24"/>
          <w:szCs w:val="24"/>
        </w:rPr>
        <w:t>mg</w:t>
      </w:r>
      <w:proofErr w:type="gramStart"/>
      <w:r w:rsidR="0063399B" w:rsidRPr="009E427C">
        <w:rPr>
          <w:rFonts w:ascii="Book Antiqua" w:hAnsi="Book Antiqua"/>
          <w:sz w:val="24"/>
          <w:szCs w:val="24"/>
        </w:rPr>
        <w:t>:mg</w:t>
      </w:r>
      <w:proofErr w:type="spellEnd"/>
      <w:proofErr w:type="gramEnd"/>
      <w:r w:rsidR="0063399B" w:rsidRPr="009E427C">
        <w:rPr>
          <w:rFonts w:ascii="Book Antiqua" w:hAnsi="Book Antiqua"/>
          <w:sz w:val="24"/>
          <w:szCs w:val="24"/>
        </w:rPr>
        <w:t>) basis t</w:t>
      </w:r>
      <w:r w:rsidR="00EA499A" w:rsidRPr="009E427C">
        <w:rPr>
          <w:rFonts w:ascii="Book Antiqua" w:hAnsi="Book Antiqua"/>
          <w:sz w:val="24"/>
          <w:szCs w:val="24"/>
        </w:rPr>
        <w:t>o determine to total daily dose</w:t>
      </w:r>
      <w:r w:rsidR="006056F0" w:rsidRPr="009E427C">
        <w:rPr>
          <w:rFonts w:ascii="Book Antiqua" w:hAnsi="Book Antiqua"/>
          <w:sz w:val="24"/>
          <w:szCs w:val="24"/>
        </w:rPr>
        <w:t>. Nin</w:t>
      </w:r>
      <w:r w:rsidR="0048010B" w:rsidRPr="009E427C">
        <w:rPr>
          <w:rFonts w:ascii="Book Antiqua" w:hAnsi="Book Antiqua"/>
          <w:sz w:val="24"/>
          <w:szCs w:val="24"/>
        </w:rPr>
        <w:t>e</w:t>
      </w:r>
      <w:r w:rsidR="006056F0" w:rsidRPr="009E427C">
        <w:rPr>
          <w:rFonts w:ascii="Book Antiqua" w:hAnsi="Book Antiqua"/>
          <w:sz w:val="24"/>
          <w:szCs w:val="24"/>
        </w:rPr>
        <w:t>ty-nine</w:t>
      </w:r>
      <w:r w:rsidR="00695022" w:rsidRPr="009E427C">
        <w:rPr>
          <w:rFonts w:ascii="Book Antiqua" w:hAnsi="Book Antiqua"/>
          <w:sz w:val="24"/>
          <w:szCs w:val="24"/>
        </w:rPr>
        <w:t xml:space="preserve"> patients were randomized, 50 in the </w:t>
      </w:r>
      <w:r w:rsidR="006056F0" w:rsidRPr="009E427C">
        <w:rPr>
          <w:rFonts w:ascii="Book Antiqua" w:hAnsi="Book Antiqua"/>
          <w:sz w:val="24"/>
          <w:szCs w:val="24"/>
        </w:rPr>
        <w:t>tacrolimus-BID group and 49 in the extended release tacrolimus</w:t>
      </w:r>
      <w:r w:rsidR="00695022" w:rsidRPr="009E427C">
        <w:rPr>
          <w:rFonts w:ascii="Book Antiqua" w:hAnsi="Book Antiqua"/>
          <w:sz w:val="24"/>
          <w:szCs w:val="24"/>
        </w:rPr>
        <w:t xml:space="preserve"> group. </w:t>
      </w:r>
      <w:r w:rsidR="0055231C" w:rsidRPr="009E427C">
        <w:rPr>
          <w:rFonts w:ascii="Book Antiqua" w:hAnsi="Book Antiqua"/>
          <w:sz w:val="24"/>
          <w:szCs w:val="24"/>
        </w:rPr>
        <w:t>There were no deaths or graft losses during the study</w:t>
      </w:r>
      <w:r w:rsidR="006056F0" w:rsidRPr="009E427C">
        <w:rPr>
          <w:rFonts w:ascii="Book Antiqua" w:hAnsi="Book Antiqua"/>
          <w:sz w:val="24"/>
          <w:szCs w:val="24"/>
        </w:rPr>
        <w:t xml:space="preserve"> period.</w:t>
      </w:r>
      <w:r w:rsidR="00074195">
        <w:rPr>
          <w:rFonts w:ascii="Book Antiqua" w:hAnsi="Book Antiqua"/>
          <w:sz w:val="24"/>
          <w:szCs w:val="24"/>
        </w:rPr>
        <w:t xml:space="preserve"> </w:t>
      </w:r>
      <w:r w:rsidR="006056F0" w:rsidRPr="009E427C">
        <w:rPr>
          <w:rFonts w:ascii="Book Antiqua" w:hAnsi="Book Antiqua"/>
          <w:sz w:val="24"/>
          <w:szCs w:val="24"/>
        </w:rPr>
        <w:t>Two patients in the extended release tacrolimus</w:t>
      </w:r>
      <w:r w:rsidR="0055231C" w:rsidRPr="009E427C">
        <w:rPr>
          <w:rFonts w:ascii="Book Antiqua" w:hAnsi="Book Antiqua"/>
          <w:sz w:val="24"/>
          <w:szCs w:val="24"/>
        </w:rPr>
        <w:t xml:space="preserve"> group (4.5%) experienced acute rejection </w:t>
      </w:r>
      <w:r w:rsidR="00EA499A" w:rsidRPr="009E427C">
        <w:rPr>
          <w:rFonts w:ascii="Book Antiqua" w:hAnsi="Book Antiqua"/>
          <w:sz w:val="24"/>
          <w:szCs w:val="24"/>
        </w:rPr>
        <w:t xml:space="preserve">and were treated with high dose steroids and their renal function recovered. There was no significant difference in the incidence of acute rejection </w:t>
      </w:r>
      <w:r>
        <w:rPr>
          <w:rFonts w:ascii="Book Antiqua" w:hAnsi="Book Antiqua"/>
          <w:sz w:val="24"/>
          <w:szCs w:val="24"/>
        </w:rPr>
        <w:t xml:space="preserve">at week 24 between the 2 </w:t>
      </w:r>
      <w:proofErr w:type="gramStart"/>
      <w:r>
        <w:rPr>
          <w:rFonts w:ascii="Book Antiqua" w:hAnsi="Book Antiqua"/>
          <w:sz w:val="24"/>
          <w:szCs w:val="24"/>
        </w:rPr>
        <w:t>groups</w:t>
      </w:r>
      <w:r w:rsidR="005E2E7E"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8</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EA499A" w:rsidRPr="009E427C">
        <w:rPr>
          <w:rFonts w:ascii="Book Antiqua" w:hAnsi="Book Antiqua"/>
          <w:sz w:val="24"/>
          <w:szCs w:val="24"/>
        </w:rPr>
        <w:t>Initially tacrolimus whole-blood con</w:t>
      </w:r>
      <w:r w:rsidR="009E1A8B" w:rsidRPr="009E427C">
        <w:rPr>
          <w:rFonts w:ascii="Book Antiqua" w:hAnsi="Book Antiqua"/>
          <w:sz w:val="24"/>
          <w:szCs w:val="24"/>
        </w:rPr>
        <w:t>cen</w:t>
      </w:r>
      <w:r w:rsidR="00EA499A" w:rsidRPr="009E427C">
        <w:rPr>
          <w:rFonts w:ascii="Book Antiqua" w:hAnsi="Book Antiqua"/>
          <w:sz w:val="24"/>
          <w:szCs w:val="24"/>
        </w:rPr>
        <w:t xml:space="preserve">trations were significantly lower in the </w:t>
      </w:r>
      <w:r w:rsidR="00521489" w:rsidRPr="009E427C">
        <w:rPr>
          <w:rFonts w:ascii="Book Antiqua" w:hAnsi="Book Antiqua"/>
          <w:sz w:val="24"/>
          <w:szCs w:val="24"/>
        </w:rPr>
        <w:t>extended release tacrolimus</w:t>
      </w:r>
      <w:r w:rsidR="00EA499A" w:rsidRPr="009E427C">
        <w:rPr>
          <w:rFonts w:ascii="Book Antiqua" w:hAnsi="Book Antiqua"/>
          <w:sz w:val="24"/>
          <w:szCs w:val="24"/>
        </w:rPr>
        <w:t xml:space="preserve"> group, however were still in the therapeutic range. This is once again consistent with previous pharmacokinetic studies that showed slower absorption of </w:t>
      </w:r>
      <w:r w:rsidR="006056F0" w:rsidRPr="009E427C">
        <w:rPr>
          <w:rFonts w:ascii="Book Antiqua" w:hAnsi="Book Antiqua"/>
          <w:sz w:val="24"/>
          <w:szCs w:val="24"/>
        </w:rPr>
        <w:t xml:space="preserve">extended release tacrolimus </w:t>
      </w:r>
      <w:r w:rsidR="00EA499A" w:rsidRPr="009E427C">
        <w:rPr>
          <w:rFonts w:ascii="Book Antiqua" w:hAnsi="Book Antiqua"/>
          <w:sz w:val="24"/>
          <w:szCs w:val="24"/>
        </w:rPr>
        <w:t>compared to tacrolimus</w:t>
      </w:r>
      <w:r w:rsidR="006056F0" w:rsidRPr="009E427C">
        <w:rPr>
          <w:rFonts w:ascii="Book Antiqua" w:hAnsi="Book Antiqua"/>
          <w:sz w:val="24"/>
          <w:szCs w:val="24"/>
        </w:rPr>
        <w:t>-</w:t>
      </w:r>
      <w:proofErr w:type="gramStart"/>
      <w:r w:rsidR="006056F0" w:rsidRPr="009E427C">
        <w:rPr>
          <w:rFonts w:ascii="Book Antiqua" w:hAnsi="Book Antiqua"/>
          <w:sz w:val="24"/>
          <w:szCs w:val="24"/>
        </w:rPr>
        <w:t>BID</w:t>
      </w:r>
      <w:r w:rsidR="005E2E7E" w:rsidRPr="009E427C">
        <w:rPr>
          <w:rFonts w:ascii="Book Antiqua" w:hAnsi="Book Antiqua"/>
          <w:sz w:val="24"/>
          <w:szCs w:val="24"/>
          <w:vertAlign w:val="superscript"/>
        </w:rPr>
        <w:t>[</w:t>
      </w:r>
      <w:proofErr w:type="gramEnd"/>
      <w:r w:rsidR="004645FE" w:rsidRPr="009E427C">
        <w:rPr>
          <w:rFonts w:ascii="Book Antiqua" w:hAnsi="Book Antiqua"/>
          <w:sz w:val="24"/>
          <w:szCs w:val="24"/>
          <w:vertAlign w:val="superscript"/>
        </w:rPr>
        <w:t>29</w:t>
      </w:r>
      <w:r w:rsidR="00D90E2C" w:rsidRPr="009E427C">
        <w:rPr>
          <w:rFonts w:ascii="Book Antiqua" w:hAnsi="Book Antiqua"/>
          <w:sz w:val="24"/>
          <w:szCs w:val="24"/>
          <w:vertAlign w:val="superscript"/>
        </w:rPr>
        <w:t>,3</w:t>
      </w:r>
      <w:r w:rsidR="004645FE" w:rsidRPr="009E427C">
        <w:rPr>
          <w:rFonts w:ascii="Book Antiqua" w:hAnsi="Book Antiqua"/>
          <w:sz w:val="24"/>
          <w:szCs w:val="24"/>
          <w:vertAlign w:val="superscript"/>
        </w:rPr>
        <w:t>0</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00EA499A" w:rsidRPr="009E427C">
        <w:rPr>
          <w:rFonts w:ascii="Book Antiqua" w:hAnsi="Book Antiqua"/>
          <w:sz w:val="24"/>
          <w:szCs w:val="24"/>
        </w:rPr>
        <w:t xml:space="preserve">The rate of </w:t>
      </w:r>
      <w:r w:rsidR="006056F0" w:rsidRPr="009E427C">
        <w:rPr>
          <w:rFonts w:ascii="Book Antiqua" w:hAnsi="Book Antiqua"/>
          <w:sz w:val="24"/>
          <w:szCs w:val="24"/>
        </w:rPr>
        <w:t>compliance was 99.4% in the tacrolimus-</w:t>
      </w:r>
      <w:r w:rsidR="00EA499A" w:rsidRPr="009E427C">
        <w:rPr>
          <w:rFonts w:ascii="Book Antiqua" w:hAnsi="Book Antiqua"/>
          <w:sz w:val="24"/>
          <w:szCs w:val="24"/>
        </w:rPr>
        <w:t>BI</w:t>
      </w:r>
      <w:r w:rsidR="006056F0" w:rsidRPr="009E427C">
        <w:rPr>
          <w:rFonts w:ascii="Book Antiqua" w:hAnsi="Book Antiqua"/>
          <w:sz w:val="24"/>
          <w:szCs w:val="24"/>
        </w:rPr>
        <w:t xml:space="preserve">D group and 99.6% in the extended release tacrolimus </w:t>
      </w:r>
      <w:r w:rsidR="00EA499A" w:rsidRPr="009E427C">
        <w:rPr>
          <w:rFonts w:ascii="Book Antiqua" w:hAnsi="Book Antiqua"/>
          <w:sz w:val="24"/>
          <w:szCs w:val="24"/>
        </w:rPr>
        <w:t xml:space="preserve">group. The similarity in compliance amongst groups could be attributed to the small study population and short-term follow-up. </w:t>
      </w:r>
      <w:r w:rsidR="00C62712" w:rsidRPr="009E427C">
        <w:rPr>
          <w:rFonts w:ascii="Book Antiqua" w:hAnsi="Book Antiqua"/>
          <w:sz w:val="24"/>
          <w:szCs w:val="24"/>
        </w:rPr>
        <w:t xml:space="preserve">Overall the </w:t>
      </w:r>
      <w:r w:rsidR="00C62712" w:rsidRPr="009E427C">
        <w:rPr>
          <w:rFonts w:ascii="Book Antiqua" w:hAnsi="Book Antiqua"/>
          <w:sz w:val="24"/>
          <w:szCs w:val="24"/>
        </w:rPr>
        <w:lastRenderedPageBreak/>
        <w:t>extended release formulation can be considered as an effective alternative to current tacrolimus formulations in sta</w:t>
      </w:r>
      <w:r>
        <w:rPr>
          <w:rFonts w:ascii="Book Antiqua" w:hAnsi="Book Antiqua"/>
          <w:sz w:val="24"/>
          <w:szCs w:val="24"/>
        </w:rPr>
        <w:t xml:space="preserve">ble renal transplant </w:t>
      </w:r>
      <w:proofErr w:type="gramStart"/>
      <w:r>
        <w:rPr>
          <w:rFonts w:ascii="Book Antiqua" w:hAnsi="Book Antiqua"/>
          <w:sz w:val="24"/>
          <w:szCs w:val="24"/>
        </w:rPr>
        <w:t>recipients</w:t>
      </w:r>
      <w:r w:rsidR="005E2E7E"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2</w:t>
      </w:r>
      <w:r w:rsidR="004645FE" w:rsidRPr="009E427C">
        <w:rPr>
          <w:rFonts w:ascii="Book Antiqua" w:hAnsi="Book Antiqua"/>
          <w:sz w:val="24"/>
          <w:szCs w:val="24"/>
          <w:vertAlign w:val="superscript"/>
        </w:rPr>
        <w:t>8</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p>
    <w:p w14:paraId="0CA38B6E" w14:textId="27CF55D5" w:rsidR="004F1F0F" w:rsidRPr="009E427C" w:rsidRDefault="00913AD5"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The OSAKA trial was a phase III trial that evaluated the non</w:t>
      </w:r>
      <w:r w:rsidR="000B77CE" w:rsidRPr="009E427C">
        <w:rPr>
          <w:rFonts w:ascii="Book Antiqua" w:hAnsi="Book Antiqua"/>
          <w:sz w:val="24"/>
          <w:szCs w:val="24"/>
        </w:rPr>
        <w:t>-</w:t>
      </w:r>
      <w:r w:rsidR="009E1A8B" w:rsidRPr="009E427C">
        <w:rPr>
          <w:rFonts w:ascii="Book Antiqua" w:hAnsi="Book Antiqua"/>
          <w:sz w:val="24"/>
          <w:szCs w:val="24"/>
        </w:rPr>
        <w:t xml:space="preserve">inferiority of </w:t>
      </w:r>
      <w:r w:rsidR="00C86BB6" w:rsidRPr="009E427C">
        <w:rPr>
          <w:rFonts w:ascii="Book Antiqua" w:hAnsi="Book Antiqua"/>
          <w:sz w:val="24"/>
          <w:szCs w:val="24"/>
        </w:rPr>
        <w:t>extended release tacrolimus</w:t>
      </w:r>
      <w:r w:rsidR="009E1A8B" w:rsidRPr="009E427C">
        <w:rPr>
          <w:rFonts w:ascii="Book Antiqua" w:hAnsi="Book Antiqua"/>
          <w:sz w:val="24"/>
          <w:szCs w:val="24"/>
        </w:rPr>
        <w:t xml:space="preserve"> versus </w:t>
      </w:r>
      <w:r w:rsidR="00C86BB6" w:rsidRPr="009E427C">
        <w:rPr>
          <w:rFonts w:ascii="Book Antiqua" w:hAnsi="Book Antiqua"/>
          <w:sz w:val="24"/>
          <w:szCs w:val="24"/>
        </w:rPr>
        <w:t>tacrolimus-</w:t>
      </w:r>
      <w:r w:rsidR="009F0435">
        <w:rPr>
          <w:rFonts w:ascii="Book Antiqua" w:hAnsi="Book Antiqua"/>
          <w:sz w:val="24"/>
          <w:szCs w:val="24"/>
        </w:rPr>
        <w:t xml:space="preserve">BID in kidney </w:t>
      </w:r>
      <w:proofErr w:type="gramStart"/>
      <w:r w:rsidR="009F0435">
        <w:rPr>
          <w:rFonts w:ascii="Book Antiqua" w:hAnsi="Book Antiqua"/>
          <w:sz w:val="24"/>
          <w:szCs w:val="24"/>
        </w:rPr>
        <w:t>transplantation</w:t>
      </w:r>
      <w:r w:rsidR="005E2E7E" w:rsidRPr="009E427C">
        <w:rPr>
          <w:rFonts w:ascii="Book Antiqua" w:hAnsi="Book Antiqua"/>
          <w:sz w:val="24"/>
          <w:szCs w:val="24"/>
          <w:vertAlign w:val="superscript"/>
        </w:rPr>
        <w:t>[</w:t>
      </w:r>
      <w:proofErr w:type="gramEnd"/>
      <w:r w:rsidR="00D90E2C" w:rsidRPr="009E427C">
        <w:rPr>
          <w:rFonts w:ascii="Book Antiqua" w:hAnsi="Book Antiqua"/>
          <w:sz w:val="24"/>
          <w:szCs w:val="24"/>
          <w:vertAlign w:val="superscript"/>
        </w:rPr>
        <w:t>3</w:t>
      </w:r>
      <w:r w:rsidR="004645FE" w:rsidRPr="009E427C">
        <w:rPr>
          <w:rFonts w:ascii="Book Antiqua" w:hAnsi="Book Antiqua"/>
          <w:sz w:val="24"/>
          <w:szCs w:val="24"/>
          <w:vertAlign w:val="superscript"/>
        </w:rPr>
        <w:t>1</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D90E2C" w:rsidRPr="009E427C">
        <w:rPr>
          <w:rFonts w:ascii="Book Antiqua" w:hAnsi="Book Antiqua"/>
          <w:sz w:val="24"/>
          <w:szCs w:val="24"/>
        </w:rPr>
        <w:t xml:space="preserve"> </w:t>
      </w:r>
      <w:r w:rsidR="009E1A8B" w:rsidRPr="009E427C">
        <w:rPr>
          <w:rFonts w:ascii="Book Antiqua" w:hAnsi="Book Antiqua"/>
          <w:sz w:val="24"/>
          <w:szCs w:val="24"/>
        </w:rPr>
        <w:t>This was one of the largest rando</w:t>
      </w:r>
      <w:r w:rsidR="00C86BB6" w:rsidRPr="009E427C">
        <w:rPr>
          <w:rFonts w:ascii="Book Antiqua" w:hAnsi="Book Antiqua"/>
          <w:sz w:val="24"/>
          <w:szCs w:val="24"/>
        </w:rPr>
        <w:t xml:space="preserve">mized clinical trials that </w:t>
      </w:r>
      <w:proofErr w:type="gramStart"/>
      <w:r w:rsidR="00C86BB6" w:rsidRPr="009E427C">
        <w:rPr>
          <w:rFonts w:ascii="Book Antiqua" w:hAnsi="Book Antiqua"/>
          <w:sz w:val="24"/>
          <w:szCs w:val="24"/>
        </w:rPr>
        <w:t>was</w:t>
      </w:r>
      <w:proofErr w:type="gramEnd"/>
      <w:r w:rsidR="00C86BB6" w:rsidRPr="009E427C">
        <w:rPr>
          <w:rFonts w:ascii="Book Antiqua" w:hAnsi="Book Antiqua"/>
          <w:sz w:val="24"/>
          <w:szCs w:val="24"/>
        </w:rPr>
        <w:t xml:space="preserve"> </w:t>
      </w:r>
      <w:r w:rsidR="009E1A8B" w:rsidRPr="009E427C">
        <w:rPr>
          <w:rFonts w:ascii="Book Antiqua" w:hAnsi="Book Antiqua"/>
          <w:sz w:val="24"/>
          <w:szCs w:val="24"/>
        </w:rPr>
        <w:t xml:space="preserve">conducted in kidney transplant recipients. </w:t>
      </w:r>
      <w:r w:rsidR="00CA2E51" w:rsidRPr="009E427C">
        <w:rPr>
          <w:rFonts w:ascii="Book Antiqua" w:hAnsi="Book Antiqua"/>
          <w:sz w:val="24"/>
          <w:szCs w:val="24"/>
        </w:rPr>
        <w:t>P</w:t>
      </w:r>
      <w:r w:rsidR="009E1A8B" w:rsidRPr="009E427C">
        <w:rPr>
          <w:rFonts w:ascii="Book Antiqua" w:hAnsi="Book Antiqua"/>
          <w:sz w:val="24"/>
          <w:szCs w:val="24"/>
        </w:rPr>
        <w:t>atients were randomiz</w:t>
      </w:r>
      <w:r w:rsidR="00C86BB6" w:rsidRPr="009E427C">
        <w:rPr>
          <w:rFonts w:ascii="Book Antiqua" w:hAnsi="Book Antiqua"/>
          <w:sz w:val="24"/>
          <w:szCs w:val="24"/>
        </w:rPr>
        <w:t>ed to 1 of 4 groups: tacrolimus-</w:t>
      </w:r>
      <w:r w:rsidR="009E1A8B" w:rsidRPr="009E427C">
        <w:rPr>
          <w:rFonts w:ascii="Book Antiqua" w:hAnsi="Book Antiqua"/>
          <w:sz w:val="24"/>
          <w:szCs w:val="24"/>
        </w:rPr>
        <w:t>BID 0.2 mg/kg</w:t>
      </w:r>
      <w:r w:rsidR="00413D37">
        <w:rPr>
          <w:rFonts w:ascii="Book Antiqua" w:hAnsi="Book Antiqua" w:hint="eastAsia"/>
          <w:sz w:val="24"/>
          <w:szCs w:val="24"/>
          <w:lang w:eastAsia="zh-CN"/>
        </w:rPr>
        <w:t xml:space="preserve"> per day</w:t>
      </w:r>
      <w:r w:rsidR="00812494" w:rsidRPr="009E427C">
        <w:rPr>
          <w:rFonts w:ascii="Book Antiqua" w:hAnsi="Book Antiqua"/>
          <w:sz w:val="24"/>
          <w:szCs w:val="24"/>
        </w:rPr>
        <w:t xml:space="preserve"> (arm 1)</w:t>
      </w:r>
      <w:r w:rsidR="009E1A8B" w:rsidRPr="009E427C">
        <w:rPr>
          <w:rFonts w:ascii="Book Antiqua" w:hAnsi="Book Antiqua"/>
          <w:sz w:val="24"/>
          <w:szCs w:val="24"/>
        </w:rPr>
        <w:t xml:space="preserve">; </w:t>
      </w:r>
      <w:r w:rsidR="00C86BB6" w:rsidRPr="009E427C">
        <w:rPr>
          <w:rFonts w:ascii="Book Antiqua" w:hAnsi="Book Antiqua"/>
          <w:sz w:val="24"/>
          <w:szCs w:val="24"/>
        </w:rPr>
        <w:t>extended release tacrolimus</w:t>
      </w:r>
      <w:r w:rsidR="009E1A8B" w:rsidRPr="009E427C">
        <w:rPr>
          <w:rFonts w:ascii="Book Antiqua" w:hAnsi="Book Antiqua"/>
          <w:sz w:val="24"/>
          <w:szCs w:val="24"/>
        </w:rPr>
        <w:t xml:space="preserve"> 0.2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00812494" w:rsidRPr="009E427C">
        <w:rPr>
          <w:rFonts w:ascii="Book Antiqua" w:hAnsi="Book Antiqua"/>
          <w:sz w:val="24"/>
          <w:szCs w:val="24"/>
        </w:rPr>
        <w:t xml:space="preserve"> (arm 2)</w:t>
      </w:r>
      <w:r w:rsidR="009E1A8B" w:rsidRPr="009E427C">
        <w:rPr>
          <w:rFonts w:ascii="Book Antiqua" w:hAnsi="Book Antiqua"/>
          <w:sz w:val="24"/>
          <w:szCs w:val="24"/>
        </w:rPr>
        <w:t>;</w:t>
      </w:r>
      <w:r w:rsidR="00C86BB6" w:rsidRPr="009E427C">
        <w:rPr>
          <w:rFonts w:ascii="Book Antiqua" w:hAnsi="Book Antiqua"/>
          <w:sz w:val="24"/>
          <w:szCs w:val="24"/>
        </w:rPr>
        <w:t xml:space="preserve"> extended release tacrolimus</w:t>
      </w:r>
      <w:r w:rsidR="00812494" w:rsidRPr="009E427C">
        <w:rPr>
          <w:rFonts w:ascii="Book Antiqua" w:hAnsi="Book Antiqua"/>
          <w:sz w:val="24"/>
          <w:szCs w:val="24"/>
        </w:rPr>
        <w:t xml:space="preserve"> 0.3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00C86BB6" w:rsidRPr="009E427C">
        <w:rPr>
          <w:rFonts w:ascii="Book Antiqua" w:hAnsi="Book Antiqua"/>
          <w:sz w:val="24"/>
          <w:szCs w:val="24"/>
        </w:rPr>
        <w:t xml:space="preserve"> (arm 3); extended release </w:t>
      </w:r>
      <w:r w:rsidR="000B77CE" w:rsidRPr="009E427C">
        <w:rPr>
          <w:rFonts w:ascii="Book Antiqua" w:hAnsi="Book Antiqua"/>
          <w:sz w:val="24"/>
          <w:szCs w:val="24"/>
        </w:rPr>
        <w:t>tacrolimus</w:t>
      </w:r>
      <w:r w:rsidR="00812494" w:rsidRPr="009E427C">
        <w:rPr>
          <w:rFonts w:ascii="Book Antiqua" w:hAnsi="Book Antiqua"/>
          <w:sz w:val="24"/>
          <w:szCs w:val="24"/>
        </w:rPr>
        <w:t xml:space="preserve"> 0.2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00812494" w:rsidRPr="009E427C">
        <w:rPr>
          <w:rFonts w:ascii="Book Antiqua" w:hAnsi="Book Antiqua"/>
          <w:sz w:val="24"/>
          <w:szCs w:val="24"/>
        </w:rPr>
        <w:t xml:space="preserve"> + </w:t>
      </w:r>
      <w:proofErr w:type="spellStart"/>
      <w:r w:rsidR="00812494" w:rsidRPr="009E427C">
        <w:rPr>
          <w:rFonts w:ascii="Book Antiqua" w:hAnsi="Book Antiqua"/>
          <w:sz w:val="24"/>
          <w:szCs w:val="24"/>
        </w:rPr>
        <w:t>basiliximab</w:t>
      </w:r>
      <w:proofErr w:type="spellEnd"/>
      <w:r w:rsidR="00812494" w:rsidRPr="009E427C">
        <w:rPr>
          <w:rFonts w:ascii="Book Antiqua" w:hAnsi="Book Antiqua"/>
          <w:sz w:val="24"/>
          <w:szCs w:val="24"/>
        </w:rPr>
        <w:t xml:space="preserve"> + corticosteroid bolus (arm 4) and 1214 patients received at least one dose of study drug. </w:t>
      </w:r>
      <w:r w:rsidR="00C86BB6" w:rsidRPr="009E427C">
        <w:rPr>
          <w:rFonts w:ascii="Book Antiqua" w:hAnsi="Book Antiqua"/>
          <w:sz w:val="24"/>
          <w:szCs w:val="24"/>
        </w:rPr>
        <w:t>Extended release tacrolimus</w:t>
      </w:r>
      <w:r w:rsidR="00812494" w:rsidRPr="009E427C">
        <w:rPr>
          <w:rFonts w:ascii="Book Antiqua" w:hAnsi="Book Antiqua"/>
          <w:sz w:val="24"/>
          <w:szCs w:val="24"/>
        </w:rPr>
        <w:t xml:space="preserve"> 0.3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00812494" w:rsidRPr="009E427C">
        <w:rPr>
          <w:rFonts w:ascii="Book Antiqua" w:hAnsi="Book Antiqua"/>
          <w:sz w:val="24"/>
          <w:szCs w:val="24"/>
        </w:rPr>
        <w:t xml:space="preserve"> had higher trough concentrations on day 1 and 7 however, by day 14 they were similar across the board. Non</w:t>
      </w:r>
      <w:r w:rsidR="000B77CE" w:rsidRPr="009E427C">
        <w:rPr>
          <w:rFonts w:ascii="Book Antiqua" w:hAnsi="Book Antiqua"/>
          <w:sz w:val="24"/>
          <w:szCs w:val="24"/>
        </w:rPr>
        <w:t>-</w:t>
      </w:r>
      <w:r w:rsidR="00812494" w:rsidRPr="009E427C">
        <w:rPr>
          <w:rFonts w:ascii="Book Antiqua" w:hAnsi="Book Antiqua"/>
          <w:sz w:val="24"/>
          <w:szCs w:val="24"/>
        </w:rPr>
        <w:t>inferiority was established for efficacy failure rates between arms 1 and 2. Non</w:t>
      </w:r>
      <w:r w:rsidR="000B77CE" w:rsidRPr="009E427C">
        <w:rPr>
          <w:rFonts w:ascii="Book Antiqua" w:hAnsi="Book Antiqua"/>
          <w:sz w:val="24"/>
          <w:szCs w:val="24"/>
        </w:rPr>
        <w:t>-</w:t>
      </w:r>
      <w:r w:rsidR="00812494" w:rsidRPr="009E427C">
        <w:rPr>
          <w:rFonts w:ascii="Book Antiqua" w:hAnsi="Book Antiqua"/>
          <w:sz w:val="24"/>
          <w:szCs w:val="24"/>
        </w:rPr>
        <w:t xml:space="preserve">inferiority of efficacy failure between arm 3 and 1 was </w:t>
      </w:r>
      <w:r w:rsidR="00C86BB6" w:rsidRPr="009E427C">
        <w:rPr>
          <w:rFonts w:ascii="Book Antiqua" w:hAnsi="Book Antiqua"/>
          <w:sz w:val="24"/>
          <w:szCs w:val="24"/>
        </w:rPr>
        <w:t xml:space="preserve">not established, nor was it between </w:t>
      </w:r>
      <w:r w:rsidR="00812494" w:rsidRPr="009E427C">
        <w:rPr>
          <w:rFonts w:ascii="Book Antiqua" w:hAnsi="Book Antiqua"/>
          <w:sz w:val="24"/>
          <w:szCs w:val="24"/>
        </w:rPr>
        <w:t>arm</w:t>
      </w:r>
      <w:r w:rsidR="00C86BB6" w:rsidRPr="009E427C">
        <w:rPr>
          <w:rFonts w:ascii="Book Antiqua" w:hAnsi="Book Antiqua"/>
          <w:sz w:val="24"/>
          <w:szCs w:val="24"/>
        </w:rPr>
        <w:t>s</w:t>
      </w:r>
      <w:r w:rsidR="00812494" w:rsidRPr="009E427C">
        <w:rPr>
          <w:rFonts w:ascii="Book Antiqua" w:hAnsi="Book Antiqua"/>
          <w:sz w:val="24"/>
          <w:szCs w:val="24"/>
        </w:rPr>
        <w:t xml:space="preserve"> 4 and 1. The main reason for efficacy failure in all arms was graft dysfunction at week 24. </w:t>
      </w:r>
      <w:r w:rsidR="005B016C" w:rsidRPr="009E427C">
        <w:rPr>
          <w:rFonts w:ascii="Book Antiqua" w:hAnsi="Book Antiqua"/>
          <w:sz w:val="24"/>
          <w:szCs w:val="24"/>
        </w:rPr>
        <w:t xml:space="preserve">The number of patients that experienced </w:t>
      </w:r>
      <w:r w:rsidR="00EE21C3" w:rsidRPr="009E427C">
        <w:rPr>
          <w:rFonts w:ascii="Book Antiqua" w:hAnsi="Book Antiqua"/>
          <w:sz w:val="24"/>
          <w:szCs w:val="24"/>
        </w:rPr>
        <w:t>BPAR was 13.6% (42/309) in arm 1, 10.3% (31/302) in arm 2, 16.1% (49/304) in arm 3, and 12.7% (36/283) in ar</w:t>
      </w:r>
      <w:r w:rsidR="00C86BB6" w:rsidRPr="009E427C">
        <w:rPr>
          <w:rFonts w:ascii="Book Antiqua" w:hAnsi="Book Antiqua"/>
          <w:sz w:val="24"/>
          <w:szCs w:val="24"/>
        </w:rPr>
        <w:t>m 4. Overall, the efficacy of extended release tacrolimus</w:t>
      </w:r>
      <w:r w:rsidR="00EE21C3" w:rsidRPr="009E427C">
        <w:rPr>
          <w:rFonts w:ascii="Book Antiqua" w:hAnsi="Book Antiqua"/>
          <w:sz w:val="24"/>
          <w:szCs w:val="24"/>
        </w:rPr>
        <w:t xml:space="preserve"> dosing of 0.2 mg/kg/d was non</w:t>
      </w:r>
      <w:r w:rsidR="00D5609C" w:rsidRPr="009E427C">
        <w:rPr>
          <w:rFonts w:ascii="Book Antiqua" w:hAnsi="Book Antiqua"/>
          <w:sz w:val="24"/>
          <w:szCs w:val="24"/>
        </w:rPr>
        <w:t>-</w:t>
      </w:r>
      <w:r w:rsidR="00EE21C3" w:rsidRPr="009E427C">
        <w:rPr>
          <w:rFonts w:ascii="Book Antiqua" w:hAnsi="Book Antiqua"/>
          <w:sz w:val="24"/>
          <w:szCs w:val="24"/>
        </w:rPr>
        <w:t xml:space="preserve">inferior to </w:t>
      </w:r>
      <w:r w:rsidR="00C86BB6" w:rsidRPr="009E427C">
        <w:rPr>
          <w:rFonts w:ascii="Book Antiqua" w:hAnsi="Book Antiqua"/>
          <w:sz w:val="24"/>
          <w:szCs w:val="24"/>
        </w:rPr>
        <w:t>tacrolimus-</w:t>
      </w:r>
      <w:r w:rsidR="00EE21C3" w:rsidRPr="009E427C">
        <w:rPr>
          <w:rFonts w:ascii="Book Antiqua" w:hAnsi="Book Antiqua"/>
          <w:sz w:val="24"/>
          <w:szCs w:val="24"/>
        </w:rPr>
        <w:t>BID dosing based on the same initial dosing without induction. Increasing the starting dose to 0.3 mg/kg/d did not increase efficacy</w:t>
      </w:r>
      <w:r w:rsidR="00CA2E51" w:rsidRPr="009E427C">
        <w:rPr>
          <w:rFonts w:ascii="Book Antiqua" w:hAnsi="Book Antiqua"/>
          <w:sz w:val="24"/>
          <w:szCs w:val="24"/>
        </w:rPr>
        <w:t xml:space="preserve">; therefore, 0.2 mg/kg/d </w:t>
      </w:r>
      <w:r w:rsidR="00EF7BB2" w:rsidRPr="009E427C">
        <w:rPr>
          <w:rFonts w:ascii="Book Antiqua" w:hAnsi="Book Antiqua"/>
          <w:sz w:val="24"/>
          <w:szCs w:val="24"/>
        </w:rPr>
        <w:t>was and adequate s</w:t>
      </w:r>
      <w:r w:rsidR="009F0435">
        <w:rPr>
          <w:rFonts w:ascii="Book Antiqua" w:hAnsi="Book Antiqua"/>
          <w:sz w:val="24"/>
          <w:szCs w:val="24"/>
        </w:rPr>
        <w:t xml:space="preserve">tarting </w:t>
      </w:r>
      <w:proofErr w:type="gramStart"/>
      <w:r w:rsidR="009F0435">
        <w:rPr>
          <w:rFonts w:ascii="Book Antiqua" w:hAnsi="Book Antiqua"/>
          <w:sz w:val="24"/>
          <w:szCs w:val="24"/>
        </w:rPr>
        <w:t>dose</w:t>
      </w:r>
      <w:r w:rsidR="005E2E7E" w:rsidRPr="009E427C">
        <w:rPr>
          <w:rFonts w:ascii="Book Antiqua" w:hAnsi="Book Antiqua"/>
          <w:sz w:val="24"/>
          <w:szCs w:val="24"/>
          <w:vertAlign w:val="superscript"/>
        </w:rPr>
        <w:t>[</w:t>
      </w:r>
      <w:proofErr w:type="gramEnd"/>
      <w:r w:rsidR="00EF7BB2" w:rsidRPr="009E427C">
        <w:rPr>
          <w:rFonts w:ascii="Book Antiqua" w:hAnsi="Book Antiqua"/>
          <w:sz w:val="24"/>
          <w:szCs w:val="24"/>
          <w:vertAlign w:val="superscript"/>
        </w:rPr>
        <w:t>3</w:t>
      </w:r>
      <w:r w:rsidR="004645FE" w:rsidRPr="009E427C">
        <w:rPr>
          <w:rFonts w:ascii="Book Antiqua" w:hAnsi="Book Antiqua"/>
          <w:sz w:val="24"/>
          <w:szCs w:val="24"/>
          <w:vertAlign w:val="superscript"/>
        </w:rPr>
        <w:t>1</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p>
    <w:p w14:paraId="2A0EE0F9" w14:textId="17D96BE1" w:rsidR="004F1F0F"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 xml:space="preserve">LIVER TRANSPLANTATION </w:t>
      </w:r>
    </w:p>
    <w:p w14:paraId="2EB9EAAB" w14:textId="5C895661"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There are several studies evaluating the pharmacokinetics, safety, and efficacy of extended release tacrolimus in liver transplant recipients.</w:t>
      </w:r>
      <w:r w:rsidR="00074195">
        <w:rPr>
          <w:rFonts w:ascii="Book Antiqua" w:hAnsi="Book Antiqua"/>
          <w:sz w:val="24"/>
          <w:szCs w:val="24"/>
        </w:rPr>
        <w:t xml:space="preserve"> </w:t>
      </w:r>
      <w:r w:rsidRPr="009E427C">
        <w:rPr>
          <w:rFonts w:ascii="Book Antiqua" w:hAnsi="Book Antiqua"/>
          <w:sz w:val="24"/>
          <w:szCs w:val="24"/>
        </w:rPr>
        <w:t xml:space="preserve">However, extended release tacrolimus is currently not FDA-approved for use in the liver transplant setting due to an increased mortality rate in female liver transplant recipients in a </w:t>
      </w:r>
      <w:r w:rsidRPr="009E427C">
        <w:rPr>
          <w:rFonts w:ascii="Book Antiqua" w:hAnsi="Book Antiqua"/>
          <w:i/>
          <w:sz w:val="24"/>
          <w:szCs w:val="24"/>
        </w:rPr>
        <w:t>post-hoc</w:t>
      </w:r>
      <w:r w:rsidR="009F0435">
        <w:rPr>
          <w:rFonts w:ascii="Book Antiqua" w:hAnsi="Book Antiqua"/>
          <w:sz w:val="24"/>
          <w:szCs w:val="24"/>
        </w:rPr>
        <w:t xml:space="preserve"> </w:t>
      </w:r>
      <w:proofErr w:type="gramStart"/>
      <w:r w:rsidR="009F0435">
        <w:rPr>
          <w:rFonts w:ascii="Book Antiqua" w:hAnsi="Book Antiqua"/>
          <w:sz w:val="24"/>
          <w:szCs w:val="24"/>
        </w:rPr>
        <w:t>analysis</w:t>
      </w:r>
      <w:r w:rsidR="005E2E7E" w:rsidRPr="009E427C">
        <w:rPr>
          <w:rFonts w:ascii="Book Antiqua" w:hAnsi="Book Antiqua"/>
          <w:sz w:val="24"/>
          <w:szCs w:val="24"/>
          <w:vertAlign w:val="superscript"/>
        </w:rPr>
        <w:t>[</w:t>
      </w:r>
      <w:proofErr w:type="gramEnd"/>
      <w:r w:rsidR="00EF7BB2" w:rsidRPr="009E427C">
        <w:rPr>
          <w:rFonts w:ascii="Book Antiqua" w:hAnsi="Book Antiqua"/>
          <w:sz w:val="24"/>
          <w:szCs w:val="24"/>
          <w:vertAlign w:val="superscript"/>
        </w:rPr>
        <w:t>9</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p>
    <w:p w14:paraId="310EDC25" w14:textId="23F0C4EB" w:rsidR="007D45BE" w:rsidRPr="006B2BEC" w:rsidRDefault="007D45BE" w:rsidP="00190C0B">
      <w:pPr>
        <w:spacing w:after="0" w:line="360" w:lineRule="auto"/>
        <w:ind w:firstLine="720"/>
        <w:jc w:val="both"/>
        <w:rPr>
          <w:rFonts w:ascii="Book Antiqua" w:hAnsi="Book Antiqua"/>
          <w:sz w:val="24"/>
          <w:szCs w:val="24"/>
          <w:lang w:eastAsia="zh-CN"/>
        </w:rPr>
      </w:pPr>
      <w:r w:rsidRPr="009E427C">
        <w:rPr>
          <w:rFonts w:ascii="Book Antiqua" w:hAnsi="Book Antiqua"/>
          <w:sz w:val="24"/>
          <w:szCs w:val="24"/>
        </w:rPr>
        <w:t>The first long-term liver transplant trial with extended release tacrolimus was a multicenter, randomized, double-blind, phase III study comparing the efficacy and safety of extended relea</w:t>
      </w:r>
      <w:r w:rsidR="009F0435">
        <w:rPr>
          <w:rFonts w:ascii="Book Antiqua" w:hAnsi="Book Antiqua"/>
          <w:sz w:val="24"/>
          <w:szCs w:val="24"/>
        </w:rPr>
        <w:t>se tacrolimus to tacrolimus-</w:t>
      </w:r>
      <w:proofErr w:type="gramStart"/>
      <w:r w:rsidR="009F0435">
        <w:rPr>
          <w:rFonts w:ascii="Book Antiqua" w:hAnsi="Book Antiqua"/>
          <w:sz w:val="24"/>
          <w:szCs w:val="24"/>
        </w:rPr>
        <w:t>BID</w:t>
      </w:r>
      <w:r w:rsidR="005E2E7E" w:rsidRPr="009E427C">
        <w:rPr>
          <w:rFonts w:ascii="Book Antiqua" w:hAnsi="Book Antiqua"/>
          <w:sz w:val="24"/>
          <w:szCs w:val="24"/>
          <w:vertAlign w:val="superscript"/>
        </w:rPr>
        <w:t>[</w:t>
      </w:r>
      <w:proofErr w:type="gramEnd"/>
      <w:r w:rsidR="00EF7BB2" w:rsidRPr="009E427C">
        <w:rPr>
          <w:rFonts w:ascii="Book Antiqua" w:hAnsi="Book Antiqua"/>
          <w:sz w:val="24"/>
          <w:szCs w:val="24"/>
          <w:vertAlign w:val="superscript"/>
        </w:rPr>
        <w:t>1</w:t>
      </w:r>
      <w:r w:rsidR="000B4725"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The du</w:t>
      </w:r>
      <w:r w:rsidR="00C51D4A">
        <w:rPr>
          <w:rFonts w:ascii="Book Antiqua" w:hAnsi="Book Antiqua"/>
          <w:sz w:val="24"/>
          <w:szCs w:val="24"/>
        </w:rPr>
        <w:t xml:space="preserve">ration of the study was 24 </w:t>
      </w:r>
      <w:proofErr w:type="spellStart"/>
      <w:r w:rsidR="00C51D4A">
        <w:rPr>
          <w:rFonts w:ascii="Book Antiqua" w:hAnsi="Book Antiqua"/>
          <w:sz w:val="24"/>
          <w:szCs w:val="24"/>
        </w:rPr>
        <w:t>wk</w:t>
      </w:r>
      <w:proofErr w:type="spellEnd"/>
      <w:r w:rsidRPr="009E427C">
        <w:rPr>
          <w:rFonts w:ascii="Book Antiqua" w:hAnsi="Book Antiqua"/>
          <w:sz w:val="24"/>
          <w:szCs w:val="24"/>
        </w:rPr>
        <w:t xml:space="preserve"> followed by an extension period to 12 </w:t>
      </w:r>
      <w:proofErr w:type="spellStart"/>
      <w:proofErr w:type="gramStart"/>
      <w:r w:rsidRPr="009E427C">
        <w:rPr>
          <w:rFonts w:ascii="Book Antiqua" w:hAnsi="Book Antiqua"/>
          <w:sz w:val="24"/>
          <w:szCs w:val="24"/>
        </w:rPr>
        <w:t>mo</w:t>
      </w:r>
      <w:proofErr w:type="spellEnd"/>
      <w:proofErr w:type="gramEnd"/>
      <w:r w:rsidRPr="009E427C">
        <w:rPr>
          <w:rFonts w:ascii="Book Antiqua" w:hAnsi="Book Antiqua"/>
          <w:sz w:val="24"/>
          <w:szCs w:val="24"/>
        </w:rPr>
        <w:t xml:space="preserve"> post-transplant.</w:t>
      </w:r>
      <w:r w:rsidR="00074195">
        <w:rPr>
          <w:rFonts w:ascii="Book Antiqua" w:hAnsi="Book Antiqua"/>
          <w:sz w:val="24"/>
          <w:szCs w:val="24"/>
        </w:rPr>
        <w:t xml:space="preserve"> </w:t>
      </w:r>
      <w:r w:rsidRPr="009E427C">
        <w:rPr>
          <w:rFonts w:ascii="Book Antiqua" w:hAnsi="Book Antiqua"/>
          <w:sz w:val="24"/>
          <w:szCs w:val="24"/>
        </w:rPr>
        <w:t>The e</w:t>
      </w:r>
      <w:r w:rsidR="00E26055" w:rsidRPr="009E427C">
        <w:rPr>
          <w:rFonts w:ascii="Book Antiqua" w:hAnsi="Book Antiqua"/>
          <w:sz w:val="24"/>
          <w:szCs w:val="24"/>
        </w:rPr>
        <w:t xml:space="preserve">xtended </w:t>
      </w:r>
      <w:r w:rsidR="00E26055" w:rsidRPr="009E427C">
        <w:rPr>
          <w:rFonts w:ascii="Book Antiqua" w:hAnsi="Book Antiqua"/>
          <w:sz w:val="24"/>
          <w:szCs w:val="24"/>
        </w:rPr>
        <w:lastRenderedPageBreak/>
        <w:t xml:space="preserve">release tacrolimus arm </w:t>
      </w:r>
      <w:r w:rsidRPr="009E427C">
        <w:rPr>
          <w:rFonts w:ascii="Book Antiqua" w:hAnsi="Book Antiqua"/>
          <w:sz w:val="24"/>
          <w:szCs w:val="24"/>
        </w:rPr>
        <w:t>(</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237) received initial dose of 0.2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while the tacrolimus-BID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234) received 0.05 mg/kg</w:t>
      </w:r>
      <w:r w:rsidR="00970505">
        <w:rPr>
          <w:rFonts w:ascii="Book Antiqua" w:hAnsi="Book Antiqua" w:hint="eastAsia"/>
          <w:sz w:val="24"/>
          <w:szCs w:val="24"/>
          <w:lang w:eastAsia="zh-CN"/>
        </w:rPr>
        <w:t xml:space="preserve"> per </w:t>
      </w:r>
      <w:r w:rsidRPr="009E427C">
        <w:rPr>
          <w:rFonts w:ascii="Book Antiqua" w:hAnsi="Book Antiqua"/>
          <w:sz w:val="24"/>
          <w:szCs w:val="24"/>
        </w:rPr>
        <w:t>dose given twice daily.</w:t>
      </w:r>
      <w:r w:rsidR="00074195">
        <w:rPr>
          <w:rFonts w:ascii="Book Antiqua" w:hAnsi="Book Antiqua"/>
          <w:sz w:val="24"/>
          <w:szCs w:val="24"/>
        </w:rPr>
        <w:t xml:space="preserve"> </w:t>
      </w:r>
      <w:r w:rsidRPr="009E427C">
        <w:rPr>
          <w:rFonts w:ascii="Book Antiqua" w:hAnsi="Book Antiqua"/>
          <w:sz w:val="24"/>
          <w:szCs w:val="24"/>
        </w:rPr>
        <w:t>The extended release tacrolimus arm was given a higher initial dose due to lower tacrolimus levels seen in the first few days post-transplant in a previous pharmacokinetic study.</w:t>
      </w:r>
      <w:r w:rsidR="005E2E7E" w:rsidRPr="009E427C">
        <w:rPr>
          <w:rFonts w:ascii="Book Antiqua" w:hAnsi="Book Antiqua"/>
          <w:sz w:val="24"/>
          <w:szCs w:val="24"/>
          <w:vertAlign w:val="superscript"/>
        </w:rPr>
        <w:t>[</w:t>
      </w:r>
      <w:r w:rsidR="004645FE" w:rsidRPr="009E427C">
        <w:rPr>
          <w:rStyle w:val="a5"/>
          <w:rFonts w:ascii="Book Antiqua" w:hAnsi="Book Antiqua"/>
          <w:sz w:val="24"/>
          <w:szCs w:val="24"/>
        </w:rPr>
        <w:t>19</w:t>
      </w:r>
      <w:r w:rsidR="005E2E7E" w:rsidRPr="009E427C">
        <w:rPr>
          <w:rStyle w:val="a5"/>
          <w:rFonts w:ascii="Book Antiqua" w:hAnsi="Book Antiqua"/>
          <w:sz w:val="24"/>
          <w:szCs w:val="24"/>
        </w:rPr>
        <w:t>]</w:t>
      </w:r>
      <w:r w:rsidRPr="009E427C">
        <w:rPr>
          <w:rFonts w:ascii="Book Antiqua" w:hAnsi="Book Antiqua"/>
          <w:sz w:val="24"/>
          <w:szCs w:val="24"/>
        </w:rPr>
        <w:t xml:space="preserve"> Both groups were subsequently adjusted to maintain goal trough concentrations.</w:t>
      </w:r>
      <w:r w:rsidR="00074195">
        <w:rPr>
          <w:rFonts w:ascii="Book Antiqua" w:hAnsi="Book Antiqua"/>
          <w:sz w:val="24"/>
          <w:szCs w:val="24"/>
        </w:rPr>
        <w:t xml:space="preserve"> </w:t>
      </w:r>
      <w:r w:rsidRPr="009E427C">
        <w:rPr>
          <w:rFonts w:ascii="Book Antiqua" w:hAnsi="Book Antiqua"/>
          <w:sz w:val="24"/>
          <w:szCs w:val="24"/>
        </w:rPr>
        <w:t xml:space="preserve">The primary endpoint was </w:t>
      </w:r>
      <w:r w:rsidR="00C51D4A">
        <w:rPr>
          <w:rFonts w:ascii="Book Antiqua" w:hAnsi="Book Antiqua"/>
          <w:sz w:val="24"/>
          <w:szCs w:val="24"/>
        </w:rPr>
        <w:t xml:space="preserve">the rate of BPAR within 24 </w:t>
      </w:r>
      <w:proofErr w:type="spellStart"/>
      <w:r w:rsidR="00C51D4A">
        <w:rPr>
          <w:rFonts w:ascii="Book Antiqua" w:hAnsi="Book Antiqua"/>
          <w:sz w:val="24"/>
          <w:szCs w:val="24"/>
        </w:rPr>
        <w:t>wk</w:t>
      </w:r>
      <w:proofErr w:type="spellEnd"/>
      <w:r w:rsidRPr="009E427C">
        <w:rPr>
          <w:rFonts w:ascii="Book Antiqua" w:hAnsi="Book Antiqua"/>
          <w:sz w:val="24"/>
          <w:szCs w:val="24"/>
        </w:rPr>
        <w:t xml:space="preserve"> post- transplant, with an incidence of 36.3% in the extended release tacrolimus group and 33.7% in the tacrolimus-BID group</w:t>
      </w:r>
      <w:r w:rsidR="009F0435">
        <w:rPr>
          <w:rFonts w:ascii="Book Antiqua" w:hAnsi="Book Antiqua"/>
          <w:sz w:val="24"/>
          <w:szCs w:val="24"/>
        </w:rPr>
        <w:t xml:space="preserve"> (</w:t>
      </w:r>
      <w:r w:rsidR="009F0435" w:rsidRPr="009F0435">
        <w:rPr>
          <w:rFonts w:ascii="Book Antiqua" w:hAnsi="Book Antiqua"/>
          <w:i/>
          <w:sz w:val="24"/>
          <w:szCs w:val="24"/>
        </w:rPr>
        <w:t>P</w:t>
      </w:r>
      <w:r w:rsidR="009F0435">
        <w:rPr>
          <w:rFonts w:ascii="Book Antiqua" w:hAnsi="Book Antiqua" w:hint="eastAsia"/>
          <w:sz w:val="24"/>
          <w:szCs w:val="24"/>
          <w:lang w:eastAsia="zh-CN"/>
        </w:rPr>
        <w:t xml:space="preserve"> </w:t>
      </w:r>
      <w:r w:rsidR="009F0435">
        <w:rPr>
          <w:rFonts w:ascii="Book Antiqua" w:hAnsi="Book Antiqua"/>
          <w:sz w:val="24"/>
          <w:szCs w:val="24"/>
        </w:rPr>
        <w:t>=</w:t>
      </w:r>
      <w:r w:rsidR="009F0435">
        <w:rPr>
          <w:rFonts w:ascii="Book Antiqua" w:hAnsi="Book Antiqua" w:hint="eastAsia"/>
          <w:sz w:val="24"/>
          <w:szCs w:val="24"/>
          <w:lang w:eastAsia="zh-CN"/>
        </w:rPr>
        <w:t xml:space="preserve"> </w:t>
      </w:r>
      <w:r w:rsidR="009F0435">
        <w:rPr>
          <w:rFonts w:ascii="Book Antiqua" w:hAnsi="Book Antiqua"/>
          <w:sz w:val="24"/>
          <w:szCs w:val="24"/>
        </w:rPr>
        <w:t>0.512)</w:t>
      </w:r>
      <w:r w:rsidR="005E2E7E" w:rsidRPr="009E427C">
        <w:rPr>
          <w:rFonts w:ascii="Book Antiqua" w:hAnsi="Book Antiqua"/>
          <w:sz w:val="24"/>
          <w:szCs w:val="24"/>
          <w:vertAlign w:val="superscript"/>
        </w:rPr>
        <w:t>[</w:t>
      </w:r>
      <w:r w:rsidRPr="009E427C">
        <w:rPr>
          <w:rFonts w:ascii="Book Antiqua" w:hAnsi="Book Antiqua"/>
          <w:sz w:val="24"/>
          <w:szCs w:val="24"/>
          <w:vertAlign w:val="superscript"/>
        </w:rPr>
        <w:t>1</w:t>
      </w:r>
      <w:r w:rsidR="000B4725"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 xml:space="preserve">Furthermore, at 12 </w:t>
      </w:r>
      <w:proofErr w:type="spellStart"/>
      <w:r w:rsidRPr="009E427C">
        <w:rPr>
          <w:rFonts w:ascii="Book Antiqua" w:hAnsi="Book Antiqua"/>
          <w:sz w:val="24"/>
          <w:szCs w:val="24"/>
        </w:rPr>
        <w:t>mo</w:t>
      </w:r>
      <w:proofErr w:type="spellEnd"/>
      <w:r w:rsidRPr="009E427C">
        <w:rPr>
          <w:rFonts w:ascii="Book Antiqua" w:hAnsi="Book Antiqua"/>
          <w:sz w:val="24"/>
          <w:szCs w:val="24"/>
        </w:rPr>
        <w:t xml:space="preserve"> the extended release tacrolimus group and tacrolimus-BID group had a similar patient survival rate (89.2% and 90.8%, respectively </w:t>
      </w:r>
      <w:r w:rsidR="009F0435" w:rsidRPr="009F0435">
        <w:rPr>
          <w:rFonts w:ascii="Book Antiqua" w:hAnsi="Book Antiqua"/>
          <w:i/>
          <w:sz w:val="24"/>
          <w:szCs w:val="24"/>
        </w:rPr>
        <w:t>P</w:t>
      </w:r>
      <w:r w:rsidR="009F0435">
        <w:rPr>
          <w:rFonts w:ascii="Book Antiqua" w:hAnsi="Book Antiqua" w:hint="eastAsia"/>
          <w:sz w:val="24"/>
          <w:szCs w:val="24"/>
          <w:lang w:eastAsia="zh-CN"/>
        </w:rPr>
        <w:t xml:space="preserve"> </w:t>
      </w:r>
      <w:r w:rsidR="009F0435">
        <w:rPr>
          <w:rFonts w:ascii="Book Antiqua" w:hAnsi="Book Antiqua"/>
          <w:sz w:val="24"/>
          <w:szCs w:val="24"/>
        </w:rPr>
        <w:t>=</w:t>
      </w:r>
      <w:r w:rsidR="009F0435">
        <w:rPr>
          <w:rFonts w:ascii="Book Antiqua" w:hAnsi="Book Antiqua" w:hint="eastAsia"/>
          <w:sz w:val="24"/>
          <w:szCs w:val="24"/>
          <w:lang w:eastAsia="zh-CN"/>
        </w:rPr>
        <w:t xml:space="preserve"> </w:t>
      </w:r>
      <w:r w:rsidRPr="009E427C">
        <w:rPr>
          <w:rFonts w:ascii="Book Antiqua" w:hAnsi="Book Antiqua"/>
          <w:sz w:val="24"/>
          <w:szCs w:val="24"/>
        </w:rPr>
        <w:t xml:space="preserve">0.535) and graft survival rate (85.3% and 85.6%, respectively </w:t>
      </w:r>
      <w:r w:rsidR="009F0435" w:rsidRPr="009F0435">
        <w:rPr>
          <w:rFonts w:ascii="Book Antiqua" w:hAnsi="Book Antiqua"/>
          <w:i/>
          <w:sz w:val="24"/>
          <w:szCs w:val="24"/>
        </w:rPr>
        <w:t>P</w:t>
      </w:r>
      <w:r w:rsidR="009F0435">
        <w:rPr>
          <w:rFonts w:ascii="Book Antiqua" w:hAnsi="Book Antiqua" w:hint="eastAsia"/>
          <w:sz w:val="24"/>
          <w:szCs w:val="24"/>
          <w:lang w:eastAsia="zh-CN"/>
        </w:rPr>
        <w:t xml:space="preserve"> </w:t>
      </w:r>
      <w:r w:rsidR="009F0435">
        <w:rPr>
          <w:rFonts w:ascii="Book Antiqua" w:hAnsi="Book Antiqua"/>
          <w:sz w:val="24"/>
          <w:szCs w:val="24"/>
        </w:rPr>
        <w:t>=</w:t>
      </w:r>
      <w:r w:rsidR="009F0435">
        <w:rPr>
          <w:rFonts w:ascii="Book Antiqua" w:hAnsi="Book Antiqua" w:hint="eastAsia"/>
          <w:sz w:val="24"/>
          <w:szCs w:val="24"/>
          <w:lang w:eastAsia="zh-CN"/>
        </w:rPr>
        <w:t xml:space="preserve"> </w:t>
      </w:r>
      <w:r w:rsidRPr="009E427C">
        <w:rPr>
          <w:rFonts w:ascii="Book Antiqua" w:hAnsi="Book Antiqua"/>
          <w:sz w:val="24"/>
          <w:szCs w:val="24"/>
        </w:rPr>
        <w:t>0.876).</w:t>
      </w:r>
      <w:r w:rsidR="00074195">
        <w:rPr>
          <w:rFonts w:ascii="Book Antiqua" w:hAnsi="Book Antiqua"/>
          <w:sz w:val="24"/>
          <w:szCs w:val="24"/>
        </w:rPr>
        <w:t xml:space="preserve"> </w:t>
      </w:r>
      <w:r w:rsidRPr="009E427C">
        <w:rPr>
          <w:rFonts w:ascii="Book Antiqua" w:hAnsi="Book Antiqua"/>
          <w:sz w:val="24"/>
          <w:szCs w:val="24"/>
        </w:rPr>
        <w:t>There were no clinically relevant differences in the causes of death between the two treatment groups.</w:t>
      </w:r>
      <w:r w:rsidR="00074195">
        <w:rPr>
          <w:rFonts w:ascii="Book Antiqua" w:hAnsi="Book Antiqua"/>
          <w:sz w:val="24"/>
          <w:szCs w:val="24"/>
        </w:rPr>
        <w:t xml:space="preserve"> </w:t>
      </w:r>
      <w:r w:rsidRPr="009E427C">
        <w:rPr>
          <w:rFonts w:ascii="Book Antiqua" w:hAnsi="Book Antiqua"/>
          <w:sz w:val="24"/>
          <w:szCs w:val="24"/>
        </w:rPr>
        <w:t xml:space="preserve">In a </w:t>
      </w:r>
      <w:r w:rsidRPr="009E427C">
        <w:rPr>
          <w:rFonts w:ascii="Book Antiqua" w:hAnsi="Book Antiqua"/>
          <w:i/>
          <w:sz w:val="24"/>
          <w:szCs w:val="24"/>
        </w:rPr>
        <w:t>post-hoc</w:t>
      </w:r>
      <w:r w:rsidRPr="009E427C">
        <w:rPr>
          <w:rFonts w:ascii="Book Antiqua" w:hAnsi="Book Antiqua"/>
          <w:sz w:val="24"/>
          <w:szCs w:val="24"/>
        </w:rPr>
        <w:t xml:space="preserve"> analysis, a higher mortality rate was observed in the female recipients compared with the male recipients receiving extended release tacrolimus (18.4% </w:t>
      </w:r>
      <w:r w:rsidR="00451891" w:rsidRPr="00451891">
        <w:rPr>
          <w:rFonts w:ascii="Book Antiqua" w:hAnsi="Book Antiqua"/>
          <w:i/>
          <w:sz w:val="24"/>
          <w:szCs w:val="24"/>
        </w:rPr>
        <w:t>vs</w:t>
      </w:r>
      <w:r w:rsidRPr="009E427C">
        <w:rPr>
          <w:rFonts w:ascii="Book Antiqua" w:hAnsi="Book Antiqua"/>
          <w:sz w:val="24"/>
          <w:szCs w:val="24"/>
        </w:rPr>
        <w:t xml:space="preserve"> 6.8%, </w:t>
      </w:r>
      <w:r w:rsidR="009F0435" w:rsidRPr="009F0435">
        <w:rPr>
          <w:rFonts w:ascii="Book Antiqua" w:hAnsi="Book Antiqua"/>
          <w:i/>
          <w:sz w:val="24"/>
          <w:szCs w:val="24"/>
        </w:rPr>
        <w:t>P</w:t>
      </w:r>
      <w:r w:rsidR="009F0435">
        <w:rPr>
          <w:rFonts w:ascii="Book Antiqua" w:hAnsi="Book Antiqua" w:hint="eastAsia"/>
          <w:sz w:val="24"/>
          <w:szCs w:val="24"/>
          <w:lang w:eastAsia="zh-CN"/>
        </w:rPr>
        <w:t xml:space="preserve"> </w:t>
      </w:r>
      <w:r w:rsidR="009F0435">
        <w:rPr>
          <w:rFonts w:ascii="Book Antiqua" w:hAnsi="Book Antiqua"/>
          <w:sz w:val="24"/>
          <w:szCs w:val="24"/>
        </w:rPr>
        <w:t>=</w:t>
      </w:r>
      <w:r w:rsidRPr="009E427C">
        <w:rPr>
          <w:rFonts w:ascii="Book Antiqua" w:hAnsi="Book Antiqua"/>
          <w:sz w:val="24"/>
          <w:szCs w:val="24"/>
        </w:rPr>
        <w:t xml:space="preserve"> 0.026).</w:t>
      </w:r>
      <w:r w:rsidR="00074195">
        <w:rPr>
          <w:rFonts w:ascii="Book Antiqua" w:hAnsi="Book Antiqua"/>
          <w:sz w:val="24"/>
          <w:szCs w:val="24"/>
        </w:rPr>
        <w:t xml:space="preserve"> </w:t>
      </w:r>
      <w:r w:rsidRPr="009E427C">
        <w:rPr>
          <w:rFonts w:ascii="Book Antiqua" w:hAnsi="Book Antiqua"/>
          <w:sz w:val="24"/>
          <w:szCs w:val="24"/>
        </w:rPr>
        <w:t>There is currently no explanation for this difference in mortality. Consequently, extended release tacrolimus is not approved for use in liver transplant recipients.</w:t>
      </w:r>
    </w:p>
    <w:p w14:paraId="22203F13" w14:textId="72CB101F"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The DIAMON</w:t>
      </w:r>
      <w:r w:rsidR="00C51D4A">
        <w:rPr>
          <w:rFonts w:ascii="Book Antiqua" w:hAnsi="Book Antiqua"/>
          <w:sz w:val="24"/>
          <w:szCs w:val="24"/>
        </w:rPr>
        <w:t>D Study is a multicenter, 24-w</w:t>
      </w:r>
      <w:r w:rsidRPr="009E427C">
        <w:rPr>
          <w:rFonts w:ascii="Book Antiqua" w:hAnsi="Book Antiqua"/>
          <w:sz w:val="24"/>
          <w:szCs w:val="24"/>
        </w:rPr>
        <w:t xml:space="preserve">k, randomized, open-label trial studying the effects of different extended release tacrolimus dosing regimens on renal function in </w:t>
      </w:r>
      <w:r w:rsidRPr="009E427C">
        <w:rPr>
          <w:rFonts w:ascii="Book Antiqua" w:hAnsi="Book Antiqua"/>
          <w:i/>
          <w:sz w:val="24"/>
          <w:szCs w:val="24"/>
        </w:rPr>
        <w:t>de novo</w:t>
      </w:r>
      <w:r w:rsidR="006B2BEC">
        <w:rPr>
          <w:rFonts w:ascii="Book Antiqua" w:hAnsi="Book Antiqua"/>
          <w:sz w:val="24"/>
          <w:szCs w:val="24"/>
        </w:rPr>
        <w:t xml:space="preserve"> liver transplant recipients</w:t>
      </w:r>
      <w:r w:rsidR="005E2E7E" w:rsidRPr="009E427C">
        <w:rPr>
          <w:rFonts w:ascii="Book Antiqua" w:hAnsi="Book Antiqua"/>
          <w:sz w:val="24"/>
          <w:szCs w:val="24"/>
          <w:vertAlign w:val="superscript"/>
        </w:rPr>
        <w:t>[</w:t>
      </w:r>
      <w:r w:rsidR="00EF7BB2" w:rsidRPr="009E427C">
        <w:rPr>
          <w:rFonts w:ascii="Book Antiqua" w:hAnsi="Book Antiqua"/>
          <w:sz w:val="24"/>
          <w:szCs w:val="24"/>
          <w:vertAlign w:val="superscript"/>
        </w:rPr>
        <w:t>3</w:t>
      </w:r>
      <w:r w:rsidR="004645FE"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E26055" w:rsidRPr="009E427C">
        <w:rPr>
          <w:rFonts w:ascii="Book Antiqua" w:hAnsi="Book Antiqua"/>
          <w:sz w:val="24"/>
          <w:szCs w:val="24"/>
        </w:rPr>
        <w:t>.</w:t>
      </w:r>
      <w:r w:rsidRPr="009E427C">
        <w:rPr>
          <w:rFonts w:ascii="Book Antiqua" w:hAnsi="Book Antiqua"/>
          <w:sz w:val="24"/>
          <w:szCs w:val="24"/>
        </w:rPr>
        <w:t xml:space="preserve"> There were 3 treatment arms: arm 1 (extended release tacrolimus 0.2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295), arm 2 (extended release tacrolimus 0.15-0.175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xml:space="preserve"> + </w:t>
      </w:r>
      <w:proofErr w:type="spellStart"/>
      <w:r w:rsidRPr="009E427C">
        <w:rPr>
          <w:rFonts w:ascii="Book Antiqua" w:hAnsi="Book Antiqua"/>
          <w:sz w:val="24"/>
          <w:szCs w:val="24"/>
        </w:rPr>
        <w:t>basiliximab</w:t>
      </w:r>
      <w:proofErr w:type="spellEnd"/>
      <w:r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286), or arm 3 (extended release tacrolimus 0.2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xml:space="preserve"> delayed until Day 5 + </w:t>
      </w:r>
      <w:proofErr w:type="spellStart"/>
      <w:r w:rsidRPr="009E427C">
        <w:rPr>
          <w:rFonts w:ascii="Book Antiqua" w:hAnsi="Book Antiqua"/>
          <w:sz w:val="24"/>
          <w:szCs w:val="24"/>
        </w:rPr>
        <w:t>basiliximab</w:t>
      </w:r>
      <w:proofErr w:type="spellEnd"/>
      <w:r w:rsidRPr="009E427C">
        <w:rPr>
          <w:rFonts w:ascii="Book Antiqua" w:hAnsi="Book Antiqua"/>
          <w:sz w:val="24"/>
          <w:szCs w:val="24"/>
        </w:rPr>
        <w:t xml:space="preserve">,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Pr="009E427C">
        <w:rPr>
          <w:rFonts w:ascii="Book Antiqua" w:hAnsi="Book Antiqua"/>
          <w:sz w:val="24"/>
          <w:szCs w:val="24"/>
        </w:rPr>
        <w:t xml:space="preserve"> 276).</w:t>
      </w:r>
      <w:r w:rsidR="00074195">
        <w:rPr>
          <w:rFonts w:ascii="Book Antiqua" w:hAnsi="Book Antiqua"/>
          <w:sz w:val="24"/>
          <w:szCs w:val="24"/>
        </w:rPr>
        <w:t xml:space="preserve"> </w:t>
      </w:r>
      <w:r w:rsidRPr="009E427C">
        <w:rPr>
          <w:rFonts w:ascii="Book Antiqua" w:hAnsi="Book Antiqua"/>
          <w:sz w:val="24"/>
          <w:szCs w:val="24"/>
        </w:rPr>
        <w:t>Estimated glomerular filtration rate (</w:t>
      </w:r>
      <w:proofErr w:type="spellStart"/>
      <w:r w:rsidRPr="009E427C">
        <w:rPr>
          <w:rFonts w:ascii="Book Antiqua" w:hAnsi="Book Antiqua"/>
          <w:sz w:val="24"/>
          <w:szCs w:val="24"/>
        </w:rPr>
        <w:t>eGFR</w:t>
      </w:r>
      <w:proofErr w:type="spellEnd"/>
      <w:r w:rsidRPr="009E427C">
        <w:rPr>
          <w:rFonts w:ascii="Book Antiqua" w:hAnsi="Book Antiqua"/>
          <w:sz w:val="24"/>
          <w:szCs w:val="24"/>
        </w:rPr>
        <w:t>) using the four-variable Modifi</w:t>
      </w:r>
      <w:r w:rsidR="00E024CD" w:rsidRPr="009E427C">
        <w:rPr>
          <w:rFonts w:ascii="Book Antiqua" w:hAnsi="Book Antiqua"/>
          <w:sz w:val="24"/>
          <w:szCs w:val="24"/>
        </w:rPr>
        <w:t>ed Diet in Renal Disease</w:t>
      </w:r>
      <w:r w:rsidR="00074195">
        <w:rPr>
          <w:rFonts w:ascii="Book Antiqua" w:hAnsi="Book Antiqua"/>
          <w:sz w:val="24"/>
          <w:szCs w:val="24"/>
        </w:rPr>
        <w:t xml:space="preserve"> </w:t>
      </w:r>
      <w:r w:rsidRPr="009E427C">
        <w:rPr>
          <w:rFonts w:ascii="Book Antiqua" w:hAnsi="Book Antiqua"/>
          <w:sz w:val="24"/>
          <w:szCs w:val="24"/>
        </w:rPr>
        <w:t>equation was significantly higher in arms 2 and 3 compared to arm 1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0.001 and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0.047, respectively).</w:t>
      </w:r>
      <w:r w:rsidR="00074195">
        <w:rPr>
          <w:rFonts w:ascii="Book Antiqua" w:hAnsi="Book Antiqua"/>
          <w:sz w:val="24"/>
          <w:szCs w:val="24"/>
        </w:rPr>
        <w:t xml:space="preserve"> </w:t>
      </w:r>
      <w:r w:rsidRPr="009E427C">
        <w:rPr>
          <w:rFonts w:ascii="Book Antiqua" w:hAnsi="Book Antiqua"/>
          <w:sz w:val="24"/>
          <w:szCs w:val="24"/>
        </w:rPr>
        <w:t>Additionally, there was significantly less BPAR in arm 2 compared to arms 1 and 3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0.016,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0.039, respectively).</w:t>
      </w:r>
      <w:r w:rsidR="00074195">
        <w:rPr>
          <w:rFonts w:ascii="Book Antiqua" w:hAnsi="Book Antiqua"/>
          <w:sz w:val="24"/>
          <w:szCs w:val="24"/>
        </w:rPr>
        <w:t xml:space="preserve"> </w:t>
      </w:r>
      <w:r w:rsidRPr="009E427C">
        <w:rPr>
          <w:rFonts w:ascii="Book Antiqua" w:hAnsi="Book Antiqua"/>
          <w:sz w:val="24"/>
          <w:szCs w:val="24"/>
        </w:rPr>
        <w:t>Overall, there were similar estimates of composite failure-free survival in arms 1-3 (72.0</w:t>
      </w:r>
      <w:r w:rsidR="00E024CD" w:rsidRPr="009E427C">
        <w:rPr>
          <w:rFonts w:ascii="Book Antiqua" w:hAnsi="Book Antiqua"/>
          <w:sz w:val="24"/>
          <w:szCs w:val="24"/>
        </w:rPr>
        <w:t xml:space="preserve">%, 77.6%, 73.9%, respectively,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w:t>
      </w:r>
      <w:r w:rsidR="00E024CD" w:rsidRPr="009E427C">
        <w:rPr>
          <w:rFonts w:ascii="Book Antiqua" w:hAnsi="Book Antiqua"/>
          <w:sz w:val="24"/>
          <w:szCs w:val="24"/>
        </w:rPr>
        <w:t xml:space="preserve">65,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00E024CD" w:rsidRPr="009E427C">
        <w:rPr>
          <w:rFonts w:ascii="Book Antiqua" w:hAnsi="Book Antiqua"/>
          <w:sz w:val="24"/>
          <w:szCs w:val="24"/>
        </w:rPr>
        <w:t xml:space="preserve"> 0.726,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00E024CD" w:rsidRPr="009E427C">
        <w:rPr>
          <w:rFonts w:ascii="Book Antiqua" w:hAnsi="Book Antiqua"/>
          <w:sz w:val="24"/>
          <w:szCs w:val="24"/>
        </w:rPr>
        <w:t xml:space="preserve"> </w:t>
      </w:r>
      <w:r w:rsidRPr="009E427C">
        <w:rPr>
          <w:rFonts w:ascii="Book Antiqua" w:hAnsi="Book Antiqua"/>
          <w:sz w:val="24"/>
          <w:szCs w:val="24"/>
        </w:rPr>
        <w:t>0.161) and no significant difference in mortality between males and females receiving extended release tacrolimus.</w:t>
      </w:r>
    </w:p>
    <w:p w14:paraId="5D1802F9" w14:textId="4D4BD874"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lastRenderedPageBreak/>
        <w:t xml:space="preserve">A retrospective analysis of the European Liver Transplant Registry was performed to investigate long-term outcomes with extended release tacrolimus compared to tacrolimus-BID (extended release tacrolimus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915EEA" w:rsidRPr="009E427C">
        <w:rPr>
          <w:rFonts w:ascii="Book Antiqua" w:hAnsi="Book Antiqua"/>
          <w:sz w:val="24"/>
          <w:szCs w:val="24"/>
        </w:rPr>
        <w:t xml:space="preserve"> 528, tacrolimus-BID </w:t>
      </w:r>
      <w:r w:rsidR="003A6D8B" w:rsidRPr="003A6D8B">
        <w:rPr>
          <w:rFonts w:ascii="Book Antiqua" w:hAnsi="Book Antiqua"/>
          <w:i/>
          <w:sz w:val="24"/>
          <w:szCs w:val="24"/>
        </w:rPr>
        <w:t>n</w:t>
      </w:r>
      <w:r w:rsidR="003A6D8B" w:rsidRPr="009E427C">
        <w:rPr>
          <w:rFonts w:ascii="Book Antiqua" w:hAnsi="Book Antiqua"/>
          <w:sz w:val="24"/>
          <w:szCs w:val="24"/>
        </w:rPr>
        <w:t xml:space="preserve"> =</w:t>
      </w:r>
      <w:r w:rsidR="006B2BEC">
        <w:rPr>
          <w:rFonts w:ascii="Book Antiqua" w:hAnsi="Book Antiqua"/>
          <w:sz w:val="24"/>
          <w:szCs w:val="24"/>
        </w:rPr>
        <w:t xml:space="preserve"> 3839)</w:t>
      </w:r>
      <w:r w:rsidR="005E2E7E" w:rsidRPr="009E427C">
        <w:rPr>
          <w:rFonts w:ascii="Book Antiqua" w:hAnsi="Book Antiqua"/>
          <w:sz w:val="24"/>
          <w:szCs w:val="24"/>
          <w:vertAlign w:val="superscript"/>
        </w:rPr>
        <w:t>[</w:t>
      </w:r>
      <w:r w:rsidR="00EF7BB2" w:rsidRPr="009E427C">
        <w:rPr>
          <w:rFonts w:ascii="Book Antiqua" w:hAnsi="Book Antiqua"/>
          <w:sz w:val="24"/>
          <w:szCs w:val="24"/>
          <w:vertAlign w:val="superscript"/>
        </w:rPr>
        <w:t>3</w:t>
      </w:r>
      <w:r w:rsidR="004645FE"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Pr="009E427C">
        <w:rPr>
          <w:rFonts w:ascii="Book Antiqua" w:hAnsi="Book Antiqua"/>
          <w:sz w:val="24"/>
          <w:szCs w:val="24"/>
        </w:rPr>
        <w:t xml:space="preserve"> Propensity score-matched analyses were performed to minimize bias associated with differences in donor and recipient baseline characteristics.</w:t>
      </w:r>
      <w:r w:rsidR="00074195">
        <w:rPr>
          <w:rFonts w:ascii="Book Antiqua" w:hAnsi="Book Antiqua"/>
          <w:sz w:val="24"/>
          <w:szCs w:val="24"/>
        </w:rPr>
        <w:t xml:space="preserve"> </w:t>
      </w:r>
      <w:r w:rsidRPr="009E427C">
        <w:rPr>
          <w:rFonts w:ascii="Book Antiqua" w:hAnsi="Book Antiqua"/>
          <w:sz w:val="24"/>
          <w:szCs w:val="24"/>
        </w:rPr>
        <w:t>The registry data showed a significant improvement in patient and allograft survival over 3 years in patients receiving extended release tacrolimus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0.004 and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Pr="009E427C">
        <w:rPr>
          <w:rFonts w:ascii="Book Antiqua" w:hAnsi="Book Antiqua"/>
          <w:sz w:val="24"/>
          <w:szCs w:val="24"/>
        </w:rPr>
        <w:t xml:space="preserve"> 0.001, respectively).</w:t>
      </w:r>
      <w:r w:rsidR="00074195">
        <w:rPr>
          <w:rFonts w:ascii="Book Antiqua" w:hAnsi="Book Antiqua"/>
          <w:sz w:val="24"/>
          <w:szCs w:val="24"/>
        </w:rPr>
        <w:t xml:space="preserve"> </w:t>
      </w:r>
      <w:r w:rsidRPr="009E427C">
        <w:rPr>
          <w:rFonts w:ascii="Book Antiqua" w:hAnsi="Book Antiqua"/>
          <w:sz w:val="24"/>
          <w:szCs w:val="24"/>
        </w:rPr>
        <w:t>Given the limitations of registry analysis, additional studies are needed to further validate these long-term findings.</w:t>
      </w:r>
    </w:p>
    <w:p w14:paraId="3FBE33D0" w14:textId="45517399"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Several prospective, observational studies have investigated the safety and efficacy of conversion from extended release tacrolimus to tacrolimus-BID in stable liver </w:t>
      </w:r>
      <w:r w:rsidR="006B2BEC">
        <w:rPr>
          <w:rFonts w:ascii="Book Antiqua" w:hAnsi="Book Antiqua"/>
          <w:sz w:val="24"/>
          <w:szCs w:val="24"/>
        </w:rPr>
        <w:t xml:space="preserve">transplant </w:t>
      </w:r>
      <w:proofErr w:type="gramStart"/>
      <w:r w:rsidR="006B2BEC">
        <w:rPr>
          <w:rFonts w:ascii="Book Antiqua" w:hAnsi="Book Antiqua"/>
          <w:sz w:val="24"/>
          <w:szCs w:val="24"/>
        </w:rPr>
        <w:t>recipients</w:t>
      </w:r>
      <w:r w:rsidR="005E2E7E" w:rsidRPr="009E427C">
        <w:rPr>
          <w:rFonts w:ascii="Book Antiqua" w:hAnsi="Book Antiqua"/>
          <w:sz w:val="24"/>
          <w:szCs w:val="24"/>
          <w:vertAlign w:val="superscript"/>
        </w:rPr>
        <w:t>[</w:t>
      </w:r>
      <w:proofErr w:type="gramEnd"/>
      <w:r w:rsidR="00EF7BB2" w:rsidRPr="009E427C">
        <w:rPr>
          <w:rFonts w:ascii="Book Antiqua" w:hAnsi="Book Antiqua"/>
          <w:sz w:val="24"/>
          <w:szCs w:val="24"/>
          <w:vertAlign w:val="superscript"/>
        </w:rPr>
        <w:t>2</w:t>
      </w:r>
      <w:r w:rsidR="004645FE" w:rsidRPr="009E427C">
        <w:rPr>
          <w:rFonts w:ascii="Book Antiqua" w:hAnsi="Book Antiqua"/>
          <w:sz w:val="24"/>
          <w:szCs w:val="24"/>
          <w:vertAlign w:val="superscript"/>
        </w:rPr>
        <w:t>1</w:t>
      </w:r>
      <w:r w:rsidR="00EF7BB2" w:rsidRPr="009E427C">
        <w:rPr>
          <w:rFonts w:ascii="Book Antiqua" w:hAnsi="Book Antiqua"/>
          <w:sz w:val="24"/>
          <w:szCs w:val="24"/>
          <w:vertAlign w:val="superscript"/>
        </w:rPr>
        <w:t>,3</w:t>
      </w:r>
      <w:r w:rsidR="00AC17DE" w:rsidRPr="009E427C">
        <w:rPr>
          <w:rFonts w:ascii="Book Antiqua" w:hAnsi="Book Antiqua"/>
          <w:sz w:val="24"/>
          <w:szCs w:val="24"/>
          <w:vertAlign w:val="superscript"/>
        </w:rPr>
        <w:t>3</w:t>
      </w:r>
      <w:r w:rsidR="00EF7BB2" w:rsidRPr="009E427C">
        <w:rPr>
          <w:rFonts w:ascii="Book Antiqua" w:hAnsi="Book Antiqua"/>
          <w:sz w:val="24"/>
          <w:szCs w:val="24"/>
          <w:vertAlign w:val="superscript"/>
        </w:rPr>
        <w:t>-3</w:t>
      </w:r>
      <w:r w:rsidR="00AC17DE" w:rsidRPr="009E427C">
        <w:rPr>
          <w:rFonts w:ascii="Book Antiqua" w:hAnsi="Book Antiqua"/>
          <w:sz w:val="24"/>
          <w:szCs w:val="24"/>
          <w:vertAlign w:val="superscript"/>
        </w:rPr>
        <w:t>5</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00EF7BB2" w:rsidRPr="009E427C">
        <w:rPr>
          <w:rStyle w:val="a5"/>
          <w:rFonts w:ascii="Book Antiqua" w:hAnsi="Book Antiqua"/>
          <w:sz w:val="24"/>
          <w:szCs w:val="24"/>
        </w:rPr>
        <w:t xml:space="preserve"> </w:t>
      </w:r>
      <w:r w:rsidRPr="009E427C">
        <w:rPr>
          <w:rFonts w:ascii="Book Antiqua" w:hAnsi="Book Antiqua"/>
          <w:sz w:val="24"/>
          <w:szCs w:val="24"/>
        </w:rPr>
        <w:t>All studies have shown comparable patient and allograft survival with no difference in incidence of BPAR or adverse effects.</w:t>
      </w:r>
      <w:r w:rsidR="00074195">
        <w:rPr>
          <w:rFonts w:ascii="Book Antiqua" w:hAnsi="Book Antiqua"/>
          <w:sz w:val="24"/>
          <w:szCs w:val="24"/>
        </w:rPr>
        <w:t xml:space="preserve"> </w:t>
      </w:r>
      <w:proofErr w:type="spellStart"/>
      <w:r w:rsidR="00CB4907">
        <w:rPr>
          <w:rFonts w:ascii="Book Antiqua" w:hAnsi="Book Antiqua"/>
          <w:sz w:val="24"/>
          <w:szCs w:val="24"/>
        </w:rPr>
        <w:t>Beckebaum</w:t>
      </w:r>
      <w:proofErr w:type="spellEnd"/>
      <w:r w:rsidR="00CB4907">
        <w:rPr>
          <w:rFonts w:ascii="Book Antiqua" w:hAnsi="Book Antiqua"/>
          <w:sz w:val="24"/>
          <w:szCs w:val="24"/>
        </w:rPr>
        <w:t xml:space="preserve"> </w:t>
      </w:r>
      <w:r w:rsidR="00CB4907" w:rsidRPr="00CB4907">
        <w:rPr>
          <w:rFonts w:ascii="Book Antiqua" w:hAnsi="Book Antiqua"/>
          <w:i/>
          <w:sz w:val="24"/>
          <w:szCs w:val="24"/>
        </w:rPr>
        <w:t>et al</w:t>
      </w:r>
      <w:r w:rsidR="00CB4907" w:rsidRPr="009E427C">
        <w:rPr>
          <w:rFonts w:ascii="Book Antiqua" w:hAnsi="Book Antiqua"/>
          <w:sz w:val="24"/>
          <w:szCs w:val="24"/>
          <w:vertAlign w:val="superscript"/>
        </w:rPr>
        <w:t>[34]</w:t>
      </w:r>
      <w:r w:rsidR="00CB4907">
        <w:rPr>
          <w:rFonts w:ascii="Book Antiqua" w:hAnsi="Book Antiqua" w:hint="eastAsia"/>
          <w:sz w:val="24"/>
          <w:szCs w:val="24"/>
          <w:lang w:eastAsia="zh-CN"/>
        </w:rPr>
        <w:t xml:space="preserve"> </w:t>
      </w:r>
      <w:r w:rsidRPr="009E427C">
        <w:rPr>
          <w:rFonts w:ascii="Book Antiqua" w:hAnsi="Book Antiqua"/>
          <w:sz w:val="24"/>
          <w:szCs w:val="24"/>
        </w:rPr>
        <w:t xml:space="preserve">also found a statistically significant reduction in nonadherence from 66% at study entry to 30.9% at 12 </w:t>
      </w:r>
      <w:proofErr w:type="spellStart"/>
      <w:r w:rsidRPr="009E427C">
        <w:rPr>
          <w:rFonts w:ascii="Book Antiqua" w:hAnsi="Book Antiqua"/>
          <w:sz w:val="24"/>
          <w:szCs w:val="24"/>
        </w:rPr>
        <w:t>mo</w:t>
      </w:r>
      <w:proofErr w:type="spellEnd"/>
      <w:r w:rsidRPr="009E427C">
        <w:rPr>
          <w:rFonts w:ascii="Book Antiqua" w:hAnsi="Book Antiqua"/>
          <w:sz w:val="24"/>
          <w:szCs w:val="24"/>
        </w:rPr>
        <w:t xml:space="preserve"> post-conversion from </w:t>
      </w:r>
      <w:proofErr w:type="spellStart"/>
      <w:r w:rsidRPr="009E427C">
        <w:rPr>
          <w:rFonts w:ascii="Book Antiqua" w:hAnsi="Book Antiqua"/>
          <w:sz w:val="24"/>
          <w:szCs w:val="24"/>
        </w:rPr>
        <w:t>tacrolimus</w:t>
      </w:r>
      <w:proofErr w:type="spellEnd"/>
      <w:r w:rsidRPr="009E427C">
        <w:rPr>
          <w:rFonts w:ascii="Book Antiqua" w:hAnsi="Book Antiqua"/>
          <w:sz w:val="24"/>
          <w:szCs w:val="24"/>
        </w:rPr>
        <w:t xml:space="preserve">-BID to extended release tacrolimus using the “Basel Assessment of Adherence Scale to </w:t>
      </w:r>
      <w:proofErr w:type="spellStart"/>
      <w:r w:rsidRPr="009E427C">
        <w:rPr>
          <w:rFonts w:ascii="Book Antiqua" w:hAnsi="Book Antiqua"/>
          <w:sz w:val="24"/>
          <w:szCs w:val="24"/>
        </w:rPr>
        <w:t>Immunosuppressives</w:t>
      </w:r>
      <w:proofErr w:type="spellEnd"/>
      <w:r w:rsidRPr="009E427C">
        <w:rPr>
          <w:rFonts w:ascii="Book Antiqua" w:hAnsi="Book Antiqua"/>
          <w:sz w:val="24"/>
          <w:szCs w:val="24"/>
        </w:rPr>
        <w:t>” (</w:t>
      </w:r>
      <w:r w:rsidR="00970505" w:rsidRPr="00970505">
        <w:rPr>
          <w:rFonts w:ascii="Book Antiqua" w:hAnsi="Book Antiqua"/>
          <w:i/>
          <w:sz w:val="24"/>
          <w:szCs w:val="24"/>
        </w:rPr>
        <w:t>P</w:t>
      </w:r>
      <w:r w:rsidRPr="009E427C">
        <w:rPr>
          <w:rFonts w:ascii="Book Antiqua" w:hAnsi="Book Antiqua"/>
          <w:sz w:val="24"/>
          <w:szCs w:val="24"/>
        </w:rPr>
        <w:t xml:space="preserve"> &lt; 0.001</w:t>
      </w:r>
      <w:r w:rsidR="00970505">
        <w:rPr>
          <w:rFonts w:ascii="Book Antiqua" w:hAnsi="Book Antiqua"/>
          <w:sz w:val="24"/>
          <w:szCs w:val="24"/>
        </w:rPr>
        <w:t>)</w:t>
      </w:r>
      <w:r w:rsidR="00915EEA" w:rsidRPr="009E427C">
        <w:rPr>
          <w:rFonts w:ascii="Book Antiqua" w:hAnsi="Book Antiqua"/>
          <w:sz w:val="24"/>
          <w:szCs w:val="24"/>
        </w:rPr>
        <w:t>.</w:t>
      </w:r>
      <w:r w:rsidRPr="009E427C">
        <w:rPr>
          <w:rFonts w:ascii="Book Antiqua" w:hAnsi="Book Antiqua"/>
          <w:sz w:val="24"/>
          <w:szCs w:val="24"/>
        </w:rPr>
        <w:t xml:space="preserve"> The improved adherence to immunosuppression and decreased intra-subject variability in drug exposure may potentially translate into improved long-term patient and allograft survival.</w:t>
      </w:r>
    </w:p>
    <w:p w14:paraId="08BB12BF" w14:textId="3BB7D183"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Regarding extended release tacrolimus pharmacokinetics in the liver transplant population, once daily dosing has an overall similar systemic exposure as compared to the </w:t>
      </w:r>
      <w:r w:rsidR="006B2BEC">
        <w:rPr>
          <w:rFonts w:ascii="Book Antiqua" w:hAnsi="Book Antiqua"/>
          <w:sz w:val="24"/>
          <w:szCs w:val="24"/>
        </w:rPr>
        <w:t>standard tacrolimus-BID regimen</w:t>
      </w:r>
      <w:r w:rsidR="005E2E7E" w:rsidRPr="009E427C">
        <w:rPr>
          <w:rFonts w:ascii="Book Antiqua" w:hAnsi="Book Antiqua"/>
          <w:sz w:val="24"/>
          <w:szCs w:val="24"/>
          <w:vertAlign w:val="superscript"/>
        </w:rPr>
        <w:t>[</w:t>
      </w:r>
      <w:r w:rsidR="00EF7BB2" w:rsidRPr="009E427C">
        <w:rPr>
          <w:rFonts w:ascii="Book Antiqua" w:hAnsi="Book Antiqua"/>
          <w:sz w:val="24"/>
          <w:szCs w:val="24"/>
          <w:vertAlign w:val="superscript"/>
        </w:rPr>
        <w:t>9,3</w:t>
      </w:r>
      <w:r w:rsidR="00AC17DE" w:rsidRPr="009E427C">
        <w:rPr>
          <w:rFonts w:ascii="Book Antiqua" w:hAnsi="Book Antiqua"/>
          <w:sz w:val="24"/>
          <w:szCs w:val="24"/>
          <w:vertAlign w:val="superscript"/>
        </w:rPr>
        <w:t>7</w:t>
      </w:r>
      <w:r w:rsidRPr="009E427C">
        <w:rPr>
          <w:rFonts w:ascii="Book Antiqua" w:hAnsi="Book Antiqua"/>
          <w:sz w:val="24"/>
          <w:szCs w:val="24"/>
          <w:vertAlign w:val="superscript"/>
        </w:rPr>
        <w:t>,</w:t>
      </w:r>
      <w:r w:rsidR="004645FE" w:rsidRPr="009E427C">
        <w:rPr>
          <w:rStyle w:val="a5"/>
          <w:rFonts w:ascii="Book Antiqua" w:hAnsi="Book Antiqua"/>
          <w:sz w:val="24"/>
          <w:szCs w:val="24"/>
        </w:rPr>
        <w:t>21</w:t>
      </w:r>
      <w:r w:rsidR="00EF7BB2" w:rsidRPr="009E427C">
        <w:rPr>
          <w:rStyle w:val="a5"/>
          <w:rFonts w:ascii="Book Antiqua" w:hAnsi="Book Antiqua"/>
          <w:sz w:val="24"/>
          <w:szCs w:val="24"/>
        </w:rPr>
        <w:t>,</w:t>
      </w:r>
      <w:r w:rsidR="00AC17DE" w:rsidRPr="009E427C">
        <w:rPr>
          <w:rStyle w:val="a5"/>
          <w:rFonts w:ascii="Book Antiqua" w:hAnsi="Book Antiqua"/>
          <w:sz w:val="24"/>
          <w:szCs w:val="24"/>
        </w:rPr>
        <w:t>34,</w:t>
      </w:r>
      <w:r w:rsidR="00EF7BB2" w:rsidRPr="009E427C">
        <w:rPr>
          <w:rStyle w:val="a5"/>
          <w:rFonts w:ascii="Book Antiqua" w:hAnsi="Book Antiqua"/>
          <w:sz w:val="24"/>
          <w:szCs w:val="24"/>
        </w:rPr>
        <w:t>3</w:t>
      </w:r>
      <w:r w:rsidR="00AC17DE" w:rsidRPr="009E427C">
        <w:rPr>
          <w:rStyle w:val="a5"/>
          <w:rFonts w:ascii="Book Antiqua" w:hAnsi="Book Antiqua"/>
          <w:sz w:val="24"/>
          <w:szCs w:val="24"/>
        </w:rPr>
        <w:t>5</w:t>
      </w:r>
      <w:r w:rsidR="005E2E7E" w:rsidRPr="009E427C">
        <w:rPr>
          <w:rStyle w:val="a5"/>
          <w:rFonts w:ascii="Book Antiqua" w:hAnsi="Book Antiqua"/>
          <w:sz w:val="24"/>
          <w:szCs w:val="24"/>
        </w:rPr>
        <w:t>]</w:t>
      </w:r>
      <w:r w:rsidR="00915EEA" w:rsidRPr="009E427C">
        <w:rPr>
          <w:rStyle w:val="a5"/>
          <w:rFonts w:ascii="Book Antiqua" w:hAnsi="Book Antiqua"/>
          <w:sz w:val="24"/>
          <w:szCs w:val="24"/>
          <w:vertAlign w:val="baseline"/>
        </w:rPr>
        <w:t>.</w:t>
      </w:r>
      <w:r w:rsidR="00074195">
        <w:rPr>
          <w:rFonts w:ascii="Book Antiqua" w:hAnsi="Book Antiqua"/>
          <w:sz w:val="24"/>
          <w:szCs w:val="24"/>
        </w:rPr>
        <w:t xml:space="preserve"> </w:t>
      </w:r>
      <w:r w:rsidRPr="009E427C">
        <w:rPr>
          <w:rFonts w:ascii="Book Antiqua" w:hAnsi="Book Antiqua"/>
          <w:sz w:val="24"/>
          <w:szCs w:val="24"/>
        </w:rPr>
        <w:t>Given the strong correlation between AUC</w:t>
      </w:r>
      <w:r w:rsidRPr="009E427C">
        <w:rPr>
          <w:rFonts w:ascii="Book Antiqua" w:hAnsi="Book Antiqua"/>
          <w:sz w:val="24"/>
          <w:szCs w:val="24"/>
          <w:vertAlign w:val="subscript"/>
        </w:rPr>
        <w:t xml:space="preserve">0-24 </w:t>
      </w:r>
      <w:r w:rsidRPr="009E427C">
        <w:rPr>
          <w:rFonts w:ascii="Book Antiqua" w:hAnsi="Book Antiqua"/>
          <w:sz w:val="24"/>
          <w:szCs w:val="24"/>
        </w:rPr>
        <w:t xml:space="preserve">and trough concentrations for extended release tacrolimus, the same therapeutic monitoring and target trough concentration range can be used for both formulations. </w:t>
      </w:r>
    </w:p>
    <w:p w14:paraId="02D24194" w14:textId="4C457E3E" w:rsidR="007D45BE" w:rsidRPr="009E427C" w:rsidRDefault="004F1F0F" w:rsidP="00190C0B">
      <w:pPr>
        <w:pStyle w:val="a6"/>
        <w:tabs>
          <w:tab w:val="left" w:pos="0"/>
        </w:tabs>
        <w:spacing w:line="360" w:lineRule="auto"/>
        <w:ind w:left="0" w:firstLine="0"/>
        <w:jc w:val="both"/>
        <w:rPr>
          <w:rFonts w:ascii="Book Antiqua" w:hAnsi="Book Antiqua"/>
          <w:sz w:val="24"/>
          <w:szCs w:val="24"/>
        </w:rPr>
      </w:pPr>
      <w:r w:rsidRPr="009E427C">
        <w:rPr>
          <w:rFonts w:ascii="Book Antiqua" w:hAnsi="Book Antiqua"/>
          <w:sz w:val="24"/>
          <w:szCs w:val="24"/>
        </w:rPr>
        <w:tab/>
      </w:r>
      <w:r w:rsidR="007D45BE" w:rsidRPr="009E427C">
        <w:rPr>
          <w:rFonts w:ascii="Book Antiqua" w:hAnsi="Book Antiqua"/>
          <w:sz w:val="24"/>
          <w:szCs w:val="24"/>
        </w:rPr>
        <w:t xml:space="preserve">However, in the </w:t>
      </w:r>
      <w:r w:rsidR="007D45BE" w:rsidRPr="009E427C">
        <w:rPr>
          <w:rFonts w:ascii="Book Antiqua" w:hAnsi="Book Antiqua"/>
          <w:i/>
          <w:sz w:val="24"/>
          <w:szCs w:val="24"/>
        </w:rPr>
        <w:t>de novo</w:t>
      </w:r>
      <w:r w:rsidR="007D45BE" w:rsidRPr="009E427C">
        <w:rPr>
          <w:rFonts w:ascii="Book Antiqua" w:hAnsi="Book Antiqua"/>
          <w:sz w:val="24"/>
          <w:szCs w:val="24"/>
        </w:rPr>
        <w:t xml:space="preserve"> liver transplant setting, systemic exposure (AUC</w:t>
      </w:r>
      <w:r w:rsidR="007D45BE" w:rsidRPr="009E427C">
        <w:rPr>
          <w:rFonts w:ascii="Book Antiqua" w:hAnsi="Book Antiqua"/>
          <w:sz w:val="24"/>
          <w:szCs w:val="24"/>
          <w:vertAlign w:val="subscript"/>
        </w:rPr>
        <w:t>0-24</w:t>
      </w:r>
      <w:r w:rsidR="007D45BE" w:rsidRPr="009E427C">
        <w:rPr>
          <w:rFonts w:ascii="Book Antiqua" w:hAnsi="Book Antiqua"/>
          <w:sz w:val="24"/>
          <w:szCs w:val="24"/>
        </w:rPr>
        <w:t>) was 50% lower in extended release tacrolimus compared to equivalent doses of tacrolimus-BID. Similar trough levels between the two formulations were obtained by day 4 after implementation of dose adjustments.</w:t>
      </w:r>
      <w:r w:rsidR="00074195">
        <w:rPr>
          <w:rFonts w:ascii="Book Antiqua" w:hAnsi="Book Antiqua"/>
          <w:sz w:val="24"/>
          <w:szCs w:val="24"/>
        </w:rPr>
        <w:t xml:space="preserve"> </w:t>
      </w:r>
      <w:r w:rsidR="007D45BE" w:rsidRPr="009E427C">
        <w:rPr>
          <w:rFonts w:ascii="Book Antiqua" w:hAnsi="Book Antiqua"/>
          <w:sz w:val="24"/>
          <w:szCs w:val="24"/>
        </w:rPr>
        <w:t xml:space="preserve">Consequently, initial doses for extended release </w:t>
      </w:r>
      <w:r w:rsidR="007D45BE" w:rsidRPr="009E427C">
        <w:rPr>
          <w:rFonts w:ascii="Book Antiqua" w:hAnsi="Book Antiqua"/>
          <w:sz w:val="24"/>
          <w:szCs w:val="24"/>
        </w:rPr>
        <w:lastRenderedPageBreak/>
        <w:t xml:space="preserve">tacrolimus may need to be slightly higher than tacrolimus-BID to achieve similar tacrolimus trough blood concentrations in </w:t>
      </w:r>
      <w:r w:rsidR="007D45BE" w:rsidRPr="009E427C">
        <w:rPr>
          <w:rFonts w:ascii="Book Antiqua" w:hAnsi="Book Antiqua"/>
          <w:i/>
          <w:sz w:val="24"/>
          <w:szCs w:val="24"/>
        </w:rPr>
        <w:t>de novo</w:t>
      </w:r>
      <w:r w:rsidR="007D45BE" w:rsidRPr="009E427C">
        <w:rPr>
          <w:rFonts w:ascii="Book Antiqua" w:hAnsi="Book Antiqua"/>
          <w:sz w:val="24"/>
          <w:szCs w:val="24"/>
        </w:rPr>
        <w:t xml:space="preserve"> liver transplant recipients.</w:t>
      </w:r>
      <w:r w:rsidR="00074195">
        <w:rPr>
          <w:rFonts w:ascii="Book Antiqua" w:hAnsi="Book Antiqua"/>
          <w:sz w:val="24"/>
          <w:szCs w:val="24"/>
        </w:rPr>
        <w:t xml:space="preserve"> </w:t>
      </w:r>
      <w:r w:rsidR="007D45BE" w:rsidRPr="009E427C">
        <w:rPr>
          <w:rFonts w:ascii="Book Antiqua" w:hAnsi="Book Antiqua"/>
          <w:sz w:val="24"/>
          <w:szCs w:val="24"/>
        </w:rPr>
        <w:t>The pharmacokinetic studies in stable liver transplant recipients have demonstrated a safe 1:1 daily dose conversion from tacrolimus-BID to extended release tacrolimus with close moni</w:t>
      </w:r>
      <w:r w:rsidR="006B2BEC">
        <w:rPr>
          <w:rFonts w:ascii="Book Antiqua" w:hAnsi="Book Antiqua"/>
          <w:sz w:val="24"/>
          <w:szCs w:val="24"/>
        </w:rPr>
        <w:t xml:space="preserve">toring of trough </w:t>
      </w:r>
      <w:proofErr w:type="gramStart"/>
      <w:r w:rsidR="006B2BEC">
        <w:rPr>
          <w:rFonts w:ascii="Book Antiqua" w:hAnsi="Book Antiqua"/>
          <w:sz w:val="24"/>
          <w:szCs w:val="24"/>
        </w:rPr>
        <w:t>concentrations</w:t>
      </w:r>
      <w:r w:rsidR="005E2E7E" w:rsidRPr="009E427C">
        <w:rPr>
          <w:rFonts w:ascii="Book Antiqua" w:hAnsi="Book Antiqua"/>
          <w:sz w:val="24"/>
          <w:szCs w:val="24"/>
          <w:vertAlign w:val="superscript"/>
        </w:rPr>
        <w:t>[</w:t>
      </w:r>
      <w:proofErr w:type="gramEnd"/>
      <w:r w:rsidR="00EF7BB2" w:rsidRPr="009E427C">
        <w:rPr>
          <w:rFonts w:ascii="Book Antiqua" w:hAnsi="Book Antiqua"/>
          <w:sz w:val="24"/>
          <w:szCs w:val="24"/>
          <w:vertAlign w:val="superscript"/>
        </w:rPr>
        <w:t>2</w:t>
      </w:r>
      <w:r w:rsidR="004645FE" w:rsidRPr="009E427C">
        <w:rPr>
          <w:rFonts w:ascii="Book Antiqua" w:hAnsi="Book Antiqua"/>
          <w:sz w:val="24"/>
          <w:szCs w:val="24"/>
          <w:vertAlign w:val="superscript"/>
        </w:rPr>
        <w:t>1</w:t>
      </w:r>
      <w:r w:rsidR="00EF7BB2" w:rsidRPr="009E427C">
        <w:rPr>
          <w:rFonts w:ascii="Book Antiqua" w:hAnsi="Book Antiqua"/>
          <w:sz w:val="24"/>
          <w:szCs w:val="24"/>
          <w:vertAlign w:val="superscript"/>
        </w:rPr>
        <w:t>,3</w:t>
      </w:r>
      <w:r w:rsidR="00AC17DE" w:rsidRPr="009E427C">
        <w:rPr>
          <w:rFonts w:ascii="Book Antiqua" w:hAnsi="Book Antiqua"/>
          <w:sz w:val="24"/>
          <w:szCs w:val="24"/>
          <w:vertAlign w:val="superscript"/>
        </w:rPr>
        <w:t>4</w:t>
      </w:r>
      <w:r w:rsidR="00EF7BB2" w:rsidRPr="009E427C">
        <w:rPr>
          <w:rFonts w:ascii="Book Antiqua" w:hAnsi="Book Antiqua"/>
          <w:sz w:val="24"/>
          <w:szCs w:val="24"/>
          <w:vertAlign w:val="superscript"/>
        </w:rPr>
        <w:t>,3</w:t>
      </w:r>
      <w:r w:rsidR="00AC17DE" w:rsidRPr="009E427C">
        <w:rPr>
          <w:rFonts w:ascii="Book Antiqua" w:hAnsi="Book Antiqua"/>
          <w:sz w:val="24"/>
          <w:szCs w:val="24"/>
          <w:vertAlign w:val="superscript"/>
        </w:rPr>
        <w:t>5</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7DCAE995" w14:textId="726BD18A" w:rsidR="00915EEA"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In summary, extended release tacrolimus has proven to be well tolerated with a similar safety and efficacy profile as compared to tacrolimus-BID.</w:t>
      </w:r>
      <w:r w:rsidR="00074195">
        <w:rPr>
          <w:rFonts w:ascii="Book Antiqua" w:hAnsi="Book Antiqua"/>
          <w:sz w:val="24"/>
          <w:szCs w:val="24"/>
        </w:rPr>
        <w:t xml:space="preserve"> </w:t>
      </w:r>
      <w:r w:rsidRPr="009E427C">
        <w:rPr>
          <w:rFonts w:ascii="Book Antiqua" w:hAnsi="Book Antiqua"/>
          <w:sz w:val="24"/>
          <w:szCs w:val="24"/>
        </w:rPr>
        <w:t xml:space="preserve">Extended release tacrolimus is not FDA approved for use in liver transplant recipients due to increased mortality rate in females in a </w:t>
      </w:r>
      <w:r w:rsidRPr="009E427C">
        <w:rPr>
          <w:rFonts w:ascii="Book Antiqua" w:hAnsi="Book Antiqua"/>
          <w:i/>
          <w:sz w:val="24"/>
          <w:szCs w:val="24"/>
        </w:rPr>
        <w:t>post-hoc</w:t>
      </w:r>
      <w:r w:rsidRPr="009E427C">
        <w:rPr>
          <w:rFonts w:ascii="Book Antiqua" w:hAnsi="Book Antiqua"/>
          <w:sz w:val="24"/>
          <w:szCs w:val="24"/>
        </w:rPr>
        <w:t xml:space="preserve"> analysis.</w:t>
      </w:r>
      <w:r w:rsidR="00074195">
        <w:rPr>
          <w:rFonts w:ascii="Book Antiqua" w:hAnsi="Book Antiqua"/>
          <w:sz w:val="24"/>
          <w:szCs w:val="24"/>
        </w:rPr>
        <w:t xml:space="preserve"> </w:t>
      </w:r>
      <w:r w:rsidRPr="009E427C">
        <w:rPr>
          <w:rFonts w:ascii="Book Antiqua" w:hAnsi="Book Antiqua"/>
          <w:sz w:val="24"/>
          <w:szCs w:val="24"/>
        </w:rPr>
        <w:t>While the increased mortality is a concern, this finding has not been replicated in follow-up clinical trials or registry data.</w:t>
      </w:r>
      <w:r w:rsidR="00074195">
        <w:rPr>
          <w:rFonts w:ascii="Book Antiqua" w:hAnsi="Book Antiqua"/>
          <w:sz w:val="24"/>
          <w:szCs w:val="24"/>
        </w:rPr>
        <w:t xml:space="preserve"> </w:t>
      </w:r>
      <w:r w:rsidRPr="009E427C">
        <w:rPr>
          <w:rFonts w:ascii="Book Antiqua" w:hAnsi="Book Antiqua"/>
          <w:sz w:val="24"/>
          <w:szCs w:val="24"/>
        </w:rPr>
        <w:t>Extended-release tacrolimus may be particularly beneficial in improving immunosuppression compliance and subsequently long-term outcomes in the liver transplant population, as many recipients are maintained on tacrolimus monotherapy.</w:t>
      </w:r>
      <w:r w:rsidR="00074195">
        <w:rPr>
          <w:rFonts w:ascii="Book Antiqua" w:hAnsi="Book Antiqua"/>
          <w:sz w:val="24"/>
          <w:szCs w:val="24"/>
        </w:rPr>
        <w:t xml:space="preserve"> </w:t>
      </w:r>
    </w:p>
    <w:p w14:paraId="14A71D49" w14:textId="6C70011F" w:rsidR="007D45BE" w:rsidRPr="009E427C" w:rsidRDefault="007D45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 </w:t>
      </w:r>
    </w:p>
    <w:p w14:paraId="1BD6D2DA" w14:textId="13151CC4" w:rsidR="00C93F00"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 xml:space="preserve">HEART TRANSPLANTATION </w:t>
      </w:r>
    </w:p>
    <w:p w14:paraId="1B63C3F3" w14:textId="6C75D614" w:rsidR="00C93F00" w:rsidRPr="009E427C" w:rsidRDefault="00C93F00" w:rsidP="00190C0B">
      <w:pPr>
        <w:spacing w:after="0" w:line="360" w:lineRule="auto"/>
        <w:jc w:val="both"/>
        <w:rPr>
          <w:rFonts w:ascii="Book Antiqua" w:hAnsi="Book Antiqua"/>
          <w:sz w:val="24"/>
          <w:szCs w:val="24"/>
        </w:rPr>
      </w:pPr>
      <w:r w:rsidRPr="009E427C">
        <w:rPr>
          <w:rFonts w:ascii="Book Antiqua" w:hAnsi="Book Antiqua"/>
          <w:sz w:val="24"/>
          <w:szCs w:val="24"/>
        </w:rPr>
        <w:t xml:space="preserve">Limited published data exists investigating the use of </w:t>
      </w:r>
      <w:r w:rsidR="007D2245" w:rsidRPr="009E427C">
        <w:rPr>
          <w:rFonts w:ascii="Book Antiqua" w:hAnsi="Book Antiqua"/>
          <w:sz w:val="24"/>
          <w:szCs w:val="24"/>
        </w:rPr>
        <w:t xml:space="preserve">extended release </w:t>
      </w:r>
      <w:r w:rsidRPr="009E427C">
        <w:rPr>
          <w:rFonts w:ascii="Book Antiqua" w:hAnsi="Book Antiqua"/>
          <w:sz w:val="24"/>
          <w:szCs w:val="24"/>
        </w:rPr>
        <w:t xml:space="preserve">tacrolimus in both </w:t>
      </w:r>
      <w:r w:rsidRPr="009E427C">
        <w:rPr>
          <w:rFonts w:ascii="Book Antiqua" w:hAnsi="Book Antiqua"/>
          <w:i/>
          <w:sz w:val="24"/>
          <w:szCs w:val="24"/>
        </w:rPr>
        <w:t>de novo</w:t>
      </w:r>
      <w:r w:rsidRPr="009E427C">
        <w:rPr>
          <w:rFonts w:ascii="Book Antiqua" w:hAnsi="Book Antiqua"/>
          <w:sz w:val="24"/>
          <w:szCs w:val="24"/>
        </w:rPr>
        <w:t xml:space="preserve"> and established patients with heart transp</w:t>
      </w:r>
      <w:r w:rsidR="007D2245" w:rsidRPr="009E427C">
        <w:rPr>
          <w:rFonts w:ascii="Book Antiqua" w:hAnsi="Book Antiqua"/>
          <w:sz w:val="24"/>
          <w:szCs w:val="24"/>
        </w:rPr>
        <w:t>lants.</w:t>
      </w:r>
      <w:r w:rsidR="00074195">
        <w:rPr>
          <w:rFonts w:ascii="Book Antiqua" w:hAnsi="Book Antiqua"/>
          <w:sz w:val="24"/>
          <w:szCs w:val="24"/>
        </w:rPr>
        <w:t xml:space="preserve"> </w:t>
      </w:r>
      <w:r w:rsidR="007D2245" w:rsidRPr="009E427C">
        <w:rPr>
          <w:rFonts w:ascii="Book Antiqua" w:hAnsi="Book Antiqua"/>
          <w:sz w:val="24"/>
          <w:szCs w:val="24"/>
        </w:rPr>
        <w:t>Therefore, extended release tacrolimus</w:t>
      </w:r>
      <w:r w:rsidRPr="009E427C">
        <w:rPr>
          <w:rFonts w:ascii="Book Antiqua" w:hAnsi="Book Antiqua"/>
          <w:sz w:val="24"/>
          <w:szCs w:val="24"/>
        </w:rPr>
        <w:t xml:space="preserve"> is not approved for the prophylaxis of rejection in heart transplant patients</w:t>
      </w:r>
      <w:r w:rsidR="006B2BEC">
        <w:rPr>
          <w:rFonts w:ascii="Book Antiqua" w:hAnsi="Book Antiqua"/>
          <w:sz w:val="24"/>
          <w:szCs w:val="24"/>
        </w:rPr>
        <w:t xml:space="preserve"> in the United States or </w:t>
      </w:r>
      <w:proofErr w:type="gramStart"/>
      <w:r w:rsidR="006B2BEC">
        <w:rPr>
          <w:rFonts w:ascii="Book Antiqua" w:hAnsi="Book Antiqua"/>
          <w:sz w:val="24"/>
          <w:szCs w:val="24"/>
        </w:rPr>
        <w:t>Europe</w:t>
      </w:r>
      <w:r w:rsidR="005E2E7E" w:rsidRPr="009E427C">
        <w:rPr>
          <w:rFonts w:ascii="Book Antiqua" w:hAnsi="Book Antiqua"/>
          <w:sz w:val="24"/>
          <w:szCs w:val="24"/>
          <w:vertAlign w:val="superscript"/>
        </w:rPr>
        <w:t>[</w:t>
      </w:r>
      <w:proofErr w:type="gramEnd"/>
      <w:r w:rsidR="00EF7BB2" w:rsidRPr="009E427C">
        <w:rPr>
          <w:rFonts w:ascii="Book Antiqua" w:hAnsi="Book Antiqua"/>
          <w:sz w:val="24"/>
          <w:szCs w:val="24"/>
          <w:vertAlign w:val="superscript"/>
        </w:rPr>
        <w:t>9</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5D60F115" w14:textId="163429F0" w:rsidR="00C93F00"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A phase II pharmacokinetic study was performed in patients that were at least 6 </w:t>
      </w:r>
      <w:proofErr w:type="spellStart"/>
      <w:r w:rsidRPr="009E427C">
        <w:rPr>
          <w:rFonts w:ascii="Book Antiqua" w:hAnsi="Book Antiqua"/>
          <w:sz w:val="24"/>
          <w:szCs w:val="24"/>
        </w:rPr>
        <w:t>mo</w:t>
      </w:r>
      <w:proofErr w:type="spellEnd"/>
      <w:r w:rsidRPr="009E427C">
        <w:rPr>
          <w:rFonts w:ascii="Book Antiqua" w:hAnsi="Book Antiqua"/>
          <w:sz w:val="24"/>
          <w:szCs w:val="24"/>
        </w:rPr>
        <w:t xml:space="preserve"> post heart transplan</w:t>
      </w:r>
      <w:r w:rsidR="007D2245" w:rsidRPr="009E427C">
        <w:rPr>
          <w:rFonts w:ascii="Book Antiqua" w:hAnsi="Book Antiqua"/>
          <w:sz w:val="24"/>
          <w:szCs w:val="24"/>
        </w:rPr>
        <w:t>t and were receiving tacrolimus-</w:t>
      </w:r>
      <w:r w:rsidRPr="009E427C">
        <w:rPr>
          <w:rFonts w:ascii="Book Antiqua" w:hAnsi="Book Antiqua"/>
          <w:sz w:val="24"/>
          <w:szCs w:val="24"/>
        </w:rPr>
        <w:t xml:space="preserve">BID </w:t>
      </w:r>
      <w:r w:rsidR="003467C1" w:rsidRPr="009E427C">
        <w:rPr>
          <w:rFonts w:ascii="Book Antiqua" w:hAnsi="Book Antiqua"/>
          <w:sz w:val="24"/>
          <w:szCs w:val="24"/>
        </w:rPr>
        <w:t>with stable levels between 5-</w:t>
      </w:r>
      <w:r w:rsidRPr="009E427C">
        <w:rPr>
          <w:rFonts w:ascii="Book Antiqua" w:hAnsi="Book Antiqua"/>
          <w:sz w:val="24"/>
          <w:szCs w:val="24"/>
        </w:rPr>
        <w:t xml:space="preserve">15 </w:t>
      </w:r>
      <w:proofErr w:type="spellStart"/>
      <w:r w:rsidRPr="009E427C">
        <w:rPr>
          <w:rFonts w:ascii="Book Antiqua" w:hAnsi="Book Antiqua"/>
          <w:sz w:val="24"/>
          <w:szCs w:val="24"/>
        </w:rPr>
        <w:t>ng</w:t>
      </w:r>
      <w:proofErr w:type="spellEnd"/>
      <w:r w:rsidRPr="009E427C">
        <w:rPr>
          <w:rFonts w:ascii="Book Antiqua" w:hAnsi="Book Antiqua"/>
          <w:sz w:val="24"/>
          <w:szCs w:val="24"/>
        </w:rPr>
        <w:t>/</w:t>
      </w:r>
      <w:proofErr w:type="spellStart"/>
      <w:r w:rsidRPr="009E427C">
        <w:rPr>
          <w:rFonts w:ascii="Book Antiqua" w:hAnsi="Book Antiqua"/>
          <w:sz w:val="24"/>
          <w:szCs w:val="24"/>
        </w:rPr>
        <w:t>mL</w:t>
      </w:r>
      <w:r w:rsidR="007D2245" w:rsidRPr="009E427C">
        <w:rPr>
          <w:rFonts w:ascii="Book Antiqua" w:hAnsi="Book Antiqua"/>
          <w:sz w:val="24"/>
          <w:szCs w:val="24"/>
        </w:rPr>
        <w:t>.</w:t>
      </w:r>
      <w:proofErr w:type="spellEnd"/>
      <w:r w:rsidR="007D2245" w:rsidRPr="009E427C">
        <w:rPr>
          <w:rFonts w:ascii="Book Antiqua" w:hAnsi="Book Antiqua"/>
          <w:sz w:val="24"/>
          <w:szCs w:val="24"/>
        </w:rPr>
        <w:t xml:space="preserve"> Patients continued tacrolimus-</w:t>
      </w:r>
      <w:r w:rsidRPr="009E427C">
        <w:rPr>
          <w:rFonts w:ascii="Book Antiqua" w:hAnsi="Book Antiqua"/>
          <w:sz w:val="24"/>
          <w:szCs w:val="24"/>
        </w:rPr>
        <w:t>BID study days 1</w:t>
      </w:r>
      <w:r w:rsidR="002073DF">
        <w:rPr>
          <w:rFonts w:ascii="Book Antiqua" w:hAnsi="Book Antiqua" w:hint="eastAsia"/>
          <w:sz w:val="24"/>
          <w:szCs w:val="24"/>
          <w:lang w:eastAsia="zh-CN"/>
        </w:rPr>
        <w:t>-</w:t>
      </w:r>
      <w:r w:rsidRPr="009E427C">
        <w:rPr>
          <w:rFonts w:ascii="Book Antiqua" w:hAnsi="Book Antiqua"/>
          <w:sz w:val="24"/>
          <w:szCs w:val="24"/>
        </w:rPr>
        <w:t xml:space="preserve">7 and were transitioned to </w:t>
      </w:r>
      <w:r w:rsidR="007D2245" w:rsidRPr="009E427C">
        <w:rPr>
          <w:rFonts w:ascii="Book Antiqua" w:hAnsi="Book Antiqua"/>
          <w:sz w:val="24"/>
          <w:szCs w:val="24"/>
        </w:rPr>
        <w:t>extended release tacrolimus at 1:1 mg</w:t>
      </w:r>
      <w:r w:rsidRPr="009E427C">
        <w:rPr>
          <w:rFonts w:ascii="Book Antiqua" w:hAnsi="Book Antiqua"/>
          <w:sz w:val="24"/>
          <w:szCs w:val="24"/>
        </w:rPr>
        <w:t>/day for days 8</w:t>
      </w:r>
      <w:r w:rsidR="002073DF">
        <w:rPr>
          <w:rFonts w:ascii="Book Antiqua" w:hAnsi="Book Antiqua" w:hint="eastAsia"/>
          <w:sz w:val="24"/>
          <w:szCs w:val="24"/>
          <w:lang w:eastAsia="zh-CN"/>
        </w:rPr>
        <w:t>-</w:t>
      </w:r>
      <w:r w:rsidRPr="009E427C">
        <w:rPr>
          <w:rFonts w:ascii="Book Antiqua" w:hAnsi="Book Antiqua"/>
          <w:sz w:val="24"/>
          <w:szCs w:val="24"/>
        </w:rPr>
        <w:t xml:space="preserve">35 of the study. </w:t>
      </w:r>
      <w:r w:rsidR="005B51D9" w:rsidRPr="009E427C">
        <w:rPr>
          <w:rFonts w:ascii="Book Antiqua" w:hAnsi="Book Antiqua"/>
          <w:sz w:val="24"/>
          <w:szCs w:val="24"/>
        </w:rPr>
        <w:t xml:space="preserve">Of the 85 patients enrolled, only 45 patients </w:t>
      </w:r>
      <w:r w:rsidRPr="009E427C">
        <w:rPr>
          <w:rFonts w:ascii="Book Antiqua" w:hAnsi="Book Antiqua"/>
          <w:sz w:val="24"/>
          <w:szCs w:val="24"/>
        </w:rPr>
        <w:t>had complete 24 h pharmacokinetic d</w:t>
      </w:r>
      <w:r w:rsidR="007D2245" w:rsidRPr="009E427C">
        <w:rPr>
          <w:rFonts w:ascii="Book Antiqua" w:hAnsi="Book Antiqua"/>
          <w:sz w:val="24"/>
          <w:szCs w:val="24"/>
        </w:rPr>
        <w:t>ata collected in the tacrolimus-</w:t>
      </w:r>
      <w:r w:rsidRPr="009E427C">
        <w:rPr>
          <w:rFonts w:ascii="Book Antiqua" w:hAnsi="Book Antiqua"/>
          <w:sz w:val="24"/>
          <w:szCs w:val="24"/>
        </w:rPr>
        <w:t xml:space="preserve">BID and </w:t>
      </w:r>
      <w:r w:rsidR="007D2245" w:rsidRPr="009E427C">
        <w:rPr>
          <w:rFonts w:ascii="Book Antiqua" w:hAnsi="Book Antiqua"/>
          <w:sz w:val="24"/>
          <w:szCs w:val="24"/>
        </w:rPr>
        <w:t>extended release tacrolimus</w:t>
      </w:r>
      <w:r w:rsidRPr="009E427C">
        <w:rPr>
          <w:rFonts w:ascii="Book Antiqua" w:hAnsi="Book Antiqua"/>
          <w:sz w:val="24"/>
          <w:szCs w:val="24"/>
        </w:rPr>
        <w:t xml:space="preserve"> phase</w:t>
      </w:r>
      <w:r w:rsidR="005B51D9" w:rsidRPr="009E427C">
        <w:rPr>
          <w:rFonts w:ascii="Book Antiqua" w:hAnsi="Book Antiqua"/>
          <w:sz w:val="24"/>
          <w:szCs w:val="24"/>
        </w:rPr>
        <w:t xml:space="preserve"> necessary for analysis</w:t>
      </w:r>
      <w:r w:rsidRPr="009E427C">
        <w:rPr>
          <w:rFonts w:ascii="Book Antiqua" w:hAnsi="Book Antiqua"/>
          <w:sz w:val="24"/>
          <w:szCs w:val="24"/>
        </w:rPr>
        <w:t>. The primary endpoint of the study was the comparison of the systemic exposure (AUC</w:t>
      </w:r>
      <w:r w:rsidRPr="009E427C">
        <w:rPr>
          <w:rFonts w:ascii="Book Antiqua" w:hAnsi="Book Antiqua"/>
          <w:sz w:val="24"/>
          <w:szCs w:val="24"/>
          <w:vertAlign w:val="subscript"/>
        </w:rPr>
        <w:t>0-24</w:t>
      </w:r>
      <w:r w:rsidRPr="009E427C">
        <w:rPr>
          <w:rFonts w:ascii="Book Antiqua" w:hAnsi="Book Antiqua"/>
          <w:sz w:val="24"/>
          <w:szCs w:val="24"/>
        </w:rPr>
        <w:t xml:space="preserve">) </w:t>
      </w:r>
      <w:r w:rsidR="007D2245" w:rsidRPr="009E427C">
        <w:rPr>
          <w:rFonts w:ascii="Book Antiqua" w:hAnsi="Book Antiqua"/>
          <w:sz w:val="24"/>
          <w:szCs w:val="24"/>
        </w:rPr>
        <w:t>at steady state of tacrolimus-</w:t>
      </w:r>
      <w:r w:rsidRPr="009E427C">
        <w:rPr>
          <w:rFonts w:ascii="Book Antiqua" w:hAnsi="Book Antiqua"/>
          <w:sz w:val="24"/>
          <w:szCs w:val="24"/>
        </w:rPr>
        <w:t xml:space="preserve">BID to </w:t>
      </w:r>
      <w:r w:rsidR="007D2245" w:rsidRPr="009E427C">
        <w:rPr>
          <w:rFonts w:ascii="Book Antiqua" w:hAnsi="Book Antiqua"/>
          <w:sz w:val="24"/>
          <w:szCs w:val="24"/>
        </w:rPr>
        <w:t>extended release tacrolimus</w:t>
      </w:r>
      <w:r w:rsidRPr="009E427C">
        <w:rPr>
          <w:rFonts w:ascii="Book Antiqua" w:hAnsi="Book Antiqua"/>
          <w:sz w:val="24"/>
          <w:szCs w:val="24"/>
        </w:rPr>
        <w:t>, with a predef</w:t>
      </w:r>
      <w:r w:rsidR="002073DF">
        <w:rPr>
          <w:rFonts w:ascii="Book Antiqua" w:hAnsi="Book Antiqua"/>
          <w:sz w:val="24"/>
          <w:szCs w:val="24"/>
        </w:rPr>
        <w:t>ined acceptance range for a 90%</w:t>
      </w:r>
      <w:r w:rsidRPr="009E427C">
        <w:rPr>
          <w:rFonts w:ascii="Book Antiqua" w:hAnsi="Book Antiqua"/>
          <w:sz w:val="24"/>
          <w:szCs w:val="24"/>
        </w:rPr>
        <w:t>CI of 80</w:t>
      </w:r>
      <w:r w:rsidR="002073DF" w:rsidRPr="009E427C">
        <w:rPr>
          <w:rFonts w:ascii="Book Antiqua" w:hAnsi="Book Antiqua"/>
          <w:sz w:val="24"/>
          <w:szCs w:val="24"/>
        </w:rPr>
        <w:t>%</w:t>
      </w:r>
      <w:r w:rsidR="002073DF">
        <w:rPr>
          <w:rFonts w:ascii="Book Antiqua" w:hAnsi="Book Antiqua" w:hint="eastAsia"/>
          <w:sz w:val="24"/>
          <w:szCs w:val="24"/>
          <w:lang w:eastAsia="zh-CN"/>
        </w:rPr>
        <w:t>-</w:t>
      </w:r>
      <w:r w:rsidRPr="009E427C">
        <w:rPr>
          <w:rFonts w:ascii="Book Antiqua" w:hAnsi="Book Antiqua"/>
          <w:sz w:val="24"/>
          <w:szCs w:val="24"/>
        </w:rPr>
        <w:t>125%. The AUC</w:t>
      </w:r>
      <w:r w:rsidR="007D2245" w:rsidRPr="009E427C">
        <w:rPr>
          <w:rFonts w:ascii="Book Antiqua" w:hAnsi="Book Antiqua"/>
          <w:sz w:val="24"/>
          <w:szCs w:val="24"/>
          <w:vertAlign w:val="subscript"/>
        </w:rPr>
        <w:t>0-24</w:t>
      </w:r>
      <w:r w:rsidRPr="009E427C">
        <w:rPr>
          <w:rFonts w:ascii="Book Antiqua" w:hAnsi="Book Antiqua"/>
          <w:sz w:val="24"/>
          <w:szCs w:val="24"/>
          <w:vertAlign w:val="subscript"/>
        </w:rPr>
        <w:t xml:space="preserve"> </w:t>
      </w:r>
      <w:r w:rsidRPr="009E427C">
        <w:rPr>
          <w:rFonts w:ascii="Book Antiqua" w:hAnsi="Book Antiqua"/>
          <w:sz w:val="24"/>
          <w:szCs w:val="24"/>
        </w:rPr>
        <w:t xml:space="preserve">was 219.77 </w:t>
      </w:r>
      <w:proofErr w:type="spellStart"/>
      <w:r w:rsidRPr="009E427C">
        <w:rPr>
          <w:rFonts w:ascii="Book Antiqua" w:hAnsi="Book Antiqua"/>
          <w:sz w:val="24"/>
          <w:szCs w:val="24"/>
        </w:rPr>
        <w:t>ng·h</w:t>
      </w:r>
      <w:proofErr w:type="spellEnd"/>
      <w:r w:rsidRPr="009E427C">
        <w:rPr>
          <w:rFonts w:ascii="Book Antiqua" w:hAnsi="Book Antiqua"/>
          <w:sz w:val="24"/>
          <w:szCs w:val="24"/>
        </w:rPr>
        <w:t xml:space="preserve">/mL for </w:t>
      </w:r>
      <w:r w:rsidR="007D2245" w:rsidRPr="009E427C">
        <w:rPr>
          <w:rFonts w:ascii="Book Antiqua" w:hAnsi="Book Antiqua"/>
          <w:sz w:val="24"/>
          <w:szCs w:val="24"/>
        </w:rPr>
        <w:t xml:space="preserve">extended release tacrolimus </w:t>
      </w:r>
      <w:r w:rsidRPr="009E427C">
        <w:rPr>
          <w:rFonts w:ascii="Book Antiqua" w:hAnsi="Book Antiqua"/>
          <w:sz w:val="24"/>
          <w:szCs w:val="24"/>
        </w:rPr>
        <w:t>compared t</w:t>
      </w:r>
      <w:r w:rsidR="007D2245" w:rsidRPr="009E427C">
        <w:rPr>
          <w:rFonts w:ascii="Book Antiqua" w:hAnsi="Book Antiqua"/>
          <w:sz w:val="24"/>
          <w:szCs w:val="24"/>
        </w:rPr>
        <w:t xml:space="preserve">o 242.86 </w:t>
      </w:r>
      <w:proofErr w:type="spellStart"/>
      <w:r w:rsidR="007D2245" w:rsidRPr="009E427C">
        <w:rPr>
          <w:rFonts w:ascii="Book Antiqua" w:hAnsi="Book Antiqua"/>
          <w:sz w:val="24"/>
          <w:szCs w:val="24"/>
        </w:rPr>
        <w:t>ng·h</w:t>
      </w:r>
      <w:proofErr w:type="spellEnd"/>
      <w:r w:rsidR="007D2245" w:rsidRPr="009E427C">
        <w:rPr>
          <w:rFonts w:ascii="Book Antiqua" w:hAnsi="Book Antiqua"/>
          <w:sz w:val="24"/>
          <w:szCs w:val="24"/>
        </w:rPr>
        <w:t xml:space="preserve">/mL for </w:t>
      </w:r>
      <w:proofErr w:type="spellStart"/>
      <w:r w:rsidR="007D2245" w:rsidRPr="009E427C">
        <w:rPr>
          <w:rFonts w:ascii="Book Antiqua" w:hAnsi="Book Antiqua"/>
          <w:sz w:val="24"/>
          <w:szCs w:val="24"/>
        </w:rPr>
        <w:t>tacrolimus</w:t>
      </w:r>
      <w:proofErr w:type="spellEnd"/>
      <w:r w:rsidR="007D2245" w:rsidRPr="009E427C">
        <w:rPr>
          <w:rFonts w:ascii="Book Antiqua" w:hAnsi="Book Antiqua"/>
          <w:sz w:val="24"/>
          <w:szCs w:val="24"/>
        </w:rPr>
        <w:t>-</w:t>
      </w:r>
      <w:r w:rsidRPr="009E427C">
        <w:rPr>
          <w:rFonts w:ascii="Book Antiqua" w:hAnsi="Book Antiqua"/>
          <w:sz w:val="24"/>
          <w:szCs w:val="24"/>
        </w:rPr>
        <w:t xml:space="preserve">BID, with a 90% </w:t>
      </w:r>
      <w:r w:rsidRPr="009E427C">
        <w:rPr>
          <w:rFonts w:ascii="Book Antiqua" w:hAnsi="Book Antiqua"/>
          <w:sz w:val="24"/>
          <w:szCs w:val="24"/>
        </w:rPr>
        <w:lastRenderedPageBreak/>
        <w:t>confidence interval of 86.4</w:t>
      </w:r>
      <w:r w:rsidR="007F0626" w:rsidRPr="009E427C">
        <w:rPr>
          <w:rFonts w:ascii="Book Antiqua" w:hAnsi="Book Antiqua"/>
          <w:sz w:val="24"/>
          <w:szCs w:val="24"/>
        </w:rPr>
        <w:t>%</w:t>
      </w:r>
      <w:r w:rsidRPr="009E427C">
        <w:rPr>
          <w:rFonts w:ascii="Book Antiqua" w:hAnsi="Book Antiqua"/>
          <w:sz w:val="24"/>
          <w:szCs w:val="24"/>
        </w:rPr>
        <w:t>-94.6%, falling within the predefined acceptable range. The AUC</w:t>
      </w:r>
      <w:r w:rsidR="007D2245" w:rsidRPr="009E427C">
        <w:rPr>
          <w:rFonts w:ascii="Book Antiqua" w:hAnsi="Book Antiqua"/>
          <w:sz w:val="24"/>
          <w:szCs w:val="24"/>
          <w:vertAlign w:val="subscript"/>
        </w:rPr>
        <w:t>0-24</w:t>
      </w:r>
      <w:r w:rsidRPr="009E427C">
        <w:rPr>
          <w:rFonts w:ascii="Book Antiqua" w:hAnsi="Book Antiqua"/>
          <w:sz w:val="24"/>
          <w:szCs w:val="24"/>
        </w:rPr>
        <w:t xml:space="preserve"> and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rPr>
        <w:t xml:space="preserve"> correlated well for both tacrolimus XL (r</w:t>
      </w:r>
      <w:r w:rsidR="007D2245" w:rsidRPr="009E427C">
        <w:rPr>
          <w:rFonts w:ascii="Book Antiqua" w:hAnsi="Book Antiqua"/>
          <w:sz w:val="24"/>
          <w:szCs w:val="24"/>
        </w:rPr>
        <w:t xml:space="preserve"> </w:t>
      </w:r>
      <w:r w:rsidRPr="009E427C">
        <w:rPr>
          <w:rFonts w:ascii="Book Antiqua" w:hAnsi="Book Antiqua"/>
          <w:sz w:val="24"/>
          <w:szCs w:val="24"/>
        </w:rPr>
        <w:t>=</w:t>
      </w:r>
      <w:r w:rsidR="007D2245" w:rsidRPr="009E427C">
        <w:rPr>
          <w:rFonts w:ascii="Book Antiqua" w:hAnsi="Book Antiqua"/>
          <w:sz w:val="24"/>
          <w:szCs w:val="24"/>
        </w:rPr>
        <w:t xml:space="preserve"> </w:t>
      </w:r>
      <w:r w:rsidRPr="009E427C">
        <w:rPr>
          <w:rFonts w:ascii="Book Antiqua" w:hAnsi="Book Antiqua"/>
          <w:sz w:val="24"/>
          <w:szCs w:val="24"/>
        </w:rPr>
        <w:t>0.94) and tacrolimus BID (r</w:t>
      </w:r>
      <w:r w:rsidR="007D2245" w:rsidRPr="009E427C">
        <w:rPr>
          <w:rFonts w:ascii="Book Antiqua" w:hAnsi="Book Antiqua"/>
          <w:sz w:val="24"/>
          <w:szCs w:val="24"/>
        </w:rPr>
        <w:t xml:space="preserve"> </w:t>
      </w:r>
      <w:r w:rsidRPr="009E427C">
        <w:rPr>
          <w:rFonts w:ascii="Book Antiqua" w:hAnsi="Book Antiqua"/>
          <w:sz w:val="24"/>
          <w:szCs w:val="24"/>
        </w:rPr>
        <w:t>=</w:t>
      </w:r>
      <w:r w:rsidR="007D2245" w:rsidRPr="009E427C">
        <w:rPr>
          <w:rFonts w:ascii="Book Antiqua" w:hAnsi="Book Antiqua"/>
          <w:sz w:val="24"/>
          <w:szCs w:val="24"/>
        </w:rPr>
        <w:t xml:space="preserve"> </w:t>
      </w:r>
      <w:r w:rsidRPr="009E427C">
        <w:rPr>
          <w:rFonts w:ascii="Book Antiqua" w:hAnsi="Book Antiqua"/>
          <w:sz w:val="24"/>
          <w:szCs w:val="24"/>
        </w:rPr>
        <w:t xml:space="preserve">0.91). During the study, 32.9% of the overall patients enrolled needed a dose adjustment after conversion to </w:t>
      </w:r>
      <w:r w:rsidR="007D2245" w:rsidRPr="009E427C">
        <w:rPr>
          <w:rFonts w:ascii="Book Antiqua" w:hAnsi="Book Antiqua"/>
          <w:sz w:val="24"/>
          <w:szCs w:val="24"/>
        </w:rPr>
        <w:t xml:space="preserve">extended release </w:t>
      </w:r>
      <w:r w:rsidRPr="009E427C">
        <w:rPr>
          <w:rFonts w:ascii="Book Antiqua" w:hAnsi="Book Antiqua"/>
          <w:sz w:val="24"/>
          <w:szCs w:val="24"/>
        </w:rPr>
        <w:t>tacr</w:t>
      </w:r>
      <w:r w:rsidR="007D2245" w:rsidRPr="009E427C">
        <w:rPr>
          <w:rFonts w:ascii="Book Antiqua" w:hAnsi="Book Antiqua"/>
          <w:sz w:val="24"/>
          <w:szCs w:val="24"/>
        </w:rPr>
        <w:t>olimus</w:t>
      </w:r>
      <w:r w:rsidRPr="009E427C">
        <w:rPr>
          <w:rFonts w:ascii="Book Antiqua" w:hAnsi="Book Antiqua"/>
          <w:sz w:val="24"/>
          <w:szCs w:val="24"/>
        </w:rPr>
        <w:t>. A dose increase was needed in 25.9% of patients, and 6.2% of patients required a dose decrease. No adverse events led to discontinuation during the study, and there were no reports of acute rejection, graft loss, or death. This pharmacokinetic evaluation suggests that overall exposure to tacrolimus is lower with the extended release product, with comparable correlation between trough levels and AUC</w:t>
      </w:r>
      <w:r w:rsidR="007D2245" w:rsidRPr="009E427C">
        <w:rPr>
          <w:rFonts w:ascii="Book Antiqua" w:hAnsi="Book Antiqua"/>
          <w:sz w:val="24"/>
          <w:szCs w:val="24"/>
          <w:vertAlign w:val="subscript"/>
        </w:rPr>
        <w:t>0-24</w:t>
      </w:r>
      <w:r w:rsidR="007D2245" w:rsidRPr="009E427C">
        <w:rPr>
          <w:rFonts w:ascii="Book Antiqua" w:hAnsi="Book Antiqua"/>
          <w:sz w:val="24"/>
          <w:szCs w:val="24"/>
        </w:rPr>
        <w:t xml:space="preserve"> as with tacrolimus-</w:t>
      </w:r>
      <w:proofErr w:type="gramStart"/>
      <w:r w:rsidR="006B2BEC">
        <w:rPr>
          <w:rFonts w:ascii="Book Antiqua" w:hAnsi="Book Antiqua"/>
          <w:sz w:val="24"/>
          <w:szCs w:val="24"/>
        </w:rPr>
        <w:t>BID</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2</w:t>
      </w:r>
      <w:r w:rsidR="004645FE"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6B0D881F" w14:textId="1BB2E057" w:rsidR="00C93F00" w:rsidRPr="009E427C" w:rsidRDefault="00C93F00" w:rsidP="00190C0B">
      <w:pPr>
        <w:spacing w:after="0" w:line="360" w:lineRule="auto"/>
        <w:ind w:firstLineChars="100" w:firstLine="240"/>
        <w:jc w:val="both"/>
        <w:rPr>
          <w:rFonts w:ascii="Book Antiqua" w:hAnsi="Book Antiqua"/>
          <w:sz w:val="24"/>
          <w:szCs w:val="24"/>
        </w:rPr>
      </w:pPr>
      <w:r w:rsidRPr="009E427C">
        <w:rPr>
          <w:rFonts w:ascii="Book Antiqua" w:hAnsi="Book Antiqua"/>
          <w:sz w:val="24"/>
          <w:szCs w:val="24"/>
        </w:rPr>
        <w:t xml:space="preserve">Patients </w:t>
      </w:r>
      <w:r w:rsidR="005B51D9" w:rsidRPr="009E427C">
        <w:rPr>
          <w:rFonts w:ascii="Book Antiqua" w:hAnsi="Book Antiqua"/>
          <w:sz w:val="24"/>
          <w:szCs w:val="24"/>
        </w:rPr>
        <w:t xml:space="preserve">enrolled </w:t>
      </w:r>
      <w:r w:rsidRPr="009E427C">
        <w:rPr>
          <w:rFonts w:ascii="Book Antiqua" w:hAnsi="Book Antiqua"/>
          <w:sz w:val="24"/>
          <w:szCs w:val="24"/>
        </w:rPr>
        <w:t xml:space="preserve">in the phase II pharmacokinetic study were given the option of continuing </w:t>
      </w:r>
      <w:r w:rsidR="007D2245" w:rsidRPr="009E427C">
        <w:rPr>
          <w:rFonts w:ascii="Book Antiqua" w:hAnsi="Book Antiqua"/>
          <w:sz w:val="24"/>
          <w:szCs w:val="24"/>
        </w:rPr>
        <w:t>extended release tacrolimus</w:t>
      </w:r>
      <w:r w:rsidRPr="009E427C">
        <w:rPr>
          <w:rFonts w:ascii="Book Antiqua" w:hAnsi="Book Antiqua"/>
          <w:sz w:val="24"/>
          <w:szCs w:val="24"/>
        </w:rPr>
        <w:t xml:space="preserve"> in a long-term extension study. Of the </w:t>
      </w:r>
      <w:r w:rsidR="005B51D9" w:rsidRPr="009E427C">
        <w:rPr>
          <w:rFonts w:ascii="Book Antiqua" w:hAnsi="Book Antiqua"/>
          <w:sz w:val="24"/>
          <w:szCs w:val="24"/>
        </w:rPr>
        <w:t xml:space="preserve">85 patients enrolled in the pharmacokinetic study, </w:t>
      </w:r>
      <w:r w:rsidRPr="009E427C">
        <w:rPr>
          <w:rFonts w:ascii="Book Antiqua" w:hAnsi="Book Antiqua"/>
          <w:sz w:val="24"/>
          <w:szCs w:val="24"/>
        </w:rPr>
        <w:t xml:space="preserve">79 patients </w:t>
      </w:r>
      <w:r w:rsidR="005B51D9" w:rsidRPr="009E427C">
        <w:rPr>
          <w:rFonts w:ascii="Book Antiqua" w:hAnsi="Book Antiqua"/>
          <w:sz w:val="24"/>
          <w:szCs w:val="24"/>
        </w:rPr>
        <w:t>chose to take part in the extension study that included heart, kidney, and liver transplant patients</w:t>
      </w:r>
      <w:r w:rsidRPr="009E427C">
        <w:rPr>
          <w:rFonts w:ascii="Book Antiqua" w:hAnsi="Book Antiqua"/>
          <w:sz w:val="24"/>
          <w:szCs w:val="24"/>
        </w:rPr>
        <w:t>. The primary endpoint of the study was patient and graft survival, with the secondary endpoints of BPAR and safety events. Survival at four years was 92.5% in the heart transplant arm, with graft survival rate being 92.2%. Patients free from BPAR w</w:t>
      </w:r>
      <w:r w:rsidR="00CA2E51" w:rsidRPr="009E427C">
        <w:rPr>
          <w:rFonts w:ascii="Book Antiqua" w:hAnsi="Book Antiqua"/>
          <w:sz w:val="24"/>
          <w:szCs w:val="24"/>
        </w:rPr>
        <w:t>ere</w:t>
      </w:r>
      <w:r w:rsidRPr="009E427C">
        <w:rPr>
          <w:rFonts w:ascii="Book Antiqua" w:hAnsi="Book Antiqua"/>
          <w:sz w:val="24"/>
          <w:szCs w:val="24"/>
        </w:rPr>
        <w:t xml:space="preserve"> 87% at four years. The primary reasons for study withdrawal were withdrawn consent or non-adherence to study schedule. Renal function as reflected by mean serum creatinine and creatinine clearance rates were stable across the four year study. Authors concluded that the adverse event rates seen in the study were similar to that of </w:t>
      </w:r>
      <w:r w:rsidR="00E016B3" w:rsidRPr="009E427C">
        <w:rPr>
          <w:rFonts w:ascii="Book Antiqua" w:hAnsi="Book Antiqua"/>
          <w:sz w:val="24"/>
          <w:szCs w:val="24"/>
        </w:rPr>
        <w:t xml:space="preserve">reported rates with </w:t>
      </w:r>
      <w:r w:rsidRPr="009E427C">
        <w:rPr>
          <w:rFonts w:ascii="Book Antiqua" w:hAnsi="Book Antiqua"/>
          <w:sz w:val="24"/>
          <w:szCs w:val="24"/>
        </w:rPr>
        <w:t xml:space="preserve">tacrolimus BID, suggesting that </w:t>
      </w:r>
      <w:r w:rsidR="007D2245" w:rsidRPr="009E427C">
        <w:rPr>
          <w:rFonts w:ascii="Book Antiqua" w:hAnsi="Book Antiqua"/>
          <w:sz w:val="24"/>
          <w:szCs w:val="24"/>
        </w:rPr>
        <w:t>extended release tacrolimus</w:t>
      </w:r>
      <w:r w:rsidRPr="009E427C">
        <w:rPr>
          <w:rFonts w:ascii="Book Antiqua" w:hAnsi="Book Antiqua"/>
          <w:sz w:val="24"/>
          <w:szCs w:val="24"/>
        </w:rPr>
        <w:t xml:space="preserve"> may be considered an alternative to </w:t>
      </w:r>
      <w:r w:rsidR="006B2BEC">
        <w:rPr>
          <w:rFonts w:ascii="Book Antiqua" w:hAnsi="Book Antiqua"/>
          <w:sz w:val="24"/>
          <w:szCs w:val="24"/>
        </w:rPr>
        <w:t xml:space="preserve">conventionally dosed </w:t>
      </w:r>
      <w:proofErr w:type="gramStart"/>
      <w:r w:rsidR="006B2BEC">
        <w:rPr>
          <w:rFonts w:ascii="Book Antiqua" w:hAnsi="Book Antiqua"/>
          <w:sz w:val="24"/>
          <w:szCs w:val="24"/>
        </w:rPr>
        <w:t>tacrolimus</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3</w:t>
      </w:r>
      <w:r w:rsidR="00AC17DE" w:rsidRPr="009E427C">
        <w:rPr>
          <w:rFonts w:ascii="Book Antiqua" w:hAnsi="Book Antiqua"/>
          <w:sz w:val="24"/>
          <w:szCs w:val="24"/>
          <w:vertAlign w:val="superscript"/>
        </w:rPr>
        <w:t>6</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012BF0C5" w14:textId="42901E28" w:rsidR="00C93F00"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As previously discussed in the article, package insert data for </w:t>
      </w:r>
      <w:r w:rsidR="00C62C78" w:rsidRPr="009E427C">
        <w:rPr>
          <w:rFonts w:ascii="Book Antiqua" w:hAnsi="Book Antiqua"/>
          <w:sz w:val="24"/>
          <w:szCs w:val="24"/>
        </w:rPr>
        <w:t>extended release tacrolimus</w:t>
      </w:r>
      <w:r w:rsidRPr="009E427C">
        <w:rPr>
          <w:rFonts w:ascii="Book Antiqua" w:hAnsi="Book Antiqua"/>
          <w:sz w:val="24"/>
          <w:szCs w:val="24"/>
        </w:rPr>
        <w:t xml:space="preserve"> suggests that patients be converted to the onc</w:t>
      </w:r>
      <w:r w:rsidR="00C62C78" w:rsidRPr="009E427C">
        <w:rPr>
          <w:rFonts w:ascii="Book Antiqua" w:hAnsi="Book Antiqua"/>
          <w:sz w:val="24"/>
          <w:szCs w:val="24"/>
        </w:rPr>
        <w:t>e daily product from tacrolimus-</w:t>
      </w:r>
      <w:r w:rsidRPr="009E427C">
        <w:rPr>
          <w:rFonts w:ascii="Book Antiqua" w:hAnsi="Book Antiqua"/>
          <w:sz w:val="24"/>
          <w:szCs w:val="24"/>
        </w:rPr>
        <w:t xml:space="preserve">BID in a 1:1 ratio based on total mg/day dosing. A study of 75 heart transplant recipients were converted to </w:t>
      </w:r>
      <w:r w:rsidR="00C62C78" w:rsidRPr="009E427C">
        <w:rPr>
          <w:rFonts w:ascii="Book Antiqua" w:hAnsi="Book Antiqua"/>
          <w:sz w:val="24"/>
          <w:szCs w:val="24"/>
        </w:rPr>
        <w:t xml:space="preserve">extended release tacrolimus </w:t>
      </w:r>
      <w:r w:rsidRPr="009E427C">
        <w:rPr>
          <w:rFonts w:ascii="Book Antiqua" w:hAnsi="Book Antiqua"/>
          <w:sz w:val="24"/>
          <w:szCs w:val="24"/>
        </w:rPr>
        <w:t>at a 25% inc</w:t>
      </w:r>
      <w:r w:rsidR="00C62C78" w:rsidRPr="009E427C">
        <w:rPr>
          <w:rFonts w:ascii="Book Antiqua" w:hAnsi="Book Antiqua"/>
          <w:sz w:val="24"/>
          <w:szCs w:val="24"/>
        </w:rPr>
        <w:t>reased dose from the tacrolimus-</w:t>
      </w:r>
      <w:r w:rsidRPr="009E427C">
        <w:rPr>
          <w:rFonts w:ascii="Book Antiqua" w:hAnsi="Book Antiqua"/>
          <w:sz w:val="24"/>
          <w:szCs w:val="24"/>
        </w:rPr>
        <w:t xml:space="preserve">BID total daily dose. The retrospective analysis followed patients for </w:t>
      </w:r>
      <w:r w:rsidR="00970505">
        <w:rPr>
          <w:rFonts w:ascii="Book Antiqua" w:hAnsi="Book Antiqua" w:hint="eastAsia"/>
          <w:sz w:val="24"/>
          <w:szCs w:val="24"/>
          <w:lang w:eastAsia="zh-CN"/>
        </w:rPr>
        <w:t>3</w:t>
      </w:r>
      <w:r w:rsidRPr="009E427C">
        <w:rPr>
          <w:rFonts w:ascii="Book Antiqua" w:hAnsi="Book Antiqua"/>
          <w:sz w:val="24"/>
          <w:szCs w:val="24"/>
        </w:rPr>
        <w:t xml:space="preserve"> </w:t>
      </w:r>
      <w:proofErr w:type="spellStart"/>
      <w:r w:rsidRPr="009E427C">
        <w:rPr>
          <w:rFonts w:ascii="Book Antiqua" w:hAnsi="Book Antiqua"/>
          <w:sz w:val="24"/>
          <w:szCs w:val="24"/>
        </w:rPr>
        <w:t>mo</w:t>
      </w:r>
      <w:proofErr w:type="spellEnd"/>
      <w:r w:rsidRPr="009E427C">
        <w:rPr>
          <w:rFonts w:ascii="Book Antiqua" w:hAnsi="Book Antiqua"/>
          <w:sz w:val="24"/>
          <w:szCs w:val="24"/>
        </w:rPr>
        <w:t xml:space="preserve"> and included patients that were 61.7 </w:t>
      </w:r>
      <w:r w:rsidRPr="009E427C">
        <w:rPr>
          <w:rFonts w:ascii="Book Antiqua" w:hAnsi="Book Antiqua"/>
          <w:sz w:val="24"/>
          <w:szCs w:val="24"/>
        </w:rPr>
        <w:sym w:font="Symbol" w:char="F0B1"/>
      </w:r>
      <w:r w:rsidRPr="009E427C">
        <w:rPr>
          <w:rFonts w:ascii="Book Antiqua" w:hAnsi="Book Antiqua"/>
          <w:sz w:val="24"/>
          <w:szCs w:val="24"/>
        </w:rPr>
        <w:t xml:space="preserve"> 48.5 </w:t>
      </w:r>
      <w:proofErr w:type="spellStart"/>
      <w:r w:rsidRPr="009E427C">
        <w:rPr>
          <w:rFonts w:ascii="Book Antiqua" w:hAnsi="Book Antiqua"/>
          <w:sz w:val="24"/>
          <w:szCs w:val="24"/>
        </w:rPr>
        <w:t>mo</w:t>
      </w:r>
      <w:proofErr w:type="spellEnd"/>
      <w:r w:rsidRPr="009E427C">
        <w:rPr>
          <w:rFonts w:ascii="Book Antiqua" w:hAnsi="Book Antiqua"/>
          <w:sz w:val="24"/>
          <w:szCs w:val="24"/>
        </w:rPr>
        <w:t xml:space="preserve"> from transplant, with therapeutic troughs defined as 10</w:t>
      </w:r>
      <w:r w:rsidR="007D793B">
        <w:rPr>
          <w:rFonts w:ascii="Book Antiqua" w:hAnsi="Book Antiqua" w:hint="eastAsia"/>
          <w:sz w:val="24"/>
          <w:szCs w:val="24"/>
          <w:lang w:eastAsia="zh-CN"/>
        </w:rPr>
        <w:t>-</w:t>
      </w:r>
      <w:r w:rsidRPr="009E427C">
        <w:rPr>
          <w:rFonts w:ascii="Book Antiqua" w:hAnsi="Book Antiqua"/>
          <w:sz w:val="24"/>
          <w:szCs w:val="24"/>
        </w:rPr>
        <w:t xml:space="preserve">15 ng/mL within the first year following heart </w:t>
      </w:r>
      <w:r w:rsidRPr="009E427C">
        <w:rPr>
          <w:rFonts w:ascii="Book Antiqua" w:hAnsi="Book Antiqua"/>
          <w:sz w:val="24"/>
          <w:szCs w:val="24"/>
        </w:rPr>
        <w:lastRenderedPageBreak/>
        <w:t>transplant, and 5</w:t>
      </w:r>
      <w:r w:rsidR="00970505">
        <w:rPr>
          <w:rFonts w:ascii="Book Antiqua" w:hAnsi="Book Antiqua" w:hint="eastAsia"/>
          <w:sz w:val="24"/>
          <w:szCs w:val="24"/>
          <w:lang w:eastAsia="zh-CN"/>
        </w:rPr>
        <w:t>-</w:t>
      </w:r>
      <w:r w:rsidRPr="009E427C">
        <w:rPr>
          <w:rFonts w:ascii="Book Antiqua" w:hAnsi="Book Antiqua"/>
          <w:sz w:val="24"/>
          <w:szCs w:val="24"/>
        </w:rPr>
        <w:t>15 ng/mL thereafter.</w:t>
      </w:r>
      <w:r w:rsidR="00074195">
        <w:rPr>
          <w:rFonts w:ascii="Book Antiqua" w:hAnsi="Book Antiqua"/>
          <w:sz w:val="24"/>
          <w:szCs w:val="24"/>
        </w:rPr>
        <w:t xml:space="preserve"> </w:t>
      </w:r>
      <w:r w:rsidRPr="009E427C">
        <w:rPr>
          <w:rFonts w:ascii="Book Antiqua" w:hAnsi="Book Antiqua"/>
          <w:sz w:val="24"/>
          <w:szCs w:val="24"/>
        </w:rPr>
        <w:t xml:space="preserve">Two of the 75 patients (2.7%) failed to achieve therapeutic levels despite dose increases, and therefore discontinued </w:t>
      </w:r>
      <w:r w:rsidR="00C62C78" w:rsidRPr="009E427C">
        <w:rPr>
          <w:rFonts w:ascii="Book Antiqua" w:hAnsi="Book Antiqua"/>
          <w:sz w:val="24"/>
          <w:szCs w:val="24"/>
        </w:rPr>
        <w:t>extended release tacrolimus</w:t>
      </w:r>
      <w:r w:rsidRPr="009E427C">
        <w:rPr>
          <w:rFonts w:ascii="Book Antiqua" w:hAnsi="Book Antiqua"/>
          <w:sz w:val="24"/>
          <w:szCs w:val="24"/>
        </w:rPr>
        <w:t>. Twenty-three patients (31%) required no dose adjustment following conversion, and 51 patients (68%) required one or two dose adjustments. Three patients experienced BPAR during the study period without hemodynamic compromise. Although the authors state that there were no differences in reports of glycemi</w:t>
      </w:r>
      <w:r w:rsidR="00915EEA" w:rsidRPr="009E427C">
        <w:rPr>
          <w:rFonts w:ascii="Book Antiqua" w:hAnsi="Book Antiqua"/>
          <w:sz w:val="24"/>
          <w:szCs w:val="24"/>
        </w:rPr>
        <w:t xml:space="preserve">c </w:t>
      </w:r>
      <w:r w:rsidRPr="009E427C">
        <w:rPr>
          <w:rFonts w:ascii="Book Antiqua" w:hAnsi="Book Antiqua"/>
          <w:sz w:val="24"/>
          <w:szCs w:val="24"/>
        </w:rPr>
        <w:t>control, serum creatinine, lipids, or blood pressure from pre-conversion values, these rates and values are not included in the publication. Th</w:t>
      </w:r>
      <w:r w:rsidR="00C62C78" w:rsidRPr="009E427C">
        <w:rPr>
          <w:rFonts w:ascii="Book Antiqua" w:hAnsi="Book Antiqua"/>
          <w:sz w:val="24"/>
          <w:szCs w:val="24"/>
        </w:rPr>
        <w:t xml:space="preserve">is </w:t>
      </w:r>
      <w:r w:rsidRPr="009E427C">
        <w:rPr>
          <w:rFonts w:ascii="Book Antiqua" w:hAnsi="Book Antiqua"/>
          <w:sz w:val="24"/>
          <w:szCs w:val="24"/>
        </w:rPr>
        <w:t>suggests an alternative approach to conversion from conventionally dose</w:t>
      </w:r>
      <w:r w:rsidR="00C62C78" w:rsidRPr="009E427C">
        <w:rPr>
          <w:rFonts w:ascii="Book Antiqua" w:hAnsi="Book Antiqua"/>
          <w:sz w:val="24"/>
          <w:szCs w:val="24"/>
        </w:rPr>
        <w:t>d</w:t>
      </w:r>
      <w:r w:rsidRPr="009E427C">
        <w:rPr>
          <w:rFonts w:ascii="Book Antiqua" w:hAnsi="Book Antiqua"/>
          <w:sz w:val="24"/>
          <w:szCs w:val="24"/>
        </w:rPr>
        <w:t xml:space="preserve"> tacrolimus</w:t>
      </w:r>
      <w:r w:rsidR="00C62C78" w:rsidRPr="009E427C">
        <w:rPr>
          <w:rFonts w:ascii="Book Antiqua" w:hAnsi="Book Antiqua"/>
          <w:sz w:val="24"/>
          <w:szCs w:val="24"/>
        </w:rPr>
        <w:t>-BID</w:t>
      </w:r>
      <w:r w:rsidRPr="009E427C">
        <w:rPr>
          <w:rFonts w:ascii="Book Antiqua" w:hAnsi="Book Antiqua"/>
          <w:sz w:val="24"/>
          <w:szCs w:val="24"/>
        </w:rPr>
        <w:t xml:space="preserve"> to </w:t>
      </w:r>
      <w:r w:rsidR="00C62C78" w:rsidRPr="009E427C">
        <w:rPr>
          <w:rFonts w:ascii="Book Antiqua" w:hAnsi="Book Antiqua"/>
          <w:sz w:val="24"/>
          <w:szCs w:val="24"/>
        </w:rPr>
        <w:t xml:space="preserve">extended release tacrolimus </w:t>
      </w:r>
      <w:r w:rsidRPr="009E427C">
        <w:rPr>
          <w:rFonts w:ascii="Book Antiqua" w:hAnsi="Book Antiqua"/>
          <w:sz w:val="24"/>
          <w:szCs w:val="24"/>
        </w:rPr>
        <w:t>in heart transplant recipients. The need for close monitoring of trough levels following conversion is also highlighted as 2.7% of patients were unable to achieve thera</w:t>
      </w:r>
      <w:r w:rsidR="006B2BEC">
        <w:rPr>
          <w:rFonts w:ascii="Book Antiqua" w:hAnsi="Book Antiqua"/>
          <w:sz w:val="24"/>
          <w:szCs w:val="24"/>
        </w:rPr>
        <w:t xml:space="preserve">peutic </w:t>
      </w:r>
      <w:proofErr w:type="gramStart"/>
      <w:r w:rsidR="006B2BEC">
        <w:rPr>
          <w:rFonts w:ascii="Book Antiqua" w:hAnsi="Book Antiqua"/>
          <w:sz w:val="24"/>
          <w:szCs w:val="24"/>
        </w:rPr>
        <w:t>levels</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3</w:t>
      </w:r>
      <w:r w:rsidR="00AC17DE" w:rsidRPr="009E427C">
        <w:rPr>
          <w:rFonts w:ascii="Book Antiqua" w:hAnsi="Book Antiqua"/>
          <w:sz w:val="24"/>
          <w:szCs w:val="24"/>
          <w:vertAlign w:val="superscript"/>
        </w:rPr>
        <w:t>8</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0DC07170" w14:textId="79EB40E3" w:rsidR="00C93F00"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More recently, two studies evaluated the use of </w:t>
      </w:r>
      <w:r w:rsidR="00804C40" w:rsidRPr="009E427C">
        <w:rPr>
          <w:rFonts w:ascii="Book Antiqua" w:hAnsi="Book Antiqua"/>
          <w:sz w:val="24"/>
          <w:szCs w:val="24"/>
        </w:rPr>
        <w:t>extended release tacrolimus in comparison to tacrolimus-</w:t>
      </w:r>
      <w:r w:rsidRPr="009E427C">
        <w:rPr>
          <w:rFonts w:ascii="Book Antiqua" w:hAnsi="Book Antiqua"/>
          <w:sz w:val="24"/>
          <w:szCs w:val="24"/>
        </w:rPr>
        <w:t xml:space="preserve">BID in </w:t>
      </w:r>
      <w:r w:rsidRPr="009E427C">
        <w:rPr>
          <w:rFonts w:ascii="Book Antiqua" w:hAnsi="Book Antiqua"/>
          <w:i/>
          <w:sz w:val="24"/>
          <w:szCs w:val="24"/>
        </w:rPr>
        <w:t>de novo</w:t>
      </w:r>
      <w:r w:rsidRPr="009E427C">
        <w:rPr>
          <w:rFonts w:ascii="Book Antiqua" w:hAnsi="Book Antiqua"/>
          <w:sz w:val="24"/>
          <w:szCs w:val="24"/>
        </w:rPr>
        <w:t xml:space="preserve"> heart transplant patients. The first followed 11 patients converted to </w:t>
      </w:r>
      <w:r w:rsidR="00804C40" w:rsidRPr="009E427C">
        <w:rPr>
          <w:rFonts w:ascii="Book Antiqua" w:hAnsi="Book Antiqua"/>
          <w:sz w:val="24"/>
          <w:szCs w:val="24"/>
        </w:rPr>
        <w:t xml:space="preserve">extended release tacrolimus </w:t>
      </w:r>
      <w:r w:rsidRPr="009E427C">
        <w:rPr>
          <w:rFonts w:ascii="Book Antiqua" w:hAnsi="Book Antiqua"/>
          <w:sz w:val="24"/>
          <w:szCs w:val="24"/>
        </w:rPr>
        <w:t>on post</w:t>
      </w:r>
      <w:r w:rsidR="00804C40" w:rsidRPr="009E427C">
        <w:rPr>
          <w:rFonts w:ascii="Book Antiqua" w:hAnsi="Book Antiqua"/>
          <w:sz w:val="24"/>
          <w:szCs w:val="24"/>
        </w:rPr>
        <w:t>-</w:t>
      </w:r>
      <w:r w:rsidRPr="009E427C">
        <w:rPr>
          <w:rFonts w:ascii="Book Antiqua" w:hAnsi="Book Antiqua"/>
          <w:sz w:val="24"/>
          <w:szCs w:val="24"/>
        </w:rPr>
        <w:t xml:space="preserve">operative day </w:t>
      </w:r>
      <w:r w:rsidR="00804C40" w:rsidRPr="009E427C">
        <w:rPr>
          <w:rFonts w:ascii="Book Antiqua" w:hAnsi="Book Antiqua"/>
          <w:sz w:val="24"/>
          <w:szCs w:val="24"/>
        </w:rPr>
        <w:t xml:space="preserve">14 from </w:t>
      </w:r>
      <w:proofErr w:type="spellStart"/>
      <w:r w:rsidR="00804C40" w:rsidRPr="009E427C">
        <w:rPr>
          <w:rFonts w:ascii="Book Antiqua" w:hAnsi="Book Antiqua"/>
          <w:sz w:val="24"/>
          <w:szCs w:val="24"/>
        </w:rPr>
        <w:t>CsA</w:t>
      </w:r>
      <w:proofErr w:type="spellEnd"/>
      <w:r w:rsidRPr="009E427C">
        <w:rPr>
          <w:rFonts w:ascii="Book Antiqua" w:hAnsi="Book Antiqua"/>
          <w:sz w:val="24"/>
          <w:szCs w:val="24"/>
        </w:rPr>
        <w:t xml:space="preserve">, with an initial </w:t>
      </w:r>
      <w:r w:rsidR="00804C40" w:rsidRPr="009E427C">
        <w:rPr>
          <w:rFonts w:ascii="Book Antiqua" w:hAnsi="Book Antiqua"/>
          <w:sz w:val="24"/>
          <w:szCs w:val="24"/>
        </w:rPr>
        <w:t>extended release tacrolimus</w:t>
      </w:r>
      <w:r w:rsidR="009D1075">
        <w:rPr>
          <w:rFonts w:ascii="Book Antiqua" w:hAnsi="Book Antiqua"/>
          <w:sz w:val="24"/>
          <w:szCs w:val="24"/>
        </w:rPr>
        <w:t xml:space="preserve"> dose of 6 mg/d</w:t>
      </w:r>
      <w:r w:rsidRPr="009E427C">
        <w:rPr>
          <w:rFonts w:ascii="Book Antiqua" w:hAnsi="Book Antiqua"/>
          <w:sz w:val="24"/>
          <w:szCs w:val="24"/>
        </w:rPr>
        <w:t>. These patients were case matched to 11 patients managed with tacrolimus</w:t>
      </w:r>
      <w:r w:rsidR="00804C40" w:rsidRPr="009E427C">
        <w:rPr>
          <w:rFonts w:ascii="Book Antiqua" w:hAnsi="Book Antiqua"/>
          <w:sz w:val="24"/>
          <w:szCs w:val="24"/>
        </w:rPr>
        <w:t xml:space="preserve"> BID at an initial dose of 3 mg-</w:t>
      </w:r>
      <w:r w:rsidRPr="009E427C">
        <w:rPr>
          <w:rFonts w:ascii="Book Antiqua" w:hAnsi="Book Antiqua"/>
          <w:sz w:val="24"/>
          <w:szCs w:val="24"/>
        </w:rPr>
        <w:t>BID. Target tacrolimus troughs in both groups were 5</w:t>
      </w:r>
      <w:r w:rsidR="009D1075">
        <w:rPr>
          <w:rFonts w:ascii="Book Antiqua" w:hAnsi="Book Antiqua" w:hint="eastAsia"/>
          <w:sz w:val="24"/>
          <w:szCs w:val="24"/>
          <w:lang w:eastAsia="zh-CN"/>
        </w:rPr>
        <w:t>-</w:t>
      </w:r>
      <w:r w:rsidRPr="009E427C">
        <w:rPr>
          <w:rFonts w:ascii="Book Antiqua" w:hAnsi="Book Antiqua"/>
          <w:sz w:val="24"/>
          <w:szCs w:val="24"/>
        </w:rPr>
        <w:t xml:space="preserve">8 </w:t>
      </w:r>
      <w:proofErr w:type="spellStart"/>
      <w:r w:rsidRPr="009E427C">
        <w:rPr>
          <w:rFonts w:ascii="Book Antiqua" w:hAnsi="Book Antiqua"/>
          <w:sz w:val="24"/>
          <w:szCs w:val="24"/>
        </w:rPr>
        <w:t>ng</w:t>
      </w:r>
      <w:proofErr w:type="spellEnd"/>
      <w:r w:rsidRPr="009E427C">
        <w:rPr>
          <w:rFonts w:ascii="Book Antiqua" w:hAnsi="Book Antiqua"/>
          <w:sz w:val="24"/>
          <w:szCs w:val="24"/>
        </w:rPr>
        <w:t>/</w:t>
      </w:r>
      <w:proofErr w:type="spellStart"/>
      <w:r w:rsidRPr="009E427C">
        <w:rPr>
          <w:rFonts w:ascii="Book Antiqua" w:hAnsi="Book Antiqua"/>
          <w:sz w:val="24"/>
          <w:szCs w:val="24"/>
        </w:rPr>
        <w:t>mL.</w:t>
      </w:r>
      <w:proofErr w:type="spellEnd"/>
      <w:r w:rsidRPr="009E427C">
        <w:rPr>
          <w:rFonts w:ascii="Book Antiqua" w:hAnsi="Book Antiqua"/>
          <w:sz w:val="24"/>
          <w:szCs w:val="24"/>
        </w:rPr>
        <w:t xml:space="preserve"> Patients were followed for 36 </w:t>
      </w:r>
      <w:proofErr w:type="spellStart"/>
      <w:r w:rsidRPr="009E427C">
        <w:rPr>
          <w:rFonts w:ascii="Book Antiqua" w:hAnsi="Book Antiqua"/>
          <w:sz w:val="24"/>
          <w:szCs w:val="24"/>
        </w:rPr>
        <w:t>mo</w:t>
      </w:r>
      <w:proofErr w:type="spellEnd"/>
      <w:r w:rsidRPr="009E427C">
        <w:rPr>
          <w:rFonts w:ascii="Book Antiqua" w:hAnsi="Book Antiqua"/>
          <w:sz w:val="24"/>
          <w:szCs w:val="24"/>
        </w:rPr>
        <w:t xml:space="preserve"> with a primary </w:t>
      </w:r>
      <w:r w:rsidR="00E016B3" w:rsidRPr="009E427C">
        <w:rPr>
          <w:rFonts w:ascii="Book Antiqua" w:hAnsi="Book Antiqua"/>
          <w:sz w:val="24"/>
          <w:szCs w:val="24"/>
        </w:rPr>
        <w:t xml:space="preserve">composite </w:t>
      </w:r>
      <w:r w:rsidRPr="009E427C">
        <w:rPr>
          <w:rFonts w:ascii="Book Antiqua" w:hAnsi="Book Antiqua"/>
          <w:sz w:val="24"/>
          <w:szCs w:val="24"/>
        </w:rPr>
        <w:t xml:space="preserve">endpoint of death, graft loss, and drug discontinuation, which occurred less often in the </w:t>
      </w:r>
      <w:r w:rsidR="00804C40" w:rsidRPr="009E427C">
        <w:rPr>
          <w:rFonts w:ascii="Book Antiqua" w:hAnsi="Book Antiqua"/>
          <w:sz w:val="24"/>
          <w:szCs w:val="24"/>
        </w:rPr>
        <w:t xml:space="preserve">extended release tacrolimus arm (18.2% </w:t>
      </w:r>
      <w:r w:rsidR="00451891" w:rsidRPr="00451891">
        <w:rPr>
          <w:rFonts w:ascii="Book Antiqua" w:hAnsi="Book Antiqua"/>
          <w:i/>
          <w:sz w:val="24"/>
          <w:szCs w:val="24"/>
        </w:rPr>
        <w:t>vs</w:t>
      </w:r>
      <w:r w:rsidR="00804C40" w:rsidRPr="009E427C">
        <w:rPr>
          <w:rFonts w:ascii="Book Antiqua" w:hAnsi="Book Antiqua"/>
          <w:sz w:val="24"/>
          <w:szCs w:val="24"/>
        </w:rPr>
        <w:t xml:space="preserve"> 45.54%,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00804C40" w:rsidRPr="009E427C">
        <w:rPr>
          <w:rFonts w:ascii="Book Antiqua" w:hAnsi="Book Antiqua"/>
          <w:sz w:val="24"/>
          <w:szCs w:val="24"/>
        </w:rPr>
        <w:t xml:space="preserve"> </w:t>
      </w:r>
      <w:r w:rsidRPr="009E427C">
        <w:rPr>
          <w:rFonts w:ascii="Book Antiqua" w:hAnsi="Book Antiqua"/>
          <w:sz w:val="24"/>
          <w:szCs w:val="24"/>
        </w:rPr>
        <w:t xml:space="preserve">0.277). Survival at three years was greater for </w:t>
      </w:r>
      <w:r w:rsidR="00804C40" w:rsidRPr="009E427C">
        <w:rPr>
          <w:rFonts w:ascii="Book Antiqua" w:hAnsi="Book Antiqua"/>
          <w:sz w:val="24"/>
          <w:szCs w:val="24"/>
        </w:rPr>
        <w:t xml:space="preserve">extended release tacrolimus (90% </w:t>
      </w:r>
      <w:r w:rsidR="00451891" w:rsidRPr="00451891">
        <w:rPr>
          <w:rFonts w:ascii="Book Antiqua" w:hAnsi="Book Antiqua"/>
          <w:i/>
          <w:sz w:val="24"/>
          <w:szCs w:val="24"/>
        </w:rPr>
        <w:t>vs</w:t>
      </w:r>
      <w:r w:rsidR="00804C40" w:rsidRPr="009E427C">
        <w:rPr>
          <w:rFonts w:ascii="Book Antiqua" w:hAnsi="Book Antiqua"/>
          <w:sz w:val="24"/>
          <w:szCs w:val="24"/>
        </w:rPr>
        <w:t xml:space="preserve"> 77.9%,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00804C40" w:rsidRPr="009E427C">
        <w:rPr>
          <w:rFonts w:ascii="Book Antiqua" w:hAnsi="Book Antiqua"/>
          <w:sz w:val="24"/>
          <w:szCs w:val="24"/>
        </w:rPr>
        <w:t xml:space="preserve"> </w:t>
      </w:r>
      <w:r w:rsidRPr="009E427C">
        <w:rPr>
          <w:rFonts w:ascii="Book Antiqua" w:hAnsi="Book Antiqua"/>
          <w:sz w:val="24"/>
          <w:szCs w:val="24"/>
        </w:rPr>
        <w:t xml:space="preserve">0.291) and more patients remained on the prescribed therapy in the </w:t>
      </w:r>
      <w:r w:rsidR="00804C40" w:rsidRPr="009E427C">
        <w:rPr>
          <w:rFonts w:ascii="Book Antiqua" w:hAnsi="Book Antiqua"/>
          <w:sz w:val="24"/>
          <w:szCs w:val="24"/>
        </w:rPr>
        <w:t xml:space="preserve">extended release tacrolimus arm (90.9% </w:t>
      </w:r>
      <w:r w:rsidR="00451891" w:rsidRPr="00451891">
        <w:rPr>
          <w:rFonts w:ascii="Book Antiqua" w:hAnsi="Book Antiqua"/>
          <w:i/>
          <w:sz w:val="24"/>
          <w:szCs w:val="24"/>
        </w:rPr>
        <w:t>vs</w:t>
      </w:r>
      <w:r w:rsidR="00804C40" w:rsidRPr="009E427C">
        <w:rPr>
          <w:rFonts w:ascii="Book Antiqua" w:hAnsi="Book Antiqua"/>
          <w:sz w:val="24"/>
          <w:szCs w:val="24"/>
        </w:rPr>
        <w:t xml:space="preserve"> 77.9%,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00804C40" w:rsidRPr="009E427C">
        <w:rPr>
          <w:rFonts w:ascii="Book Antiqua" w:hAnsi="Book Antiqua"/>
          <w:sz w:val="24"/>
          <w:szCs w:val="24"/>
        </w:rPr>
        <w:t xml:space="preserve"> </w:t>
      </w:r>
      <w:r w:rsidRPr="009E427C">
        <w:rPr>
          <w:rFonts w:ascii="Book Antiqua" w:hAnsi="Book Antiqua"/>
          <w:sz w:val="24"/>
          <w:szCs w:val="24"/>
        </w:rPr>
        <w:t xml:space="preserve">0.533). The occurrence of secondary endpoints including BPAR, malignancy, infection, and safety events did not differ between groups. The total daily dose required to achieve therapeutic trough levels was higher in the </w:t>
      </w:r>
      <w:r w:rsidR="00804C40" w:rsidRPr="009E427C">
        <w:rPr>
          <w:rFonts w:ascii="Book Antiqua" w:hAnsi="Book Antiqua"/>
          <w:sz w:val="24"/>
          <w:szCs w:val="24"/>
        </w:rPr>
        <w:t xml:space="preserve">extended release tacrolimus </w:t>
      </w:r>
      <w:r w:rsidRPr="009E427C">
        <w:rPr>
          <w:rFonts w:ascii="Book Antiqua" w:hAnsi="Book Antiqua"/>
          <w:sz w:val="24"/>
          <w:szCs w:val="24"/>
        </w:rPr>
        <w:t xml:space="preserve">arm (numeric values not reported). </w:t>
      </w:r>
      <w:r w:rsidR="00BF0F2B" w:rsidRPr="009E427C">
        <w:rPr>
          <w:rFonts w:ascii="Book Antiqua" w:hAnsi="Book Antiqua"/>
          <w:sz w:val="24"/>
          <w:szCs w:val="24"/>
        </w:rPr>
        <w:t>A</w:t>
      </w:r>
      <w:r w:rsidRPr="009E427C">
        <w:rPr>
          <w:rFonts w:ascii="Book Antiqua" w:hAnsi="Book Antiqua"/>
          <w:sz w:val="24"/>
          <w:szCs w:val="24"/>
        </w:rPr>
        <w:t>lthough the safety and efficacy from th</w:t>
      </w:r>
      <w:r w:rsidR="00BF0F2B" w:rsidRPr="009E427C">
        <w:rPr>
          <w:rFonts w:ascii="Book Antiqua" w:hAnsi="Book Antiqua"/>
          <w:sz w:val="24"/>
          <w:szCs w:val="24"/>
        </w:rPr>
        <w:t>is</w:t>
      </w:r>
      <w:r w:rsidRPr="009E427C">
        <w:rPr>
          <w:rFonts w:ascii="Book Antiqua" w:hAnsi="Book Antiqua"/>
          <w:sz w:val="24"/>
          <w:szCs w:val="24"/>
        </w:rPr>
        <w:t xml:space="preserve"> small study suggest the feasibility of </w:t>
      </w:r>
      <w:r w:rsidR="00804C40" w:rsidRPr="009E427C">
        <w:rPr>
          <w:rFonts w:ascii="Book Antiqua" w:hAnsi="Book Antiqua"/>
          <w:sz w:val="24"/>
          <w:szCs w:val="24"/>
        </w:rPr>
        <w:t xml:space="preserve">extended release tacrolimus </w:t>
      </w:r>
      <w:r w:rsidRPr="009E427C">
        <w:rPr>
          <w:rFonts w:ascii="Book Antiqua" w:hAnsi="Book Antiqua"/>
          <w:sz w:val="24"/>
          <w:szCs w:val="24"/>
        </w:rPr>
        <w:t xml:space="preserve">in </w:t>
      </w:r>
      <w:r w:rsidRPr="009E427C">
        <w:rPr>
          <w:rFonts w:ascii="Book Antiqua" w:hAnsi="Book Antiqua"/>
          <w:i/>
          <w:sz w:val="24"/>
          <w:szCs w:val="24"/>
        </w:rPr>
        <w:t>de novo</w:t>
      </w:r>
      <w:r w:rsidRPr="009E427C">
        <w:rPr>
          <w:rFonts w:ascii="Book Antiqua" w:hAnsi="Book Antiqua"/>
          <w:sz w:val="24"/>
          <w:szCs w:val="24"/>
        </w:rPr>
        <w:t xml:space="preserve"> heart transplant recipients, the dosing strategies used to manage </w:t>
      </w:r>
      <w:r w:rsidRPr="009E427C">
        <w:rPr>
          <w:rFonts w:ascii="Book Antiqua" w:hAnsi="Book Antiqua"/>
          <w:sz w:val="24"/>
          <w:szCs w:val="24"/>
        </w:rPr>
        <w:lastRenderedPageBreak/>
        <w:t>these patients in order to achieve therapeutic trough levels</w:t>
      </w:r>
      <w:r w:rsidR="00BF0F2B" w:rsidRPr="009E427C">
        <w:rPr>
          <w:rFonts w:ascii="Book Antiqua" w:hAnsi="Book Antiqua"/>
          <w:sz w:val="24"/>
          <w:szCs w:val="24"/>
        </w:rPr>
        <w:t xml:space="preserve"> may</w:t>
      </w:r>
      <w:r w:rsidRPr="009E427C">
        <w:rPr>
          <w:rFonts w:ascii="Book Antiqua" w:hAnsi="Book Antiqua"/>
          <w:sz w:val="24"/>
          <w:szCs w:val="24"/>
        </w:rPr>
        <w:t xml:space="preserve"> require further </w:t>
      </w:r>
      <w:proofErr w:type="gramStart"/>
      <w:r w:rsidRPr="009E427C">
        <w:rPr>
          <w:rFonts w:ascii="Book Antiqua" w:hAnsi="Book Antiqua"/>
          <w:sz w:val="24"/>
          <w:szCs w:val="24"/>
        </w:rPr>
        <w:t>i</w:t>
      </w:r>
      <w:r w:rsidR="006B2BEC">
        <w:rPr>
          <w:rFonts w:ascii="Book Antiqua" w:hAnsi="Book Antiqua"/>
          <w:sz w:val="24"/>
          <w:szCs w:val="24"/>
        </w:rPr>
        <w:t>nvestigation</w:t>
      </w:r>
      <w:r w:rsidR="005E2E7E" w:rsidRPr="009E427C">
        <w:rPr>
          <w:rFonts w:ascii="Book Antiqua" w:hAnsi="Book Antiqua"/>
          <w:sz w:val="24"/>
          <w:szCs w:val="24"/>
          <w:vertAlign w:val="superscript"/>
        </w:rPr>
        <w:t>[</w:t>
      </w:r>
      <w:proofErr w:type="gramEnd"/>
      <w:r w:rsidR="00AC17DE" w:rsidRPr="009E427C">
        <w:rPr>
          <w:rFonts w:ascii="Book Antiqua" w:hAnsi="Book Antiqua"/>
          <w:sz w:val="24"/>
          <w:szCs w:val="24"/>
          <w:vertAlign w:val="superscript"/>
        </w:rPr>
        <w:t>39</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35584B73" w14:textId="18F60027" w:rsidR="0045191D"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The second study evaluating </w:t>
      </w:r>
      <w:r w:rsidR="008C50DC" w:rsidRPr="009E427C">
        <w:rPr>
          <w:rFonts w:ascii="Book Antiqua" w:hAnsi="Book Antiqua"/>
          <w:sz w:val="24"/>
          <w:szCs w:val="24"/>
        </w:rPr>
        <w:t xml:space="preserve">extended release tacrolimus </w:t>
      </w:r>
      <w:r w:rsidRPr="009E427C">
        <w:rPr>
          <w:rFonts w:ascii="Book Antiqua" w:hAnsi="Book Antiqua"/>
          <w:sz w:val="24"/>
          <w:szCs w:val="24"/>
        </w:rPr>
        <w:t xml:space="preserve">in </w:t>
      </w:r>
      <w:r w:rsidRPr="009E427C">
        <w:rPr>
          <w:rFonts w:ascii="Book Antiqua" w:hAnsi="Book Antiqua"/>
          <w:i/>
          <w:sz w:val="24"/>
          <w:szCs w:val="24"/>
        </w:rPr>
        <w:t>de novo</w:t>
      </w:r>
      <w:r w:rsidRPr="009E427C">
        <w:rPr>
          <w:rFonts w:ascii="Book Antiqua" w:hAnsi="Book Antiqua"/>
          <w:sz w:val="24"/>
          <w:szCs w:val="24"/>
        </w:rPr>
        <w:t xml:space="preserve"> heart transplants </w:t>
      </w:r>
      <w:r w:rsidR="00E016B3" w:rsidRPr="009E427C">
        <w:rPr>
          <w:rFonts w:ascii="Book Antiqua" w:hAnsi="Book Antiqua"/>
          <w:sz w:val="24"/>
          <w:szCs w:val="24"/>
        </w:rPr>
        <w:t xml:space="preserve">randomized </w:t>
      </w:r>
      <w:r w:rsidRPr="009E427C">
        <w:rPr>
          <w:rFonts w:ascii="Book Antiqua" w:hAnsi="Book Antiqua"/>
          <w:sz w:val="24"/>
          <w:szCs w:val="24"/>
        </w:rPr>
        <w:t xml:space="preserve">19 patients, </w:t>
      </w:r>
      <w:r w:rsidR="008C50DC" w:rsidRPr="009E427C">
        <w:rPr>
          <w:rFonts w:ascii="Book Antiqua" w:hAnsi="Book Antiqua"/>
          <w:sz w:val="24"/>
          <w:szCs w:val="24"/>
        </w:rPr>
        <w:t>8</w:t>
      </w:r>
      <w:r w:rsidRPr="009E427C">
        <w:rPr>
          <w:rFonts w:ascii="Book Antiqua" w:hAnsi="Book Antiqua"/>
          <w:sz w:val="24"/>
          <w:szCs w:val="24"/>
        </w:rPr>
        <w:t xml:space="preserve"> </w:t>
      </w:r>
      <w:r w:rsidR="00E016B3" w:rsidRPr="009E427C">
        <w:rPr>
          <w:rFonts w:ascii="Book Antiqua" w:hAnsi="Book Antiqua"/>
          <w:sz w:val="24"/>
          <w:szCs w:val="24"/>
        </w:rPr>
        <w:t>to open label</w:t>
      </w:r>
      <w:r w:rsidRPr="009E427C">
        <w:rPr>
          <w:rFonts w:ascii="Book Antiqua" w:hAnsi="Book Antiqua"/>
          <w:sz w:val="24"/>
          <w:szCs w:val="24"/>
        </w:rPr>
        <w:t xml:space="preserve"> </w:t>
      </w:r>
      <w:r w:rsidR="008C50DC" w:rsidRPr="009E427C">
        <w:rPr>
          <w:rFonts w:ascii="Book Antiqua" w:hAnsi="Book Antiqua"/>
          <w:sz w:val="24"/>
          <w:szCs w:val="24"/>
        </w:rPr>
        <w:t xml:space="preserve">extended release tacrolimus and 11 </w:t>
      </w:r>
      <w:r w:rsidR="00E016B3" w:rsidRPr="009E427C">
        <w:rPr>
          <w:rFonts w:ascii="Book Antiqua" w:hAnsi="Book Antiqua"/>
          <w:sz w:val="24"/>
          <w:szCs w:val="24"/>
        </w:rPr>
        <w:t xml:space="preserve">to open label </w:t>
      </w:r>
      <w:r w:rsidR="008C50DC" w:rsidRPr="009E427C">
        <w:rPr>
          <w:rFonts w:ascii="Book Antiqua" w:hAnsi="Book Antiqua"/>
          <w:sz w:val="24"/>
          <w:szCs w:val="24"/>
        </w:rPr>
        <w:t>tacrolimus-</w:t>
      </w:r>
      <w:r w:rsidRPr="009E427C">
        <w:rPr>
          <w:rFonts w:ascii="Book Antiqua" w:hAnsi="Book Antiqua"/>
          <w:sz w:val="24"/>
          <w:szCs w:val="24"/>
        </w:rPr>
        <w:t xml:space="preserve">BID. Both groups started the </w:t>
      </w:r>
      <w:proofErr w:type="spellStart"/>
      <w:r w:rsidRPr="009E427C">
        <w:rPr>
          <w:rFonts w:ascii="Book Antiqua" w:hAnsi="Book Antiqua"/>
          <w:sz w:val="24"/>
          <w:szCs w:val="24"/>
        </w:rPr>
        <w:t>calcineurin</w:t>
      </w:r>
      <w:proofErr w:type="spellEnd"/>
      <w:r w:rsidRPr="009E427C">
        <w:rPr>
          <w:rFonts w:ascii="Book Antiqua" w:hAnsi="Book Antiqua"/>
          <w:sz w:val="24"/>
          <w:szCs w:val="24"/>
        </w:rPr>
        <w:t xml:space="preserve"> inhibitor therapy on post-operative day four. Patients in the </w:t>
      </w:r>
      <w:r w:rsidR="008C50DC" w:rsidRPr="009E427C">
        <w:rPr>
          <w:rFonts w:ascii="Book Antiqua" w:hAnsi="Book Antiqua"/>
          <w:sz w:val="24"/>
          <w:szCs w:val="24"/>
        </w:rPr>
        <w:t xml:space="preserve">extended release tacrolimus </w:t>
      </w:r>
      <w:r w:rsidRPr="009E427C">
        <w:rPr>
          <w:rFonts w:ascii="Book Antiqua" w:hAnsi="Book Antiqua"/>
          <w:sz w:val="24"/>
          <w:szCs w:val="24"/>
        </w:rPr>
        <w:t>group received initial doses of 0.5 mg/20 kg per day,</w:t>
      </w:r>
      <w:r w:rsidR="008C50DC" w:rsidRPr="009E427C">
        <w:rPr>
          <w:rFonts w:ascii="Book Antiqua" w:hAnsi="Book Antiqua"/>
          <w:sz w:val="24"/>
          <w:szCs w:val="24"/>
        </w:rPr>
        <w:t xml:space="preserve"> with tacrolimus-</w:t>
      </w:r>
      <w:r w:rsidRPr="009E427C">
        <w:rPr>
          <w:rFonts w:ascii="Book Antiqua" w:hAnsi="Book Antiqua"/>
          <w:sz w:val="24"/>
          <w:szCs w:val="24"/>
        </w:rPr>
        <w:t>BID patients receiving 0.5 mg/20 kg per dose, dosed twice daily. Initial trough targets were 8</w:t>
      </w:r>
      <w:r w:rsidR="003D5D8B">
        <w:rPr>
          <w:rFonts w:ascii="Book Antiqua" w:hAnsi="Book Antiqua" w:hint="eastAsia"/>
          <w:sz w:val="24"/>
          <w:szCs w:val="24"/>
          <w:lang w:eastAsia="zh-CN"/>
        </w:rPr>
        <w:t>-</w:t>
      </w:r>
      <w:r w:rsidRPr="009E427C">
        <w:rPr>
          <w:rFonts w:ascii="Book Antiqua" w:hAnsi="Book Antiqua"/>
          <w:sz w:val="24"/>
          <w:szCs w:val="24"/>
        </w:rPr>
        <w:t xml:space="preserve">15 </w:t>
      </w:r>
      <w:proofErr w:type="spellStart"/>
      <w:r w:rsidRPr="009E427C">
        <w:rPr>
          <w:rFonts w:ascii="Book Antiqua" w:hAnsi="Book Antiqua"/>
          <w:sz w:val="24"/>
          <w:szCs w:val="24"/>
        </w:rPr>
        <w:t>ng</w:t>
      </w:r>
      <w:proofErr w:type="spellEnd"/>
      <w:r w:rsidRPr="009E427C">
        <w:rPr>
          <w:rFonts w:ascii="Book Antiqua" w:hAnsi="Book Antiqua"/>
          <w:sz w:val="24"/>
          <w:szCs w:val="24"/>
        </w:rPr>
        <w:t>/</w:t>
      </w:r>
      <w:proofErr w:type="spellStart"/>
      <w:r w:rsidRPr="009E427C">
        <w:rPr>
          <w:rFonts w:ascii="Book Antiqua" w:hAnsi="Book Antiqua"/>
          <w:sz w:val="24"/>
          <w:szCs w:val="24"/>
        </w:rPr>
        <w:t>mL.</w:t>
      </w:r>
      <w:proofErr w:type="spellEnd"/>
      <w:r w:rsidRPr="009E427C">
        <w:rPr>
          <w:rFonts w:ascii="Book Antiqua" w:hAnsi="Book Antiqua"/>
          <w:sz w:val="24"/>
          <w:szCs w:val="24"/>
        </w:rPr>
        <w:t xml:space="preserve"> Patients were followed for an average of 290 </w:t>
      </w:r>
      <w:r w:rsidRPr="009E427C">
        <w:rPr>
          <w:rFonts w:ascii="Book Antiqua" w:hAnsi="Book Antiqua"/>
          <w:sz w:val="24"/>
          <w:szCs w:val="24"/>
        </w:rPr>
        <w:sym w:font="Symbol" w:char="F0B1"/>
      </w:r>
      <w:r w:rsidR="003D5D8B">
        <w:rPr>
          <w:rFonts w:ascii="Book Antiqua" w:hAnsi="Book Antiqua"/>
          <w:sz w:val="24"/>
          <w:szCs w:val="24"/>
        </w:rPr>
        <w:t xml:space="preserve"> 92 d</w:t>
      </w:r>
      <w:r w:rsidRPr="009E427C">
        <w:rPr>
          <w:rFonts w:ascii="Book Antiqua" w:hAnsi="Book Antiqua"/>
          <w:sz w:val="24"/>
          <w:szCs w:val="24"/>
        </w:rPr>
        <w:t xml:space="preserve"> for BPAR, incidence of renal insufficiency, new hypertension, and new onset diabetes. There were no differences between the two groups for any staging of rejection throughout the follow-up period. Although total daily doses between the </w:t>
      </w:r>
      <w:r w:rsidR="008C50DC" w:rsidRPr="009E427C">
        <w:rPr>
          <w:rFonts w:ascii="Book Antiqua" w:hAnsi="Book Antiqua"/>
          <w:sz w:val="24"/>
          <w:szCs w:val="24"/>
        </w:rPr>
        <w:t>extended release tacrolimus</w:t>
      </w:r>
      <w:r w:rsidR="00074195">
        <w:rPr>
          <w:rFonts w:ascii="Book Antiqua" w:hAnsi="Book Antiqua"/>
          <w:sz w:val="24"/>
          <w:szCs w:val="24"/>
        </w:rPr>
        <w:t xml:space="preserve"> </w:t>
      </w:r>
      <w:r w:rsidR="008C50DC" w:rsidRPr="009E427C">
        <w:rPr>
          <w:rFonts w:ascii="Book Antiqua" w:hAnsi="Book Antiqua"/>
          <w:sz w:val="24"/>
          <w:szCs w:val="24"/>
        </w:rPr>
        <w:t>group and the tacrolimus-</w:t>
      </w:r>
      <w:r w:rsidRPr="009E427C">
        <w:rPr>
          <w:rFonts w:ascii="Book Antiqua" w:hAnsi="Book Antiqua"/>
          <w:sz w:val="24"/>
          <w:szCs w:val="24"/>
        </w:rPr>
        <w:t xml:space="preserve">BID group did not differ at eight and thirty days, the total daily dose of </w:t>
      </w:r>
      <w:r w:rsidR="008C50DC" w:rsidRPr="009E427C">
        <w:rPr>
          <w:rFonts w:ascii="Book Antiqua" w:hAnsi="Book Antiqua"/>
          <w:sz w:val="24"/>
          <w:szCs w:val="24"/>
        </w:rPr>
        <w:t>extended release tacrolimus</w:t>
      </w:r>
      <w:r w:rsidRPr="009E427C">
        <w:rPr>
          <w:rFonts w:ascii="Book Antiqua" w:hAnsi="Book Antiqua"/>
          <w:sz w:val="24"/>
          <w:szCs w:val="24"/>
        </w:rPr>
        <w:t xml:space="preserve"> was sign</w:t>
      </w:r>
      <w:r w:rsidR="008C50DC" w:rsidRPr="009E427C">
        <w:rPr>
          <w:rFonts w:ascii="Book Antiqua" w:hAnsi="Book Antiqua"/>
          <w:sz w:val="24"/>
          <w:szCs w:val="24"/>
        </w:rPr>
        <w:t>ificantly lower than tacrolimus-</w:t>
      </w:r>
      <w:r w:rsidRPr="009E427C">
        <w:rPr>
          <w:rFonts w:ascii="Book Antiqua" w:hAnsi="Book Antiqua"/>
          <w:sz w:val="24"/>
          <w:szCs w:val="24"/>
        </w:rPr>
        <w:t xml:space="preserve">BID at six months (3 </w:t>
      </w:r>
      <w:r w:rsidRPr="009E427C">
        <w:rPr>
          <w:rFonts w:ascii="Book Antiqua" w:hAnsi="Book Antiqua"/>
          <w:sz w:val="24"/>
          <w:szCs w:val="24"/>
        </w:rPr>
        <w:sym w:font="Symbol" w:char="F0B1"/>
      </w:r>
      <w:r w:rsidRPr="009E427C">
        <w:rPr>
          <w:rFonts w:ascii="Book Antiqua" w:hAnsi="Book Antiqua"/>
          <w:sz w:val="24"/>
          <w:szCs w:val="24"/>
        </w:rPr>
        <w:t xml:space="preserve"> 1 mg/day </w:t>
      </w:r>
      <w:r w:rsidR="00451891" w:rsidRPr="00451891">
        <w:rPr>
          <w:rFonts w:ascii="Book Antiqua" w:hAnsi="Book Antiqua"/>
          <w:i/>
          <w:sz w:val="24"/>
          <w:szCs w:val="24"/>
        </w:rPr>
        <w:t>vs</w:t>
      </w:r>
      <w:r w:rsidRPr="009E427C">
        <w:rPr>
          <w:rFonts w:ascii="Book Antiqua" w:hAnsi="Book Antiqua"/>
          <w:sz w:val="24"/>
          <w:szCs w:val="24"/>
        </w:rPr>
        <w:t xml:space="preserve"> 6 </w:t>
      </w:r>
      <w:r w:rsidRPr="009E427C">
        <w:rPr>
          <w:rFonts w:ascii="Book Antiqua" w:hAnsi="Book Antiqua"/>
          <w:sz w:val="24"/>
          <w:szCs w:val="24"/>
        </w:rPr>
        <w:sym w:font="Symbol" w:char="F0B1"/>
      </w:r>
      <w:r w:rsidR="003D5D8B">
        <w:rPr>
          <w:rFonts w:ascii="Book Antiqua" w:hAnsi="Book Antiqua"/>
          <w:sz w:val="24"/>
          <w:szCs w:val="24"/>
        </w:rPr>
        <w:t xml:space="preserve"> 2 mg/d</w:t>
      </w:r>
      <w:r w:rsidR="008C50DC" w:rsidRPr="009E427C">
        <w:rPr>
          <w:rFonts w:ascii="Book Antiqua" w:hAnsi="Book Antiqua"/>
          <w:sz w:val="24"/>
          <w:szCs w:val="24"/>
        </w:rPr>
        <w:t xml:space="preserve">, </w:t>
      </w:r>
      <w:r w:rsidR="00970505" w:rsidRPr="00970505">
        <w:rPr>
          <w:rFonts w:ascii="Book Antiqua" w:hAnsi="Book Antiqua"/>
          <w:i/>
          <w:sz w:val="24"/>
          <w:szCs w:val="24"/>
        </w:rPr>
        <w:t>P</w:t>
      </w:r>
      <w:r w:rsidR="008C50DC" w:rsidRPr="009E427C">
        <w:rPr>
          <w:rFonts w:ascii="Book Antiqua" w:hAnsi="Book Antiqua"/>
          <w:sz w:val="24"/>
          <w:szCs w:val="24"/>
        </w:rPr>
        <w:t xml:space="preserve"> </w:t>
      </w:r>
      <w:r w:rsidRPr="009E427C">
        <w:rPr>
          <w:rFonts w:ascii="Book Antiqua" w:hAnsi="Book Antiqua"/>
          <w:sz w:val="24"/>
          <w:szCs w:val="24"/>
        </w:rPr>
        <w:t xml:space="preserve">&lt; 0.05). There was no difference between groups in the rate of treated hypertension or diabetes. Although a low number of patients were included in this study, this prospective analysis suggests that patients managed with </w:t>
      </w:r>
      <w:r w:rsidR="000216D0" w:rsidRPr="009E427C">
        <w:rPr>
          <w:rFonts w:ascii="Book Antiqua" w:hAnsi="Book Antiqua"/>
          <w:sz w:val="24"/>
          <w:szCs w:val="24"/>
        </w:rPr>
        <w:t>extended release tacrolimus</w:t>
      </w:r>
      <w:r w:rsidRPr="009E427C">
        <w:rPr>
          <w:rFonts w:ascii="Book Antiqua" w:hAnsi="Book Antiqua"/>
          <w:sz w:val="24"/>
          <w:szCs w:val="24"/>
        </w:rPr>
        <w:t xml:space="preserve"> for </w:t>
      </w:r>
      <w:r w:rsidRPr="009E427C">
        <w:rPr>
          <w:rFonts w:ascii="Book Antiqua" w:hAnsi="Book Antiqua"/>
          <w:i/>
          <w:sz w:val="24"/>
          <w:szCs w:val="24"/>
        </w:rPr>
        <w:t>de novo</w:t>
      </w:r>
      <w:r w:rsidRPr="009E427C">
        <w:rPr>
          <w:rFonts w:ascii="Book Antiqua" w:hAnsi="Book Antiqua"/>
          <w:sz w:val="24"/>
          <w:szCs w:val="24"/>
        </w:rPr>
        <w:t xml:space="preserve"> heart transplant may have simil</w:t>
      </w:r>
      <w:r w:rsidR="006B2BEC">
        <w:rPr>
          <w:rFonts w:ascii="Book Antiqua" w:hAnsi="Book Antiqua"/>
          <w:sz w:val="24"/>
          <w:szCs w:val="24"/>
        </w:rPr>
        <w:t xml:space="preserve">ar efficacy and safety </w:t>
      </w:r>
      <w:proofErr w:type="gramStart"/>
      <w:r w:rsidR="006B2BEC">
        <w:rPr>
          <w:rFonts w:ascii="Book Antiqua" w:hAnsi="Book Antiqua"/>
          <w:sz w:val="24"/>
          <w:szCs w:val="24"/>
        </w:rPr>
        <w:t>outcomes</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0</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782D33AC" w14:textId="203C5D81" w:rsidR="00D5609C"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The published data supporting the use of </w:t>
      </w:r>
      <w:r w:rsidR="000216D0" w:rsidRPr="009E427C">
        <w:rPr>
          <w:rFonts w:ascii="Book Antiqua" w:hAnsi="Book Antiqua"/>
          <w:sz w:val="24"/>
          <w:szCs w:val="24"/>
        </w:rPr>
        <w:t>extended release tacrolimus</w:t>
      </w:r>
      <w:r w:rsidRPr="009E427C">
        <w:rPr>
          <w:rFonts w:ascii="Book Antiqua" w:hAnsi="Book Antiqua"/>
          <w:sz w:val="24"/>
          <w:szCs w:val="24"/>
        </w:rPr>
        <w:t xml:space="preserve"> in heart transplant recipients is limited, yet current evidence does not signal that the therapy is associated with worse efficacy or safety outco</w:t>
      </w:r>
      <w:r w:rsidR="000216D0" w:rsidRPr="009E427C">
        <w:rPr>
          <w:rFonts w:ascii="Book Antiqua" w:hAnsi="Book Antiqua"/>
          <w:sz w:val="24"/>
          <w:szCs w:val="24"/>
        </w:rPr>
        <w:t>mes when compared to tacrolimus-</w:t>
      </w:r>
      <w:r w:rsidRPr="009E427C">
        <w:rPr>
          <w:rFonts w:ascii="Book Antiqua" w:hAnsi="Book Antiqua"/>
          <w:sz w:val="24"/>
          <w:szCs w:val="24"/>
        </w:rPr>
        <w:t xml:space="preserve">BID. Additionally, a small study of 72 patients suggests that use of </w:t>
      </w:r>
      <w:r w:rsidR="000216D0" w:rsidRPr="009E427C">
        <w:rPr>
          <w:rFonts w:ascii="Book Antiqua" w:hAnsi="Book Antiqua"/>
          <w:sz w:val="24"/>
          <w:szCs w:val="24"/>
        </w:rPr>
        <w:t>extended release tacrolimus</w:t>
      </w:r>
      <w:r w:rsidRPr="009E427C">
        <w:rPr>
          <w:rFonts w:ascii="Book Antiqua" w:hAnsi="Book Antiqua"/>
          <w:sz w:val="24"/>
          <w:szCs w:val="24"/>
        </w:rPr>
        <w:t xml:space="preserve"> as compared to </w:t>
      </w:r>
      <w:r w:rsidR="000216D0" w:rsidRPr="009E427C">
        <w:rPr>
          <w:rFonts w:ascii="Book Antiqua" w:hAnsi="Book Antiqua"/>
          <w:sz w:val="24"/>
          <w:szCs w:val="24"/>
        </w:rPr>
        <w:t xml:space="preserve">previous regimens of </w:t>
      </w:r>
      <w:proofErr w:type="spellStart"/>
      <w:r w:rsidR="000216D0" w:rsidRPr="009E427C">
        <w:rPr>
          <w:rFonts w:ascii="Book Antiqua" w:hAnsi="Book Antiqua"/>
          <w:sz w:val="24"/>
          <w:szCs w:val="24"/>
        </w:rPr>
        <w:t>tacrolimus</w:t>
      </w:r>
      <w:proofErr w:type="spellEnd"/>
      <w:r w:rsidR="000216D0" w:rsidRPr="009E427C">
        <w:rPr>
          <w:rFonts w:ascii="Book Antiqua" w:hAnsi="Book Antiqua"/>
          <w:sz w:val="24"/>
          <w:szCs w:val="24"/>
        </w:rPr>
        <w:t>-</w:t>
      </w:r>
      <w:r w:rsidRPr="009E427C">
        <w:rPr>
          <w:rFonts w:ascii="Book Antiqua" w:hAnsi="Book Antiqua"/>
          <w:sz w:val="24"/>
          <w:szCs w:val="24"/>
        </w:rPr>
        <w:t xml:space="preserve">BID or </w:t>
      </w:r>
      <w:proofErr w:type="spellStart"/>
      <w:r w:rsidR="000216D0" w:rsidRPr="009E427C">
        <w:rPr>
          <w:rFonts w:ascii="Book Antiqua" w:hAnsi="Book Antiqua"/>
          <w:sz w:val="24"/>
          <w:szCs w:val="24"/>
        </w:rPr>
        <w:t>CsA</w:t>
      </w:r>
      <w:proofErr w:type="spellEnd"/>
      <w:r w:rsidRPr="009E427C">
        <w:rPr>
          <w:rFonts w:ascii="Book Antiqua" w:hAnsi="Book Antiqua"/>
          <w:sz w:val="24"/>
          <w:szCs w:val="24"/>
        </w:rPr>
        <w:t xml:space="preserve"> decreased rates of patient reported non-adh</w:t>
      </w:r>
      <w:r w:rsidR="00970505">
        <w:rPr>
          <w:rFonts w:ascii="Book Antiqua" w:hAnsi="Book Antiqua"/>
          <w:sz w:val="24"/>
          <w:szCs w:val="24"/>
        </w:rPr>
        <w:t xml:space="preserve">erence measures at eight </w:t>
      </w:r>
      <w:proofErr w:type="gramStart"/>
      <w:r w:rsidR="00970505">
        <w:rPr>
          <w:rFonts w:ascii="Book Antiqua" w:hAnsi="Book Antiqua"/>
          <w:sz w:val="24"/>
          <w:szCs w:val="24"/>
        </w:rPr>
        <w:t>months</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1</w:t>
      </w:r>
      <w:r w:rsidR="005E2E7E" w:rsidRPr="009E427C">
        <w:rPr>
          <w:rFonts w:ascii="Book Antiqua" w:hAnsi="Book Antiqua"/>
          <w:sz w:val="24"/>
          <w:szCs w:val="24"/>
          <w:vertAlign w:val="superscript"/>
        </w:rPr>
        <w:t>]</w:t>
      </w:r>
      <w:r w:rsidR="00970505">
        <w:rPr>
          <w:rFonts w:ascii="Book Antiqua" w:hAnsi="Book Antiqua" w:hint="eastAsia"/>
          <w:sz w:val="24"/>
          <w:szCs w:val="24"/>
          <w:lang w:eastAsia="zh-CN"/>
        </w:rPr>
        <w:t>.</w:t>
      </w:r>
      <w:r w:rsidRPr="009E427C">
        <w:rPr>
          <w:rFonts w:ascii="Book Antiqua" w:hAnsi="Book Antiqua"/>
          <w:sz w:val="24"/>
          <w:szCs w:val="24"/>
          <w:vertAlign w:val="superscript"/>
        </w:rPr>
        <w:t xml:space="preserve"> </w:t>
      </w:r>
      <w:r w:rsidRPr="009E427C">
        <w:rPr>
          <w:rFonts w:ascii="Book Antiqua" w:hAnsi="Book Antiqua"/>
          <w:sz w:val="24"/>
          <w:szCs w:val="24"/>
        </w:rPr>
        <w:t xml:space="preserve">Further studies evaluating the use of </w:t>
      </w:r>
      <w:r w:rsidR="000216D0" w:rsidRPr="009E427C">
        <w:rPr>
          <w:rFonts w:ascii="Book Antiqua" w:hAnsi="Book Antiqua"/>
          <w:sz w:val="24"/>
          <w:szCs w:val="24"/>
        </w:rPr>
        <w:t xml:space="preserve">extended release tacrolimus </w:t>
      </w:r>
      <w:r w:rsidRPr="009E427C">
        <w:rPr>
          <w:rFonts w:ascii="Book Antiqua" w:hAnsi="Book Antiqua"/>
          <w:sz w:val="24"/>
          <w:szCs w:val="24"/>
        </w:rPr>
        <w:t xml:space="preserve">in heart transplant recipients is needed to define the role of the extended release product in this patient population. </w:t>
      </w:r>
    </w:p>
    <w:p w14:paraId="6B4481EB" w14:textId="77777777" w:rsidR="00915EEA" w:rsidRPr="009E427C" w:rsidRDefault="00915EEA" w:rsidP="00190C0B">
      <w:pPr>
        <w:spacing w:after="0" w:line="360" w:lineRule="auto"/>
        <w:ind w:firstLine="720"/>
        <w:jc w:val="both"/>
        <w:rPr>
          <w:rFonts w:ascii="Book Antiqua" w:hAnsi="Book Antiqua"/>
          <w:sz w:val="24"/>
          <w:szCs w:val="24"/>
        </w:rPr>
      </w:pPr>
    </w:p>
    <w:p w14:paraId="79243538" w14:textId="2CD07118" w:rsidR="00C93F00"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 xml:space="preserve">LUNG TRANSPLANTATION </w:t>
      </w:r>
    </w:p>
    <w:p w14:paraId="13A7C32D" w14:textId="5A1BF4F9" w:rsidR="00A432AE" w:rsidRPr="009E427C" w:rsidRDefault="00C93F00" w:rsidP="00190C0B">
      <w:pPr>
        <w:spacing w:after="0" w:line="360" w:lineRule="auto"/>
        <w:jc w:val="both"/>
        <w:rPr>
          <w:rFonts w:ascii="Book Antiqua" w:hAnsi="Book Antiqua"/>
          <w:sz w:val="24"/>
          <w:szCs w:val="24"/>
        </w:rPr>
      </w:pPr>
      <w:r w:rsidRPr="009E427C">
        <w:rPr>
          <w:rFonts w:ascii="Book Antiqua" w:hAnsi="Book Antiqua"/>
          <w:sz w:val="24"/>
          <w:szCs w:val="24"/>
        </w:rPr>
        <w:lastRenderedPageBreak/>
        <w:t>To date, only 2</w:t>
      </w:r>
      <w:r w:rsidR="000216D0" w:rsidRPr="009E427C">
        <w:rPr>
          <w:rFonts w:ascii="Book Antiqua" w:hAnsi="Book Antiqua"/>
          <w:sz w:val="24"/>
          <w:szCs w:val="24"/>
        </w:rPr>
        <w:t xml:space="preserve"> studies evaluating extended release tacrolimus</w:t>
      </w:r>
      <w:r w:rsidRPr="009E427C">
        <w:rPr>
          <w:rFonts w:ascii="Book Antiqua" w:hAnsi="Book Antiqua"/>
          <w:sz w:val="24"/>
          <w:szCs w:val="24"/>
        </w:rPr>
        <w:t xml:space="preserve"> have been performed in lung transplant recipients.</w:t>
      </w:r>
      <w:r w:rsidR="00074195">
        <w:rPr>
          <w:rFonts w:ascii="Book Antiqua" w:hAnsi="Book Antiqua"/>
          <w:sz w:val="24"/>
          <w:szCs w:val="24"/>
        </w:rPr>
        <w:t xml:space="preserve"> </w:t>
      </w:r>
      <w:r w:rsidRPr="009E427C">
        <w:rPr>
          <w:rFonts w:ascii="Book Antiqua" w:hAnsi="Book Antiqua"/>
          <w:sz w:val="24"/>
          <w:szCs w:val="24"/>
        </w:rPr>
        <w:t>The studies are not outcomes based, only pharmacokinetic in nature assessing the potential for use in stable lung transplant recipients.</w:t>
      </w:r>
      <w:r w:rsidR="00074195">
        <w:rPr>
          <w:rFonts w:ascii="Book Antiqua" w:hAnsi="Book Antiqua"/>
          <w:sz w:val="24"/>
          <w:szCs w:val="24"/>
        </w:rPr>
        <w:t xml:space="preserve"> </w:t>
      </w:r>
      <w:r w:rsidR="004658AD" w:rsidRPr="009E427C">
        <w:rPr>
          <w:rFonts w:ascii="Book Antiqua" w:hAnsi="Book Antiqua"/>
          <w:sz w:val="24"/>
          <w:szCs w:val="24"/>
        </w:rPr>
        <w:t xml:space="preserve">Therefore, extended release tacrolimus is not FDA approved for the use in </w:t>
      </w:r>
      <w:r w:rsidR="004658AD" w:rsidRPr="009E427C">
        <w:rPr>
          <w:rFonts w:ascii="Book Antiqua" w:hAnsi="Book Antiqua"/>
          <w:i/>
          <w:sz w:val="24"/>
          <w:szCs w:val="24"/>
        </w:rPr>
        <w:t xml:space="preserve">de novo </w:t>
      </w:r>
      <w:r w:rsidR="006B2BEC">
        <w:rPr>
          <w:rFonts w:ascii="Book Antiqua" w:hAnsi="Book Antiqua"/>
          <w:sz w:val="24"/>
          <w:szCs w:val="24"/>
        </w:rPr>
        <w:t xml:space="preserve">lung </w:t>
      </w:r>
      <w:proofErr w:type="gramStart"/>
      <w:r w:rsidR="006B2BEC">
        <w:rPr>
          <w:rFonts w:ascii="Book Antiqua" w:hAnsi="Book Antiqua"/>
          <w:sz w:val="24"/>
          <w:szCs w:val="24"/>
        </w:rPr>
        <w:t>transplantation</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9</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1C8EC2DC" w14:textId="1E5834C2" w:rsidR="00A432AE"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The first study evaluate</w:t>
      </w:r>
      <w:r w:rsidR="000216D0" w:rsidRPr="009E427C">
        <w:rPr>
          <w:rFonts w:ascii="Book Antiqua" w:hAnsi="Book Antiqua"/>
          <w:sz w:val="24"/>
          <w:szCs w:val="24"/>
        </w:rPr>
        <w:t xml:space="preserve">d the conversion of </w:t>
      </w:r>
      <w:r w:rsidRPr="009E427C">
        <w:rPr>
          <w:rFonts w:ascii="Book Antiqua" w:hAnsi="Book Antiqua"/>
          <w:sz w:val="24"/>
          <w:szCs w:val="24"/>
        </w:rPr>
        <w:t>tacrolimus</w:t>
      </w:r>
      <w:r w:rsidR="000216D0" w:rsidRPr="009E427C">
        <w:rPr>
          <w:rFonts w:ascii="Book Antiqua" w:hAnsi="Book Antiqua"/>
          <w:sz w:val="24"/>
          <w:szCs w:val="24"/>
        </w:rPr>
        <w:t>-BID</w:t>
      </w:r>
      <w:r w:rsidRPr="009E427C">
        <w:rPr>
          <w:rFonts w:ascii="Book Antiqua" w:hAnsi="Book Antiqua"/>
          <w:sz w:val="24"/>
          <w:szCs w:val="24"/>
        </w:rPr>
        <w:t xml:space="preserve"> to </w:t>
      </w:r>
      <w:r w:rsidR="000216D0" w:rsidRPr="009E427C">
        <w:rPr>
          <w:rFonts w:ascii="Book Antiqua" w:hAnsi="Book Antiqua"/>
          <w:sz w:val="24"/>
          <w:szCs w:val="24"/>
        </w:rPr>
        <w:t>extended release tacrolimus</w:t>
      </w:r>
      <w:r w:rsidRPr="009E427C">
        <w:rPr>
          <w:rFonts w:ascii="Book Antiqua" w:hAnsi="Book Antiqua"/>
          <w:sz w:val="24"/>
          <w:szCs w:val="24"/>
        </w:rPr>
        <w:t xml:space="preserve"> in 19 stable lung transplant recipients.</w:t>
      </w:r>
      <w:r w:rsidR="00074195">
        <w:rPr>
          <w:rFonts w:ascii="Book Antiqua" w:hAnsi="Book Antiqua"/>
          <w:sz w:val="24"/>
          <w:szCs w:val="24"/>
        </w:rPr>
        <w:t xml:space="preserve"> </w:t>
      </w:r>
      <w:r w:rsidRPr="009E427C">
        <w:rPr>
          <w:rFonts w:ascii="Book Antiqua" w:hAnsi="Book Antiqua"/>
          <w:sz w:val="24"/>
          <w:szCs w:val="24"/>
        </w:rPr>
        <w:t>This was a phase II, open-label, single center, single arm, prospective trial.</w:t>
      </w:r>
      <w:r w:rsidR="00074195">
        <w:rPr>
          <w:rFonts w:ascii="Book Antiqua" w:hAnsi="Book Antiqua"/>
          <w:sz w:val="24"/>
          <w:szCs w:val="24"/>
        </w:rPr>
        <w:t xml:space="preserve"> </w:t>
      </w:r>
      <w:r w:rsidRPr="009E427C">
        <w:rPr>
          <w:rFonts w:ascii="Book Antiqua" w:hAnsi="Book Antiqua"/>
          <w:sz w:val="24"/>
          <w:szCs w:val="24"/>
        </w:rPr>
        <w:t>The primary outcome was a pharmacok</w:t>
      </w:r>
      <w:r w:rsidR="000216D0" w:rsidRPr="009E427C">
        <w:rPr>
          <w:rFonts w:ascii="Book Antiqua" w:hAnsi="Book Antiqua"/>
          <w:sz w:val="24"/>
          <w:szCs w:val="24"/>
        </w:rPr>
        <w:t>inetic comparison of tacrolimus-</w:t>
      </w:r>
      <w:r w:rsidRPr="009E427C">
        <w:rPr>
          <w:rFonts w:ascii="Book Antiqua" w:hAnsi="Book Antiqua"/>
          <w:sz w:val="24"/>
          <w:szCs w:val="24"/>
        </w:rPr>
        <w:t xml:space="preserve">BID to </w:t>
      </w:r>
      <w:r w:rsidR="000216D0" w:rsidRPr="009E427C">
        <w:rPr>
          <w:rFonts w:ascii="Book Antiqua" w:hAnsi="Book Antiqua"/>
          <w:sz w:val="24"/>
          <w:szCs w:val="24"/>
        </w:rPr>
        <w:t>extended release tacrolimus</w:t>
      </w:r>
      <w:r w:rsidRPr="009E427C">
        <w:rPr>
          <w:rFonts w:ascii="Book Antiqua" w:hAnsi="Book Antiqua"/>
          <w:sz w:val="24"/>
          <w:szCs w:val="24"/>
        </w:rPr>
        <w:t xml:space="preserve"> on a 1:1 basis through analyzing AUC</w:t>
      </w:r>
      <w:r w:rsidRPr="009E427C">
        <w:rPr>
          <w:rFonts w:ascii="Book Antiqua" w:hAnsi="Book Antiqua"/>
          <w:sz w:val="24"/>
          <w:szCs w:val="24"/>
          <w:vertAlign w:val="subscript"/>
        </w:rPr>
        <w:t>0-24</w:t>
      </w:r>
      <w:r w:rsidRPr="009E427C">
        <w:rPr>
          <w:rFonts w:ascii="Book Antiqua" w:hAnsi="Book Antiqua"/>
          <w:sz w:val="24"/>
          <w:szCs w:val="24"/>
        </w:rPr>
        <w:t xml:space="preserve"> on both dosing regimens.</w:t>
      </w:r>
      <w:r w:rsidR="00074195">
        <w:rPr>
          <w:rFonts w:ascii="Book Antiqua" w:hAnsi="Book Antiqua"/>
          <w:sz w:val="24"/>
          <w:szCs w:val="24"/>
        </w:rPr>
        <w:t xml:space="preserve"> </w:t>
      </w:r>
      <w:r w:rsidRPr="009E427C">
        <w:rPr>
          <w:rFonts w:ascii="Book Antiqua" w:hAnsi="Book Antiqua"/>
          <w:sz w:val="24"/>
          <w:szCs w:val="24"/>
        </w:rPr>
        <w:t xml:space="preserve">Secondarily, episodes of acute cellular rejection (ACR) at 6 </w:t>
      </w:r>
      <w:proofErr w:type="spellStart"/>
      <w:r w:rsidRPr="009E427C">
        <w:rPr>
          <w:rFonts w:ascii="Book Antiqua" w:hAnsi="Book Antiqua"/>
          <w:sz w:val="24"/>
          <w:szCs w:val="24"/>
        </w:rPr>
        <w:t>mo</w:t>
      </w:r>
      <w:proofErr w:type="spellEnd"/>
      <w:r w:rsidR="00B50DF3">
        <w:rPr>
          <w:rFonts w:ascii="Book Antiqua" w:hAnsi="Book Antiqua"/>
          <w:sz w:val="24"/>
          <w:szCs w:val="24"/>
        </w:rPr>
        <w:t xml:space="preserve"> </w:t>
      </w:r>
      <w:r w:rsidRPr="009E427C">
        <w:rPr>
          <w:rFonts w:ascii="Book Antiqua" w:hAnsi="Book Antiqua"/>
          <w:sz w:val="24"/>
          <w:szCs w:val="24"/>
        </w:rPr>
        <w:t>and any other adverse events throughout the trial period were assessed. All patients were at least 180 d post transplantation and had sta</w:t>
      </w:r>
      <w:r w:rsidR="000216D0" w:rsidRPr="009E427C">
        <w:rPr>
          <w:rFonts w:ascii="Book Antiqua" w:hAnsi="Book Antiqua"/>
          <w:sz w:val="24"/>
          <w:szCs w:val="24"/>
        </w:rPr>
        <w:t>ble trough levels of tacrolimus-</w:t>
      </w:r>
      <w:r w:rsidRPr="009E427C">
        <w:rPr>
          <w:rFonts w:ascii="Book Antiqua" w:hAnsi="Book Antiqua"/>
          <w:sz w:val="24"/>
          <w:szCs w:val="24"/>
        </w:rPr>
        <w:t>BID ranging from 5</w:t>
      </w:r>
      <w:r w:rsidR="00970505">
        <w:rPr>
          <w:rFonts w:ascii="Book Antiqua" w:hAnsi="Book Antiqua" w:hint="eastAsia"/>
          <w:sz w:val="24"/>
          <w:szCs w:val="24"/>
          <w:lang w:eastAsia="zh-CN"/>
        </w:rPr>
        <w:t>-</w:t>
      </w:r>
      <w:r w:rsidRPr="009E427C">
        <w:rPr>
          <w:rFonts w:ascii="Book Antiqua" w:hAnsi="Book Antiqua"/>
          <w:sz w:val="24"/>
          <w:szCs w:val="24"/>
        </w:rPr>
        <w:t>15 ng/m</w:t>
      </w:r>
      <w:r w:rsidR="00A432AE" w:rsidRPr="009E427C">
        <w:rPr>
          <w:rFonts w:ascii="Book Antiqua" w:hAnsi="Book Antiqua"/>
          <w:sz w:val="24"/>
          <w:szCs w:val="24"/>
        </w:rPr>
        <w:t>L</w:t>
      </w:r>
      <w:r w:rsidRPr="009E427C">
        <w:rPr>
          <w:rFonts w:ascii="Book Antiqua" w:hAnsi="Book Antiqua"/>
          <w:sz w:val="24"/>
          <w:szCs w:val="24"/>
        </w:rPr>
        <w:t xml:space="preserve"> upon entering the study.</w:t>
      </w:r>
      <w:r w:rsidR="00074195">
        <w:rPr>
          <w:rFonts w:ascii="Book Antiqua" w:hAnsi="Book Antiqua"/>
          <w:sz w:val="24"/>
          <w:szCs w:val="24"/>
        </w:rPr>
        <w:t xml:space="preserve"> </w:t>
      </w:r>
      <w:r w:rsidRPr="009E427C">
        <w:rPr>
          <w:rFonts w:ascii="Book Antiqua" w:hAnsi="Book Antiqua"/>
          <w:sz w:val="24"/>
          <w:szCs w:val="24"/>
        </w:rPr>
        <w:t xml:space="preserve">Notably, patients with </w:t>
      </w:r>
      <w:r w:rsidR="00A432AE" w:rsidRPr="009E427C">
        <w:rPr>
          <w:rFonts w:ascii="Book Antiqua" w:hAnsi="Book Antiqua"/>
          <w:sz w:val="24"/>
          <w:szCs w:val="24"/>
        </w:rPr>
        <w:t>c</w:t>
      </w:r>
      <w:r w:rsidRPr="009E427C">
        <w:rPr>
          <w:rFonts w:ascii="Book Antiqua" w:hAnsi="Book Antiqua"/>
          <w:sz w:val="24"/>
          <w:szCs w:val="24"/>
        </w:rPr>
        <w:t xml:space="preserve">ystic </w:t>
      </w:r>
      <w:r w:rsidR="00A432AE" w:rsidRPr="009E427C">
        <w:rPr>
          <w:rFonts w:ascii="Book Antiqua" w:hAnsi="Book Antiqua"/>
          <w:sz w:val="24"/>
          <w:szCs w:val="24"/>
        </w:rPr>
        <w:t>f</w:t>
      </w:r>
      <w:r w:rsidRPr="009E427C">
        <w:rPr>
          <w:rFonts w:ascii="Book Antiqua" w:hAnsi="Book Antiqua"/>
          <w:sz w:val="24"/>
          <w:szCs w:val="24"/>
        </w:rPr>
        <w:t xml:space="preserve">ibrosis (CF) </w:t>
      </w:r>
      <w:r w:rsidR="00CA2E51" w:rsidRPr="009E427C">
        <w:rPr>
          <w:rFonts w:ascii="Book Antiqua" w:hAnsi="Book Antiqua"/>
          <w:sz w:val="24"/>
          <w:szCs w:val="24"/>
        </w:rPr>
        <w:t>or with</w:t>
      </w:r>
      <w:r w:rsidRPr="009E427C">
        <w:rPr>
          <w:rFonts w:ascii="Book Antiqua" w:hAnsi="Book Antiqua"/>
          <w:sz w:val="24"/>
          <w:szCs w:val="24"/>
        </w:rPr>
        <w:t xml:space="preserve"> ongoing ACR, recent ACR, or chronic rejection</w:t>
      </w:r>
      <w:r w:rsidR="00A432AE" w:rsidRPr="009E427C">
        <w:rPr>
          <w:rFonts w:ascii="Book Antiqua" w:hAnsi="Book Antiqua"/>
          <w:sz w:val="24"/>
          <w:szCs w:val="24"/>
        </w:rPr>
        <w:t xml:space="preserve"> were excluded</w:t>
      </w:r>
      <w:r w:rsidR="00A837EF">
        <w:rPr>
          <w:rFonts w:ascii="Book Antiqua" w:hAnsi="Book Antiqua"/>
          <w:sz w:val="24"/>
          <w:szCs w:val="24"/>
        </w:rPr>
        <w:t xml:space="preserve">. </w:t>
      </w:r>
      <w:r w:rsidRPr="009E427C">
        <w:rPr>
          <w:rFonts w:ascii="Book Antiqua" w:hAnsi="Book Antiqua"/>
          <w:sz w:val="24"/>
          <w:szCs w:val="24"/>
        </w:rPr>
        <w:t>All patients were receiving tacrolimus, an antimetabolite (</w:t>
      </w:r>
      <w:r w:rsidR="005015DD" w:rsidRPr="009E427C">
        <w:rPr>
          <w:rFonts w:ascii="Book Antiqua" w:hAnsi="Book Antiqua"/>
          <w:sz w:val="24"/>
          <w:szCs w:val="24"/>
        </w:rPr>
        <w:t xml:space="preserve">MMF </w:t>
      </w:r>
      <w:r w:rsidRPr="009E427C">
        <w:rPr>
          <w:rFonts w:ascii="Book Antiqua" w:hAnsi="Book Antiqua"/>
          <w:sz w:val="24"/>
          <w:szCs w:val="24"/>
        </w:rPr>
        <w:t>or azathioprine), and corticosteroids</w:t>
      </w:r>
      <w:proofErr w:type="gramStart"/>
      <w:r w:rsidRPr="009E427C">
        <w:rPr>
          <w:rFonts w:ascii="Book Antiqua" w:hAnsi="Book Antiqua"/>
          <w:sz w:val="24"/>
          <w:szCs w:val="24"/>
        </w:rPr>
        <w:t>.</w:t>
      </w:r>
      <w:r w:rsidR="005E2E7E" w:rsidRPr="009E427C">
        <w:rPr>
          <w:rFonts w:ascii="Book Antiqua" w:hAnsi="Book Antiqua"/>
          <w:sz w:val="24"/>
          <w:szCs w:val="24"/>
          <w:vertAlign w:val="superscript"/>
        </w:rPr>
        <w:t>[</w:t>
      </w:r>
      <w:proofErr w:type="gramEnd"/>
      <w:r w:rsidR="00797EE8" w:rsidRPr="009E427C">
        <w:rPr>
          <w:rFonts w:ascii="Book Antiqua" w:hAnsi="Book Antiqua"/>
          <w:sz w:val="24"/>
          <w:szCs w:val="24"/>
          <w:vertAlign w:val="superscript"/>
        </w:rPr>
        <w:t>3</w:t>
      </w:r>
      <w:r w:rsidR="004645FE" w:rsidRPr="009E427C">
        <w:rPr>
          <w:rFonts w:ascii="Book Antiqua" w:hAnsi="Book Antiqua"/>
          <w:sz w:val="24"/>
          <w:szCs w:val="24"/>
          <w:vertAlign w:val="superscript"/>
        </w:rPr>
        <w:t>1</w:t>
      </w:r>
      <w:r w:rsidR="005E2E7E" w:rsidRPr="009E427C">
        <w:rPr>
          <w:rFonts w:ascii="Book Antiqua" w:hAnsi="Book Antiqua"/>
          <w:sz w:val="24"/>
          <w:szCs w:val="24"/>
          <w:vertAlign w:val="superscript"/>
        </w:rPr>
        <w:t>]</w:t>
      </w:r>
      <w:r w:rsidRPr="009E427C">
        <w:rPr>
          <w:rFonts w:ascii="Book Antiqua" w:hAnsi="Book Antiqua"/>
          <w:sz w:val="24"/>
          <w:szCs w:val="24"/>
        </w:rPr>
        <w:t xml:space="preserve"> </w:t>
      </w:r>
      <w:r w:rsidR="005015DD" w:rsidRPr="009E427C">
        <w:rPr>
          <w:rFonts w:ascii="Book Antiqua" w:hAnsi="Book Antiqua"/>
          <w:sz w:val="24"/>
          <w:szCs w:val="24"/>
        </w:rPr>
        <w:t>Patients</w:t>
      </w:r>
      <w:r w:rsidRPr="009E427C">
        <w:rPr>
          <w:rFonts w:ascii="Book Antiqua" w:hAnsi="Book Antiqua"/>
          <w:sz w:val="24"/>
          <w:szCs w:val="24"/>
        </w:rPr>
        <w:t xml:space="preserve"> were converted on a 1:1 (</w:t>
      </w:r>
      <w:proofErr w:type="spellStart"/>
      <w:r w:rsidR="00454C56" w:rsidRPr="009E427C">
        <w:rPr>
          <w:rFonts w:ascii="Book Antiqua" w:hAnsi="Book Antiqua"/>
          <w:sz w:val="24"/>
          <w:szCs w:val="24"/>
        </w:rPr>
        <w:t>mg:mg</w:t>
      </w:r>
      <w:proofErr w:type="spellEnd"/>
      <w:r w:rsidR="00454C56" w:rsidRPr="009E427C">
        <w:rPr>
          <w:rFonts w:ascii="Book Antiqua" w:hAnsi="Book Antiqua"/>
          <w:sz w:val="24"/>
          <w:szCs w:val="24"/>
        </w:rPr>
        <w:t xml:space="preserve">) basis from </w:t>
      </w:r>
      <w:proofErr w:type="spellStart"/>
      <w:r w:rsidR="00454C56" w:rsidRPr="009E427C">
        <w:rPr>
          <w:rFonts w:ascii="Book Antiqua" w:hAnsi="Book Antiqua"/>
          <w:sz w:val="24"/>
          <w:szCs w:val="24"/>
        </w:rPr>
        <w:t>tacrolimus</w:t>
      </w:r>
      <w:proofErr w:type="spellEnd"/>
      <w:r w:rsidR="00454C56" w:rsidRPr="009E427C">
        <w:rPr>
          <w:rFonts w:ascii="Book Antiqua" w:hAnsi="Book Antiqua"/>
          <w:sz w:val="24"/>
          <w:szCs w:val="24"/>
        </w:rPr>
        <w:t>-</w:t>
      </w:r>
      <w:r w:rsidRPr="009E427C">
        <w:rPr>
          <w:rFonts w:ascii="Book Antiqua" w:hAnsi="Book Antiqua"/>
          <w:sz w:val="24"/>
          <w:szCs w:val="24"/>
        </w:rPr>
        <w:t xml:space="preserve">BID to </w:t>
      </w:r>
      <w:r w:rsidR="00454C56" w:rsidRPr="009E427C">
        <w:rPr>
          <w:rFonts w:ascii="Book Antiqua" w:hAnsi="Book Antiqua"/>
          <w:sz w:val="24"/>
          <w:szCs w:val="24"/>
        </w:rPr>
        <w:t>extended release tacrolimus</w:t>
      </w:r>
      <w:r w:rsidRPr="009E427C">
        <w:rPr>
          <w:rFonts w:ascii="Book Antiqua" w:hAnsi="Book Antiqua"/>
          <w:sz w:val="24"/>
          <w:szCs w:val="24"/>
        </w:rPr>
        <w:t xml:space="preserve"> after being s</w:t>
      </w:r>
      <w:r w:rsidR="00DF6FA2" w:rsidRPr="009E427C">
        <w:rPr>
          <w:rFonts w:ascii="Book Antiqua" w:hAnsi="Book Antiqua"/>
          <w:sz w:val="24"/>
          <w:szCs w:val="24"/>
        </w:rPr>
        <w:t>table for 30 d on tacrolimus-</w:t>
      </w:r>
      <w:r w:rsidRPr="009E427C">
        <w:rPr>
          <w:rFonts w:ascii="Book Antiqua" w:hAnsi="Book Antiqua"/>
          <w:sz w:val="24"/>
          <w:szCs w:val="24"/>
        </w:rPr>
        <w:t xml:space="preserve">BID. Doses were adjusted as needed on </w:t>
      </w:r>
      <w:r w:rsidR="00DF6FA2" w:rsidRPr="009E427C">
        <w:rPr>
          <w:rFonts w:ascii="Book Antiqua" w:hAnsi="Book Antiqua"/>
          <w:sz w:val="24"/>
          <w:szCs w:val="24"/>
        </w:rPr>
        <w:t xml:space="preserve">extended release tacrolimus </w:t>
      </w:r>
      <w:r w:rsidRPr="009E427C">
        <w:rPr>
          <w:rFonts w:ascii="Book Antiqua" w:hAnsi="Book Antiqua"/>
          <w:sz w:val="24"/>
          <w:szCs w:val="24"/>
        </w:rPr>
        <w:t>to maintain the previous goal concentrations of 5</w:t>
      </w:r>
      <w:r w:rsidR="00876FF8">
        <w:rPr>
          <w:rFonts w:ascii="Book Antiqua" w:hAnsi="Book Antiqua" w:hint="eastAsia"/>
          <w:sz w:val="24"/>
          <w:szCs w:val="24"/>
          <w:lang w:eastAsia="zh-CN"/>
        </w:rPr>
        <w:t>-</w:t>
      </w:r>
      <w:r w:rsidRPr="009E427C">
        <w:rPr>
          <w:rFonts w:ascii="Book Antiqua" w:hAnsi="Book Antiqua"/>
          <w:sz w:val="24"/>
          <w:szCs w:val="24"/>
        </w:rPr>
        <w:t xml:space="preserve">15 </w:t>
      </w:r>
      <w:proofErr w:type="spellStart"/>
      <w:r w:rsidRPr="009E427C">
        <w:rPr>
          <w:rFonts w:ascii="Book Antiqua" w:hAnsi="Book Antiqua"/>
          <w:sz w:val="24"/>
          <w:szCs w:val="24"/>
        </w:rPr>
        <w:t>ng</w:t>
      </w:r>
      <w:proofErr w:type="spellEnd"/>
      <w:r w:rsidRPr="009E427C">
        <w:rPr>
          <w:rFonts w:ascii="Book Antiqua" w:hAnsi="Book Antiqua"/>
          <w:sz w:val="24"/>
          <w:szCs w:val="24"/>
        </w:rPr>
        <w:t>/</w:t>
      </w:r>
      <w:proofErr w:type="spellStart"/>
      <w:r w:rsidRPr="009E427C">
        <w:rPr>
          <w:rFonts w:ascii="Book Antiqua" w:hAnsi="Book Antiqua"/>
          <w:sz w:val="24"/>
          <w:szCs w:val="24"/>
        </w:rPr>
        <w:t>m</w:t>
      </w:r>
      <w:r w:rsidR="00876FF8" w:rsidRPr="009E427C">
        <w:rPr>
          <w:rFonts w:ascii="Book Antiqua" w:hAnsi="Book Antiqua"/>
          <w:sz w:val="24"/>
          <w:szCs w:val="24"/>
        </w:rPr>
        <w:t>L</w:t>
      </w:r>
      <w:r w:rsidRPr="009E427C">
        <w:rPr>
          <w:rFonts w:ascii="Book Antiqua" w:hAnsi="Book Antiqua"/>
          <w:sz w:val="24"/>
          <w:szCs w:val="24"/>
        </w:rPr>
        <w:t>.</w:t>
      </w:r>
      <w:proofErr w:type="spellEnd"/>
      <w:r w:rsidR="00074195">
        <w:rPr>
          <w:rFonts w:ascii="Book Antiqua" w:hAnsi="Book Antiqua"/>
          <w:sz w:val="24"/>
          <w:szCs w:val="24"/>
        </w:rPr>
        <w:t xml:space="preserve"> </w:t>
      </w:r>
      <w:r w:rsidRPr="009E427C">
        <w:rPr>
          <w:rFonts w:ascii="Book Antiqua" w:hAnsi="Book Antiqua"/>
          <w:sz w:val="24"/>
          <w:szCs w:val="24"/>
        </w:rPr>
        <w:t xml:space="preserve">Two 24 h PK curves </w:t>
      </w:r>
      <w:r w:rsidR="00DF6FA2" w:rsidRPr="009E427C">
        <w:rPr>
          <w:rFonts w:ascii="Book Antiqua" w:hAnsi="Book Antiqua"/>
          <w:sz w:val="24"/>
          <w:szCs w:val="24"/>
        </w:rPr>
        <w:t>were created: one on tacrolimus-</w:t>
      </w:r>
      <w:r w:rsidRPr="009E427C">
        <w:rPr>
          <w:rFonts w:ascii="Book Antiqua" w:hAnsi="Book Antiqua"/>
          <w:sz w:val="24"/>
          <w:szCs w:val="24"/>
        </w:rPr>
        <w:t xml:space="preserve">BID and the other on </w:t>
      </w:r>
      <w:r w:rsidR="00DF6FA2" w:rsidRPr="009E427C">
        <w:rPr>
          <w:rFonts w:ascii="Book Antiqua" w:hAnsi="Book Antiqua"/>
          <w:sz w:val="24"/>
          <w:szCs w:val="24"/>
        </w:rPr>
        <w:t>extended release tacrolimus</w:t>
      </w:r>
      <w:r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The AUC</w:t>
      </w:r>
      <w:r w:rsidRPr="009E427C">
        <w:rPr>
          <w:rFonts w:ascii="Book Antiqua" w:hAnsi="Book Antiqua"/>
          <w:sz w:val="24"/>
          <w:szCs w:val="24"/>
          <w:vertAlign w:val="subscript"/>
        </w:rPr>
        <w:t xml:space="preserve">0-24,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vertAlign w:val="subscript"/>
        </w:rPr>
        <w:t xml:space="preserve">, </w:t>
      </w:r>
      <w:r w:rsidRPr="009E427C">
        <w:rPr>
          <w:rFonts w:ascii="Book Antiqua" w:hAnsi="Book Antiqua"/>
          <w:sz w:val="24"/>
          <w:szCs w:val="24"/>
        </w:rPr>
        <w:t xml:space="preserve">and </w:t>
      </w:r>
      <w:proofErr w:type="spellStart"/>
      <w:r w:rsidRPr="009E427C">
        <w:rPr>
          <w:rFonts w:ascii="Book Antiqua" w:hAnsi="Book Antiqua"/>
          <w:sz w:val="24"/>
          <w:szCs w:val="24"/>
        </w:rPr>
        <w:t>T</w:t>
      </w:r>
      <w:r w:rsidRPr="009E427C">
        <w:rPr>
          <w:rFonts w:ascii="Book Antiqua" w:hAnsi="Book Antiqua"/>
          <w:sz w:val="24"/>
          <w:szCs w:val="24"/>
          <w:vertAlign w:val="subscript"/>
        </w:rPr>
        <w:t>max</w:t>
      </w:r>
      <w:proofErr w:type="spellEnd"/>
      <w:r w:rsidR="006B2BEC">
        <w:rPr>
          <w:rFonts w:ascii="Book Antiqua" w:hAnsi="Book Antiqua"/>
          <w:sz w:val="24"/>
          <w:szCs w:val="24"/>
        </w:rPr>
        <w:t xml:space="preserve"> were then </w:t>
      </w:r>
      <w:proofErr w:type="gramStart"/>
      <w:r w:rsidR="006B2BEC">
        <w:rPr>
          <w:rFonts w:ascii="Book Antiqua" w:hAnsi="Book Antiqua"/>
          <w:sz w:val="24"/>
          <w:szCs w:val="24"/>
        </w:rPr>
        <w:t>compared</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2BD62B65" w14:textId="1C63B5E8" w:rsidR="00A432AE" w:rsidRPr="009E427C" w:rsidRDefault="00C93F00" w:rsidP="00190C0B">
      <w:pPr>
        <w:spacing w:after="0" w:line="360" w:lineRule="auto"/>
        <w:ind w:firstLine="720"/>
        <w:jc w:val="both"/>
        <w:rPr>
          <w:rFonts w:ascii="Book Antiqua" w:hAnsi="Book Antiqua"/>
          <w:sz w:val="24"/>
          <w:szCs w:val="24"/>
          <w:vertAlign w:val="superscript"/>
        </w:rPr>
      </w:pPr>
      <w:r w:rsidRPr="009E427C">
        <w:rPr>
          <w:rFonts w:ascii="Book Antiqua" w:hAnsi="Book Antiqua"/>
          <w:sz w:val="24"/>
          <w:szCs w:val="24"/>
        </w:rPr>
        <w:t>The results of this trial demonstrated the mean AUC</w:t>
      </w:r>
      <w:r w:rsidRPr="009E427C">
        <w:rPr>
          <w:rFonts w:ascii="Book Antiqua" w:hAnsi="Book Antiqua"/>
          <w:sz w:val="24"/>
          <w:szCs w:val="24"/>
          <w:vertAlign w:val="subscript"/>
        </w:rPr>
        <w:t>0-24</w:t>
      </w:r>
      <w:r w:rsidR="00DF6FA2" w:rsidRPr="009E427C">
        <w:rPr>
          <w:rFonts w:ascii="Book Antiqua" w:hAnsi="Book Antiqua"/>
          <w:sz w:val="24"/>
          <w:szCs w:val="24"/>
        </w:rPr>
        <w:t xml:space="preserve"> (SD) of tacrolimus-</w:t>
      </w:r>
      <w:r w:rsidR="00FD1265">
        <w:rPr>
          <w:rFonts w:ascii="Book Antiqua" w:hAnsi="Book Antiqua"/>
          <w:sz w:val="24"/>
          <w:szCs w:val="24"/>
        </w:rPr>
        <w:t>BID was 279.8 (57.7) ng</w:t>
      </w:r>
      <w:r w:rsidR="00FD1265">
        <w:rPr>
          <w:rFonts w:ascii="Book Antiqua" w:hAnsi="Book Antiqua" w:hint="eastAsia"/>
          <w:sz w:val="24"/>
          <w:szCs w:val="24"/>
          <w:lang w:eastAsia="zh-CN"/>
        </w:rPr>
        <w:t>/</w:t>
      </w:r>
      <w:r w:rsidR="00FD1265">
        <w:rPr>
          <w:rFonts w:ascii="Book Antiqua" w:hAnsi="Book Antiqua"/>
          <w:sz w:val="24"/>
          <w:szCs w:val="24"/>
        </w:rPr>
        <w:t>mL</w:t>
      </w:r>
      <w:r w:rsidR="00FD1265">
        <w:rPr>
          <w:rFonts w:ascii="Book Antiqua" w:hAnsi="Book Antiqua" w:hint="eastAsia"/>
          <w:sz w:val="24"/>
          <w:szCs w:val="24"/>
          <w:lang w:eastAsia="zh-CN"/>
        </w:rPr>
        <w:t xml:space="preserve"> per </w:t>
      </w:r>
      <w:r w:rsidR="00FD1265">
        <w:rPr>
          <w:rFonts w:ascii="Book Antiqua" w:hAnsi="Book Antiqua"/>
          <w:sz w:val="24"/>
          <w:szCs w:val="24"/>
        </w:rPr>
        <w:t>h</w:t>
      </w:r>
      <w:r w:rsidR="00C451CB">
        <w:rPr>
          <w:rFonts w:ascii="Book Antiqua" w:hAnsi="Book Antiqua" w:hint="eastAsia"/>
          <w:sz w:val="24"/>
          <w:szCs w:val="24"/>
          <w:lang w:eastAsia="zh-CN"/>
        </w:rPr>
        <w:t>our</w:t>
      </w:r>
      <w:r w:rsidRPr="009E427C">
        <w:rPr>
          <w:rFonts w:ascii="Book Antiqua" w:hAnsi="Book Antiqua"/>
          <w:sz w:val="24"/>
          <w:szCs w:val="24"/>
        </w:rPr>
        <w:t xml:space="preserve"> compared to 278.7 (52.5) </w:t>
      </w:r>
      <w:r w:rsidR="00E168D9">
        <w:rPr>
          <w:rFonts w:ascii="Book Antiqua" w:hAnsi="Book Antiqua"/>
          <w:sz w:val="24"/>
          <w:szCs w:val="24"/>
        </w:rPr>
        <w:t>ng</w:t>
      </w:r>
      <w:r w:rsidR="00E168D9">
        <w:rPr>
          <w:rFonts w:ascii="Book Antiqua" w:hAnsi="Book Antiqua" w:hint="eastAsia"/>
          <w:sz w:val="24"/>
          <w:szCs w:val="24"/>
          <w:lang w:eastAsia="zh-CN"/>
        </w:rPr>
        <w:t>/</w:t>
      </w:r>
      <w:r w:rsidR="00E168D9">
        <w:rPr>
          <w:rFonts w:ascii="Book Antiqua" w:hAnsi="Book Antiqua"/>
          <w:sz w:val="24"/>
          <w:szCs w:val="24"/>
        </w:rPr>
        <w:t>mL</w:t>
      </w:r>
      <w:r w:rsidR="00E168D9">
        <w:rPr>
          <w:rFonts w:ascii="Book Antiqua" w:hAnsi="Book Antiqua" w:hint="eastAsia"/>
          <w:sz w:val="24"/>
          <w:szCs w:val="24"/>
          <w:lang w:eastAsia="zh-CN"/>
        </w:rPr>
        <w:t xml:space="preserve"> per </w:t>
      </w:r>
      <w:r w:rsidR="00E168D9">
        <w:rPr>
          <w:rFonts w:ascii="Book Antiqua" w:hAnsi="Book Antiqua"/>
          <w:sz w:val="24"/>
          <w:szCs w:val="24"/>
        </w:rPr>
        <w:t>h</w:t>
      </w:r>
      <w:r w:rsidR="00E168D9">
        <w:rPr>
          <w:rFonts w:ascii="Book Antiqua" w:hAnsi="Book Antiqua" w:hint="eastAsia"/>
          <w:sz w:val="24"/>
          <w:szCs w:val="24"/>
          <w:lang w:eastAsia="zh-CN"/>
        </w:rPr>
        <w:t>our</w:t>
      </w:r>
      <w:r w:rsidRPr="009E427C">
        <w:rPr>
          <w:rFonts w:ascii="Book Antiqua" w:hAnsi="Book Antiqua"/>
          <w:sz w:val="24"/>
          <w:szCs w:val="24"/>
        </w:rPr>
        <w:t xml:space="preserve"> for </w:t>
      </w:r>
      <w:r w:rsidR="00DF6FA2" w:rsidRPr="009E427C">
        <w:rPr>
          <w:rFonts w:ascii="Book Antiqua" w:hAnsi="Book Antiqua"/>
          <w:sz w:val="24"/>
          <w:szCs w:val="24"/>
        </w:rPr>
        <w:t>extended release tacrolimus (</w:t>
      </w:r>
      <w:r w:rsidR="00C16F95" w:rsidRPr="00D823AE">
        <w:rPr>
          <w:rFonts w:ascii="Book Antiqua" w:hAnsi="Book Antiqua"/>
          <w:i/>
          <w:sz w:val="24"/>
          <w:szCs w:val="24"/>
        </w:rPr>
        <w:t>P</w:t>
      </w:r>
      <w:r w:rsidR="00C16F95">
        <w:rPr>
          <w:rFonts w:ascii="Book Antiqua" w:hAnsi="Book Antiqua" w:hint="eastAsia"/>
          <w:sz w:val="24"/>
          <w:szCs w:val="24"/>
          <w:lang w:eastAsia="zh-CN"/>
        </w:rPr>
        <w:t xml:space="preserve"> </w:t>
      </w:r>
      <w:r w:rsidR="00C16F95">
        <w:rPr>
          <w:rFonts w:ascii="Book Antiqua" w:hAnsi="Book Antiqua"/>
          <w:sz w:val="24"/>
          <w:szCs w:val="24"/>
        </w:rPr>
        <w:t>=</w:t>
      </w:r>
      <w:r w:rsidR="00DF6FA2" w:rsidRPr="009E427C">
        <w:rPr>
          <w:rFonts w:ascii="Book Antiqua" w:hAnsi="Book Antiqua"/>
          <w:sz w:val="24"/>
          <w:szCs w:val="24"/>
        </w:rPr>
        <w:t xml:space="preserve"> </w:t>
      </w:r>
      <w:r w:rsidRPr="009E427C">
        <w:rPr>
          <w:rFonts w:ascii="Book Antiqua" w:hAnsi="Book Antiqua"/>
          <w:sz w:val="24"/>
          <w:szCs w:val="24"/>
        </w:rPr>
        <w:t>0.92). No statistically significant differences were noted between the C</w:t>
      </w:r>
      <w:r w:rsidRPr="009E427C">
        <w:rPr>
          <w:rFonts w:ascii="Book Antiqua" w:hAnsi="Book Antiqua"/>
          <w:sz w:val="24"/>
          <w:szCs w:val="24"/>
          <w:vertAlign w:val="subscript"/>
        </w:rPr>
        <w:t xml:space="preserve">max0-24 </w:t>
      </w:r>
      <w:r w:rsidRPr="009E427C">
        <w:rPr>
          <w:rFonts w:ascii="Book Antiqua" w:hAnsi="Book Antiqua"/>
          <w:sz w:val="24"/>
          <w:szCs w:val="24"/>
        </w:rPr>
        <w:t>and C</w:t>
      </w:r>
      <w:r w:rsidRPr="009E427C">
        <w:rPr>
          <w:rFonts w:ascii="Book Antiqua" w:hAnsi="Book Antiqua"/>
          <w:sz w:val="24"/>
          <w:szCs w:val="24"/>
          <w:vertAlign w:val="subscript"/>
        </w:rPr>
        <w:t>min0-24.</w:t>
      </w:r>
      <w:r w:rsidRPr="009E427C">
        <w:rPr>
          <w:rFonts w:ascii="Book Antiqua" w:hAnsi="Book Antiqua"/>
          <w:sz w:val="24"/>
          <w:szCs w:val="24"/>
        </w:rPr>
        <w:t xml:space="preserve"> The time to maximum concentration</w:t>
      </w:r>
      <w:r w:rsidR="00DF6FA2" w:rsidRPr="009E427C">
        <w:rPr>
          <w:rFonts w:ascii="Book Antiqua" w:hAnsi="Book Antiqua"/>
          <w:sz w:val="24"/>
          <w:szCs w:val="24"/>
        </w:rPr>
        <w:t>s did differ between tacrolimus-</w:t>
      </w:r>
      <w:r w:rsidRPr="009E427C">
        <w:rPr>
          <w:rFonts w:ascii="Book Antiqua" w:hAnsi="Book Antiqua"/>
          <w:sz w:val="24"/>
          <w:szCs w:val="24"/>
        </w:rPr>
        <w:t xml:space="preserve">BID and </w:t>
      </w:r>
      <w:r w:rsidR="00DF6FA2" w:rsidRPr="009E427C">
        <w:rPr>
          <w:rFonts w:ascii="Book Antiqua" w:hAnsi="Book Antiqua"/>
          <w:sz w:val="24"/>
          <w:szCs w:val="24"/>
        </w:rPr>
        <w:t>extended release tacrolimus,</w:t>
      </w:r>
      <w:r w:rsidRPr="009E427C">
        <w:rPr>
          <w:rFonts w:ascii="Book Antiqua" w:hAnsi="Book Antiqua"/>
          <w:sz w:val="24"/>
          <w:szCs w:val="24"/>
        </w:rPr>
        <w:t xml:space="preserve"> 1.5 h </w:t>
      </w:r>
      <w:r w:rsidR="00A64695" w:rsidRPr="00A64695">
        <w:rPr>
          <w:rFonts w:ascii="Book Antiqua" w:hAnsi="Book Antiqua" w:hint="eastAsia"/>
          <w:i/>
          <w:sz w:val="24"/>
          <w:szCs w:val="24"/>
          <w:lang w:eastAsia="zh-CN"/>
        </w:rPr>
        <w:t>vs</w:t>
      </w:r>
      <w:r w:rsidRPr="009E427C">
        <w:rPr>
          <w:rFonts w:ascii="Book Antiqua" w:hAnsi="Book Antiqua"/>
          <w:sz w:val="24"/>
          <w:szCs w:val="24"/>
        </w:rPr>
        <w:t xml:space="preserve"> 3 h, respectively</w:t>
      </w:r>
      <w:r w:rsidR="00CA2E51" w:rsidRPr="009E427C">
        <w:rPr>
          <w:rFonts w:ascii="Book Antiqua" w:hAnsi="Book Antiqua"/>
          <w:sz w:val="24"/>
          <w:szCs w:val="24"/>
        </w:rPr>
        <w:t xml:space="preserve">. </w:t>
      </w:r>
      <w:r w:rsidRPr="009E427C">
        <w:rPr>
          <w:rFonts w:ascii="Book Antiqua" w:hAnsi="Book Antiqua"/>
          <w:sz w:val="24"/>
          <w:szCs w:val="24"/>
        </w:rPr>
        <w:t>The AUC</w:t>
      </w:r>
      <w:r w:rsidRPr="009E427C">
        <w:rPr>
          <w:rFonts w:ascii="Book Antiqua" w:hAnsi="Book Antiqua"/>
          <w:sz w:val="24"/>
          <w:szCs w:val="24"/>
          <w:vertAlign w:val="subscript"/>
        </w:rPr>
        <w:t>0-24</w:t>
      </w:r>
      <w:r w:rsidRPr="009E427C">
        <w:rPr>
          <w:rFonts w:ascii="Book Antiqua" w:hAnsi="Book Antiqua"/>
          <w:sz w:val="24"/>
          <w:szCs w:val="24"/>
        </w:rPr>
        <w:t xml:space="preserve"> and </w:t>
      </w:r>
      <w:proofErr w:type="spellStart"/>
      <w:r w:rsidRPr="009E427C">
        <w:rPr>
          <w:rFonts w:ascii="Book Antiqua" w:hAnsi="Book Antiqua"/>
          <w:sz w:val="24"/>
          <w:szCs w:val="24"/>
        </w:rPr>
        <w:t>C</w:t>
      </w:r>
      <w:r w:rsidRPr="009E427C">
        <w:rPr>
          <w:rFonts w:ascii="Book Antiqua" w:hAnsi="Book Antiqua"/>
          <w:sz w:val="24"/>
          <w:szCs w:val="24"/>
          <w:vertAlign w:val="subscript"/>
        </w:rPr>
        <w:t>min</w:t>
      </w:r>
      <w:proofErr w:type="spellEnd"/>
      <w:r w:rsidRPr="009E427C">
        <w:rPr>
          <w:rFonts w:ascii="Book Antiqua" w:hAnsi="Book Antiqua"/>
          <w:sz w:val="24"/>
          <w:szCs w:val="24"/>
        </w:rPr>
        <w:t xml:space="preserve"> correlated well for both products.</w:t>
      </w:r>
      <w:r w:rsidR="00074195">
        <w:rPr>
          <w:rFonts w:ascii="Book Antiqua" w:hAnsi="Book Antiqua"/>
          <w:sz w:val="24"/>
          <w:szCs w:val="24"/>
        </w:rPr>
        <w:t xml:space="preserve"> </w:t>
      </w:r>
      <w:r w:rsidRPr="009E427C">
        <w:rPr>
          <w:rFonts w:ascii="Book Antiqua" w:hAnsi="Book Antiqua"/>
          <w:sz w:val="24"/>
          <w:szCs w:val="24"/>
        </w:rPr>
        <w:t>It was</w:t>
      </w:r>
      <w:r w:rsidR="00DF6FA2" w:rsidRPr="009E427C">
        <w:rPr>
          <w:rFonts w:ascii="Book Antiqua" w:hAnsi="Book Antiqua"/>
          <w:sz w:val="24"/>
          <w:szCs w:val="24"/>
        </w:rPr>
        <w:t xml:space="preserve"> noted that the mean tacrolimus-</w:t>
      </w:r>
      <w:r w:rsidRPr="009E427C">
        <w:rPr>
          <w:rFonts w:ascii="Book Antiqua" w:hAnsi="Book Antiqua"/>
          <w:sz w:val="24"/>
          <w:szCs w:val="24"/>
        </w:rPr>
        <w:t>BID dose (before switching) was 4.8</w:t>
      </w:r>
      <w:r w:rsidR="00F574DB">
        <w:rPr>
          <w:rFonts w:ascii="Book Antiqua" w:hAnsi="Book Antiqua" w:hint="eastAsia"/>
          <w:sz w:val="24"/>
          <w:szCs w:val="24"/>
          <w:lang w:eastAsia="zh-CN"/>
        </w:rPr>
        <w:t xml:space="preserve"> </w:t>
      </w:r>
      <w:r w:rsidRPr="009E427C">
        <w:rPr>
          <w:rFonts w:ascii="Book Antiqua" w:hAnsi="Book Antiqua"/>
          <w:sz w:val="24"/>
          <w:szCs w:val="24"/>
        </w:rPr>
        <w:t>±</w:t>
      </w:r>
      <w:r w:rsidR="00F574DB">
        <w:rPr>
          <w:rFonts w:ascii="Book Antiqua" w:hAnsi="Book Antiqua" w:hint="eastAsia"/>
          <w:sz w:val="24"/>
          <w:szCs w:val="24"/>
          <w:lang w:eastAsia="zh-CN"/>
        </w:rPr>
        <w:t xml:space="preserve"> </w:t>
      </w:r>
      <w:r w:rsidRPr="009E427C">
        <w:rPr>
          <w:rFonts w:ascii="Book Antiqua" w:hAnsi="Book Antiqua"/>
          <w:sz w:val="24"/>
          <w:szCs w:val="24"/>
        </w:rPr>
        <w:t>2.2</w:t>
      </w:r>
      <w:r w:rsidR="00F574DB">
        <w:rPr>
          <w:rFonts w:ascii="Book Antiqua" w:hAnsi="Book Antiqua" w:hint="eastAsia"/>
          <w:sz w:val="24"/>
          <w:szCs w:val="24"/>
          <w:lang w:eastAsia="zh-CN"/>
        </w:rPr>
        <w:t xml:space="preserve"> </w:t>
      </w:r>
      <w:r w:rsidRPr="009E427C">
        <w:rPr>
          <w:rFonts w:ascii="Book Antiqua" w:hAnsi="Book Antiqua"/>
          <w:sz w:val="24"/>
          <w:szCs w:val="24"/>
        </w:rPr>
        <w:t>mg.</w:t>
      </w:r>
      <w:r w:rsidR="00074195">
        <w:rPr>
          <w:rFonts w:ascii="Book Antiqua" w:hAnsi="Book Antiqua"/>
          <w:sz w:val="24"/>
          <w:szCs w:val="24"/>
        </w:rPr>
        <w:t xml:space="preserve"> </w:t>
      </w:r>
      <w:r w:rsidRPr="009E427C">
        <w:rPr>
          <w:rFonts w:ascii="Book Antiqua" w:hAnsi="Book Antiqua"/>
          <w:sz w:val="24"/>
          <w:szCs w:val="24"/>
        </w:rPr>
        <w:t xml:space="preserve">After switching to </w:t>
      </w:r>
      <w:r w:rsidR="00DF6FA2" w:rsidRPr="009E427C">
        <w:rPr>
          <w:rFonts w:ascii="Book Antiqua" w:hAnsi="Book Antiqua"/>
          <w:sz w:val="24"/>
          <w:szCs w:val="24"/>
        </w:rPr>
        <w:t>extended release tacrolimus</w:t>
      </w:r>
      <w:r w:rsidRPr="009E427C">
        <w:rPr>
          <w:rFonts w:ascii="Book Antiqua" w:hAnsi="Book Antiqua"/>
          <w:sz w:val="24"/>
          <w:szCs w:val="24"/>
        </w:rPr>
        <w:t xml:space="preserve">, </w:t>
      </w:r>
      <w:r w:rsidRPr="009E427C">
        <w:rPr>
          <w:rFonts w:ascii="Book Antiqua" w:hAnsi="Book Antiqua"/>
          <w:sz w:val="24"/>
          <w:szCs w:val="24"/>
        </w:rPr>
        <w:lastRenderedPageBreak/>
        <w:t>the mean dose increased to 5.2</w:t>
      </w:r>
      <w:r w:rsidR="001E5359">
        <w:rPr>
          <w:rFonts w:ascii="Book Antiqua" w:hAnsi="Book Antiqua" w:hint="eastAsia"/>
          <w:sz w:val="24"/>
          <w:szCs w:val="24"/>
          <w:lang w:eastAsia="zh-CN"/>
        </w:rPr>
        <w:t xml:space="preserve"> </w:t>
      </w:r>
      <w:r w:rsidRPr="009E427C">
        <w:rPr>
          <w:rFonts w:ascii="Book Antiqua" w:hAnsi="Book Antiqua"/>
          <w:sz w:val="24"/>
          <w:szCs w:val="24"/>
        </w:rPr>
        <w:t>±</w:t>
      </w:r>
      <w:r w:rsidR="001E5359">
        <w:rPr>
          <w:rFonts w:ascii="Book Antiqua" w:hAnsi="Book Antiqua" w:hint="eastAsia"/>
          <w:sz w:val="24"/>
          <w:szCs w:val="24"/>
          <w:lang w:eastAsia="zh-CN"/>
        </w:rPr>
        <w:t xml:space="preserve"> </w:t>
      </w:r>
      <w:r w:rsidRPr="009E427C">
        <w:rPr>
          <w:rFonts w:ascii="Book Antiqua" w:hAnsi="Book Antiqua"/>
          <w:sz w:val="24"/>
          <w:szCs w:val="24"/>
        </w:rPr>
        <w:t>2.6 on day 60, 5.4</w:t>
      </w:r>
      <w:r w:rsidR="001E5359">
        <w:rPr>
          <w:rFonts w:ascii="Book Antiqua" w:hAnsi="Book Antiqua" w:hint="eastAsia"/>
          <w:sz w:val="24"/>
          <w:szCs w:val="24"/>
          <w:lang w:eastAsia="zh-CN"/>
        </w:rPr>
        <w:t xml:space="preserve"> </w:t>
      </w:r>
      <w:r w:rsidRPr="009E427C">
        <w:rPr>
          <w:rFonts w:ascii="Book Antiqua" w:hAnsi="Book Antiqua"/>
          <w:sz w:val="24"/>
          <w:szCs w:val="24"/>
        </w:rPr>
        <w:t>±</w:t>
      </w:r>
      <w:r w:rsidR="001E5359">
        <w:rPr>
          <w:rFonts w:ascii="Book Antiqua" w:hAnsi="Book Antiqua" w:hint="eastAsia"/>
          <w:sz w:val="24"/>
          <w:szCs w:val="24"/>
          <w:lang w:eastAsia="zh-CN"/>
        </w:rPr>
        <w:t xml:space="preserve"> </w:t>
      </w:r>
      <w:r w:rsidRPr="009E427C">
        <w:rPr>
          <w:rFonts w:ascii="Book Antiqua" w:hAnsi="Book Antiqua"/>
          <w:sz w:val="24"/>
          <w:szCs w:val="24"/>
        </w:rPr>
        <w:t>3.0 mg on</w:t>
      </w:r>
      <w:r w:rsidR="00915EEA" w:rsidRPr="009E427C">
        <w:rPr>
          <w:rFonts w:ascii="Book Antiqua" w:hAnsi="Book Antiqua"/>
          <w:sz w:val="24"/>
          <w:szCs w:val="24"/>
        </w:rPr>
        <w:t xml:space="preserve"> day 90, and 5.6</w:t>
      </w:r>
      <w:r w:rsidR="001E5359">
        <w:rPr>
          <w:rFonts w:ascii="Book Antiqua" w:hAnsi="Book Antiqua" w:hint="eastAsia"/>
          <w:sz w:val="24"/>
          <w:szCs w:val="24"/>
          <w:lang w:eastAsia="zh-CN"/>
        </w:rPr>
        <w:t xml:space="preserve"> </w:t>
      </w:r>
      <w:r w:rsidR="00915EEA" w:rsidRPr="009E427C">
        <w:rPr>
          <w:rFonts w:ascii="Book Antiqua" w:hAnsi="Book Antiqua"/>
          <w:sz w:val="24"/>
          <w:szCs w:val="24"/>
        </w:rPr>
        <w:t>±</w:t>
      </w:r>
      <w:r w:rsidR="001E5359">
        <w:rPr>
          <w:rFonts w:ascii="Book Antiqua" w:hAnsi="Book Antiqua" w:hint="eastAsia"/>
          <w:sz w:val="24"/>
          <w:szCs w:val="24"/>
          <w:lang w:eastAsia="zh-CN"/>
        </w:rPr>
        <w:t xml:space="preserve"> </w:t>
      </w:r>
      <w:r w:rsidR="006B2BEC">
        <w:rPr>
          <w:rFonts w:ascii="Book Antiqua" w:hAnsi="Book Antiqua"/>
          <w:sz w:val="24"/>
          <w:szCs w:val="24"/>
        </w:rPr>
        <w:t>3.1 on day 180</w:t>
      </w:r>
      <w:r w:rsidR="005E2E7E" w:rsidRPr="009E427C">
        <w:rPr>
          <w:rFonts w:ascii="Book Antiqua" w:hAnsi="Book Antiqua"/>
          <w:sz w:val="24"/>
          <w:szCs w:val="24"/>
          <w:vertAlign w:val="superscript"/>
        </w:rPr>
        <w:t>[</w:t>
      </w:r>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Pr="009E427C">
        <w:rPr>
          <w:rFonts w:ascii="Book Antiqua" w:hAnsi="Book Antiqua"/>
          <w:sz w:val="24"/>
          <w:szCs w:val="24"/>
          <w:vertAlign w:val="superscript"/>
        </w:rPr>
        <w:t xml:space="preserve"> </w:t>
      </w:r>
    </w:p>
    <w:p w14:paraId="4FBCE021" w14:textId="38C31876" w:rsidR="00C93F00"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After 6 </w:t>
      </w:r>
      <w:proofErr w:type="spellStart"/>
      <w:proofErr w:type="gramStart"/>
      <w:r w:rsidRPr="009E427C">
        <w:rPr>
          <w:rFonts w:ascii="Book Antiqua" w:hAnsi="Book Antiqua"/>
          <w:sz w:val="24"/>
          <w:szCs w:val="24"/>
        </w:rPr>
        <w:t>mo</w:t>
      </w:r>
      <w:proofErr w:type="spellEnd"/>
      <w:proofErr w:type="gramEnd"/>
      <w:r w:rsidRPr="009E427C">
        <w:rPr>
          <w:rFonts w:ascii="Book Antiqua" w:hAnsi="Book Antiqua"/>
          <w:sz w:val="24"/>
          <w:szCs w:val="24"/>
        </w:rPr>
        <w:t>, 8 patients were on the same total dose, 4 patients required a 1</w:t>
      </w:r>
      <w:r w:rsidR="00DF6FA2" w:rsidRPr="009E427C">
        <w:rPr>
          <w:rFonts w:ascii="Book Antiqua" w:hAnsi="Book Antiqua"/>
          <w:sz w:val="24"/>
          <w:szCs w:val="24"/>
        </w:rPr>
        <w:t xml:space="preserve"> </w:t>
      </w:r>
      <w:r w:rsidRPr="009E427C">
        <w:rPr>
          <w:rFonts w:ascii="Book Antiqua" w:hAnsi="Book Antiqua"/>
          <w:sz w:val="24"/>
          <w:szCs w:val="24"/>
        </w:rPr>
        <w:t>mg reduction, 4 patients required a 1 mg increase, and 3 patients required more than a 1</w:t>
      </w:r>
      <w:r w:rsidR="00DF6FA2" w:rsidRPr="009E427C">
        <w:rPr>
          <w:rFonts w:ascii="Book Antiqua" w:hAnsi="Book Antiqua"/>
          <w:sz w:val="24"/>
          <w:szCs w:val="24"/>
        </w:rPr>
        <w:t xml:space="preserve"> </w:t>
      </w:r>
      <w:r w:rsidRPr="009E427C">
        <w:rPr>
          <w:rFonts w:ascii="Book Antiqua" w:hAnsi="Book Antiqua"/>
          <w:sz w:val="24"/>
          <w:szCs w:val="24"/>
        </w:rPr>
        <w:t>mg increase.</w:t>
      </w:r>
      <w:r w:rsidR="00074195">
        <w:rPr>
          <w:rFonts w:ascii="Book Antiqua" w:hAnsi="Book Antiqua"/>
          <w:sz w:val="24"/>
          <w:szCs w:val="24"/>
        </w:rPr>
        <w:t xml:space="preserve"> </w:t>
      </w:r>
      <w:r w:rsidRPr="009E427C">
        <w:rPr>
          <w:rFonts w:ascii="Book Antiqua" w:hAnsi="Book Antiqua"/>
          <w:sz w:val="24"/>
          <w:szCs w:val="24"/>
        </w:rPr>
        <w:t>Throughout the study period, 4 severe adverse events occurred (</w:t>
      </w:r>
      <w:proofErr w:type="spellStart"/>
      <w:r w:rsidRPr="009E427C">
        <w:rPr>
          <w:rFonts w:ascii="Book Antiqua" w:hAnsi="Book Antiqua"/>
          <w:sz w:val="24"/>
          <w:szCs w:val="24"/>
        </w:rPr>
        <w:t>lithiasic</w:t>
      </w:r>
      <w:proofErr w:type="spellEnd"/>
      <w:r w:rsidRPr="009E427C">
        <w:rPr>
          <w:rFonts w:ascii="Book Antiqua" w:hAnsi="Book Antiqua"/>
          <w:sz w:val="24"/>
          <w:szCs w:val="24"/>
        </w:rPr>
        <w:t xml:space="preserve"> pyelonephritis, urinary sepsis, acute cholecystitis, stroke). These were not </w:t>
      </w:r>
      <w:r w:rsidR="00DF6FA2" w:rsidRPr="009E427C">
        <w:rPr>
          <w:rFonts w:ascii="Book Antiqua" w:hAnsi="Book Antiqua"/>
          <w:sz w:val="24"/>
          <w:szCs w:val="24"/>
        </w:rPr>
        <w:t>considered related</w:t>
      </w:r>
      <w:r w:rsidRPr="009E427C">
        <w:rPr>
          <w:rFonts w:ascii="Book Antiqua" w:hAnsi="Book Antiqua"/>
          <w:sz w:val="24"/>
          <w:szCs w:val="24"/>
        </w:rPr>
        <w:t xml:space="preserve"> to </w:t>
      </w:r>
      <w:r w:rsidR="00DF6FA2" w:rsidRPr="009E427C">
        <w:rPr>
          <w:rFonts w:ascii="Book Antiqua" w:hAnsi="Book Antiqua"/>
          <w:sz w:val="24"/>
          <w:szCs w:val="24"/>
        </w:rPr>
        <w:t>extended release tacrolimus</w:t>
      </w:r>
      <w:r w:rsidRPr="009E427C">
        <w:rPr>
          <w:rFonts w:ascii="Book Antiqua" w:hAnsi="Book Antiqua"/>
          <w:sz w:val="24"/>
          <w:szCs w:val="24"/>
        </w:rPr>
        <w:t>.</w:t>
      </w:r>
      <w:r w:rsidR="00074195">
        <w:rPr>
          <w:rFonts w:ascii="Book Antiqua" w:hAnsi="Book Antiqua"/>
          <w:sz w:val="24"/>
          <w:szCs w:val="24"/>
        </w:rPr>
        <w:t xml:space="preserve"> </w:t>
      </w:r>
      <w:r w:rsidRPr="009E427C">
        <w:rPr>
          <w:rFonts w:ascii="Book Antiqua" w:hAnsi="Book Antiqua"/>
          <w:sz w:val="24"/>
          <w:szCs w:val="24"/>
        </w:rPr>
        <w:t>There were no episodes of ACR. This trial demonstrated that conv</w:t>
      </w:r>
      <w:r w:rsidR="00DF6FA2" w:rsidRPr="009E427C">
        <w:rPr>
          <w:rFonts w:ascii="Book Antiqua" w:hAnsi="Book Antiqua"/>
          <w:sz w:val="24"/>
          <w:szCs w:val="24"/>
        </w:rPr>
        <w:t>erting patients from tacrolimus-</w:t>
      </w:r>
      <w:r w:rsidRPr="009E427C">
        <w:rPr>
          <w:rFonts w:ascii="Book Antiqua" w:hAnsi="Book Antiqua"/>
          <w:sz w:val="24"/>
          <w:szCs w:val="24"/>
        </w:rPr>
        <w:t xml:space="preserve">BID to </w:t>
      </w:r>
      <w:r w:rsidR="00DF6FA2" w:rsidRPr="009E427C">
        <w:rPr>
          <w:rFonts w:ascii="Book Antiqua" w:hAnsi="Book Antiqua"/>
          <w:sz w:val="24"/>
          <w:szCs w:val="24"/>
        </w:rPr>
        <w:t>extended release tacrolimus</w:t>
      </w:r>
      <w:r w:rsidRPr="009E427C">
        <w:rPr>
          <w:rFonts w:ascii="Book Antiqua" w:hAnsi="Book Antiqua"/>
          <w:sz w:val="24"/>
          <w:szCs w:val="24"/>
        </w:rPr>
        <w:t xml:space="preserve"> on a 1:1 basis provides virtually identical drug exposure when analyzed by the AUC</w:t>
      </w:r>
      <w:r w:rsidRPr="009E427C">
        <w:rPr>
          <w:rFonts w:ascii="Book Antiqua" w:hAnsi="Book Antiqua"/>
          <w:sz w:val="24"/>
          <w:szCs w:val="24"/>
          <w:vertAlign w:val="subscript"/>
        </w:rPr>
        <w:t>0-24</w:t>
      </w:r>
      <w:r w:rsidRPr="009E427C">
        <w:rPr>
          <w:rFonts w:ascii="Book Antiqua" w:hAnsi="Book Antiqua"/>
          <w:sz w:val="24"/>
          <w:szCs w:val="24"/>
        </w:rPr>
        <w:t xml:space="preserve"> in </w:t>
      </w:r>
      <w:r w:rsidR="00DF6FA2" w:rsidRPr="009E427C">
        <w:rPr>
          <w:rFonts w:ascii="Book Antiqua" w:hAnsi="Book Antiqua"/>
          <w:sz w:val="24"/>
          <w:szCs w:val="24"/>
        </w:rPr>
        <w:t xml:space="preserve">the lung transplant </w:t>
      </w:r>
      <w:r w:rsidR="005015DD" w:rsidRPr="009E427C">
        <w:rPr>
          <w:rFonts w:ascii="Book Antiqua" w:hAnsi="Book Antiqua"/>
          <w:sz w:val="24"/>
          <w:szCs w:val="24"/>
        </w:rPr>
        <w:t>population;</w:t>
      </w:r>
      <w:r w:rsidR="00DF6FA2" w:rsidRPr="009E427C">
        <w:rPr>
          <w:rFonts w:ascii="Book Antiqua" w:hAnsi="Book Antiqua"/>
          <w:sz w:val="24"/>
          <w:szCs w:val="24"/>
        </w:rPr>
        <w:t xml:space="preserve"> h</w:t>
      </w:r>
      <w:r w:rsidRPr="009E427C">
        <w:rPr>
          <w:rFonts w:ascii="Book Antiqua" w:hAnsi="Book Antiqua"/>
          <w:sz w:val="24"/>
          <w:szCs w:val="24"/>
        </w:rPr>
        <w:t>owever,</w:t>
      </w:r>
      <w:r w:rsidR="00EE7410">
        <w:rPr>
          <w:rFonts w:ascii="Book Antiqua" w:hAnsi="Book Antiqua"/>
          <w:sz w:val="24"/>
          <w:szCs w:val="24"/>
        </w:rPr>
        <w:t xml:space="preserve"> long term outcomes are </w:t>
      </w:r>
      <w:proofErr w:type="gramStart"/>
      <w:r w:rsidR="00EE7410">
        <w:rPr>
          <w:rFonts w:ascii="Book Antiqua" w:hAnsi="Book Antiqua"/>
          <w:sz w:val="24"/>
          <w:szCs w:val="24"/>
        </w:rPr>
        <w:t>lacking</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1BEF345F" w14:textId="5A469ADA" w:rsidR="00C93F00" w:rsidRPr="009E427C" w:rsidRDefault="00C93F00" w:rsidP="00190C0B">
      <w:pPr>
        <w:spacing w:after="0" w:line="360" w:lineRule="auto"/>
        <w:ind w:firstLine="720"/>
        <w:jc w:val="both"/>
        <w:rPr>
          <w:rFonts w:ascii="Book Antiqua" w:hAnsi="Book Antiqua"/>
          <w:sz w:val="24"/>
          <w:szCs w:val="24"/>
          <w:lang w:eastAsia="zh-CN"/>
        </w:rPr>
      </w:pPr>
      <w:r w:rsidRPr="009E427C">
        <w:rPr>
          <w:rFonts w:ascii="Book Antiqua" w:hAnsi="Book Antiqua"/>
          <w:sz w:val="24"/>
          <w:szCs w:val="24"/>
        </w:rPr>
        <w:t xml:space="preserve">The second </w:t>
      </w:r>
      <w:r w:rsidR="005015DD" w:rsidRPr="009E427C">
        <w:rPr>
          <w:rFonts w:ascii="Book Antiqua" w:hAnsi="Book Antiqua"/>
          <w:sz w:val="24"/>
          <w:szCs w:val="24"/>
        </w:rPr>
        <w:t>trial</w:t>
      </w:r>
      <w:r w:rsidRPr="009E427C">
        <w:rPr>
          <w:rFonts w:ascii="Book Antiqua" w:hAnsi="Book Antiqua"/>
          <w:sz w:val="24"/>
          <w:szCs w:val="24"/>
        </w:rPr>
        <w:t xml:space="preserve"> </w:t>
      </w:r>
      <w:r w:rsidR="005015DD" w:rsidRPr="009E427C">
        <w:rPr>
          <w:rFonts w:ascii="Book Antiqua" w:hAnsi="Book Antiqua"/>
          <w:sz w:val="24"/>
          <w:szCs w:val="24"/>
        </w:rPr>
        <w:t>was a</w:t>
      </w:r>
      <w:r w:rsidR="00CA2E51" w:rsidRPr="009E427C">
        <w:rPr>
          <w:rFonts w:ascii="Book Antiqua" w:hAnsi="Book Antiqua"/>
          <w:sz w:val="24"/>
          <w:szCs w:val="24"/>
        </w:rPr>
        <w:t xml:space="preserve"> pharmacokinetic</w:t>
      </w:r>
      <w:r w:rsidR="00CA2E51" w:rsidRPr="009E427C">
        <w:rPr>
          <w:rStyle w:val="aa"/>
          <w:rFonts w:ascii="Book Antiqua" w:hAnsi="Book Antiqua"/>
          <w:sz w:val="24"/>
          <w:szCs w:val="24"/>
        </w:rPr>
        <w:t xml:space="preserve"> </w:t>
      </w:r>
      <w:r w:rsidRPr="009E427C">
        <w:rPr>
          <w:rFonts w:ascii="Book Antiqua" w:hAnsi="Book Antiqua"/>
          <w:sz w:val="24"/>
          <w:szCs w:val="24"/>
        </w:rPr>
        <w:t>study.</w:t>
      </w:r>
      <w:r w:rsidR="00074195">
        <w:rPr>
          <w:rFonts w:ascii="Book Antiqua" w:hAnsi="Book Antiqua"/>
          <w:sz w:val="24"/>
          <w:szCs w:val="24"/>
        </w:rPr>
        <w:t xml:space="preserve"> </w:t>
      </w:r>
      <w:r w:rsidRPr="009E427C">
        <w:rPr>
          <w:rFonts w:ascii="Book Antiqua" w:hAnsi="Book Antiqua"/>
          <w:sz w:val="24"/>
          <w:szCs w:val="24"/>
        </w:rPr>
        <w:t xml:space="preserve">However, it </w:t>
      </w:r>
      <w:r w:rsidR="0045191D" w:rsidRPr="009E427C">
        <w:rPr>
          <w:rFonts w:ascii="Book Antiqua" w:hAnsi="Book Antiqua"/>
          <w:sz w:val="24"/>
          <w:szCs w:val="24"/>
        </w:rPr>
        <w:t xml:space="preserve">included </w:t>
      </w:r>
      <w:r w:rsidRPr="009E427C">
        <w:rPr>
          <w:rFonts w:ascii="Book Antiqua" w:hAnsi="Book Antiqua"/>
          <w:sz w:val="24"/>
          <w:szCs w:val="24"/>
        </w:rPr>
        <w:t xml:space="preserve">only patients with </w:t>
      </w:r>
      <w:r w:rsidR="0045191D" w:rsidRPr="009E427C">
        <w:rPr>
          <w:rFonts w:ascii="Book Antiqua" w:hAnsi="Book Antiqua"/>
          <w:sz w:val="24"/>
          <w:szCs w:val="24"/>
        </w:rPr>
        <w:t>CF</w:t>
      </w:r>
      <w:r w:rsidRPr="009E427C">
        <w:rPr>
          <w:rFonts w:ascii="Book Antiqua" w:hAnsi="Book Antiqua"/>
          <w:sz w:val="24"/>
          <w:szCs w:val="24"/>
        </w:rPr>
        <w:t xml:space="preserve">, who were notably excluded in the previous trial. </w:t>
      </w:r>
      <w:r w:rsidR="0045191D" w:rsidRPr="009E427C">
        <w:rPr>
          <w:rFonts w:ascii="Book Antiqua" w:hAnsi="Book Antiqua"/>
          <w:sz w:val="24"/>
          <w:szCs w:val="24"/>
        </w:rPr>
        <w:t xml:space="preserve">Overall, </w:t>
      </w:r>
      <w:r w:rsidRPr="009E427C">
        <w:rPr>
          <w:rFonts w:ascii="Book Antiqua" w:hAnsi="Book Antiqua"/>
          <w:sz w:val="24"/>
          <w:szCs w:val="24"/>
        </w:rPr>
        <w:t>12 adult CF patients (7 men, 5 women) were enrolled. All patients were on a stable dose of tacrolimus BID upon entering the trial for at least 4 w</w:t>
      </w:r>
      <w:r w:rsidR="00C51D4A">
        <w:rPr>
          <w:rFonts w:ascii="Book Antiqua" w:hAnsi="Book Antiqua"/>
          <w:sz w:val="24"/>
          <w:szCs w:val="24"/>
        </w:rPr>
        <w:t>k</w:t>
      </w:r>
      <w:r w:rsidRPr="009E427C">
        <w:rPr>
          <w:rFonts w:ascii="Book Antiqua" w:hAnsi="Book Antiqua"/>
          <w:sz w:val="24"/>
          <w:szCs w:val="24"/>
        </w:rPr>
        <w:t xml:space="preserve">. After conversion to </w:t>
      </w:r>
      <w:r w:rsidR="00DF6FA2" w:rsidRPr="009E427C">
        <w:rPr>
          <w:rFonts w:ascii="Book Antiqua" w:hAnsi="Book Antiqua"/>
          <w:sz w:val="24"/>
          <w:szCs w:val="24"/>
        </w:rPr>
        <w:t>extended release tacrolimus</w:t>
      </w:r>
      <w:r w:rsidRPr="009E427C">
        <w:rPr>
          <w:rFonts w:ascii="Book Antiqua" w:hAnsi="Book Antiqua"/>
          <w:sz w:val="24"/>
          <w:szCs w:val="24"/>
        </w:rPr>
        <w:t xml:space="preserve"> on a 1:1 basis, doses were once again titrated to</w:t>
      </w:r>
      <w:r w:rsidR="00DF6FA2" w:rsidRPr="009E427C">
        <w:rPr>
          <w:rFonts w:ascii="Book Antiqua" w:hAnsi="Book Antiqua"/>
          <w:sz w:val="24"/>
          <w:szCs w:val="24"/>
        </w:rPr>
        <w:t xml:space="preserve"> achieve a therapeutic trough</w:t>
      </w:r>
      <w:r w:rsidR="00915EEA" w:rsidRPr="009E427C">
        <w:rPr>
          <w:rFonts w:ascii="Book Antiqua" w:hAnsi="Book Antiqua"/>
          <w:sz w:val="24"/>
          <w:szCs w:val="24"/>
        </w:rPr>
        <w:t xml:space="preserve"> of 10</w:t>
      </w:r>
      <w:r w:rsidR="001E5359">
        <w:rPr>
          <w:rFonts w:ascii="Book Antiqua" w:hAnsi="Book Antiqua" w:hint="eastAsia"/>
          <w:sz w:val="24"/>
          <w:szCs w:val="24"/>
          <w:lang w:eastAsia="zh-CN"/>
        </w:rPr>
        <w:t>-</w:t>
      </w:r>
      <w:r w:rsidR="001E5359">
        <w:rPr>
          <w:rFonts w:ascii="Book Antiqua" w:hAnsi="Book Antiqua"/>
          <w:sz w:val="24"/>
          <w:szCs w:val="24"/>
        </w:rPr>
        <w:t>15 ng/</w:t>
      </w:r>
      <w:proofErr w:type="gramStart"/>
      <w:r w:rsidR="001E5359">
        <w:rPr>
          <w:rFonts w:ascii="Book Antiqua" w:hAnsi="Book Antiqua"/>
          <w:sz w:val="24"/>
          <w:szCs w:val="24"/>
        </w:rPr>
        <w:t>mL</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15382E7E" w14:textId="62141DD9" w:rsidR="00A432AE" w:rsidRPr="009E427C" w:rsidRDefault="00C93F00"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 xml:space="preserve">Nine (82%) of the patients required a significant dose adjustment after conversion to </w:t>
      </w:r>
      <w:r w:rsidR="00DF6FA2" w:rsidRPr="009E427C">
        <w:rPr>
          <w:rFonts w:ascii="Book Antiqua" w:hAnsi="Book Antiqua"/>
          <w:sz w:val="24"/>
          <w:szCs w:val="24"/>
        </w:rPr>
        <w:t>extended release tacrolimus</w:t>
      </w:r>
      <w:r w:rsidRPr="009E427C">
        <w:rPr>
          <w:rFonts w:ascii="Book Antiqua" w:hAnsi="Book Antiqua"/>
          <w:sz w:val="24"/>
          <w:szCs w:val="24"/>
        </w:rPr>
        <w:t>. Percentage increases ranged from 28 – 66.7%.</w:t>
      </w:r>
      <w:r w:rsidR="00074195">
        <w:rPr>
          <w:rFonts w:ascii="Book Antiqua" w:hAnsi="Book Antiqua"/>
          <w:sz w:val="24"/>
          <w:szCs w:val="24"/>
        </w:rPr>
        <w:t xml:space="preserve"> </w:t>
      </w:r>
      <w:r w:rsidRPr="009E427C">
        <w:rPr>
          <w:rFonts w:ascii="Book Antiqua" w:hAnsi="Book Antiqua"/>
          <w:sz w:val="24"/>
          <w:szCs w:val="24"/>
        </w:rPr>
        <w:t>The mea</w:t>
      </w:r>
      <w:r w:rsidR="00DF6FA2" w:rsidRPr="009E427C">
        <w:rPr>
          <w:rFonts w:ascii="Book Antiqua" w:hAnsi="Book Antiqua"/>
          <w:sz w:val="24"/>
          <w:szCs w:val="24"/>
        </w:rPr>
        <w:t>n (SD) daily dose of tacrolimus-</w:t>
      </w:r>
      <w:r w:rsidRPr="009E427C">
        <w:rPr>
          <w:rFonts w:ascii="Book Antiqua" w:hAnsi="Book Antiqua"/>
          <w:sz w:val="24"/>
          <w:szCs w:val="24"/>
        </w:rPr>
        <w:t xml:space="preserve">BID upon enrollment was 0.17 (0.10)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xml:space="preserve"> and this increased to 0.22 (0.12)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xml:space="preserve"> after switching to </w:t>
      </w:r>
      <w:r w:rsidR="00DF6FA2" w:rsidRPr="009E427C">
        <w:rPr>
          <w:rFonts w:ascii="Book Antiqua" w:hAnsi="Book Antiqua"/>
          <w:sz w:val="24"/>
          <w:szCs w:val="24"/>
        </w:rPr>
        <w:t>extended release tacrolimus</w:t>
      </w:r>
      <w:r w:rsidRPr="009E427C">
        <w:rPr>
          <w:rFonts w:ascii="Book Antiqua" w:hAnsi="Book Antiqua"/>
          <w:sz w:val="24"/>
          <w:szCs w:val="24"/>
        </w:rPr>
        <w:t>. The mean (SD) AUC</w:t>
      </w:r>
      <w:r w:rsidRPr="009E427C">
        <w:rPr>
          <w:rFonts w:ascii="Book Antiqua" w:hAnsi="Book Antiqua"/>
          <w:sz w:val="24"/>
          <w:szCs w:val="24"/>
          <w:vertAlign w:val="subscript"/>
        </w:rPr>
        <w:t xml:space="preserve">0-24 </w:t>
      </w:r>
      <w:r w:rsidRPr="009E427C">
        <w:rPr>
          <w:rFonts w:ascii="Book Antiqua" w:hAnsi="Book Antiqua"/>
          <w:sz w:val="24"/>
          <w:szCs w:val="24"/>
        </w:rPr>
        <w:t xml:space="preserve">for tacrolimus BID was 414.28 (159.43) ng h/mL </w:t>
      </w:r>
      <w:r w:rsidR="00A64695" w:rsidRPr="00A64695">
        <w:rPr>
          <w:rFonts w:ascii="Book Antiqua" w:hAnsi="Book Antiqua" w:hint="eastAsia"/>
          <w:i/>
          <w:sz w:val="24"/>
          <w:szCs w:val="24"/>
          <w:lang w:eastAsia="zh-CN"/>
        </w:rPr>
        <w:t>vs</w:t>
      </w:r>
      <w:r w:rsidRPr="009E427C">
        <w:rPr>
          <w:rFonts w:ascii="Book Antiqua" w:hAnsi="Book Antiqua"/>
          <w:sz w:val="24"/>
          <w:szCs w:val="24"/>
        </w:rPr>
        <w:t xml:space="preserve"> 388.88 (104.05) ng h/mL for </w:t>
      </w:r>
      <w:r w:rsidR="00DF6FA2" w:rsidRPr="009E427C">
        <w:rPr>
          <w:rFonts w:ascii="Book Antiqua" w:hAnsi="Book Antiqua"/>
          <w:sz w:val="24"/>
          <w:szCs w:val="24"/>
        </w:rPr>
        <w:t>extended release tacrolimus</w:t>
      </w:r>
      <w:r w:rsidR="00DE5AE2">
        <w:rPr>
          <w:rFonts w:ascii="Book Antiqua" w:hAnsi="Book Antiqua"/>
          <w:sz w:val="24"/>
          <w:szCs w:val="24"/>
        </w:rPr>
        <w:t xml:space="preserve"> after </w:t>
      </w:r>
      <w:proofErr w:type="gramStart"/>
      <w:r w:rsidR="00DE5AE2">
        <w:rPr>
          <w:rFonts w:ascii="Book Antiqua" w:hAnsi="Book Antiqua"/>
          <w:sz w:val="24"/>
          <w:szCs w:val="24"/>
        </w:rPr>
        <w:t>switching</w:t>
      </w:r>
      <w:r w:rsidR="005E2E7E" w:rsidRPr="009E427C">
        <w:rPr>
          <w:rFonts w:ascii="Book Antiqua" w:hAnsi="Book Antiqua"/>
          <w:sz w:val="24"/>
          <w:szCs w:val="24"/>
          <w:vertAlign w:val="superscript"/>
        </w:rPr>
        <w:t>[</w:t>
      </w:r>
      <w:proofErr w:type="gramEnd"/>
      <w:r w:rsidR="00797EE8" w:rsidRPr="009E427C">
        <w:rPr>
          <w:rFonts w:ascii="Book Antiqua" w:hAnsi="Book Antiqua"/>
          <w:sz w:val="24"/>
          <w:szCs w:val="24"/>
          <w:vertAlign w:val="superscript"/>
        </w:rPr>
        <w:t>3</w:t>
      </w:r>
      <w:r w:rsidR="004645FE" w:rsidRPr="009E427C">
        <w:rPr>
          <w:rFonts w:ascii="Book Antiqua" w:hAnsi="Book Antiqua"/>
          <w:sz w:val="24"/>
          <w:szCs w:val="24"/>
          <w:vertAlign w:val="superscript"/>
        </w:rPr>
        <w:t>2</w:t>
      </w:r>
      <w:r w:rsidR="005E2E7E" w:rsidRPr="009E427C">
        <w:rPr>
          <w:rFonts w:ascii="Book Antiqua" w:hAnsi="Book Antiqua"/>
          <w:sz w:val="24"/>
          <w:szCs w:val="24"/>
          <w:vertAlign w:val="superscript"/>
        </w:rPr>
        <w:t>]</w:t>
      </w:r>
      <w:r w:rsidR="00DE5AE2">
        <w:rPr>
          <w:rFonts w:ascii="Book Antiqua" w:hAnsi="Book Antiqua" w:hint="eastAsia"/>
          <w:sz w:val="24"/>
          <w:szCs w:val="24"/>
          <w:lang w:eastAsia="zh-CN"/>
        </w:rPr>
        <w:t>.</w:t>
      </w:r>
      <w:r w:rsidRPr="009E427C">
        <w:rPr>
          <w:rFonts w:ascii="Book Antiqua" w:hAnsi="Book Antiqua"/>
          <w:sz w:val="24"/>
          <w:szCs w:val="24"/>
          <w:vertAlign w:val="superscript"/>
        </w:rPr>
        <w:t xml:space="preserve"> </w:t>
      </w:r>
      <w:r w:rsidRPr="009E427C">
        <w:rPr>
          <w:rFonts w:ascii="Book Antiqua" w:hAnsi="Book Antiqua"/>
          <w:sz w:val="24"/>
          <w:szCs w:val="24"/>
        </w:rPr>
        <w:t xml:space="preserve">During the study and follow up no episodes of ACR were noted. This trial demonstrated that </w:t>
      </w:r>
      <w:r w:rsidR="00DF6FA2" w:rsidRPr="009E427C">
        <w:rPr>
          <w:rFonts w:ascii="Book Antiqua" w:hAnsi="Book Antiqua"/>
          <w:sz w:val="24"/>
          <w:szCs w:val="24"/>
        </w:rPr>
        <w:t>extended release tacrolimus</w:t>
      </w:r>
      <w:r w:rsidRPr="009E427C">
        <w:rPr>
          <w:rFonts w:ascii="Book Antiqua" w:hAnsi="Book Antiqua"/>
          <w:sz w:val="24"/>
          <w:szCs w:val="24"/>
        </w:rPr>
        <w:t xml:space="preserve"> is a possible alternative in CF patients, however, on average they need a 28% increase in dose and the range of the increase can be up to 67%.</w:t>
      </w:r>
      <w:r w:rsidR="00074195">
        <w:rPr>
          <w:rFonts w:ascii="Book Antiqua" w:hAnsi="Book Antiqua"/>
          <w:sz w:val="24"/>
          <w:szCs w:val="24"/>
        </w:rPr>
        <w:t xml:space="preserve"> </w:t>
      </w:r>
      <w:r w:rsidRPr="009E427C">
        <w:rPr>
          <w:rFonts w:ascii="Book Antiqua" w:hAnsi="Book Antiqua"/>
          <w:sz w:val="24"/>
          <w:szCs w:val="24"/>
        </w:rPr>
        <w:t>This is in contrast with the previous study of non-CF lung transplant recipients who can safely be converted on a 1:1 basis.</w:t>
      </w:r>
      <w:r w:rsidR="00074195">
        <w:rPr>
          <w:rFonts w:ascii="Book Antiqua" w:hAnsi="Book Antiqua"/>
          <w:sz w:val="24"/>
          <w:szCs w:val="24"/>
        </w:rPr>
        <w:t xml:space="preserve"> </w:t>
      </w:r>
      <w:r w:rsidRPr="009E427C">
        <w:rPr>
          <w:rFonts w:ascii="Book Antiqua" w:hAnsi="Book Antiqua"/>
          <w:sz w:val="24"/>
          <w:szCs w:val="24"/>
        </w:rPr>
        <w:t xml:space="preserve">Long term data is still needed in CF as well with </w:t>
      </w:r>
      <w:r w:rsidR="00DF6FA2" w:rsidRPr="009E427C">
        <w:rPr>
          <w:rFonts w:ascii="Book Antiqua" w:hAnsi="Book Antiqua"/>
          <w:sz w:val="24"/>
          <w:szCs w:val="24"/>
        </w:rPr>
        <w:t xml:space="preserve">extended release </w:t>
      </w:r>
      <w:proofErr w:type="gramStart"/>
      <w:r w:rsidR="00DF6FA2" w:rsidRPr="009E427C">
        <w:rPr>
          <w:rFonts w:ascii="Book Antiqua" w:hAnsi="Book Antiqua"/>
          <w:sz w:val="24"/>
          <w:szCs w:val="24"/>
        </w:rPr>
        <w:t>tacrolimus</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7CB70344" w14:textId="77777777" w:rsidR="00915EEA" w:rsidRPr="009E427C" w:rsidRDefault="00915EEA" w:rsidP="00190C0B">
      <w:pPr>
        <w:spacing w:after="0" w:line="360" w:lineRule="auto"/>
        <w:jc w:val="both"/>
        <w:rPr>
          <w:rFonts w:ascii="Book Antiqua" w:hAnsi="Book Antiqua"/>
          <w:b/>
          <w:sz w:val="24"/>
          <w:szCs w:val="24"/>
        </w:rPr>
      </w:pPr>
    </w:p>
    <w:p w14:paraId="206AF5F4" w14:textId="5EFD7FD2" w:rsidR="00176EBE"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PHARMACOKINETIC CONSIDERATION</w:t>
      </w:r>
    </w:p>
    <w:p w14:paraId="031B13DE" w14:textId="36956E77" w:rsidR="00176EBE" w:rsidRPr="009E427C" w:rsidRDefault="00176EBE" w:rsidP="00190C0B">
      <w:pPr>
        <w:spacing w:after="0" w:line="360" w:lineRule="auto"/>
        <w:jc w:val="both"/>
        <w:rPr>
          <w:rFonts w:ascii="Book Antiqua" w:hAnsi="Book Antiqua"/>
          <w:sz w:val="24"/>
          <w:szCs w:val="24"/>
        </w:rPr>
      </w:pPr>
      <w:r w:rsidRPr="009E427C">
        <w:rPr>
          <w:rFonts w:ascii="Book Antiqua" w:hAnsi="Book Antiqua"/>
          <w:sz w:val="24"/>
          <w:szCs w:val="24"/>
        </w:rPr>
        <w:t>The effect of medication adherence to immunosuppressive therapies on risk of acute rejection and graft loss is well documented and has signi</w:t>
      </w:r>
      <w:r w:rsidR="00F12F80">
        <w:rPr>
          <w:rFonts w:ascii="Book Antiqua" w:hAnsi="Book Antiqua"/>
          <w:sz w:val="24"/>
          <w:szCs w:val="24"/>
        </w:rPr>
        <w:t xml:space="preserve">ficant impact on graft </w:t>
      </w:r>
      <w:proofErr w:type="gramStart"/>
      <w:r w:rsidR="00F12F80">
        <w:rPr>
          <w:rFonts w:ascii="Book Antiqua" w:hAnsi="Book Antiqua"/>
          <w:sz w:val="24"/>
          <w:szCs w:val="24"/>
        </w:rPr>
        <w:t>survival</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4</w:t>
      </w:r>
      <w:r w:rsidR="005E2E7E" w:rsidRPr="009E427C">
        <w:rPr>
          <w:rFonts w:ascii="Book Antiqua" w:hAnsi="Book Antiqua"/>
          <w:sz w:val="24"/>
          <w:szCs w:val="24"/>
          <w:vertAlign w:val="superscript"/>
        </w:rPr>
        <w:t>]</w:t>
      </w:r>
      <w:r w:rsidR="00F12F80">
        <w:rPr>
          <w:rFonts w:ascii="Book Antiqua" w:hAnsi="Book Antiqua" w:hint="eastAsia"/>
          <w:sz w:val="24"/>
          <w:szCs w:val="24"/>
          <w:lang w:eastAsia="zh-CN"/>
        </w:rPr>
        <w:t>.</w:t>
      </w:r>
      <w:r w:rsidRPr="009E427C">
        <w:rPr>
          <w:rFonts w:ascii="Book Antiqua" w:hAnsi="Book Antiqua"/>
          <w:sz w:val="24"/>
          <w:szCs w:val="24"/>
        </w:rPr>
        <w:t xml:space="preserve"> A 2004 meta-analysis evaluated the frequency of and effect of immunosuppressive non-adherence in renal transplant recipients and found non-adherent patients were 7.1 times more likely to experience graft f</w:t>
      </w:r>
      <w:r w:rsidR="00F12F80">
        <w:rPr>
          <w:rFonts w:ascii="Book Antiqua" w:hAnsi="Book Antiqua"/>
          <w:sz w:val="24"/>
          <w:szCs w:val="24"/>
        </w:rPr>
        <w:t xml:space="preserve">ailure than adherent </w:t>
      </w:r>
      <w:proofErr w:type="gramStart"/>
      <w:r w:rsidR="00F12F80">
        <w:rPr>
          <w:rFonts w:ascii="Book Antiqua" w:hAnsi="Book Antiqua"/>
          <w:sz w:val="24"/>
          <w:szCs w:val="24"/>
        </w:rPr>
        <w:t>patients</w:t>
      </w:r>
      <w:r w:rsidR="00F12F80" w:rsidRPr="00F12F80">
        <w:rPr>
          <w:rFonts w:ascii="Book Antiqua" w:hAnsi="Book Antiqua" w:hint="eastAsia"/>
          <w:sz w:val="24"/>
          <w:szCs w:val="24"/>
          <w:vertAlign w:val="superscript"/>
          <w:lang w:eastAsia="zh-CN"/>
        </w:rPr>
        <w:t>[</w:t>
      </w:r>
      <w:proofErr w:type="gramEnd"/>
      <w:r w:rsidRPr="00F12F80">
        <w:rPr>
          <w:rFonts w:ascii="Book Antiqua" w:hAnsi="Book Antiqua"/>
          <w:sz w:val="24"/>
          <w:szCs w:val="24"/>
          <w:vertAlign w:val="superscript"/>
        </w:rPr>
        <w:t>3</w:t>
      </w:r>
      <w:r w:rsidR="00AC17DE" w:rsidRPr="00F12F80">
        <w:rPr>
          <w:rFonts w:ascii="Book Antiqua" w:hAnsi="Book Antiqua"/>
          <w:sz w:val="24"/>
          <w:szCs w:val="24"/>
          <w:vertAlign w:val="superscript"/>
        </w:rPr>
        <w:t>4</w:t>
      </w:r>
      <w:r w:rsidR="00F12F80" w:rsidRPr="00F12F80">
        <w:rPr>
          <w:rFonts w:ascii="Book Antiqua" w:hAnsi="Book Antiqua" w:hint="eastAsia"/>
          <w:sz w:val="24"/>
          <w:szCs w:val="24"/>
          <w:vertAlign w:val="superscript"/>
          <w:lang w:eastAsia="zh-CN"/>
        </w:rPr>
        <w:t>]</w:t>
      </w:r>
      <w:r w:rsidR="00F12F80">
        <w:rPr>
          <w:rFonts w:ascii="Book Antiqua" w:hAnsi="Book Antiqua" w:hint="eastAsia"/>
          <w:sz w:val="24"/>
          <w:szCs w:val="24"/>
          <w:lang w:eastAsia="zh-CN"/>
        </w:rPr>
        <w:t>.</w:t>
      </w:r>
      <w:r w:rsidRPr="009E427C">
        <w:rPr>
          <w:rFonts w:ascii="Book Antiqua" w:hAnsi="Book Antiqua"/>
          <w:sz w:val="24"/>
          <w:szCs w:val="24"/>
        </w:rPr>
        <w:t xml:space="preserve"> The most common types of nonadherence seen in the meta-analysis was missing, forgetting, or altering a dose at least once per month.</w:t>
      </w:r>
      <w:r w:rsidR="00074195">
        <w:rPr>
          <w:rFonts w:ascii="Book Antiqua" w:hAnsi="Book Antiqua"/>
          <w:sz w:val="24"/>
          <w:szCs w:val="24"/>
        </w:rPr>
        <w:t xml:space="preserve"> </w:t>
      </w:r>
      <w:r w:rsidRPr="009E427C">
        <w:rPr>
          <w:rFonts w:ascii="Book Antiqua" w:hAnsi="Book Antiqua"/>
          <w:sz w:val="24"/>
          <w:szCs w:val="24"/>
        </w:rPr>
        <w:t xml:space="preserve">A 2012 study conducted in France demonstrated an inverse relationship between the number of immunosuppressant medications and the proportion of patients with high adherence to </w:t>
      </w:r>
      <w:r w:rsidR="00F12F80">
        <w:rPr>
          <w:rFonts w:ascii="Book Antiqua" w:hAnsi="Book Antiqua"/>
          <w:sz w:val="24"/>
          <w:szCs w:val="24"/>
        </w:rPr>
        <w:t xml:space="preserve">the </w:t>
      </w:r>
      <w:proofErr w:type="gramStart"/>
      <w:r w:rsidR="00F12F80">
        <w:rPr>
          <w:rFonts w:ascii="Book Antiqua" w:hAnsi="Book Antiqua"/>
          <w:sz w:val="24"/>
          <w:szCs w:val="24"/>
        </w:rPr>
        <w:t>medications</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5</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Pr="009E427C">
        <w:rPr>
          <w:rFonts w:ascii="Book Antiqua" w:hAnsi="Book Antiqua"/>
          <w:sz w:val="24"/>
          <w:szCs w:val="24"/>
        </w:rPr>
        <w:t xml:space="preserve"> Additional predictors of non-adherence were dosing frequency and medication regimen complexity.</w:t>
      </w:r>
    </w:p>
    <w:p w14:paraId="65933AAE" w14:textId="45608A05" w:rsidR="00176EBE" w:rsidRPr="009E427C" w:rsidRDefault="00176E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Additional studies have found a link between high m</w:t>
      </w:r>
      <w:r w:rsidR="00E024CD" w:rsidRPr="009E427C">
        <w:rPr>
          <w:rFonts w:ascii="Book Antiqua" w:hAnsi="Book Antiqua"/>
          <w:sz w:val="24"/>
          <w:szCs w:val="24"/>
        </w:rPr>
        <w:t xml:space="preserve">edication-possession ratio </w:t>
      </w:r>
      <w:r w:rsidR="005E2E7E" w:rsidRPr="009E427C">
        <w:rPr>
          <w:rFonts w:ascii="Book Antiqua" w:hAnsi="Book Antiqua"/>
          <w:sz w:val="24"/>
          <w:szCs w:val="24"/>
        </w:rPr>
        <w:t xml:space="preserve">and lower risk of graft </w:t>
      </w:r>
      <w:proofErr w:type="gramStart"/>
      <w:r w:rsidR="005E2E7E" w:rsidRPr="009E427C">
        <w:rPr>
          <w:rFonts w:ascii="Book Antiqua" w:hAnsi="Book Antiqua"/>
          <w:sz w:val="24"/>
          <w:szCs w:val="24"/>
        </w:rPr>
        <w:t>failure</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6</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Pr="009E427C">
        <w:rPr>
          <w:rFonts w:ascii="Book Antiqua" w:hAnsi="Book Antiqua"/>
          <w:sz w:val="24"/>
          <w:szCs w:val="24"/>
        </w:rPr>
        <w:t xml:space="preserve"> Persistent non-compliance has been associated with increased immunosuppression and non-immunosuppression costs with persistently non-compliant patients experiencing 3-year medical costs of approximately $33,000 more than pat</w:t>
      </w:r>
      <w:r w:rsidR="00996519">
        <w:rPr>
          <w:rFonts w:ascii="Book Antiqua" w:hAnsi="Book Antiqua"/>
          <w:sz w:val="24"/>
          <w:szCs w:val="24"/>
        </w:rPr>
        <w:t xml:space="preserve">ients with excellent </w:t>
      </w:r>
      <w:proofErr w:type="gramStart"/>
      <w:r w:rsidR="00996519">
        <w:rPr>
          <w:rFonts w:ascii="Book Antiqua" w:hAnsi="Book Antiqua"/>
          <w:sz w:val="24"/>
          <w:szCs w:val="24"/>
        </w:rPr>
        <w:t>compliance</w:t>
      </w:r>
      <w:r w:rsidR="005E2E7E" w:rsidRPr="009E427C">
        <w:rPr>
          <w:rFonts w:ascii="Book Antiqua" w:hAnsi="Book Antiqua"/>
          <w:sz w:val="24"/>
          <w:szCs w:val="24"/>
          <w:vertAlign w:val="superscript"/>
        </w:rPr>
        <w:t>[</w:t>
      </w:r>
      <w:proofErr w:type="gramEnd"/>
      <w:r w:rsidRPr="009E427C">
        <w:rPr>
          <w:rFonts w:ascii="Book Antiqua" w:hAnsi="Book Antiqua"/>
          <w:sz w:val="24"/>
          <w:szCs w:val="24"/>
          <w:vertAlign w:val="superscript"/>
        </w:rPr>
        <w:t>3</w:t>
      </w:r>
      <w:r w:rsidR="00AC17DE" w:rsidRPr="009E427C">
        <w:rPr>
          <w:rFonts w:ascii="Book Antiqua" w:hAnsi="Book Antiqua"/>
          <w:sz w:val="24"/>
          <w:szCs w:val="24"/>
          <w:vertAlign w:val="superscript"/>
        </w:rPr>
        <w:t>6</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5C3F124E" w14:textId="193B9046" w:rsidR="00176EBE" w:rsidRPr="009E427C" w:rsidRDefault="00176E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A 2014 study of renal transplant patients in the United Kingdom examined the budgetary impact of switching from tacrolimus-BID to extended release tacroli</w:t>
      </w:r>
      <w:r w:rsidR="00915EEA" w:rsidRPr="009E427C">
        <w:rPr>
          <w:rFonts w:ascii="Book Antiqua" w:hAnsi="Book Antiqua"/>
          <w:sz w:val="24"/>
          <w:szCs w:val="24"/>
        </w:rPr>
        <w:t xml:space="preserve">mus using a budget-impact </w:t>
      </w:r>
      <w:proofErr w:type="gramStart"/>
      <w:r w:rsidR="00915EEA" w:rsidRPr="009E427C">
        <w:rPr>
          <w:rFonts w:ascii="Book Antiqua" w:hAnsi="Book Antiqua"/>
          <w:sz w:val="24"/>
          <w:szCs w:val="24"/>
        </w:rPr>
        <w:t>mode</w:t>
      </w:r>
      <w:r w:rsidR="00996519">
        <w:rPr>
          <w:rFonts w:ascii="Book Antiqua" w:hAnsi="Book Antiqua"/>
          <w:sz w:val="24"/>
          <w:szCs w:val="24"/>
        </w:rPr>
        <w:t>l</w:t>
      </w:r>
      <w:r w:rsidR="00915EEA"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4</w:t>
      </w:r>
      <w:r w:rsidR="00915EEA" w:rsidRPr="009E427C">
        <w:rPr>
          <w:rFonts w:ascii="Book Antiqua" w:hAnsi="Book Antiqua"/>
          <w:sz w:val="24"/>
          <w:szCs w:val="24"/>
          <w:vertAlign w:val="superscript"/>
        </w:rPr>
        <w:t>]</w:t>
      </w:r>
      <w:r w:rsidR="00915EEA" w:rsidRPr="009E427C">
        <w:rPr>
          <w:rFonts w:ascii="Book Antiqua" w:hAnsi="Book Antiqua"/>
          <w:sz w:val="24"/>
          <w:szCs w:val="24"/>
        </w:rPr>
        <w:t>.</w:t>
      </w:r>
      <w:r w:rsidRPr="009E427C">
        <w:rPr>
          <w:rFonts w:ascii="Book Antiqua" w:hAnsi="Book Antiqua"/>
          <w:sz w:val="24"/>
          <w:szCs w:val="24"/>
        </w:rPr>
        <w:t xml:space="preserve"> The model assumed that patients were taking a tacrolimus dose of 0.075 </w:t>
      </w:r>
      <w:r w:rsidR="00413D37" w:rsidRPr="009E427C">
        <w:rPr>
          <w:rFonts w:ascii="Book Antiqua" w:hAnsi="Book Antiqua"/>
          <w:sz w:val="24"/>
          <w:szCs w:val="24"/>
        </w:rPr>
        <w:t>mg/kg</w:t>
      </w:r>
      <w:r w:rsidR="00413D37">
        <w:rPr>
          <w:rFonts w:ascii="Book Antiqua" w:hAnsi="Book Antiqua" w:hint="eastAsia"/>
          <w:sz w:val="24"/>
          <w:szCs w:val="24"/>
          <w:lang w:eastAsia="zh-CN"/>
        </w:rPr>
        <w:t xml:space="preserve"> per day</w:t>
      </w:r>
      <w:r w:rsidRPr="009E427C">
        <w:rPr>
          <w:rFonts w:ascii="Book Antiqua" w:hAnsi="Book Antiqua"/>
          <w:sz w:val="24"/>
          <w:szCs w:val="24"/>
        </w:rPr>
        <w:t xml:space="preserve"> 1 year post-transplant and that patients were taking concurrent MMF and cortic</w:t>
      </w:r>
      <w:r w:rsidR="00413D37">
        <w:rPr>
          <w:rFonts w:ascii="Book Antiqua" w:hAnsi="Book Antiqua"/>
          <w:sz w:val="24"/>
          <w:szCs w:val="24"/>
        </w:rPr>
        <w:t xml:space="preserve">osteroids based on a 2010 </w:t>
      </w:r>
      <w:proofErr w:type="gramStart"/>
      <w:r w:rsidR="00413D37">
        <w:rPr>
          <w:rFonts w:ascii="Book Antiqua" w:hAnsi="Book Antiqua"/>
          <w:sz w:val="24"/>
          <w:szCs w:val="24"/>
        </w:rPr>
        <w:t>study</w:t>
      </w:r>
      <w:r w:rsidR="005E2E7E" w:rsidRPr="009E427C">
        <w:rPr>
          <w:rFonts w:ascii="Book Antiqua" w:hAnsi="Book Antiqua"/>
          <w:sz w:val="24"/>
          <w:szCs w:val="24"/>
          <w:vertAlign w:val="superscript"/>
        </w:rPr>
        <w:t>[</w:t>
      </w:r>
      <w:proofErr w:type="gramEnd"/>
      <w:r w:rsidRPr="009E427C">
        <w:rPr>
          <w:rFonts w:ascii="Book Antiqua" w:hAnsi="Book Antiqua"/>
          <w:sz w:val="24"/>
          <w:szCs w:val="24"/>
          <w:vertAlign w:val="superscript"/>
        </w:rPr>
        <w:t>3</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005E2E7E" w:rsidRPr="009E427C">
        <w:rPr>
          <w:rFonts w:ascii="Book Antiqua" w:hAnsi="Book Antiqua"/>
          <w:sz w:val="24"/>
          <w:szCs w:val="24"/>
        </w:rPr>
        <w:t xml:space="preserve"> </w:t>
      </w:r>
      <w:r w:rsidRPr="009E427C">
        <w:rPr>
          <w:rFonts w:ascii="Book Antiqua" w:hAnsi="Book Antiqua"/>
          <w:sz w:val="24"/>
          <w:szCs w:val="24"/>
        </w:rPr>
        <w:t>Adherence rates were modeled after two studies, the first of which found that 88.2% of patients on extended release tacrolimus were adherent compared to 78.8%</w:t>
      </w:r>
      <w:r w:rsidR="004645FE" w:rsidRPr="009E427C">
        <w:rPr>
          <w:rFonts w:ascii="Book Antiqua" w:hAnsi="Book Antiqua"/>
          <w:sz w:val="24"/>
          <w:szCs w:val="24"/>
        </w:rPr>
        <w:t xml:space="preserve"> on tacrolimus-BID (</w:t>
      </w:r>
      <w:r w:rsidR="004645FE" w:rsidRPr="0034736B">
        <w:rPr>
          <w:rFonts w:ascii="Book Antiqua" w:hAnsi="Book Antiqua"/>
          <w:i/>
          <w:sz w:val="24"/>
          <w:szCs w:val="24"/>
        </w:rPr>
        <w:t>P</w:t>
      </w:r>
      <w:r w:rsidR="0034736B">
        <w:rPr>
          <w:rFonts w:ascii="Book Antiqua" w:hAnsi="Book Antiqua" w:hint="eastAsia"/>
          <w:sz w:val="24"/>
          <w:szCs w:val="24"/>
          <w:lang w:eastAsia="zh-CN"/>
        </w:rPr>
        <w:t xml:space="preserve"> </w:t>
      </w:r>
      <w:r w:rsidR="004645FE" w:rsidRPr="009E427C">
        <w:rPr>
          <w:rFonts w:ascii="Book Antiqua" w:hAnsi="Book Antiqua"/>
          <w:sz w:val="24"/>
          <w:szCs w:val="24"/>
        </w:rPr>
        <w:t>=</w:t>
      </w:r>
      <w:r w:rsidR="0034736B">
        <w:rPr>
          <w:rFonts w:ascii="Book Antiqua" w:hAnsi="Book Antiqua" w:hint="eastAsia"/>
          <w:sz w:val="24"/>
          <w:szCs w:val="24"/>
          <w:lang w:eastAsia="zh-CN"/>
        </w:rPr>
        <w:t xml:space="preserve"> </w:t>
      </w:r>
      <w:r w:rsidR="004645FE" w:rsidRPr="009E427C">
        <w:rPr>
          <w:rFonts w:ascii="Book Antiqua" w:hAnsi="Book Antiqua"/>
          <w:sz w:val="24"/>
          <w:szCs w:val="24"/>
        </w:rPr>
        <w:t xml:space="preserve">0.0009). </w:t>
      </w:r>
      <w:r w:rsidRPr="009E427C">
        <w:rPr>
          <w:rFonts w:ascii="Book Antiqua" w:hAnsi="Book Antiqua"/>
          <w:sz w:val="24"/>
          <w:szCs w:val="24"/>
        </w:rPr>
        <w:t>The second study found that 11.8% of extended release tacrolimus patients were non-adherent, compared to 21.2% of tacrolimus-BID patients and that the risk of graft failure is 7.1-fold higher in non-adherent patients than in adherent patients.</w:t>
      </w:r>
      <w:r w:rsidR="005E2E7E" w:rsidRPr="009E427C">
        <w:rPr>
          <w:rFonts w:ascii="Book Antiqua" w:hAnsi="Book Antiqua"/>
          <w:sz w:val="24"/>
          <w:szCs w:val="24"/>
          <w:vertAlign w:val="superscript"/>
        </w:rPr>
        <w:t>[</w:t>
      </w:r>
      <w:r w:rsidR="002C7272" w:rsidRPr="009E427C">
        <w:rPr>
          <w:rFonts w:ascii="Book Antiqua" w:hAnsi="Book Antiqua"/>
          <w:sz w:val="24"/>
          <w:szCs w:val="24"/>
          <w:vertAlign w:val="superscript"/>
        </w:rPr>
        <w:t>4</w:t>
      </w:r>
      <w:r w:rsidR="00AC17DE" w:rsidRPr="009E427C">
        <w:rPr>
          <w:rFonts w:ascii="Book Antiqua" w:hAnsi="Book Antiqua"/>
          <w:sz w:val="24"/>
          <w:szCs w:val="24"/>
          <w:vertAlign w:val="superscript"/>
        </w:rPr>
        <w:t>6</w:t>
      </w:r>
      <w:r w:rsidR="005E2E7E" w:rsidRPr="009E427C">
        <w:rPr>
          <w:rFonts w:ascii="Book Antiqua" w:hAnsi="Book Antiqua"/>
          <w:sz w:val="24"/>
          <w:szCs w:val="24"/>
          <w:vertAlign w:val="superscript"/>
        </w:rPr>
        <w:t>]</w:t>
      </w:r>
      <w:r w:rsidRPr="009E427C">
        <w:rPr>
          <w:rFonts w:ascii="Book Antiqua" w:hAnsi="Book Antiqua"/>
          <w:sz w:val="24"/>
          <w:szCs w:val="24"/>
        </w:rPr>
        <w:t xml:space="preserve"> The model assumed that all patients with graft failure were started on dialysis (15% </w:t>
      </w:r>
      <w:r w:rsidRPr="009E427C">
        <w:rPr>
          <w:rFonts w:ascii="Book Antiqua" w:hAnsi="Book Antiqua"/>
          <w:sz w:val="24"/>
          <w:szCs w:val="24"/>
        </w:rPr>
        <w:lastRenderedPageBreak/>
        <w:t>peritoneal dialysis and 85% hemodialysis).</w:t>
      </w:r>
      <w:r w:rsidR="00074195">
        <w:rPr>
          <w:rFonts w:ascii="Book Antiqua" w:hAnsi="Book Antiqua"/>
          <w:sz w:val="24"/>
          <w:szCs w:val="24"/>
        </w:rPr>
        <w:t xml:space="preserve"> </w:t>
      </w:r>
      <w:r w:rsidRPr="009E427C">
        <w:rPr>
          <w:rFonts w:ascii="Book Antiqua" w:hAnsi="Book Antiqua"/>
          <w:sz w:val="24"/>
          <w:szCs w:val="24"/>
        </w:rPr>
        <w:t xml:space="preserve">Pharmacy costs were derived from the </w:t>
      </w:r>
      <w:r w:rsidR="00E024CD" w:rsidRPr="009E427C">
        <w:rPr>
          <w:rFonts w:ascii="Book Antiqua" w:hAnsi="Book Antiqua"/>
          <w:sz w:val="24"/>
          <w:szCs w:val="24"/>
        </w:rPr>
        <w:t>British National Formulary</w:t>
      </w:r>
      <w:r w:rsidRPr="009E427C">
        <w:rPr>
          <w:rFonts w:ascii="Book Antiqua" w:hAnsi="Book Antiqua"/>
          <w:sz w:val="24"/>
          <w:szCs w:val="24"/>
        </w:rPr>
        <w:t xml:space="preserve"> and dialysis costs were taken from t</w:t>
      </w:r>
      <w:r w:rsidR="00E024CD" w:rsidRPr="009E427C">
        <w:rPr>
          <w:rFonts w:ascii="Book Antiqua" w:hAnsi="Book Antiqua"/>
          <w:sz w:val="24"/>
          <w:szCs w:val="24"/>
        </w:rPr>
        <w:t>he National Health Service</w:t>
      </w:r>
      <w:r w:rsidRPr="009E427C">
        <w:rPr>
          <w:rFonts w:ascii="Book Antiqua" w:hAnsi="Book Antiqua"/>
          <w:sz w:val="24"/>
          <w:szCs w:val="24"/>
        </w:rPr>
        <w:t xml:space="preserve"> tariff information.</w:t>
      </w:r>
      <w:r w:rsidR="00074195">
        <w:rPr>
          <w:rFonts w:ascii="Book Antiqua" w:hAnsi="Book Antiqua"/>
          <w:sz w:val="24"/>
          <w:szCs w:val="24"/>
        </w:rPr>
        <w:t xml:space="preserve"> </w:t>
      </w:r>
    </w:p>
    <w:p w14:paraId="7AAE2628" w14:textId="6B6DA1D4" w:rsidR="00176EBE" w:rsidRPr="009E427C" w:rsidRDefault="00176EBE" w:rsidP="00190C0B">
      <w:pPr>
        <w:spacing w:after="0" w:line="360" w:lineRule="auto"/>
        <w:ind w:firstLine="720"/>
        <w:jc w:val="both"/>
        <w:rPr>
          <w:rFonts w:ascii="Book Antiqua" w:hAnsi="Book Antiqua"/>
          <w:sz w:val="24"/>
          <w:szCs w:val="24"/>
        </w:rPr>
      </w:pPr>
      <w:r w:rsidRPr="009E427C">
        <w:rPr>
          <w:rFonts w:ascii="Book Antiqua" w:hAnsi="Book Antiqua"/>
          <w:sz w:val="24"/>
          <w:szCs w:val="24"/>
        </w:rPr>
        <w:t>The base-case analysis, which assumed maximum relative risk of graft failure with non-adherence found that the average cost for patients taking extended release tacrolimus was £29,328 (approximately $45,750 based on a current exchange rate of 1.56) over 5 years compared to £33,061 ($51,575) for patients taking tacrolimus-BID for a savings of £3,733 ($5825) per patient over 5 years.</w:t>
      </w:r>
      <w:r w:rsidR="00074195">
        <w:rPr>
          <w:rFonts w:ascii="Book Antiqua" w:hAnsi="Book Antiqua"/>
          <w:sz w:val="24"/>
          <w:szCs w:val="24"/>
        </w:rPr>
        <w:t xml:space="preserve"> </w:t>
      </w:r>
      <w:r w:rsidRPr="009E427C">
        <w:rPr>
          <w:rFonts w:ascii="Book Antiqua" w:hAnsi="Book Antiqua"/>
          <w:sz w:val="24"/>
          <w:szCs w:val="24"/>
        </w:rPr>
        <w:t xml:space="preserve">The cost savings related to extended release tacrolimus were primarily driven by lower projected rates of graft failure in this group (21.6% for tacrolimus-BID </w:t>
      </w:r>
      <w:r w:rsidR="00451891" w:rsidRPr="00451891">
        <w:rPr>
          <w:rFonts w:ascii="Book Antiqua" w:hAnsi="Book Antiqua"/>
          <w:i/>
          <w:sz w:val="24"/>
          <w:szCs w:val="24"/>
        </w:rPr>
        <w:t>vs</w:t>
      </w:r>
      <w:r w:rsidRPr="009E427C">
        <w:rPr>
          <w:rFonts w:ascii="Book Antiqua" w:hAnsi="Book Antiqua"/>
          <w:sz w:val="24"/>
          <w:szCs w:val="24"/>
        </w:rPr>
        <w:t xml:space="preserve"> 18.3% for extended release tacrolimus).</w:t>
      </w:r>
      <w:r w:rsidR="00074195">
        <w:rPr>
          <w:rFonts w:ascii="Book Antiqua" w:hAnsi="Book Antiqua"/>
          <w:sz w:val="24"/>
          <w:szCs w:val="24"/>
        </w:rPr>
        <w:t xml:space="preserve"> </w:t>
      </w:r>
      <w:r w:rsidRPr="009E427C">
        <w:rPr>
          <w:rFonts w:ascii="Book Antiqua" w:hAnsi="Book Antiqua"/>
          <w:sz w:val="24"/>
          <w:szCs w:val="24"/>
        </w:rPr>
        <w:t xml:space="preserve">Decreased rates of graft failure were driven by higher adherence rates in this group (88.2% for extended release tacrolimus </w:t>
      </w:r>
      <w:r w:rsidR="00451891" w:rsidRPr="00451891">
        <w:rPr>
          <w:rFonts w:ascii="Book Antiqua" w:hAnsi="Book Antiqua"/>
          <w:i/>
          <w:sz w:val="24"/>
          <w:szCs w:val="24"/>
        </w:rPr>
        <w:t>vs</w:t>
      </w:r>
      <w:r w:rsidRPr="009E427C">
        <w:rPr>
          <w:rFonts w:ascii="Book Antiqua" w:hAnsi="Book Antiqua"/>
          <w:sz w:val="24"/>
          <w:szCs w:val="24"/>
        </w:rPr>
        <w:t xml:space="preserve"> 78.8% for tacrolimus-BID).</w:t>
      </w:r>
      <w:r w:rsidR="002C7272" w:rsidRPr="009E427C">
        <w:rPr>
          <w:rFonts w:ascii="Book Antiqua" w:hAnsi="Book Antiqua"/>
          <w:sz w:val="24"/>
          <w:szCs w:val="24"/>
        </w:rPr>
        <w:t xml:space="preserve"> </w:t>
      </w:r>
      <w:r w:rsidRPr="009E427C">
        <w:rPr>
          <w:rFonts w:ascii="Book Antiqua" w:hAnsi="Book Antiqua"/>
          <w:sz w:val="24"/>
          <w:szCs w:val="24"/>
        </w:rPr>
        <w:t xml:space="preserve">Of note, the cost of tacrolimus in the </w:t>
      </w:r>
      <w:r w:rsidR="000A625C" w:rsidRPr="00EE7410">
        <w:rPr>
          <w:rFonts w:ascii="Book Antiqua" w:hAnsi="Book Antiqua"/>
          <w:sz w:val="24"/>
          <w:szCs w:val="24"/>
        </w:rPr>
        <w:t>United Kingdom</w:t>
      </w:r>
      <w:r w:rsidRPr="009E427C">
        <w:rPr>
          <w:rFonts w:ascii="Book Antiqua" w:hAnsi="Book Antiqua"/>
          <w:sz w:val="24"/>
          <w:szCs w:val="24"/>
        </w:rPr>
        <w:t xml:space="preserve"> study was £12,910 ($20,139) for extended release tacrolimus to £14,467 ($22,568) for tacrolimus-BID over 5 year which amounts to a savings of £1,557 ($2430) on direct medication cost.</w:t>
      </w:r>
      <w:r w:rsidR="00074195">
        <w:rPr>
          <w:rFonts w:ascii="Book Antiqua" w:hAnsi="Book Antiqua"/>
          <w:sz w:val="24"/>
          <w:szCs w:val="24"/>
        </w:rPr>
        <w:t xml:space="preserve"> </w:t>
      </w:r>
      <w:r w:rsidRPr="009E427C">
        <w:rPr>
          <w:rFonts w:ascii="Book Antiqua" w:hAnsi="Book Antiqua"/>
          <w:sz w:val="24"/>
          <w:szCs w:val="24"/>
        </w:rPr>
        <w:t>In the United States, the per milligram price of extended release tacrolimus is approximately twice that of tacrolimus-BID and may vary depending on wholesaler price and institutional contract, which may vary significantly from institution to institution in the United States.</w:t>
      </w:r>
      <w:r w:rsidR="00074195">
        <w:rPr>
          <w:rFonts w:ascii="Book Antiqua" w:hAnsi="Book Antiqua"/>
          <w:sz w:val="24"/>
          <w:szCs w:val="24"/>
        </w:rPr>
        <w:t xml:space="preserve"> </w:t>
      </w:r>
      <w:r w:rsidRPr="009E427C">
        <w:rPr>
          <w:rFonts w:ascii="Book Antiqua" w:hAnsi="Book Antiqua"/>
          <w:sz w:val="24"/>
          <w:szCs w:val="24"/>
        </w:rPr>
        <w:t xml:space="preserve">Pharmacy cost data was derived from the British National Formulary in the </w:t>
      </w:r>
      <w:r w:rsidR="000A625C" w:rsidRPr="00EE7410">
        <w:rPr>
          <w:rFonts w:ascii="Book Antiqua" w:hAnsi="Book Antiqua"/>
          <w:sz w:val="24"/>
          <w:szCs w:val="24"/>
        </w:rPr>
        <w:t>United Kingdom</w:t>
      </w:r>
      <w:r w:rsidRPr="009E427C">
        <w:rPr>
          <w:rFonts w:ascii="Book Antiqua" w:hAnsi="Book Antiqua"/>
          <w:sz w:val="24"/>
          <w:szCs w:val="24"/>
        </w:rPr>
        <w:t xml:space="preserve"> </w:t>
      </w:r>
      <w:proofErr w:type="gramStart"/>
      <w:r w:rsidRPr="009E427C">
        <w:rPr>
          <w:rFonts w:ascii="Book Antiqua" w:hAnsi="Book Antiqua"/>
          <w:sz w:val="24"/>
          <w:szCs w:val="24"/>
        </w:rPr>
        <w:t>stud</w:t>
      </w:r>
      <w:r w:rsidR="00996519">
        <w:rPr>
          <w:rFonts w:ascii="Book Antiqua" w:hAnsi="Book Antiqua"/>
          <w:sz w:val="24"/>
          <w:szCs w:val="24"/>
        </w:rPr>
        <w:t>y</w:t>
      </w:r>
      <w:r w:rsidR="005E2E7E" w:rsidRPr="009E427C">
        <w:rPr>
          <w:rFonts w:ascii="Book Antiqua" w:hAnsi="Book Antiqua"/>
          <w:sz w:val="24"/>
          <w:szCs w:val="24"/>
          <w:vertAlign w:val="superscript"/>
        </w:rPr>
        <w:t>[</w:t>
      </w:r>
      <w:proofErr w:type="gramEnd"/>
      <w:r w:rsidR="002C7272" w:rsidRPr="009E427C">
        <w:rPr>
          <w:rFonts w:ascii="Book Antiqua" w:hAnsi="Book Antiqua"/>
          <w:sz w:val="24"/>
          <w:szCs w:val="24"/>
          <w:vertAlign w:val="superscript"/>
        </w:rPr>
        <w:t>11</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r w:rsidR="002C7272" w:rsidRPr="009E427C">
        <w:rPr>
          <w:rFonts w:ascii="Book Antiqua" w:hAnsi="Book Antiqua"/>
          <w:sz w:val="24"/>
          <w:szCs w:val="24"/>
        </w:rPr>
        <w:t xml:space="preserve"> </w:t>
      </w:r>
      <w:r w:rsidRPr="009E427C">
        <w:rPr>
          <w:rFonts w:ascii="Book Antiqua" w:hAnsi="Book Antiqua"/>
          <w:sz w:val="24"/>
          <w:szCs w:val="24"/>
        </w:rPr>
        <w:t>Obvious differences between the United States healthcare system and the single-</w:t>
      </w:r>
      <w:r w:rsidR="00B50DF3" w:rsidRPr="009E427C">
        <w:rPr>
          <w:rFonts w:ascii="Book Antiqua" w:hAnsi="Book Antiqua"/>
          <w:sz w:val="24"/>
          <w:szCs w:val="24"/>
        </w:rPr>
        <w:t>payer</w:t>
      </w:r>
      <w:r w:rsidRPr="009E427C">
        <w:rPr>
          <w:rFonts w:ascii="Book Antiqua" w:hAnsi="Book Antiqua"/>
          <w:sz w:val="24"/>
          <w:szCs w:val="24"/>
        </w:rPr>
        <w:t xml:space="preserve"> system in the </w:t>
      </w:r>
      <w:r w:rsidR="00EE7410" w:rsidRPr="00EE7410">
        <w:rPr>
          <w:rFonts w:ascii="Book Antiqua" w:hAnsi="Book Antiqua"/>
          <w:sz w:val="24"/>
          <w:szCs w:val="24"/>
        </w:rPr>
        <w:t>United Kingdom</w:t>
      </w:r>
      <w:r w:rsidRPr="009E427C">
        <w:rPr>
          <w:rFonts w:ascii="Book Antiqua" w:hAnsi="Book Antiqua"/>
          <w:sz w:val="24"/>
          <w:szCs w:val="24"/>
        </w:rPr>
        <w:t xml:space="preserve"> may also limit the applicability of this analysis in the</w:t>
      </w:r>
      <w:r w:rsidR="00996519">
        <w:rPr>
          <w:rFonts w:ascii="Book Antiqua" w:hAnsi="Book Antiqua" w:hint="eastAsia"/>
          <w:sz w:val="24"/>
          <w:szCs w:val="24"/>
          <w:lang w:eastAsia="zh-CN"/>
        </w:rPr>
        <w:t xml:space="preserve"> </w:t>
      </w:r>
      <w:r w:rsidR="00996519" w:rsidRPr="00996519">
        <w:rPr>
          <w:rFonts w:ascii="Book Antiqua" w:hAnsi="Book Antiqua"/>
          <w:sz w:val="24"/>
          <w:szCs w:val="24"/>
        </w:rPr>
        <w:t>United States</w:t>
      </w:r>
      <w:r w:rsidRPr="009E427C">
        <w:rPr>
          <w:rFonts w:ascii="Book Antiqua" w:hAnsi="Book Antiqua"/>
          <w:sz w:val="24"/>
          <w:szCs w:val="24"/>
        </w:rPr>
        <w:t>.</w:t>
      </w:r>
    </w:p>
    <w:p w14:paraId="132C489D" w14:textId="38DF2CD3" w:rsidR="001E21F1" w:rsidRDefault="00176EBE" w:rsidP="00190C0B">
      <w:pPr>
        <w:spacing w:after="0" w:line="360" w:lineRule="auto"/>
        <w:ind w:firstLine="720"/>
        <w:jc w:val="both"/>
        <w:rPr>
          <w:rFonts w:ascii="Book Antiqua" w:hAnsi="Book Antiqua"/>
          <w:sz w:val="24"/>
          <w:szCs w:val="24"/>
          <w:lang w:eastAsia="zh-CN"/>
        </w:rPr>
      </w:pPr>
      <w:r w:rsidRPr="009E427C">
        <w:rPr>
          <w:rFonts w:ascii="Book Antiqua" w:hAnsi="Book Antiqua"/>
          <w:sz w:val="24"/>
          <w:szCs w:val="24"/>
        </w:rPr>
        <w:t xml:space="preserve">Based on the findings of the </w:t>
      </w:r>
      <w:r w:rsidR="000A625C" w:rsidRPr="00EE7410">
        <w:rPr>
          <w:rFonts w:ascii="Book Antiqua" w:hAnsi="Book Antiqua"/>
          <w:sz w:val="24"/>
          <w:szCs w:val="24"/>
        </w:rPr>
        <w:t>United Kingdom</w:t>
      </w:r>
      <w:r w:rsidRPr="009E427C">
        <w:rPr>
          <w:rFonts w:ascii="Book Antiqua" w:hAnsi="Book Antiqua"/>
          <w:sz w:val="24"/>
          <w:szCs w:val="24"/>
        </w:rPr>
        <w:t xml:space="preserve"> study, use of extended release tacrolimus may result in significant savings over 5 years when compared to immediate tacrolimus-BID.</w:t>
      </w:r>
      <w:r w:rsidR="00074195">
        <w:rPr>
          <w:rFonts w:ascii="Book Antiqua" w:hAnsi="Book Antiqua"/>
          <w:sz w:val="24"/>
          <w:szCs w:val="24"/>
        </w:rPr>
        <w:t xml:space="preserve"> </w:t>
      </w:r>
      <w:r w:rsidRPr="009E427C">
        <w:rPr>
          <w:rFonts w:ascii="Book Antiqua" w:hAnsi="Book Antiqua"/>
          <w:sz w:val="24"/>
          <w:szCs w:val="24"/>
        </w:rPr>
        <w:t>It is important to consider that these findings are predicated upon the assumption that once-daily dosing improves adherence and that improved adherence reduces</w:t>
      </w:r>
      <w:r w:rsidR="00674D05">
        <w:rPr>
          <w:rFonts w:ascii="Book Antiqua" w:hAnsi="Book Antiqua"/>
          <w:sz w:val="24"/>
          <w:szCs w:val="24"/>
        </w:rPr>
        <w:t xml:space="preserve"> the incidence of graft </w:t>
      </w:r>
      <w:proofErr w:type="gramStart"/>
      <w:r w:rsidR="00674D05">
        <w:rPr>
          <w:rFonts w:ascii="Book Antiqua" w:hAnsi="Book Antiqua"/>
          <w:sz w:val="24"/>
          <w:szCs w:val="24"/>
        </w:rPr>
        <w:t>failure</w:t>
      </w:r>
      <w:r w:rsidR="005E2E7E" w:rsidRPr="009E427C">
        <w:rPr>
          <w:rFonts w:ascii="Book Antiqua" w:hAnsi="Book Antiqua"/>
          <w:sz w:val="24"/>
          <w:szCs w:val="24"/>
          <w:vertAlign w:val="superscript"/>
        </w:rPr>
        <w:t>[</w:t>
      </w:r>
      <w:proofErr w:type="gramEnd"/>
      <w:r w:rsidR="0036588B" w:rsidRPr="009E427C">
        <w:rPr>
          <w:rFonts w:ascii="Book Antiqua" w:hAnsi="Book Antiqua"/>
          <w:sz w:val="24"/>
          <w:szCs w:val="24"/>
          <w:vertAlign w:val="superscript"/>
        </w:rPr>
        <w:t>4</w:t>
      </w:r>
      <w:r w:rsidR="00AC17DE" w:rsidRPr="009E427C">
        <w:rPr>
          <w:rFonts w:ascii="Book Antiqua" w:hAnsi="Book Antiqua"/>
          <w:sz w:val="24"/>
          <w:szCs w:val="24"/>
          <w:vertAlign w:val="superscript"/>
        </w:rPr>
        <w:t>7</w:t>
      </w:r>
      <w:r w:rsidR="005E2E7E" w:rsidRPr="009E427C">
        <w:rPr>
          <w:rFonts w:ascii="Book Antiqua" w:hAnsi="Book Antiqua"/>
          <w:sz w:val="24"/>
          <w:szCs w:val="24"/>
          <w:vertAlign w:val="superscript"/>
        </w:rPr>
        <w:t>]</w:t>
      </w:r>
      <w:r w:rsidR="00915EEA" w:rsidRPr="009E427C">
        <w:rPr>
          <w:rFonts w:ascii="Book Antiqua" w:hAnsi="Book Antiqua"/>
          <w:sz w:val="24"/>
          <w:szCs w:val="24"/>
        </w:rPr>
        <w:t>.</w:t>
      </w:r>
    </w:p>
    <w:p w14:paraId="513E046B" w14:textId="77777777" w:rsidR="00674D05" w:rsidRPr="009E427C" w:rsidRDefault="00674D05" w:rsidP="00190C0B">
      <w:pPr>
        <w:spacing w:after="0" w:line="360" w:lineRule="auto"/>
        <w:ind w:firstLine="720"/>
        <w:jc w:val="both"/>
        <w:rPr>
          <w:rFonts w:ascii="Book Antiqua" w:hAnsi="Book Antiqua"/>
          <w:sz w:val="24"/>
          <w:szCs w:val="24"/>
          <w:lang w:eastAsia="zh-CN"/>
        </w:rPr>
      </w:pPr>
    </w:p>
    <w:p w14:paraId="5F14237D" w14:textId="1044E990" w:rsidR="00B06506"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t>CONCLUSION</w:t>
      </w:r>
    </w:p>
    <w:p w14:paraId="37FD1134" w14:textId="39A0E80F" w:rsidR="00BF47AD" w:rsidRPr="009E427C" w:rsidRDefault="00B06506" w:rsidP="00190C0B">
      <w:pPr>
        <w:spacing w:after="0" w:line="360" w:lineRule="auto"/>
        <w:jc w:val="both"/>
        <w:rPr>
          <w:rFonts w:ascii="Book Antiqua" w:hAnsi="Book Antiqua"/>
          <w:sz w:val="24"/>
          <w:szCs w:val="24"/>
        </w:rPr>
      </w:pPr>
      <w:r w:rsidRPr="009E427C">
        <w:rPr>
          <w:rFonts w:ascii="Book Antiqua" w:hAnsi="Book Antiqua"/>
          <w:sz w:val="24"/>
          <w:szCs w:val="24"/>
        </w:rPr>
        <w:lastRenderedPageBreak/>
        <w:t xml:space="preserve">Overall extended release tacrolimus has a very similar safety and efficacy profile to tacrolimus-BID. It is currently approved to prevent rejection in kidney transplant recipients. It is however, not recommended in the used of liver transplant patient’s due to the increased risk of mortality in female </w:t>
      </w:r>
      <w:r w:rsidR="00BF47AD" w:rsidRPr="009E427C">
        <w:rPr>
          <w:rFonts w:ascii="Book Antiqua" w:hAnsi="Book Antiqua"/>
          <w:sz w:val="24"/>
          <w:szCs w:val="24"/>
        </w:rPr>
        <w:t>recipients</w:t>
      </w:r>
      <w:r w:rsidRPr="009E427C">
        <w:rPr>
          <w:rFonts w:ascii="Book Antiqua" w:hAnsi="Book Antiqua"/>
          <w:sz w:val="24"/>
          <w:szCs w:val="24"/>
        </w:rPr>
        <w:t>. There has been minimal data regarding the use of extended release tacrolimus in heart and lung transplant recipients.</w:t>
      </w:r>
      <w:r w:rsidR="005956F6" w:rsidRPr="009E427C">
        <w:rPr>
          <w:rFonts w:ascii="Book Antiqua" w:hAnsi="Book Antiqua"/>
          <w:sz w:val="24"/>
          <w:szCs w:val="24"/>
        </w:rPr>
        <w:t xml:space="preserve"> Currently there is no data for the use of extended release tacrolimus in multiple organ transplants, pancreas or small </w:t>
      </w:r>
      <w:proofErr w:type="gramStart"/>
      <w:r w:rsidR="005956F6" w:rsidRPr="009E427C">
        <w:rPr>
          <w:rFonts w:ascii="Book Antiqua" w:hAnsi="Book Antiqua"/>
          <w:sz w:val="24"/>
          <w:szCs w:val="24"/>
        </w:rPr>
        <w:t>bowel,</w:t>
      </w:r>
      <w:proofErr w:type="gramEnd"/>
      <w:r w:rsidR="005956F6" w:rsidRPr="009E427C">
        <w:rPr>
          <w:rFonts w:ascii="Book Antiqua" w:hAnsi="Book Antiqua"/>
          <w:sz w:val="24"/>
          <w:szCs w:val="24"/>
        </w:rPr>
        <w:t xml:space="preserve"> this is an area where further studies need to be conducted.</w:t>
      </w:r>
      <w:r w:rsidRPr="009E427C">
        <w:rPr>
          <w:rFonts w:ascii="Book Antiqua" w:hAnsi="Book Antiqua"/>
          <w:sz w:val="24"/>
          <w:szCs w:val="24"/>
        </w:rPr>
        <w:t xml:space="preserve"> With the current data available for</w:t>
      </w:r>
      <w:r w:rsidR="002A5B05" w:rsidRPr="009E427C">
        <w:rPr>
          <w:rFonts w:ascii="Book Antiqua" w:hAnsi="Book Antiqua"/>
          <w:sz w:val="24"/>
          <w:szCs w:val="24"/>
        </w:rPr>
        <w:t xml:space="preserve"> all organ groups the extended release tacrolimus should be dose</w:t>
      </w:r>
      <w:r w:rsidR="00CA2E51" w:rsidRPr="009E427C">
        <w:rPr>
          <w:rFonts w:ascii="Book Antiqua" w:hAnsi="Book Antiqua"/>
          <w:sz w:val="24"/>
          <w:szCs w:val="24"/>
        </w:rPr>
        <w:t>d</w:t>
      </w:r>
      <w:r w:rsidR="002A5B05" w:rsidRPr="009E427C">
        <w:rPr>
          <w:rFonts w:ascii="Book Antiqua" w:hAnsi="Book Antiqua"/>
          <w:sz w:val="24"/>
          <w:szCs w:val="24"/>
        </w:rPr>
        <w:t xml:space="preserve"> in a 1:1 fashion</w:t>
      </w:r>
      <w:r w:rsidR="00CA2E51" w:rsidRPr="009E427C">
        <w:rPr>
          <w:rFonts w:ascii="Book Antiqua" w:hAnsi="Book Antiqua"/>
          <w:sz w:val="24"/>
          <w:szCs w:val="24"/>
        </w:rPr>
        <w:t>, the exception may be the CF population where their initial dose may need to be higher</w:t>
      </w:r>
      <w:r w:rsidR="002A5B05" w:rsidRPr="009E427C">
        <w:rPr>
          <w:rFonts w:ascii="Book Antiqua" w:hAnsi="Book Antiqua"/>
          <w:sz w:val="24"/>
          <w:szCs w:val="24"/>
        </w:rPr>
        <w:t>. Another important note in regards to extended release tacrolimus is that data has shown that extended release tacrolim</w:t>
      </w:r>
      <w:r w:rsidR="00BF47AD" w:rsidRPr="009E427C">
        <w:rPr>
          <w:rFonts w:ascii="Book Antiqua" w:hAnsi="Book Antiqua"/>
          <w:sz w:val="24"/>
          <w:szCs w:val="24"/>
        </w:rPr>
        <w:t>us exposure was lower than tacro</w:t>
      </w:r>
      <w:r w:rsidR="002A5B05" w:rsidRPr="009E427C">
        <w:rPr>
          <w:rFonts w:ascii="Book Antiqua" w:hAnsi="Book Antiqua"/>
          <w:sz w:val="24"/>
          <w:szCs w:val="24"/>
        </w:rPr>
        <w:t>limus-BID within the first week of transplant, however a</w:t>
      </w:r>
      <w:r w:rsidR="00CA2E51" w:rsidRPr="009E427C">
        <w:rPr>
          <w:rFonts w:ascii="Book Antiqua" w:hAnsi="Book Antiqua"/>
          <w:sz w:val="24"/>
          <w:szCs w:val="24"/>
        </w:rPr>
        <w:t>fter that exposure was similar.</w:t>
      </w:r>
    </w:p>
    <w:p w14:paraId="22F02A42" w14:textId="77777777" w:rsidR="00440FED" w:rsidRPr="009E427C" w:rsidRDefault="00440FED" w:rsidP="00190C0B">
      <w:pPr>
        <w:spacing w:after="0" w:line="360" w:lineRule="auto"/>
        <w:jc w:val="both"/>
        <w:rPr>
          <w:rFonts w:ascii="Book Antiqua" w:hAnsi="Book Antiqua"/>
          <w:b/>
          <w:sz w:val="24"/>
          <w:szCs w:val="24"/>
        </w:rPr>
      </w:pPr>
      <w:r w:rsidRPr="009E427C">
        <w:rPr>
          <w:rFonts w:ascii="Book Antiqua" w:hAnsi="Book Antiqua"/>
          <w:b/>
          <w:sz w:val="24"/>
          <w:szCs w:val="24"/>
        </w:rPr>
        <w:br w:type="page"/>
      </w:r>
    </w:p>
    <w:p w14:paraId="78998EA2" w14:textId="2564B13D" w:rsidR="00BF47AD" w:rsidRPr="009E427C" w:rsidRDefault="004F1F0F" w:rsidP="00190C0B">
      <w:pPr>
        <w:spacing w:after="0" w:line="360" w:lineRule="auto"/>
        <w:jc w:val="both"/>
        <w:rPr>
          <w:rFonts w:ascii="Book Antiqua" w:hAnsi="Book Antiqua"/>
          <w:b/>
          <w:sz w:val="24"/>
          <w:szCs w:val="24"/>
        </w:rPr>
      </w:pPr>
      <w:r w:rsidRPr="009E427C">
        <w:rPr>
          <w:rFonts w:ascii="Book Antiqua" w:hAnsi="Book Antiqua"/>
          <w:b/>
          <w:sz w:val="24"/>
          <w:szCs w:val="24"/>
        </w:rPr>
        <w:lastRenderedPageBreak/>
        <w:t xml:space="preserve">REFERENCES </w:t>
      </w:r>
    </w:p>
    <w:p w14:paraId="6BC10F6C"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bookmarkStart w:id="14" w:name="OLE_LINK1"/>
      <w:bookmarkStart w:id="15" w:name="OLE_LINK2"/>
      <w:r w:rsidRPr="00872367">
        <w:rPr>
          <w:rFonts w:ascii="Book Antiqua" w:eastAsia="宋体" w:hAnsi="Book Antiqua" w:cs="Times New Roman"/>
          <w:sz w:val="24"/>
          <w:szCs w:val="24"/>
          <w:lang w:eastAsia="zh-CN"/>
        </w:rPr>
        <w:t>1 </w:t>
      </w:r>
      <w:r w:rsidRPr="00872367">
        <w:rPr>
          <w:rFonts w:ascii="Book Antiqua" w:eastAsia="宋体" w:hAnsi="Book Antiqua" w:cs="Times New Roman"/>
          <w:b/>
          <w:bCs/>
          <w:sz w:val="24"/>
          <w:szCs w:val="24"/>
          <w:lang w:eastAsia="zh-CN"/>
        </w:rPr>
        <w:t>Cramer JA</w:t>
      </w:r>
      <w:r w:rsidRPr="00872367">
        <w:rPr>
          <w:rFonts w:ascii="Book Antiqua" w:eastAsia="宋体" w:hAnsi="Book Antiqua" w:cs="Times New Roman"/>
          <w:sz w:val="24"/>
          <w:szCs w:val="24"/>
          <w:lang w:eastAsia="zh-CN"/>
        </w:rPr>
        <w:t xml:space="preserve">, Mattson RH, </w:t>
      </w:r>
      <w:proofErr w:type="spellStart"/>
      <w:r w:rsidRPr="00872367">
        <w:rPr>
          <w:rFonts w:ascii="Book Antiqua" w:eastAsia="宋体" w:hAnsi="Book Antiqua" w:cs="Times New Roman"/>
          <w:sz w:val="24"/>
          <w:szCs w:val="24"/>
          <w:lang w:eastAsia="zh-CN"/>
        </w:rPr>
        <w:t>Prevey</w:t>
      </w:r>
      <w:proofErr w:type="spellEnd"/>
      <w:r w:rsidRPr="00872367">
        <w:rPr>
          <w:rFonts w:ascii="Book Antiqua" w:eastAsia="宋体" w:hAnsi="Book Antiqua" w:cs="Times New Roman"/>
          <w:sz w:val="24"/>
          <w:szCs w:val="24"/>
          <w:lang w:eastAsia="zh-CN"/>
        </w:rPr>
        <w:t xml:space="preserve"> ML, </w:t>
      </w:r>
      <w:proofErr w:type="spellStart"/>
      <w:r w:rsidRPr="00872367">
        <w:rPr>
          <w:rFonts w:ascii="Book Antiqua" w:eastAsia="宋体" w:hAnsi="Book Antiqua" w:cs="Times New Roman"/>
          <w:sz w:val="24"/>
          <w:szCs w:val="24"/>
          <w:lang w:eastAsia="zh-CN"/>
        </w:rPr>
        <w:t>Scheyer</w:t>
      </w:r>
      <w:proofErr w:type="spellEnd"/>
      <w:r w:rsidRPr="00872367">
        <w:rPr>
          <w:rFonts w:ascii="Book Antiqua" w:eastAsia="宋体" w:hAnsi="Book Antiqua" w:cs="Times New Roman"/>
          <w:sz w:val="24"/>
          <w:szCs w:val="24"/>
          <w:lang w:eastAsia="zh-CN"/>
        </w:rPr>
        <w:t xml:space="preserve"> RD, Ouellette VL. How often is medication taken as prescribed? </w:t>
      </w:r>
      <w:proofErr w:type="gramStart"/>
      <w:r w:rsidRPr="00872367">
        <w:rPr>
          <w:rFonts w:ascii="Book Antiqua" w:eastAsia="宋体" w:hAnsi="Book Antiqua" w:cs="Times New Roman"/>
          <w:sz w:val="24"/>
          <w:szCs w:val="24"/>
          <w:lang w:eastAsia="zh-CN"/>
        </w:rPr>
        <w:t>A novel assessment technique.</w:t>
      </w:r>
      <w:proofErr w:type="gramEnd"/>
      <w:r w:rsidRPr="00872367">
        <w:rPr>
          <w:rFonts w:ascii="Book Antiqua" w:eastAsia="宋体" w:hAnsi="Book Antiqua" w:cs="Times New Roman"/>
          <w:sz w:val="24"/>
          <w:szCs w:val="24"/>
          <w:lang w:eastAsia="zh-CN"/>
        </w:rPr>
        <w:t> </w:t>
      </w:r>
      <w:r w:rsidRPr="00872367">
        <w:rPr>
          <w:rFonts w:ascii="Book Antiqua" w:eastAsia="宋体" w:hAnsi="Book Antiqua" w:cs="Times New Roman"/>
          <w:i/>
          <w:iCs/>
          <w:sz w:val="24"/>
          <w:szCs w:val="24"/>
          <w:lang w:eastAsia="zh-CN"/>
        </w:rPr>
        <w:t>JAMA</w:t>
      </w:r>
      <w:r w:rsidRPr="00872367">
        <w:rPr>
          <w:rFonts w:ascii="Book Antiqua" w:eastAsia="宋体" w:hAnsi="Book Antiqua" w:cs="Times New Roman"/>
          <w:sz w:val="24"/>
          <w:szCs w:val="24"/>
          <w:lang w:eastAsia="zh-CN"/>
        </w:rPr>
        <w:t> 1989; </w:t>
      </w:r>
      <w:r w:rsidRPr="00872367">
        <w:rPr>
          <w:rFonts w:ascii="Book Antiqua" w:eastAsia="宋体" w:hAnsi="Book Antiqua" w:cs="Times New Roman"/>
          <w:b/>
          <w:bCs/>
          <w:sz w:val="24"/>
          <w:szCs w:val="24"/>
          <w:lang w:eastAsia="zh-CN"/>
        </w:rPr>
        <w:t>261</w:t>
      </w:r>
      <w:r w:rsidRPr="00872367">
        <w:rPr>
          <w:rFonts w:ascii="Book Antiqua" w:eastAsia="宋体" w:hAnsi="Book Antiqua" w:cs="Times New Roman"/>
          <w:sz w:val="24"/>
          <w:szCs w:val="24"/>
          <w:lang w:eastAsia="zh-CN"/>
        </w:rPr>
        <w:t>: 3273-3277 [PMID: 2716163 DOI: 10.]</w:t>
      </w:r>
    </w:p>
    <w:p w14:paraId="687985E3"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2 </w:t>
      </w:r>
      <w:r w:rsidRPr="00872367">
        <w:rPr>
          <w:rFonts w:ascii="Book Antiqua" w:eastAsia="宋体" w:hAnsi="Book Antiqua" w:cs="Times New Roman"/>
          <w:b/>
          <w:bCs/>
          <w:sz w:val="24"/>
          <w:szCs w:val="24"/>
          <w:lang w:eastAsia="zh-CN"/>
        </w:rPr>
        <w:t>Silva HT</w:t>
      </w:r>
      <w:r w:rsidRPr="00872367">
        <w:rPr>
          <w:rFonts w:ascii="Book Antiqua" w:eastAsia="宋体" w:hAnsi="Book Antiqua" w:cs="Times New Roman"/>
          <w:sz w:val="24"/>
          <w:szCs w:val="24"/>
          <w:lang w:eastAsia="zh-CN"/>
        </w:rPr>
        <w:t xml:space="preserve">, Yang HC, </w:t>
      </w:r>
      <w:proofErr w:type="spellStart"/>
      <w:r w:rsidRPr="00872367">
        <w:rPr>
          <w:rFonts w:ascii="Book Antiqua" w:eastAsia="宋体" w:hAnsi="Book Antiqua" w:cs="Times New Roman"/>
          <w:sz w:val="24"/>
          <w:szCs w:val="24"/>
          <w:lang w:eastAsia="zh-CN"/>
        </w:rPr>
        <w:t>Abouljoud</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Kuo</w:t>
      </w:r>
      <w:proofErr w:type="spellEnd"/>
      <w:r w:rsidRPr="00872367">
        <w:rPr>
          <w:rFonts w:ascii="Book Antiqua" w:eastAsia="宋体" w:hAnsi="Book Antiqua" w:cs="Times New Roman"/>
          <w:sz w:val="24"/>
          <w:szCs w:val="24"/>
          <w:lang w:eastAsia="zh-CN"/>
        </w:rPr>
        <w:t xml:space="preserve"> PC, </w:t>
      </w:r>
      <w:proofErr w:type="spellStart"/>
      <w:r w:rsidRPr="00872367">
        <w:rPr>
          <w:rFonts w:ascii="Book Antiqua" w:eastAsia="宋体" w:hAnsi="Book Antiqua" w:cs="Times New Roman"/>
          <w:sz w:val="24"/>
          <w:szCs w:val="24"/>
          <w:lang w:eastAsia="zh-CN"/>
        </w:rPr>
        <w:t>Wisemandle</w:t>
      </w:r>
      <w:proofErr w:type="spellEnd"/>
      <w:r w:rsidRPr="00872367">
        <w:rPr>
          <w:rFonts w:ascii="Book Antiqua" w:eastAsia="宋体" w:hAnsi="Book Antiqua" w:cs="Times New Roman"/>
          <w:sz w:val="24"/>
          <w:szCs w:val="24"/>
          <w:lang w:eastAsia="zh-CN"/>
        </w:rPr>
        <w:t xml:space="preserve"> K, Bhattacharya P, </w:t>
      </w:r>
      <w:proofErr w:type="spellStart"/>
      <w:r w:rsidRPr="00872367">
        <w:rPr>
          <w:rFonts w:ascii="Book Antiqua" w:eastAsia="宋体" w:hAnsi="Book Antiqua" w:cs="Times New Roman"/>
          <w:sz w:val="24"/>
          <w:szCs w:val="24"/>
          <w:lang w:eastAsia="zh-CN"/>
        </w:rPr>
        <w:t>Dhadda</w:t>
      </w:r>
      <w:proofErr w:type="spellEnd"/>
      <w:r w:rsidRPr="00872367">
        <w:rPr>
          <w:rFonts w:ascii="Book Antiqua" w:eastAsia="宋体" w:hAnsi="Book Antiqua" w:cs="Times New Roman"/>
          <w:sz w:val="24"/>
          <w:szCs w:val="24"/>
          <w:lang w:eastAsia="zh-CN"/>
        </w:rPr>
        <w:t xml:space="preserve"> S, Holman J, Fitzsimmons W, First MR. One-year results with extended-release tacrolimus/MMF, tacrolimus/MMF and cyclosporine/MMF in de novo kidney transplant recipients.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2007; </w:t>
      </w:r>
      <w:r w:rsidRPr="00872367">
        <w:rPr>
          <w:rFonts w:ascii="Book Antiqua" w:eastAsia="宋体" w:hAnsi="Book Antiqua" w:cs="Times New Roman"/>
          <w:b/>
          <w:bCs/>
          <w:sz w:val="24"/>
          <w:szCs w:val="24"/>
          <w:lang w:eastAsia="zh-CN"/>
        </w:rPr>
        <w:t>7</w:t>
      </w:r>
      <w:r w:rsidRPr="00872367">
        <w:rPr>
          <w:rFonts w:ascii="Book Antiqua" w:eastAsia="宋体" w:hAnsi="Book Antiqua" w:cs="Times New Roman"/>
          <w:sz w:val="24"/>
          <w:szCs w:val="24"/>
          <w:lang w:eastAsia="zh-CN"/>
        </w:rPr>
        <w:t>: 595-608 [PMID: 17217442 DOI: 10.1111/j.1600-6143.2007.01661]</w:t>
      </w:r>
    </w:p>
    <w:p w14:paraId="191245C9"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3 </w:t>
      </w:r>
      <w:proofErr w:type="spellStart"/>
      <w:r w:rsidRPr="00872367">
        <w:rPr>
          <w:rFonts w:ascii="Book Antiqua" w:eastAsia="宋体" w:hAnsi="Book Antiqua" w:cs="Times New Roman"/>
          <w:b/>
          <w:bCs/>
          <w:sz w:val="24"/>
          <w:szCs w:val="24"/>
          <w:lang w:eastAsia="zh-CN"/>
        </w:rPr>
        <w:t>Krämer</w:t>
      </w:r>
      <w:proofErr w:type="spellEnd"/>
      <w:r w:rsidRPr="00872367">
        <w:rPr>
          <w:rFonts w:ascii="Book Antiqua" w:eastAsia="宋体" w:hAnsi="Book Antiqua" w:cs="Times New Roman"/>
          <w:b/>
          <w:bCs/>
          <w:sz w:val="24"/>
          <w:szCs w:val="24"/>
          <w:lang w:eastAsia="zh-CN"/>
        </w:rPr>
        <w:t xml:space="preserve"> BK</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Charpentier</w:t>
      </w:r>
      <w:proofErr w:type="spellEnd"/>
      <w:r w:rsidRPr="00872367">
        <w:rPr>
          <w:rFonts w:ascii="Book Antiqua" w:eastAsia="宋体" w:hAnsi="Book Antiqua" w:cs="Times New Roman"/>
          <w:sz w:val="24"/>
          <w:szCs w:val="24"/>
          <w:lang w:eastAsia="zh-CN"/>
        </w:rPr>
        <w:t xml:space="preserve"> B, </w:t>
      </w:r>
      <w:proofErr w:type="spellStart"/>
      <w:r w:rsidRPr="00872367">
        <w:rPr>
          <w:rFonts w:ascii="Book Antiqua" w:eastAsia="宋体" w:hAnsi="Book Antiqua" w:cs="Times New Roman"/>
          <w:sz w:val="24"/>
          <w:szCs w:val="24"/>
          <w:lang w:eastAsia="zh-CN"/>
        </w:rPr>
        <w:t>Bäckman</w:t>
      </w:r>
      <w:proofErr w:type="spellEnd"/>
      <w:r w:rsidRPr="00872367">
        <w:rPr>
          <w:rFonts w:ascii="Book Antiqua" w:eastAsia="宋体" w:hAnsi="Book Antiqua" w:cs="Times New Roman"/>
          <w:sz w:val="24"/>
          <w:szCs w:val="24"/>
          <w:lang w:eastAsia="zh-CN"/>
        </w:rPr>
        <w:t xml:space="preserve"> L, Silva HT, Mondragon-Ramirez G, </w:t>
      </w:r>
      <w:proofErr w:type="spellStart"/>
      <w:r w:rsidRPr="00872367">
        <w:rPr>
          <w:rFonts w:ascii="Book Antiqua" w:eastAsia="宋体" w:hAnsi="Book Antiqua" w:cs="Times New Roman"/>
          <w:sz w:val="24"/>
          <w:szCs w:val="24"/>
          <w:lang w:eastAsia="zh-CN"/>
        </w:rPr>
        <w:t>Cassuto-Viguier</w:t>
      </w:r>
      <w:proofErr w:type="spellEnd"/>
      <w:r w:rsidRPr="00872367">
        <w:rPr>
          <w:rFonts w:ascii="Book Antiqua" w:eastAsia="宋体" w:hAnsi="Book Antiqua" w:cs="Times New Roman"/>
          <w:sz w:val="24"/>
          <w:szCs w:val="24"/>
          <w:lang w:eastAsia="zh-CN"/>
        </w:rPr>
        <w:t xml:space="preserve"> E, </w:t>
      </w:r>
      <w:proofErr w:type="spellStart"/>
      <w:r w:rsidRPr="00872367">
        <w:rPr>
          <w:rFonts w:ascii="Book Antiqua" w:eastAsia="宋体" w:hAnsi="Book Antiqua" w:cs="Times New Roman"/>
          <w:sz w:val="24"/>
          <w:szCs w:val="24"/>
          <w:lang w:eastAsia="zh-CN"/>
        </w:rPr>
        <w:t>Mourad</w:t>
      </w:r>
      <w:proofErr w:type="spellEnd"/>
      <w:r w:rsidRPr="00872367">
        <w:rPr>
          <w:rFonts w:ascii="Book Antiqua" w:eastAsia="宋体" w:hAnsi="Book Antiqua" w:cs="Times New Roman"/>
          <w:sz w:val="24"/>
          <w:szCs w:val="24"/>
          <w:lang w:eastAsia="zh-CN"/>
        </w:rPr>
        <w:t xml:space="preserve"> G, Sola R, </w:t>
      </w:r>
      <w:proofErr w:type="spellStart"/>
      <w:r w:rsidRPr="00872367">
        <w:rPr>
          <w:rFonts w:ascii="Book Antiqua" w:eastAsia="宋体" w:hAnsi="Book Antiqua" w:cs="Times New Roman"/>
          <w:sz w:val="24"/>
          <w:szCs w:val="24"/>
          <w:lang w:eastAsia="zh-CN"/>
        </w:rPr>
        <w:t>Rigotti</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Mirete</w:t>
      </w:r>
      <w:proofErr w:type="spellEnd"/>
      <w:r w:rsidRPr="00872367">
        <w:rPr>
          <w:rFonts w:ascii="Book Antiqua" w:eastAsia="宋体" w:hAnsi="Book Antiqua" w:cs="Times New Roman"/>
          <w:sz w:val="24"/>
          <w:szCs w:val="24"/>
          <w:lang w:eastAsia="zh-CN"/>
        </w:rPr>
        <w:t xml:space="preserve"> JO. Tacrolimus once daily (ADVAGRAF) versus twice daily (PROGRAF) in de novo renal transplantation: a randomized phase III study.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2010; </w:t>
      </w:r>
      <w:r w:rsidRPr="00872367">
        <w:rPr>
          <w:rFonts w:ascii="Book Antiqua" w:eastAsia="宋体" w:hAnsi="Book Antiqua" w:cs="Times New Roman"/>
          <w:b/>
          <w:bCs/>
          <w:sz w:val="24"/>
          <w:szCs w:val="24"/>
          <w:lang w:eastAsia="zh-CN"/>
        </w:rPr>
        <w:t>10</w:t>
      </w:r>
      <w:r w:rsidRPr="00872367">
        <w:rPr>
          <w:rFonts w:ascii="Book Antiqua" w:eastAsia="宋体" w:hAnsi="Book Antiqua" w:cs="Times New Roman"/>
          <w:sz w:val="24"/>
          <w:szCs w:val="24"/>
          <w:lang w:eastAsia="zh-CN"/>
        </w:rPr>
        <w:t>: 2632-2643 [PMID: 20840480 DOI: 10.1111/j.1600-6143.2010.03256]</w:t>
      </w:r>
    </w:p>
    <w:p w14:paraId="6D0BEE35"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proofErr w:type="gramStart"/>
      <w:r w:rsidRPr="00872367">
        <w:rPr>
          <w:rFonts w:ascii="Book Antiqua" w:eastAsia="宋体" w:hAnsi="Book Antiqua" w:cs="Times New Roman"/>
          <w:sz w:val="24"/>
          <w:szCs w:val="24"/>
          <w:lang w:eastAsia="zh-CN"/>
        </w:rPr>
        <w:t>4 </w:t>
      </w:r>
      <w:r w:rsidRPr="00872367">
        <w:rPr>
          <w:rFonts w:ascii="Book Antiqua" w:eastAsia="宋体" w:hAnsi="Book Antiqua" w:cs="Times New Roman"/>
          <w:b/>
          <w:bCs/>
          <w:sz w:val="24"/>
          <w:szCs w:val="24"/>
          <w:lang w:eastAsia="zh-CN"/>
        </w:rPr>
        <w:t>Spencer CM</w:t>
      </w:r>
      <w:r w:rsidRPr="00872367">
        <w:rPr>
          <w:rFonts w:ascii="Book Antiqua" w:eastAsia="宋体" w:hAnsi="Book Antiqua" w:cs="Times New Roman"/>
          <w:sz w:val="24"/>
          <w:szCs w:val="24"/>
          <w:lang w:eastAsia="zh-CN"/>
        </w:rPr>
        <w:t>, Goa KL, Gillis JC.</w:t>
      </w:r>
      <w:proofErr w:type="gramEnd"/>
      <w:r w:rsidRPr="00872367">
        <w:rPr>
          <w:rFonts w:ascii="Book Antiqua" w:eastAsia="宋体" w:hAnsi="Book Antiqua" w:cs="Times New Roman"/>
          <w:sz w:val="24"/>
          <w:szCs w:val="24"/>
          <w:lang w:eastAsia="zh-CN"/>
        </w:rPr>
        <w:t xml:space="preserve"> Tacrolimus. </w:t>
      </w:r>
      <w:proofErr w:type="gramStart"/>
      <w:r w:rsidRPr="00872367">
        <w:rPr>
          <w:rFonts w:ascii="Book Antiqua" w:eastAsia="宋体" w:hAnsi="Book Antiqua" w:cs="Times New Roman"/>
          <w:sz w:val="24"/>
          <w:szCs w:val="24"/>
          <w:lang w:eastAsia="zh-CN"/>
        </w:rPr>
        <w:t>An update of its pharmacology and clinical efficacy in the management of organ transplantation.</w:t>
      </w:r>
      <w:proofErr w:type="gramEnd"/>
      <w:r w:rsidRPr="00872367">
        <w:rPr>
          <w:rFonts w:ascii="Book Antiqua" w:eastAsia="宋体" w:hAnsi="Book Antiqua" w:cs="Times New Roman"/>
          <w:sz w:val="24"/>
          <w:szCs w:val="24"/>
          <w:lang w:eastAsia="zh-CN"/>
        </w:rPr>
        <w:t> </w:t>
      </w:r>
      <w:r w:rsidRPr="00872367">
        <w:rPr>
          <w:rFonts w:ascii="Book Antiqua" w:eastAsia="宋体" w:hAnsi="Book Antiqua" w:cs="Times New Roman"/>
          <w:i/>
          <w:iCs/>
          <w:sz w:val="24"/>
          <w:szCs w:val="24"/>
          <w:lang w:eastAsia="zh-CN"/>
        </w:rPr>
        <w:t>Drugs</w:t>
      </w:r>
      <w:r w:rsidRPr="00872367">
        <w:rPr>
          <w:rFonts w:ascii="Book Antiqua" w:eastAsia="宋体" w:hAnsi="Book Antiqua" w:cs="Times New Roman"/>
          <w:sz w:val="24"/>
          <w:szCs w:val="24"/>
          <w:lang w:eastAsia="zh-CN"/>
        </w:rPr>
        <w:t> 1997; </w:t>
      </w:r>
      <w:r w:rsidRPr="00872367">
        <w:rPr>
          <w:rFonts w:ascii="Book Antiqua" w:eastAsia="宋体" w:hAnsi="Book Antiqua" w:cs="Times New Roman"/>
          <w:b/>
          <w:bCs/>
          <w:sz w:val="24"/>
          <w:szCs w:val="24"/>
          <w:lang w:eastAsia="zh-CN"/>
        </w:rPr>
        <w:t>54</w:t>
      </w:r>
      <w:r w:rsidRPr="00872367">
        <w:rPr>
          <w:rFonts w:ascii="Book Antiqua" w:eastAsia="宋体" w:hAnsi="Book Antiqua" w:cs="Times New Roman"/>
          <w:sz w:val="24"/>
          <w:szCs w:val="24"/>
          <w:lang w:eastAsia="zh-CN"/>
        </w:rPr>
        <w:t>: 925-975 [PMID: 9421697]</w:t>
      </w:r>
    </w:p>
    <w:p w14:paraId="7DBE5E50"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5 </w:t>
      </w:r>
      <w:proofErr w:type="spellStart"/>
      <w:r w:rsidRPr="00872367">
        <w:rPr>
          <w:rFonts w:ascii="Book Antiqua" w:eastAsia="宋体" w:hAnsi="Book Antiqua" w:cs="Times New Roman"/>
          <w:b/>
          <w:bCs/>
          <w:sz w:val="24"/>
          <w:szCs w:val="24"/>
          <w:lang w:eastAsia="zh-CN"/>
        </w:rPr>
        <w:t>Jensik</w:t>
      </w:r>
      <w:proofErr w:type="spellEnd"/>
      <w:r w:rsidRPr="00872367">
        <w:rPr>
          <w:rFonts w:ascii="Book Antiqua" w:eastAsia="宋体" w:hAnsi="Book Antiqua" w:cs="Times New Roman"/>
          <w:b/>
          <w:bCs/>
          <w:sz w:val="24"/>
          <w:szCs w:val="24"/>
          <w:lang w:eastAsia="zh-CN"/>
        </w:rPr>
        <w:t xml:space="preserve"> SC</w:t>
      </w:r>
      <w:r w:rsidRPr="00872367">
        <w:rPr>
          <w:rFonts w:ascii="Book Antiqua" w:eastAsia="宋体" w:hAnsi="Book Antiqua" w:cs="Times New Roman"/>
          <w:sz w:val="24"/>
          <w:szCs w:val="24"/>
          <w:lang w:eastAsia="zh-CN"/>
        </w:rPr>
        <w:t xml:space="preserve">. Tacrolimus (FK 506) in kidney transplantation: three-year survival results of the US multicenter, randomized, comparative trial. </w:t>
      </w:r>
      <w:proofErr w:type="gramStart"/>
      <w:r w:rsidRPr="00872367">
        <w:rPr>
          <w:rFonts w:ascii="Book Antiqua" w:eastAsia="宋体" w:hAnsi="Book Antiqua" w:cs="Times New Roman"/>
          <w:sz w:val="24"/>
          <w:szCs w:val="24"/>
          <w:lang w:eastAsia="zh-CN"/>
        </w:rPr>
        <w:t>FK 506 Kidney Transplant Study Group.</w:t>
      </w:r>
      <w:proofErr w:type="gramEnd"/>
      <w:r w:rsidRPr="00872367">
        <w:rPr>
          <w:rFonts w:ascii="Book Antiqua" w:eastAsia="宋体" w:hAnsi="Book Antiqua" w:cs="Times New Roman"/>
          <w:sz w:val="24"/>
          <w:szCs w:val="24"/>
          <w:lang w:eastAsia="zh-CN"/>
        </w:rPr>
        <w:t>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1998; </w:t>
      </w:r>
      <w:r w:rsidRPr="00872367">
        <w:rPr>
          <w:rFonts w:ascii="Book Antiqua" w:eastAsia="宋体" w:hAnsi="Book Antiqua" w:cs="Times New Roman"/>
          <w:b/>
          <w:bCs/>
          <w:sz w:val="24"/>
          <w:szCs w:val="24"/>
          <w:lang w:eastAsia="zh-CN"/>
        </w:rPr>
        <w:t>30</w:t>
      </w:r>
      <w:r w:rsidRPr="00872367">
        <w:rPr>
          <w:rFonts w:ascii="Book Antiqua" w:eastAsia="宋体" w:hAnsi="Book Antiqua" w:cs="Times New Roman"/>
          <w:sz w:val="24"/>
          <w:szCs w:val="24"/>
          <w:lang w:eastAsia="zh-CN"/>
        </w:rPr>
        <w:t>: 1216-1218 [PMID: 9636494]</w:t>
      </w:r>
    </w:p>
    <w:p w14:paraId="0B351508"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6 </w:t>
      </w:r>
      <w:r w:rsidRPr="00872367">
        <w:rPr>
          <w:rFonts w:ascii="Book Antiqua" w:eastAsia="宋体" w:hAnsi="Book Antiqua" w:cs="Times New Roman"/>
          <w:b/>
          <w:bCs/>
          <w:sz w:val="24"/>
          <w:szCs w:val="24"/>
          <w:lang w:eastAsia="zh-CN"/>
        </w:rPr>
        <w:t>Fitzsimmons WE</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Bekersky</w:t>
      </w:r>
      <w:proofErr w:type="spellEnd"/>
      <w:r w:rsidRPr="00872367">
        <w:rPr>
          <w:rFonts w:ascii="Book Antiqua" w:eastAsia="宋体" w:hAnsi="Book Antiqua" w:cs="Times New Roman"/>
          <w:sz w:val="24"/>
          <w:szCs w:val="24"/>
          <w:lang w:eastAsia="zh-CN"/>
        </w:rPr>
        <w:t xml:space="preserve"> I, Dressler D, </w:t>
      </w:r>
      <w:proofErr w:type="spellStart"/>
      <w:r w:rsidRPr="00872367">
        <w:rPr>
          <w:rFonts w:ascii="Book Antiqua" w:eastAsia="宋体" w:hAnsi="Book Antiqua" w:cs="Times New Roman"/>
          <w:sz w:val="24"/>
          <w:szCs w:val="24"/>
          <w:lang w:eastAsia="zh-CN"/>
        </w:rPr>
        <w:t>Raye</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Hodosh</w:t>
      </w:r>
      <w:proofErr w:type="spellEnd"/>
      <w:r w:rsidRPr="00872367">
        <w:rPr>
          <w:rFonts w:ascii="Book Antiqua" w:eastAsia="宋体" w:hAnsi="Book Antiqua" w:cs="Times New Roman"/>
          <w:sz w:val="24"/>
          <w:szCs w:val="24"/>
          <w:lang w:eastAsia="zh-CN"/>
        </w:rPr>
        <w:t xml:space="preserve"> E, </w:t>
      </w:r>
      <w:proofErr w:type="spellStart"/>
      <w:r w:rsidRPr="00872367">
        <w:rPr>
          <w:rFonts w:ascii="Book Antiqua" w:eastAsia="宋体" w:hAnsi="Book Antiqua" w:cs="Times New Roman"/>
          <w:sz w:val="24"/>
          <w:szCs w:val="24"/>
          <w:lang w:eastAsia="zh-CN"/>
        </w:rPr>
        <w:t>Mekki</w:t>
      </w:r>
      <w:proofErr w:type="spellEnd"/>
      <w:r w:rsidRPr="00872367">
        <w:rPr>
          <w:rFonts w:ascii="Book Antiqua" w:eastAsia="宋体" w:hAnsi="Book Antiqua" w:cs="Times New Roman"/>
          <w:sz w:val="24"/>
          <w:szCs w:val="24"/>
          <w:lang w:eastAsia="zh-CN"/>
        </w:rPr>
        <w:t xml:space="preserve"> Q. Demographic considerations in tacrolimus pharmacokinetics.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1998; </w:t>
      </w:r>
      <w:r w:rsidRPr="00872367">
        <w:rPr>
          <w:rFonts w:ascii="Book Antiqua" w:eastAsia="宋体" w:hAnsi="Book Antiqua" w:cs="Times New Roman"/>
          <w:b/>
          <w:bCs/>
          <w:sz w:val="24"/>
          <w:szCs w:val="24"/>
          <w:lang w:eastAsia="zh-CN"/>
        </w:rPr>
        <w:t>30</w:t>
      </w:r>
      <w:r w:rsidRPr="00872367">
        <w:rPr>
          <w:rFonts w:ascii="Book Antiqua" w:eastAsia="宋体" w:hAnsi="Book Antiqua" w:cs="Times New Roman"/>
          <w:sz w:val="24"/>
          <w:szCs w:val="24"/>
          <w:lang w:eastAsia="zh-CN"/>
        </w:rPr>
        <w:t>: 1359-1364 [PMID: 9636552 DOI: 10.1016/S0041-1345(98)00275-9]</w:t>
      </w:r>
    </w:p>
    <w:p w14:paraId="0E749206"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7 </w:t>
      </w:r>
      <w:proofErr w:type="spellStart"/>
      <w:r w:rsidRPr="00872367">
        <w:rPr>
          <w:rFonts w:ascii="Book Antiqua" w:eastAsia="宋体" w:hAnsi="Book Antiqua" w:cs="Times New Roman"/>
          <w:b/>
          <w:bCs/>
          <w:sz w:val="24"/>
          <w:szCs w:val="24"/>
          <w:lang w:eastAsia="zh-CN"/>
        </w:rPr>
        <w:t>Mancinelli</w:t>
      </w:r>
      <w:proofErr w:type="spellEnd"/>
      <w:r w:rsidRPr="00872367">
        <w:rPr>
          <w:rFonts w:ascii="Book Antiqua" w:eastAsia="宋体" w:hAnsi="Book Antiqua" w:cs="Times New Roman"/>
          <w:b/>
          <w:bCs/>
          <w:sz w:val="24"/>
          <w:szCs w:val="24"/>
          <w:lang w:eastAsia="zh-CN"/>
        </w:rPr>
        <w:t xml:space="preserve"> LM</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Frassetto</w:t>
      </w:r>
      <w:proofErr w:type="spellEnd"/>
      <w:r w:rsidRPr="00872367">
        <w:rPr>
          <w:rFonts w:ascii="Book Antiqua" w:eastAsia="宋体" w:hAnsi="Book Antiqua" w:cs="Times New Roman"/>
          <w:sz w:val="24"/>
          <w:szCs w:val="24"/>
          <w:lang w:eastAsia="zh-CN"/>
        </w:rPr>
        <w:t xml:space="preserve"> L, </w:t>
      </w:r>
      <w:proofErr w:type="spellStart"/>
      <w:r w:rsidRPr="00872367">
        <w:rPr>
          <w:rFonts w:ascii="Book Antiqua" w:eastAsia="宋体" w:hAnsi="Book Antiqua" w:cs="Times New Roman"/>
          <w:sz w:val="24"/>
          <w:szCs w:val="24"/>
          <w:lang w:eastAsia="zh-CN"/>
        </w:rPr>
        <w:t>Floren</w:t>
      </w:r>
      <w:proofErr w:type="spellEnd"/>
      <w:r w:rsidRPr="00872367">
        <w:rPr>
          <w:rFonts w:ascii="Book Antiqua" w:eastAsia="宋体" w:hAnsi="Book Antiqua" w:cs="Times New Roman"/>
          <w:sz w:val="24"/>
          <w:szCs w:val="24"/>
          <w:lang w:eastAsia="zh-CN"/>
        </w:rPr>
        <w:t xml:space="preserve"> LC, Dressler D, Carrier S, </w:t>
      </w:r>
      <w:proofErr w:type="spellStart"/>
      <w:r w:rsidRPr="00872367">
        <w:rPr>
          <w:rFonts w:ascii="Book Antiqua" w:eastAsia="宋体" w:hAnsi="Book Antiqua" w:cs="Times New Roman"/>
          <w:sz w:val="24"/>
          <w:szCs w:val="24"/>
          <w:lang w:eastAsia="zh-CN"/>
        </w:rPr>
        <w:t>Bekersky</w:t>
      </w:r>
      <w:proofErr w:type="spellEnd"/>
      <w:r w:rsidRPr="00872367">
        <w:rPr>
          <w:rFonts w:ascii="Book Antiqua" w:eastAsia="宋体" w:hAnsi="Book Antiqua" w:cs="Times New Roman"/>
          <w:sz w:val="24"/>
          <w:szCs w:val="24"/>
          <w:lang w:eastAsia="zh-CN"/>
        </w:rPr>
        <w:t xml:space="preserve"> I, Benet LZ, Christians U. The pharmacokinetics and metabolic disposition of tacrolimus: a comparison across ethnic groups. </w:t>
      </w:r>
      <w:proofErr w:type="spellStart"/>
      <w:r w:rsidRPr="00872367">
        <w:rPr>
          <w:rFonts w:ascii="Book Antiqua" w:eastAsia="宋体" w:hAnsi="Book Antiqua" w:cs="Times New Roman"/>
          <w:i/>
          <w:iCs/>
          <w:sz w:val="24"/>
          <w:szCs w:val="24"/>
          <w:lang w:eastAsia="zh-CN"/>
        </w:rPr>
        <w:t>Clin</w:t>
      </w:r>
      <w:proofErr w:type="spellEnd"/>
      <w:r w:rsidRPr="00872367">
        <w:rPr>
          <w:rFonts w:ascii="Book Antiqua" w:eastAsia="宋体" w:hAnsi="Book Antiqua" w:cs="Times New Roman"/>
          <w:i/>
          <w:iCs/>
          <w:sz w:val="24"/>
          <w:szCs w:val="24"/>
          <w:lang w:eastAsia="zh-CN"/>
        </w:rPr>
        <w:t xml:space="preserve"> </w:t>
      </w:r>
      <w:proofErr w:type="spellStart"/>
      <w:r w:rsidRPr="00872367">
        <w:rPr>
          <w:rFonts w:ascii="Book Antiqua" w:eastAsia="宋体" w:hAnsi="Book Antiqua" w:cs="Times New Roman"/>
          <w:i/>
          <w:iCs/>
          <w:sz w:val="24"/>
          <w:szCs w:val="24"/>
          <w:lang w:eastAsia="zh-CN"/>
        </w:rPr>
        <w:t>Pharmacol</w:t>
      </w:r>
      <w:proofErr w:type="spellEnd"/>
      <w:r w:rsidRPr="00872367">
        <w:rPr>
          <w:rFonts w:ascii="Book Antiqua" w:eastAsia="宋体" w:hAnsi="Book Antiqua" w:cs="Times New Roman"/>
          <w:i/>
          <w:iCs/>
          <w:sz w:val="24"/>
          <w:szCs w:val="24"/>
          <w:lang w:eastAsia="zh-CN"/>
        </w:rPr>
        <w:t xml:space="preserve">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sz w:val="24"/>
          <w:szCs w:val="24"/>
          <w:lang w:eastAsia="zh-CN"/>
        </w:rPr>
        <w:t> 2001; </w:t>
      </w:r>
      <w:r w:rsidRPr="00872367">
        <w:rPr>
          <w:rFonts w:ascii="Book Antiqua" w:eastAsia="宋体" w:hAnsi="Book Antiqua" w:cs="Times New Roman"/>
          <w:b/>
          <w:bCs/>
          <w:sz w:val="24"/>
          <w:szCs w:val="24"/>
          <w:lang w:eastAsia="zh-CN"/>
        </w:rPr>
        <w:t>69</w:t>
      </w:r>
      <w:r w:rsidRPr="00872367">
        <w:rPr>
          <w:rFonts w:ascii="Book Antiqua" w:eastAsia="宋体" w:hAnsi="Book Antiqua" w:cs="Times New Roman"/>
          <w:sz w:val="24"/>
          <w:szCs w:val="24"/>
          <w:lang w:eastAsia="zh-CN"/>
        </w:rPr>
        <w:t>: 24-31 [PMID: 11180035 DOI: 10.1067/mcp.2001.113183]</w:t>
      </w:r>
    </w:p>
    <w:p w14:paraId="2912B9E9"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lastRenderedPageBreak/>
        <w:t>8 </w:t>
      </w:r>
      <w:proofErr w:type="spellStart"/>
      <w:r w:rsidRPr="00872367">
        <w:rPr>
          <w:rFonts w:ascii="Book Antiqua" w:eastAsia="宋体" w:hAnsi="Book Antiqua" w:cs="Times New Roman"/>
          <w:b/>
          <w:bCs/>
          <w:sz w:val="24"/>
          <w:szCs w:val="24"/>
          <w:lang w:eastAsia="zh-CN"/>
        </w:rPr>
        <w:t>Jusko</w:t>
      </w:r>
      <w:proofErr w:type="spellEnd"/>
      <w:r w:rsidRPr="00872367">
        <w:rPr>
          <w:rFonts w:ascii="Book Antiqua" w:eastAsia="宋体" w:hAnsi="Book Antiqua" w:cs="Times New Roman"/>
          <w:b/>
          <w:bCs/>
          <w:sz w:val="24"/>
          <w:szCs w:val="24"/>
          <w:lang w:eastAsia="zh-CN"/>
        </w:rPr>
        <w:t xml:space="preserve"> WJ</w:t>
      </w:r>
      <w:r w:rsidRPr="00872367">
        <w:rPr>
          <w:rFonts w:ascii="Book Antiqua" w:eastAsia="宋体" w:hAnsi="Book Antiqua" w:cs="Times New Roman"/>
          <w:sz w:val="24"/>
          <w:szCs w:val="24"/>
          <w:lang w:eastAsia="zh-CN"/>
        </w:rPr>
        <w:t xml:space="preserve">, Thomson AW, Fung J, McMaster P, Wong SH, </w:t>
      </w:r>
      <w:proofErr w:type="spellStart"/>
      <w:r w:rsidRPr="00872367">
        <w:rPr>
          <w:rFonts w:ascii="Book Antiqua" w:eastAsia="宋体" w:hAnsi="Book Antiqua" w:cs="Times New Roman"/>
          <w:sz w:val="24"/>
          <w:szCs w:val="24"/>
          <w:lang w:eastAsia="zh-CN"/>
        </w:rPr>
        <w:t>Zylber</w:t>
      </w:r>
      <w:proofErr w:type="spellEnd"/>
      <w:r w:rsidRPr="00872367">
        <w:rPr>
          <w:rFonts w:ascii="Book Antiqua" w:eastAsia="宋体" w:hAnsi="Book Antiqua" w:cs="Times New Roman"/>
          <w:sz w:val="24"/>
          <w:szCs w:val="24"/>
          <w:lang w:eastAsia="zh-CN"/>
        </w:rPr>
        <w:t>-Katz E, Christians U, Winkler M, Fitzsimmons WE, Lieberman R. Consensus document: therapeutic monitoring of tacrolimus (FK-506).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i/>
          <w:iCs/>
          <w:sz w:val="24"/>
          <w:szCs w:val="24"/>
          <w:lang w:eastAsia="zh-CN"/>
        </w:rPr>
        <w:t xml:space="preserve"> Drug </w:t>
      </w:r>
      <w:proofErr w:type="spellStart"/>
      <w:r w:rsidRPr="00872367">
        <w:rPr>
          <w:rFonts w:ascii="Book Antiqua" w:eastAsia="宋体" w:hAnsi="Book Antiqua" w:cs="Times New Roman"/>
          <w:i/>
          <w:iCs/>
          <w:sz w:val="24"/>
          <w:szCs w:val="24"/>
          <w:lang w:eastAsia="zh-CN"/>
        </w:rPr>
        <w:t>Monit</w:t>
      </w:r>
      <w:proofErr w:type="spellEnd"/>
      <w:r w:rsidRPr="00872367">
        <w:rPr>
          <w:rFonts w:ascii="Book Antiqua" w:eastAsia="宋体" w:hAnsi="Book Antiqua" w:cs="Times New Roman"/>
          <w:sz w:val="24"/>
          <w:szCs w:val="24"/>
          <w:lang w:eastAsia="zh-CN"/>
        </w:rPr>
        <w:t> 1995; </w:t>
      </w:r>
      <w:r w:rsidRPr="00872367">
        <w:rPr>
          <w:rFonts w:ascii="Book Antiqua" w:eastAsia="宋体" w:hAnsi="Book Antiqua" w:cs="Times New Roman"/>
          <w:b/>
          <w:bCs/>
          <w:sz w:val="24"/>
          <w:szCs w:val="24"/>
          <w:lang w:eastAsia="zh-CN"/>
        </w:rPr>
        <w:t>17</w:t>
      </w:r>
      <w:r w:rsidRPr="00872367">
        <w:rPr>
          <w:rFonts w:ascii="Book Antiqua" w:eastAsia="宋体" w:hAnsi="Book Antiqua" w:cs="Times New Roman"/>
          <w:sz w:val="24"/>
          <w:szCs w:val="24"/>
          <w:lang w:eastAsia="zh-CN"/>
        </w:rPr>
        <w:t>: 606-614 [PMID: 8588229]</w:t>
      </w:r>
    </w:p>
    <w:p w14:paraId="4E72EF4B"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proofErr w:type="gramStart"/>
      <w:r w:rsidRPr="00872367">
        <w:rPr>
          <w:rFonts w:ascii="Book Antiqua" w:eastAsia="宋体" w:hAnsi="Book Antiqua" w:cs="Times New Roman"/>
          <w:sz w:val="24"/>
          <w:szCs w:val="24"/>
          <w:lang w:eastAsia="zh-CN"/>
        </w:rPr>
        <w:t xml:space="preserve">9 </w:t>
      </w:r>
      <w:proofErr w:type="spellStart"/>
      <w:r w:rsidRPr="00872367">
        <w:rPr>
          <w:rFonts w:ascii="Book Antiqua" w:eastAsia="宋体" w:hAnsi="Book Antiqua" w:cs="Times New Roman"/>
          <w:b/>
          <w:sz w:val="24"/>
          <w:szCs w:val="24"/>
          <w:lang w:eastAsia="zh-CN"/>
        </w:rPr>
        <w:t>Astagraf</w:t>
      </w:r>
      <w:proofErr w:type="spellEnd"/>
      <w:r w:rsidRPr="00872367">
        <w:rPr>
          <w:rFonts w:ascii="Book Antiqua" w:eastAsia="宋体" w:hAnsi="Book Antiqua" w:cs="Times New Roman"/>
          <w:b/>
          <w:sz w:val="24"/>
          <w:szCs w:val="24"/>
          <w:lang w:eastAsia="zh-CN"/>
        </w:rPr>
        <w:t xml:space="preserve"> XL</w:t>
      </w:r>
      <w:r w:rsidRPr="00872367">
        <w:rPr>
          <w:rFonts w:ascii="Book Antiqua" w:eastAsia="宋体" w:hAnsi="Book Antiqua" w:cs="Times New Roman"/>
          <w:sz w:val="24"/>
          <w:szCs w:val="24"/>
          <w:lang w:eastAsia="zh-CN"/>
        </w:rPr>
        <w:t>.</w:t>
      </w:r>
      <w:proofErr w:type="gramEnd"/>
      <w:r w:rsidRPr="00872367">
        <w:rPr>
          <w:rFonts w:ascii="Book Antiqua" w:eastAsia="宋体" w:hAnsi="Book Antiqua" w:cs="Times New Roman"/>
          <w:sz w:val="24"/>
          <w:szCs w:val="24"/>
          <w:lang w:eastAsia="zh-CN"/>
        </w:rPr>
        <w:t xml:space="preserve"> Northbrook, IL: </w:t>
      </w:r>
      <w:proofErr w:type="spellStart"/>
      <w:r w:rsidRPr="00872367">
        <w:rPr>
          <w:rFonts w:ascii="Book Antiqua" w:eastAsia="宋体" w:hAnsi="Book Antiqua" w:cs="Times New Roman"/>
          <w:sz w:val="24"/>
          <w:szCs w:val="24"/>
          <w:lang w:eastAsia="zh-CN"/>
        </w:rPr>
        <w:t>Astellas</w:t>
      </w:r>
      <w:proofErr w:type="spellEnd"/>
      <w:r w:rsidRPr="00872367">
        <w:rPr>
          <w:rFonts w:ascii="Book Antiqua" w:eastAsia="宋体" w:hAnsi="Book Antiqua" w:cs="Times New Roman"/>
          <w:sz w:val="24"/>
          <w:szCs w:val="24"/>
          <w:lang w:eastAsia="zh-CN"/>
        </w:rPr>
        <w:t>, Inc.</w:t>
      </w:r>
      <w:r w:rsidRPr="00872367">
        <w:rPr>
          <w:rFonts w:ascii="Book Antiqua" w:eastAsia="宋体" w:hAnsi="Book Antiqua" w:cs="Times New Roman" w:hint="eastAsia"/>
          <w:sz w:val="24"/>
          <w:szCs w:val="24"/>
          <w:lang w:eastAsia="zh-CN"/>
        </w:rPr>
        <w:t>, 2015: 112-139</w:t>
      </w:r>
    </w:p>
    <w:p w14:paraId="2A52ED4F"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proofErr w:type="gramStart"/>
      <w:r w:rsidRPr="00872367">
        <w:rPr>
          <w:rFonts w:ascii="Book Antiqua" w:eastAsia="宋体" w:hAnsi="Book Antiqua" w:cs="Times New Roman"/>
          <w:sz w:val="24"/>
          <w:szCs w:val="24"/>
          <w:lang w:eastAsia="zh-CN"/>
        </w:rPr>
        <w:t>10 </w:t>
      </w:r>
      <w:proofErr w:type="spellStart"/>
      <w:r w:rsidRPr="00872367">
        <w:rPr>
          <w:rFonts w:ascii="Book Antiqua" w:eastAsia="宋体" w:hAnsi="Book Antiqua" w:cs="Times New Roman"/>
          <w:b/>
          <w:bCs/>
          <w:sz w:val="24"/>
          <w:szCs w:val="24"/>
          <w:lang w:eastAsia="zh-CN"/>
        </w:rPr>
        <w:t>Barraclough</w:t>
      </w:r>
      <w:proofErr w:type="spellEnd"/>
      <w:r w:rsidRPr="00872367">
        <w:rPr>
          <w:rFonts w:ascii="Book Antiqua" w:eastAsia="宋体" w:hAnsi="Book Antiqua" w:cs="Times New Roman"/>
          <w:b/>
          <w:bCs/>
          <w:sz w:val="24"/>
          <w:szCs w:val="24"/>
          <w:lang w:eastAsia="zh-CN"/>
        </w:rPr>
        <w:t xml:space="preserve"> KA</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Isbel</w:t>
      </w:r>
      <w:proofErr w:type="spellEnd"/>
      <w:r w:rsidRPr="00872367">
        <w:rPr>
          <w:rFonts w:ascii="Book Antiqua" w:eastAsia="宋体" w:hAnsi="Book Antiqua" w:cs="Times New Roman"/>
          <w:sz w:val="24"/>
          <w:szCs w:val="24"/>
          <w:lang w:eastAsia="zh-CN"/>
        </w:rPr>
        <w:t xml:space="preserve"> NM, Johnson DW, Campbell SB, </w:t>
      </w:r>
      <w:proofErr w:type="spellStart"/>
      <w:r w:rsidRPr="00872367">
        <w:rPr>
          <w:rFonts w:ascii="Book Antiqua" w:eastAsia="宋体" w:hAnsi="Book Antiqua" w:cs="Times New Roman"/>
          <w:sz w:val="24"/>
          <w:szCs w:val="24"/>
          <w:lang w:eastAsia="zh-CN"/>
        </w:rPr>
        <w:t>Staatz</w:t>
      </w:r>
      <w:proofErr w:type="spellEnd"/>
      <w:r w:rsidRPr="00872367">
        <w:rPr>
          <w:rFonts w:ascii="Book Antiqua" w:eastAsia="宋体" w:hAnsi="Book Antiqua" w:cs="Times New Roman"/>
          <w:sz w:val="24"/>
          <w:szCs w:val="24"/>
          <w:lang w:eastAsia="zh-CN"/>
        </w:rPr>
        <w:t xml:space="preserve"> CE.</w:t>
      </w:r>
      <w:proofErr w:type="gramEnd"/>
      <w:r w:rsidRPr="00872367">
        <w:rPr>
          <w:rFonts w:ascii="Book Antiqua" w:eastAsia="宋体" w:hAnsi="Book Antiqua" w:cs="Times New Roman"/>
          <w:sz w:val="24"/>
          <w:szCs w:val="24"/>
          <w:lang w:eastAsia="zh-CN"/>
        </w:rPr>
        <w:t xml:space="preserve"> Once- versus twice-daily tacrolimus: are the formulations truly equivalent? </w:t>
      </w:r>
      <w:r w:rsidRPr="00872367">
        <w:rPr>
          <w:rFonts w:ascii="Book Antiqua" w:eastAsia="宋体" w:hAnsi="Book Antiqua" w:cs="Times New Roman"/>
          <w:i/>
          <w:iCs/>
          <w:sz w:val="24"/>
          <w:szCs w:val="24"/>
          <w:lang w:eastAsia="zh-CN"/>
        </w:rPr>
        <w:t>Drugs</w:t>
      </w:r>
      <w:r w:rsidRPr="00872367">
        <w:rPr>
          <w:rFonts w:ascii="Book Antiqua" w:eastAsia="宋体" w:hAnsi="Book Antiqua" w:cs="Times New Roman"/>
          <w:sz w:val="24"/>
          <w:szCs w:val="24"/>
          <w:lang w:eastAsia="zh-CN"/>
        </w:rPr>
        <w:t> 2011; </w:t>
      </w:r>
      <w:r w:rsidRPr="00872367">
        <w:rPr>
          <w:rFonts w:ascii="Book Antiqua" w:eastAsia="宋体" w:hAnsi="Book Antiqua" w:cs="Times New Roman"/>
          <w:b/>
          <w:bCs/>
          <w:sz w:val="24"/>
          <w:szCs w:val="24"/>
          <w:lang w:eastAsia="zh-CN"/>
        </w:rPr>
        <w:t>71</w:t>
      </w:r>
      <w:r w:rsidRPr="00872367">
        <w:rPr>
          <w:rFonts w:ascii="Book Antiqua" w:eastAsia="宋体" w:hAnsi="Book Antiqua" w:cs="Times New Roman"/>
          <w:sz w:val="24"/>
          <w:szCs w:val="24"/>
          <w:lang w:eastAsia="zh-CN"/>
        </w:rPr>
        <w:t>: 1561-1577 [PMID: 21861541]</w:t>
      </w:r>
    </w:p>
    <w:p w14:paraId="4A66BA1A"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11 </w:t>
      </w:r>
      <w:r w:rsidRPr="00872367">
        <w:rPr>
          <w:rFonts w:ascii="Book Antiqua" w:eastAsia="宋体" w:hAnsi="Book Antiqua" w:cs="Times New Roman"/>
          <w:b/>
          <w:bCs/>
          <w:sz w:val="24"/>
          <w:szCs w:val="24"/>
          <w:lang w:eastAsia="zh-CN"/>
        </w:rPr>
        <w:t>First MR</w:t>
      </w:r>
      <w:r w:rsidRPr="00872367">
        <w:rPr>
          <w:rFonts w:ascii="Book Antiqua" w:eastAsia="宋体" w:hAnsi="Book Antiqua" w:cs="Times New Roman"/>
          <w:sz w:val="24"/>
          <w:szCs w:val="24"/>
          <w:lang w:eastAsia="zh-CN"/>
        </w:rPr>
        <w:t>. First clinical experience with the new once-daily formulation of tacrolimus.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i/>
          <w:iCs/>
          <w:sz w:val="24"/>
          <w:szCs w:val="24"/>
          <w:lang w:eastAsia="zh-CN"/>
        </w:rPr>
        <w:t xml:space="preserve"> Drug </w:t>
      </w:r>
      <w:proofErr w:type="spellStart"/>
      <w:r w:rsidRPr="00872367">
        <w:rPr>
          <w:rFonts w:ascii="Book Antiqua" w:eastAsia="宋体" w:hAnsi="Book Antiqua" w:cs="Times New Roman"/>
          <w:i/>
          <w:iCs/>
          <w:sz w:val="24"/>
          <w:szCs w:val="24"/>
          <w:lang w:eastAsia="zh-CN"/>
        </w:rPr>
        <w:t>Monit</w:t>
      </w:r>
      <w:proofErr w:type="spellEnd"/>
      <w:r w:rsidRPr="00872367">
        <w:rPr>
          <w:rFonts w:ascii="Book Antiqua" w:eastAsia="宋体" w:hAnsi="Book Antiqua" w:cs="Times New Roman"/>
          <w:sz w:val="24"/>
          <w:szCs w:val="24"/>
          <w:lang w:eastAsia="zh-CN"/>
        </w:rPr>
        <w:t> 2008; </w:t>
      </w:r>
      <w:r w:rsidRPr="00872367">
        <w:rPr>
          <w:rFonts w:ascii="Book Antiqua" w:eastAsia="宋体" w:hAnsi="Book Antiqua" w:cs="Times New Roman"/>
          <w:b/>
          <w:bCs/>
          <w:sz w:val="24"/>
          <w:szCs w:val="24"/>
          <w:lang w:eastAsia="zh-CN"/>
        </w:rPr>
        <w:t>30</w:t>
      </w:r>
      <w:r w:rsidRPr="00872367">
        <w:rPr>
          <w:rFonts w:ascii="Book Antiqua" w:eastAsia="宋体" w:hAnsi="Book Antiqua" w:cs="Times New Roman"/>
          <w:sz w:val="24"/>
          <w:szCs w:val="24"/>
          <w:lang w:eastAsia="zh-CN"/>
        </w:rPr>
        <w:t>: 159-166 [PMID: 18367975 DOI: 10.1097/FTD.0b013e318167909a]</w:t>
      </w:r>
    </w:p>
    <w:p w14:paraId="61FE5F72"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12 </w:t>
      </w:r>
      <w:proofErr w:type="spellStart"/>
      <w:r w:rsidRPr="00872367">
        <w:rPr>
          <w:rFonts w:ascii="Book Antiqua" w:eastAsia="宋体" w:hAnsi="Book Antiqua" w:cs="Times New Roman"/>
          <w:b/>
          <w:bCs/>
          <w:sz w:val="24"/>
          <w:szCs w:val="24"/>
          <w:lang w:eastAsia="zh-CN"/>
        </w:rPr>
        <w:t>Wlodarczyk</w:t>
      </w:r>
      <w:proofErr w:type="spellEnd"/>
      <w:r w:rsidRPr="00872367">
        <w:rPr>
          <w:rFonts w:ascii="Book Antiqua" w:eastAsia="宋体" w:hAnsi="Book Antiqua" w:cs="Times New Roman"/>
          <w:b/>
          <w:bCs/>
          <w:sz w:val="24"/>
          <w:szCs w:val="24"/>
          <w:lang w:eastAsia="zh-CN"/>
        </w:rPr>
        <w:t xml:space="preserve"> Z</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Squifflet</w:t>
      </w:r>
      <w:proofErr w:type="spellEnd"/>
      <w:r w:rsidRPr="00872367">
        <w:rPr>
          <w:rFonts w:ascii="Book Antiqua" w:eastAsia="宋体" w:hAnsi="Book Antiqua" w:cs="Times New Roman"/>
          <w:sz w:val="24"/>
          <w:szCs w:val="24"/>
          <w:lang w:eastAsia="zh-CN"/>
        </w:rPr>
        <w:t xml:space="preserve"> JP, </w:t>
      </w:r>
      <w:proofErr w:type="spellStart"/>
      <w:r w:rsidRPr="00872367">
        <w:rPr>
          <w:rFonts w:ascii="Book Antiqua" w:eastAsia="宋体" w:hAnsi="Book Antiqua" w:cs="Times New Roman"/>
          <w:sz w:val="24"/>
          <w:szCs w:val="24"/>
          <w:lang w:eastAsia="zh-CN"/>
        </w:rPr>
        <w:t>Ostrowski</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Rigotti</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Stefoni</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Citterio</w:t>
      </w:r>
      <w:proofErr w:type="spellEnd"/>
      <w:r w:rsidRPr="00872367">
        <w:rPr>
          <w:rFonts w:ascii="Book Antiqua" w:eastAsia="宋体" w:hAnsi="Book Antiqua" w:cs="Times New Roman"/>
          <w:sz w:val="24"/>
          <w:szCs w:val="24"/>
          <w:lang w:eastAsia="zh-CN"/>
        </w:rPr>
        <w:t xml:space="preserve"> F, </w:t>
      </w:r>
      <w:proofErr w:type="spellStart"/>
      <w:r w:rsidRPr="00872367">
        <w:rPr>
          <w:rFonts w:ascii="Book Antiqua" w:eastAsia="宋体" w:hAnsi="Book Antiqua" w:cs="Times New Roman"/>
          <w:sz w:val="24"/>
          <w:szCs w:val="24"/>
          <w:lang w:eastAsia="zh-CN"/>
        </w:rPr>
        <w:t>Vanrenterghem</w:t>
      </w:r>
      <w:proofErr w:type="spellEnd"/>
      <w:r w:rsidRPr="00872367">
        <w:rPr>
          <w:rFonts w:ascii="Book Antiqua" w:eastAsia="宋体" w:hAnsi="Book Antiqua" w:cs="Times New Roman"/>
          <w:sz w:val="24"/>
          <w:szCs w:val="24"/>
          <w:lang w:eastAsia="zh-CN"/>
        </w:rPr>
        <w:t xml:space="preserve"> Y, </w:t>
      </w:r>
      <w:proofErr w:type="spellStart"/>
      <w:r w:rsidRPr="00872367">
        <w:rPr>
          <w:rFonts w:ascii="Book Antiqua" w:eastAsia="宋体" w:hAnsi="Book Antiqua" w:cs="Times New Roman"/>
          <w:sz w:val="24"/>
          <w:szCs w:val="24"/>
          <w:lang w:eastAsia="zh-CN"/>
        </w:rPr>
        <w:t>Krämer</w:t>
      </w:r>
      <w:proofErr w:type="spellEnd"/>
      <w:r w:rsidRPr="00872367">
        <w:rPr>
          <w:rFonts w:ascii="Book Antiqua" w:eastAsia="宋体" w:hAnsi="Book Antiqua" w:cs="Times New Roman"/>
          <w:sz w:val="24"/>
          <w:szCs w:val="24"/>
          <w:lang w:eastAsia="zh-CN"/>
        </w:rPr>
        <w:t xml:space="preserve"> BK, </w:t>
      </w:r>
      <w:proofErr w:type="spellStart"/>
      <w:r w:rsidRPr="00872367">
        <w:rPr>
          <w:rFonts w:ascii="Book Antiqua" w:eastAsia="宋体" w:hAnsi="Book Antiqua" w:cs="Times New Roman"/>
          <w:sz w:val="24"/>
          <w:szCs w:val="24"/>
          <w:lang w:eastAsia="zh-CN"/>
        </w:rPr>
        <w:t>Abramowicz</w:t>
      </w:r>
      <w:proofErr w:type="spellEnd"/>
      <w:r w:rsidRPr="00872367">
        <w:rPr>
          <w:rFonts w:ascii="Book Antiqua" w:eastAsia="宋体" w:hAnsi="Book Antiqua" w:cs="Times New Roman"/>
          <w:sz w:val="24"/>
          <w:szCs w:val="24"/>
          <w:lang w:eastAsia="zh-CN"/>
        </w:rPr>
        <w:t xml:space="preserve"> D, Oppenheimer F, </w:t>
      </w:r>
      <w:proofErr w:type="spellStart"/>
      <w:r w:rsidRPr="00872367">
        <w:rPr>
          <w:rFonts w:ascii="Book Antiqua" w:eastAsia="宋体" w:hAnsi="Book Antiqua" w:cs="Times New Roman"/>
          <w:sz w:val="24"/>
          <w:szCs w:val="24"/>
          <w:lang w:eastAsia="zh-CN"/>
        </w:rPr>
        <w:t>Pietruck</w:t>
      </w:r>
      <w:proofErr w:type="spellEnd"/>
      <w:r w:rsidRPr="00872367">
        <w:rPr>
          <w:rFonts w:ascii="Book Antiqua" w:eastAsia="宋体" w:hAnsi="Book Antiqua" w:cs="Times New Roman"/>
          <w:sz w:val="24"/>
          <w:szCs w:val="24"/>
          <w:lang w:eastAsia="zh-CN"/>
        </w:rPr>
        <w:t xml:space="preserve"> F, Russ G, </w:t>
      </w:r>
      <w:proofErr w:type="spellStart"/>
      <w:r w:rsidRPr="00872367">
        <w:rPr>
          <w:rFonts w:ascii="Book Antiqua" w:eastAsia="宋体" w:hAnsi="Book Antiqua" w:cs="Times New Roman"/>
          <w:sz w:val="24"/>
          <w:szCs w:val="24"/>
          <w:lang w:eastAsia="zh-CN"/>
        </w:rPr>
        <w:t>Karpf</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Pharmacokinetics for once- versus twice-daily tacrolimus formulations in de novo kidney transplantation: a randomized, open-label trial.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2009; </w:t>
      </w:r>
      <w:r w:rsidRPr="00872367">
        <w:rPr>
          <w:rFonts w:ascii="Book Antiqua" w:eastAsia="宋体" w:hAnsi="Book Antiqua" w:cs="Times New Roman"/>
          <w:b/>
          <w:bCs/>
          <w:sz w:val="24"/>
          <w:szCs w:val="24"/>
          <w:lang w:eastAsia="zh-CN"/>
        </w:rPr>
        <w:t>9</w:t>
      </w:r>
      <w:r w:rsidRPr="00872367">
        <w:rPr>
          <w:rFonts w:ascii="Book Antiqua" w:eastAsia="宋体" w:hAnsi="Book Antiqua" w:cs="Times New Roman"/>
          <w:sz w:val="24"/>
          <w:szCs w:val="24"/>
          <w:lang w:eastAsia="zh-CN"/>
        </w:rPr>
        <w:t>: 2505-2513 [PMID: 19681813 DOI: 10.1111/j.1600-6143.2009.02794.x]</w:t>
      </w:r>
    </w:p>
    <w:p w14:paraId="76A076BF"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13 </w:t>
      </w:r>
      <w:proofErr w:type="spellStart"/>
      <w:r w:rsidRPr="00872367">
        <w:rPr>
          <w:rFonts w:ascii="Book Antiqua" w:eastAsia="宋体" w:hAnsi="Book Antiqua" w:cs="Times New Roman"/>
          <w:b/>
          <w:bCs/>
          <w:sz w:val="24"/>
          <w:szCs w:val="24"/>
          <w:lang w:eastAsia="zh-CN"/>
        </w:rPr>
        <w:t>Trunečka</w:t>
      </w:r>
      <w:proofErr w:type="spellEnd"/>
      <w:r w:rsidRPr="00872367">
        <w:rPr>
          <w:rFonts w:ascii="Book Antiqua" w:eastAsia="宋体" w:hAnsi="Book Antiqua" w:cs="Times New Roman"/>
          <w:b/>
          <w:bCs/>
          <w:sz w:val="24"/>
          <w:szCs w:val="24"/>
          <w:lang w:eastAsia="zh-CN"/>
        </w:rPr>
        <w:t xml:space="preserve"> P</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Boillot</w:t>
      </w:r>
      <w:proofErr w:type="spellEnd"/>
      <w:r w:rsidRPr="00872367">
        <w:rPr>
          <w:rFonts w:ascii="Book Antiqua" w:eastAsia="宋体" w:hAnsi="Book Antiqua" w:cs="Times New Roman"/>
          <w:sz w:val="24"/>
          <w:szCs w:val="24"/>
          <w:lang w:eastAsia="zh-CN"/>
        </w:rPr>
        <w:t xml:space="preserve"> O, </w:t>
      </w:r>
      <w:proofErr w:type="spellStart"/>
      <w:r w:rsidRPr="00872367">
        <w:rPr>
          <w:rFonts w:ascii="Book Antiqua" w:eastAsia="宋体" w:hAnsi="Book Antiqua" w:cs="Times New Roman"/>
          <w:sz w:val="24"/>
          <w:szCs w:val="24"/>
          <w:lang w:eastAsia="zh-CN"/>
        </w:rPr>
        <w:t>Seehofer</w:t>
      </w:r>
      <w:proofErr w:type="spellEnd"/>
      <w:r w:rsidRPr="00872367">
        <w:rPr>
          <w:rFonts w:ascii="Book Antiqua" w:eastAsia="宋体" w:hAnsi="Book Antiqua" w:cs="Times New Roman"/>
          <w:sz w:val="24"/>
          <w:szCs w:val="24"/>
          <w:lang w:eastAsia="zh-CN"/>
        </w:rPr>
        <w:t xml:space="preserve"> D, Pinna AD, Fischer L, </w:t>
      </w:r>
      <w:proofErr w:type="spellStart"/>
      <w:r w:rsidRPr="00872367">
        <w:rPr>
          <w:rFonts w:ascii="Book Antiqua" w:eastAsia="宋体" w:hAnsi="Book Antiqua" w:cs="Times New Roman"/>
          <w:sz w:val="24"/>
          <w:szCs w:val="24"/>
          <w:lang w:eastAsia="zh-CN"/>
        </w:rPr>
        <w:t>Ericzon</w:t>
      </w:r>
      <w:proofErr w:type="spellEnd"/>
      <w:r w:rsidRPr="00872367">
        <w:rPr>
          <w:rFonts w:ascii="Book Antiqua" w:eastAsia="宋体" w:hAnsi="Book Antiqua" w:cs="Times New Roman"/>
          <w:sz w:val="24"/>
          <w:szCs w:val="24"/>
          <w:lang w:eastAsia="zh-CN"/>
        </w:rPr>
        <w:t xml:space="preserve"> BG, </w:t>
      </w:r>
      <w:proofErr w:type="spellStart"/>
      <w:r w:rsidRPr="00872367">
        <w:rPr>
          <w:rFonts w:ascii="Book Antiqua" w:eastAsia="宋体" w:hAnsi="Book Antiqua" w:cs="Times New Roman"/>
          <w:sz w:val="24"/>
          <w:szCs w:val="24"/>
          <w:lang w:eastAsia="zh-CN"/>
        </w:rPr>
        <w:t>Troisi</w:t>
      </w:r>
      <w:proofErr w:type="spellEnd"/>
      <w:r w:rsidRPr="00872367">
        <w:rPr>
          <w:rFonts w:ascii="Book Antiqua" w:eastAsia="宋体" w:hAnsi="Book Antiqua" w:cs="Times New Roman"/>
          <w:sz w:val="24"/>
          <w:szCs w:val="24"/>
          <w:lang w:eastAsia="zh-CN"/>
        </w:rPr>
        <w:t xml:space="preserve"> RI, </w:t>
      </w:r>
      <w:proofErr w:type="spellStart"/>
      <w:r w:rsidRPr="00872367">
        <w:rPr>
          <w:rFonts w:ascii="Book Antiqua" w:eastAsia="宋体" w:hAnsi="Book Antiqua" w:cs="Times New Roman"/>
          <w:sz w:val="24"/>
          <w:szCs w:val="24"/>
          <w:lang w:eastAsia="zh-CN"/>
        </w:rPr>
        <w:t>Baccarani</w:t>
      </w:r>
      <w:proofErr w:type="spellEnd"/>
      <w:r w:rsidRPr="00872367">
        <w:rPr>
          <w:rFonts w:ascii="Book Antiqua" w:eastAsia="宋体" w:hAnsi="Book Antiqua" w:cs="Times New Roman"/>
          <w:sz w:val="24"/>
          <w:szCs w:val="24"/>
          <w:lang w:eastAsia="zh-CN"/>
        </w:rPr>
        <w:t xml:space="preserve"> U, Ortiz de Urbina J, Wall W. Once-daily prolonged-release tacrolimus (ADVAGRAF) versus twice-daily tacrolimus (PROGRAF) in liver transplantation.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2010; </w:t>
      </w:r>
      <w:r w:rsidRPr="00872367">
        <w:rPr>
          <w:rFonts w:ascii="Book Antiqua" w:eastAsia="宋体" w:hAnsi="Book Antiqua" w:cs="Times New Roman"/>
          <w:b/>
          <w:bCs/>
          <w:sz w:val="24"/>
          <w:szCs w:val="24"/>
          <w:lang w:eastAsia="zh-CN"/>
        </w:rPr>
        <w:t>10</w:t>
      </w:r>
      <w:r w:rsidRPr="00872367">
        <w:rPr>
          <w:rFonts w:ascii="Book Antiqua" w:eastAsia="宋体" w:hAnsi="Book Antiqua" w:cs="Times New Roman"/>
          <w:sz w:val="24"/>
          <w:szCs w:val="24"/>
          <w:lang w:eastAsia="zh-CN"/>
        </w:rPr>
        <w:t>: 2313-2323 [PMID: 20840481 DOI: 10.1111/j.1600-6143.2010.03255.x]</w:t>
      </w:r>
    </w:p>
    <w:p w14:paraId="04F87188"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14 </w:t>
      </w:r>
      <w:r w:rsidRPr="00872367">
        <w:rPr>
          <w:rFonts w:ascii="Book Antiqua" w:eastAsia="宋体" w:hAnsi="Book Antiqua" w:cs="Times New Roman"/>
          <w:b/>
          <w:bCs/>
          <w:sz w:val="24"/>
          <w:szCs w:val="24"/>
          <w:lang w:eastAsia="zh-CN"/>
        </w:rPr>
        <w:t>Crespo M</w:t>
      </w:r>
      <w:r w:rsidRPr="00872367">
        <w:rPr>
          <w:rFonts w:ascii="Book Antiqua" w:eastAsia="宋体" w:hAnsi="Book Antiqua" w:cs="Times New Roman"/>
          <w:sz w:val="24"/>
          <w:szCs w:val="24"/>
          <w:lang w:eastAsia="zh-CN"/>
        </w:rPr>
        <w:t xml:space="preserve">, Mir M, Marin M, </w:t>
      </w:r>
      <w:proofErr w:type="spellStart"/>
      <w:r w:rsidRPr="00872367">
        <w:rPr>
          <w:rFonts w:ascii="Book Antiqua" w:eastAsia="宋体" w:hAnsi="Book Antiqua" w:cs="Times New Roman"/>
          <w:sz w:val="24"/>
          <w:szCs w:val="24"/>
          <w:lang w:eastAsia="zh-CN"/>
        </w:rPr>
        <w:t>Hurtado</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Estadella</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Gurí</w:t>
      </w:r>
      <w:proofErr w:type="spellEnd"/>
      <w:r w:rsidRPr="00872367">
        <w:rPr>
          <w:rFonts w:ascii="Book Antiqua" w:eastAsia="宋体" w:hAnsi="Book Antiqua" w:cs="Times New Roman"/>
          <w:sz w:val="24"/>
          <w:szCs w:val="24"/>
          <w:lang w:eastAsia="zh-CN"/>
        </w:rPr>
        <w:t xml:space="preserve"> X, Rap O, Moral R, </w:t>
      </w:r>
      <w:proofErr w:type="spellStart"/>
      <w:r w:rsidRPr="00872367">
        <w:rPr>
          <w:rFonts w:ascii="Book Antiqua" w:eastAsia="宋体" w:hAnsi="Book Antiqua" w:cs="Times New Roman"/>
          <w:sz w:val="24"/>
          <w:szCs w:val="24"/>
          <w:lang w:eastAsia="zh-CN"/>
        </w:rPr>
        <w:t>Puig</w:t>
      </w:r>
      <w:proofErr w:type="spellEnd"/>
      <w:r w:rsidRPr="00872367">
        <w:rPr>
          <w:rFonts w:ascii="Book Antiqua" w:eastAsia="宋体" w:hAnsi="Book Antiqua" w:cs="Times New Roman"/>
          <w:sz w:val="24"/>
          <w:szCs w:val="24"/>
          <w:lang w:eastAsia="zh-CN"/>
        </w:rPr>
        <w:t xml:space="preserve"> JM, </w:t>
      </w:r>
      <w:proofErr w:type="spellStart"/>
      <w:r w:rsidRPr="00872367">
        <w:rPr>
          <w:rFonts w:ascii="Book Antiqua" w:eastAsia="宋体" w:hAnsi="Book Antiqua" w:cs="Times New Roman"/>
          <w:sz w:val="24"/>
          <w:szCs w:val="24"/>
          <w:lang w:eastAsia="zh-CN"/>
        </w:rPr>
        <w:t>Lloveras</w:t>
      </w:r>
      <w:proofErr w:type="spellEnd"/>
      <w:r w:rsidRPr="00872367">
        <w:rPr>
          <w:rFonts w:ascii="Book Antiqua" w:eastAsia="宋体" w:hAnsi="Book Antiqua" w:cs="Times New Roman"/>
          <w:sz w:val="24"/>
          <w:szCs w:val="24"/>
          <w:lang w:eastAsia="zh-CN"/>
        </w:rPr>
        <w:t xml:space="preserve"> J. De novo kidney transplant recipients need higher doses of </w:t>
      </w:r>
      <w:proofErr w:type="spellStart"/>
      <w:r w:rsidRPr="00872367">
        <w:rPr>
          <w:rFonts w:ascii="Book Antiqua" w:eastAsia="宋体" w:hAnsi="Book Antiqua" w:cs="Times New Roman"/>
          <w:sz w:val="24"/>
          <w:szCs w:val="24"/>
          <w:lang w:eastAsia="zh-CN"/>
        </w:rPr>
        <w:t>Advagraf</w:t>
      </w:r>
      <w:proofErr w:type="spellEnd"/>
      <w:r w:rsidRPr="00872367">
        <w:rPr>
          <w:rFonts w:ascii="Book Antiqua" w:eastAsia="宋体" w:hAnsi="Book Antiqua" w:cs="Times New Roman"/>
          <w:sz w:val="24"/>
          <w:szCs w:val="24"/>
          <w:lang w:eastAsia="zh-CN"/>
        </w:rPr>
        <w:t xml:space="preserve"> compared with </w:t>
      </w:r>
      <w:proofErr w:type="spellStart"/>
      <w:r w:rsidRPr="00872367">
        <w:rPr>
          <w:rFonts w:ascii="Book Antiqua" w:eastAsia="宋体" w:hAnsi="Book Antiqua" w:cs="Times New Roman"/>
          <w:sz w:val="24"/>
          <w:szCs w:val="24"/>
          <w:lang w:eastAsia="zh-CN"/>
        </w:rPr>
        <w:t>Prograf</w:t>
      </w:r>
      <w:proofErr w:type="spellEnd"/>
      <w:r w:rsidRPr="00872367">
        <w:rPr>
          <w:rFonts w:ascii="Book Antiqua" w:eastAsia="宋体" w:hAnsi="Book Antiqua" w:cs="Times New Roman"/>
          <w:sz w:val="24"/>
          <w:szCs w:val="24"/>
          <w:lang w:eastAsia="zh-CN"/>
        </w:rPr>
        <w:t xml:space="preserve"> to get therapeutic levels.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w:t>
      </w:r>
      <w:r w:rsidRPr="00872367">
        <w:rPr>
          <w:rFonts w:ascii="Book Antiqua" w:eastAsia="宋体" w:hAnsi="Book Antiqua" w:cs="Times New Roman" w:hint="eastAsia"/>
          <w:sz w:val="24"/>
          <w:szCs w:val="24"/>
          <w:lang w:eastAsia="zh-CN"/>
        </w:rPr>
        <w:t>2009</w:t>
      </w:r>
      <w:r w:rsidRPr="00872367">
        <w:rPr>
          <w:rFonts w:ascii="Book Antiqua" w:eastAsia="宋体" w:hAnsi="Book Antiqua" w:cs="Times New Roman"/>
          <w:sz w:val="24"/>
          <w:szCs w:val="24"/>
          <w:lang w:eastAsia="zh-CN"/>
        </w:rPr>
        <w:t>; </w:t>
      </w:r>
      <w:r w:rsidRPr="00872367">
        <w:rPr>
          <w:rFonts w:ascii="Book Antiqua" w:eastAsia="宋体" w:hAnsi="Book Antiqua" w:cs="Times New Roman"/>
          <w:b/>
          <w:bCs/>
          <w:sz w:val="24"/>
          <w:szCs w:val="24"/>
          <w:lang w:eastAsia="zh-CN"/>
        </w:rPr>
        <w:t>41</w:t>
      </w:r>
      <w:r w:rsidRPr="00872367">
        <w:rPr>
          <w:rFonts w:ascii="Book Antiqua" w:eastAsia="宋体" w:hAnsi="Book Antiqua" w:cs="Times New Roman"/>
          <w:sz w:val="24"/>
          <w:szCs w:val="24"/>
          <w:lang w:eastAsia="zh-CN"/>
        </w:rPr>
        <w:t>: 2115-2117 [PMID: 19715848 DOI: 10.1016/j.transproceed.2009.05.014]</w:t>
      </w:r>
    </w:p>
    <w:p w14:paraId="4A281080"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15 </w:t>
      </w:r>
      <w:r w:rsidRPr="00872367">
        <w:rPr>
          <w:rFonts w:ascii="Book Antiqua" w:eastAsia="宋体" w:hAnsi="Book Antiqua" w:cs="Times New Roman"/>
          <w:b/>
          <w:bCs/>
          <w:sz w:val="24"/>
          <w:szCs w:val="24"/>
          <w:lang w:eastAsia="zh-CN"/>
        </w:rPr>
        <w:t>Andrés A</w:t>
      </w:r>
      <w:r w:rsidRPr="00872367">
        <w:rPr>
          <w:rFonts w:ascii="Book Antiqua" w:eastAsia="宋体" w:hAnsi="Book Antiqua" w:cs="Times New Roman"/>
          <w:sz w:val="24"/>
          <w:szCs w:val="24"/>
          <w:lang w:eastAsia="zh-CN"/>
        </w:rPr>
        <w:t>, Delgado-</w:t>
      </w:r>
      <w:proofErr w:type="spellStart"/>
      <w:r w:rsidRPr="00872367">
        <w:rPr>
          <w:rFonts w:ascii="Book Antiqua" w:eastAsia="宋体" w:hAnsi="Book Antiqua" w:cs="Times New Roman"/>
          <w:sz w:val="24"/>
          <w:szCs w:val="24"/>
          <w:lang w:eastAsia="zh-CN"/>
        </w:rPr>
        <w:t>Arranz</w:t>
      </w:r>
      <w:proofErr w:type="spellEnd"/>
      <w:r w:rsidRPr="00872367">
        <w:rPr>
          <w:rFonts w:ascii="Book Antiqua" w:eastAsia="宋体" w:hAnsi="Book Antiqua" w:cs="Times New Roman"/>
          <w:sz w:val="24"/>
          <w:szCs w:val="24"/>
          <w:lang w:eastAsia="zh-CN"/>
        </w:rPr>
        <w:t xml:space="preserve"> M, Morales E, </w:t>
      </w:r>
      <w:proofErr w:type="spellStart"/>
      <w:r w:rsidRPr="00872367">
        <w:rPr>
          <w:rFonts w:ascii="Book Antiqua" w:eastAsia="宋体" w:hAnsi="Book Antiqua" w:cs="Times New Roman"/>
          <w:sz w:val="24"/>
          <w:szCs w:val="24"/>
          <w:lang w:eastAsia="zh-CN"/>
        </w:rPr>
        <w:t>Dipalma</w:t>
      </w:r>
      <w:proofErr w:type="spellEnd"/>
      <w:r w:rsidRPr="00872367">
        <w:rPr>
          <w:rFonts w:ascii="Book Antiqua" w:eastAsia="宋体" w:hAnsi="Book Antiqua" w:cs="Times New Roman"/>
          <w:sz w:val="24"/>
          <w:szCs w:val="24"/>
          <w:lang w:eastAsia="zh-CN"/>
        </w:rPr>
        <w:t xml:space="preserve"> T, </w:t>
      </w:r>
      <w:proofErr w:type="spellStart"/>
      <w:r w:rsidRPr="00872367">
        <w:rPr>
          <w:rFonts w:ascii="Book Antiqua" w:eastAsia="宋体" w:hAnsi="Book Antiqua" w:cs="Times New Roman"/>
          <w:sz w:val="24"/>
          <w:szCs w:val="24"/>
          <w:lang w:eastAsia="zh-CN"/>
        </w:rPr>
        <w:t>Polanco</w:t>
      </w:r>
      <w:proofErr w:type="spellEnd"/>
      <w:r w:rsidRPr="00872367">
        <w:rPr>
          <w:rFonts w:ascii="Book Antiqua" w:eastAsia="宋体" w:hAnsi="Book Antiqua" w:cs="Times New Roman"/>
          <w:sz w:val="24"/>
          <w:szCs w:val="24"/>
          <w:lang w:eastAsia="zh-CN"/>
        </w:rPr>
        <w:t xml:space="preserve"> N, Gutierrez-Solis E, Morales JM, </w:t>
      </w:r>
      <w:proofErr w:type="spellStart"/>
      <w:r w:rsidRPr="00872367">
        <w:rPr>
          <w:rFonts w:ascii="Book Antiqua" w:eastAsia="宋体" w:hAnsi="Book Antiqua" w:cs="Times New Roman"/>
          <w:sz w:val="24"/>
          <w:szCs w:val="24"/>
          <w:lang w:eastAsia="zh-CN"/>
        </w:rPr>
        <w:t>Praga</w:t>
      </w:r>
      <w:proofErr w:type="spellEnd"/>
      <w:r w:rsidRPr="00872367">
        <w:rPr>
          <w:rFonts w:ascii="Book Antiqua" w:eastAsia="宋体" w:hAnsi="Book Antiqua" w:cs="Times New Roman"/>
          <w:sz w:val="24"/>
          <w:szCs w:val="24"/>
          <w:lang w:eastAsia="zh-CN"/>
        </w:rPr>
        <w:t xml:space="preserve"> M, Gutierrez E, Gonzalez E. Extended-release tacrolimus therapy in de novo kidney transplant recipients: single-center experience.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2010; </w:t>
      </w:r>
      <w:r w:rsidRPr="00872367">
        <w:rPr>
          <w:rFonts w:ascii="Book Antiqua" w:eastAsia="宋体" w:hAnsi="Book Antiqua" w:cs="Times New Roman"/>
          <w:b/>
          <w:bCs/>
          <w:sz w:val="24"/>
          <w:szCs w:val="24"/>
          <w:lang w:eastAsia="zh-CN"/>
        </w:rPr>
        <w:t>42</w:t>
      </w:r>
      <w:r w:rsidRPr="00872367">
        <w:rPr>
          <w:rFonts w:ascii="Book Antiqua" w:eastAsia="宋体" w:hAnsi="Book Antiqua" w:cs="Times New Roman"/>
          <w:sz w:val="24"/>
          <w:szCs w:val="24"/>
          <w:lang w:eastAsia="zh-CN"/>
        </w:rPr>
        <w:t>: 3034-3037 [PMID: 20970602 DOI: 10.1016/j.transproceed.2010.07.044]</w:t>
      </w:r>
    </w:p>
    <w:p w14:paraId="7E0DCAC6"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16 </w:t>
      </w:r>
      <w:proofErr w:type="spellStart"/>
      <w:r w:rsidRPr="00872367">
        <w:rPr>
          <w:rFonts w:ascii="Book Antiqua" w:eastAsia="宋体" w:hAnsi="Book Antiqua" w:cs="Times New Roman"/>
          <w:b/>
          <w:bCs/>
          <w:sz w:val="24"/>
          <w:szCs w:val="24"/>
          <w:lang w:eastAsia="zh-CN"/>
        </w:rPr>
        <w:t>Jelassi</w:t>
      </w:r>
      <w:proofErr w:type="spellEnd"/>
      <w:r w:rsidRPr="00872367">
        <w:rPr>
          <w:rFonts w:ascii="Book Antiqua" w:eastAsia="宋体" w:hAnsi="Book Antiqua" w:cs="Times New Roman"/>
          <w:b/>
          <w:bCs/>
          <w:sz w:val="24"/>
          <w:szCs w:val="24"/>
          <w:lang w:eastAsia="zh-CN"/>
        </w:rPr>
        <w:t xml:space="preserve"> ML</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Lefeuvre</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Karras</w:t>
      </w:r>
      <w:proofErr w:type="spellEnd"/>
      <w:r w:rsidRPr="00872367">
        <w:rPr>
          <w:rFonts w:ascii="Book Antiqua" w:eastAsia="宋体" w:hAnsi="Book Antiqua" w:cs="Times New Roman"/>
          <w:sz w:val="24"/>
          <w:szCs w:val="24"/>
          <w:lang w:eastAsia="zh-CN"/>
        </w:rPr>
        <w:t xml:space="preserve"> A, </w:t>
      </w:r>
      <w:proofErr w:type="spellStart"/>
      <w:r w:rsidRPr="00872367">
        <w:rPr>
          <w:rFonts w:ascii="Book Antiqua" w:eastAsia="宋体" w:hAnsi="Book Antiqua" w:cs="Times New Roman"/>
          <w:sz w:val="24"/>
          <w:szCs w:val="24"/>
          <w:lang w:eastAsia="zh-CN"/>
        </w:rPr>
        <w:t>Moulonguet</w:t>
      </w:r>
      <w:proofErr w:type="spellEnd"/>
      <w:r w:rsidRPr="00872367">
        <w:rPr>
          <w:rFonts w:ascii="Book Antiqua" w:eastAsia="宋体" w:hAnsi="Book Antiqua" w:cs="Times New Roman"/>
          <w:sz w:val="24"/>
          <w:szCs w:val="24"/>
          <w:lang w:eastAsia="zh-CN"/>
        </w:rPr>
        <w:t xml:space="preserve"> L, </w:t>
      </w:r>
      <w:proofErr w:type="spellStart"/>
      <w:r w:rsidRPr="00872367">
        <w:rPr>
          <w:rFonts w:ascii="Book Antiqua" w:eastAsia="宋体" w:hAnsi="Book Antiqua" w:cs="Times New Roman"/>
          <w:sz w:val="24"/>
          <w:szCs w:val="24"/>
          <w:lang w:eastAsia="zh-CN"/>
        </w:rPr>
        <w:t>Billaud</w:t>
      </w:r>
      <w:proofErr w:type="spellEnd"/>
      <w:r w:rsidRPr="00872367">
        <w:rPr>
          <w:rFonts w:ascii="Book Antiqua" w:eastAsia="宋体" w:hAnsi="Book Antiqua" w:cs="Times New Roman"/>
          <w:sz w:val="24"/>
          <w:szCs w:val="24"/>
          <w:lang w:eastAsia="zh-CN"/>
        </w:rPr>
        <w:t xml:space="preserve"> EM. </w:t>
      </w:r>
      <w:proofErr w:type="gramStart"/>
      <w:r w:rsidRPr="00872367">
        <w:rPr>
          <w:rFonts w:ascii="Book Antiqua" w:eastAsia="宋体" w:hAnsi="Book Antiqua" w:cs="Times New Roman"/>
          <w:sz w:val="24"/>
          <w:szCs w:val="24"/>
          <w:lang w:eastAsia="zh-CN"/>
        </w:rPr>
        <w:t xml:space="preserve">Therapeutic drug monitoring in de novo kidney transplant receiving the modified-release once-daily </w:t>
      </w:r>
      <w:r w:rsidRPr="00872367">
        <w:rPr>
          <w:rFonts w:ascii="Book Antiqua" w:eastAsia="宋体" w:hAnsi="Book Antiqua" w:cs="Times New Roman"/>
          <w:sz w:val="24"/>
          <w:szCs w:val="24"/>
          <w:lang w:eastAsia="zh-CN"/>
        </w:rPr>
        <w:lastRenderedPageBreak/>
        <w:t>tacrolimus.</w:t>
      </w:r>
      <w:proofErr w:type="gramEnd"/>
      <w:r w:rsidRPr="00872367">
        <w:rPr>
          <w:rFonts w:ascii="Book Antiqua" w:eastAsia="宋体" w:hAnsi="Book Antiqua" w:cs="Times New Roman"/>
          <w:sz w:val="24"/>
          <w:szCs w:val="24"/>
          <w:lang w:eastAsia="zh-CN"/>
        </w:rPr>
        <w:t>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2011; </w:t>
      </w:r>
      <w:r w:rsidRPr="00872367">
        <w:rPr>
          <w:rFonts w:ascii="Book Antiqua" w:eastAsia="宋体" w:hAnsi="Book Antiqua" w:cs="Times New Roman"/>
          <w:b/>
          <w:bCs/>
          <w:sz w:val="24"/>
          <w:szCs w:val="24"/>
          <w:lang w:eastAsia="zh-CN"/>
        </w:rPr>
        <w:t>43</w:t>
      </w:r>
      <w:r w:rsidRPr="00872367">
        <w:rPr>
          <w:rFonts w:ascii="Book Antiqua" w:eastAsia="宋体" w:hAnsi="Book Antiqua" w:cs="Times New Roman"/>
          <w:sz w:val="24"/>
          <w:szCs w:val="24"/>
          <w:lang w:eastAsia="zh-CN"/>
        </w:rPr>
        <w:t>: 491-494 [PMID: 21440742 DOI: 10.1016/j.transproceed.2011.01.043]</w:t>
      </w:r>
    </w:p>
    <w:p w14:paraId="72290AAF"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17 </w:t>
      </w:r>
      <w:proofErr w:type="spellStart"/>
      <w:r w:rsidRPr="00872367">
        <w:rPr>
          <w:rFonts w:ascii="Book Antiqua" w:eastAsia="宋体" w:hAnsi="Book Antiqua" w:cs="Times New Roman"/>
          <w:b/>
          <w:bCs/>
          <w:sz w:val="24"/>
          <w:szCs w:val="24"/>
          <w:lang w:eastAsia="zh-CN"/>
        </w:rPr>
        <w:t>Wlodarczyk</w:t>
      </w:r>
      <w:proofErr w:type="spellEnd"/>
      <w:r w:rsidRPr="00872367">
        <w:rPr>
          <w:rFonts w:ascii="Book Antiqua" w:eastAsia="宋体" w:hAnsi="Book Antiqua" w:cs="Times New Roman"/>
          <w:b/>
          <w:bCs/>
          <w:sz w:val="24"/>
          <w:szCs w:val="24"/>
          <w:lang w:eastAsia="zh-CN"/>
        </w:rPr>
        <w:t xml:space="preserve"> Z</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Ostrowski</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Mourad</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Krämer</w:t>
      </w:r>
      <w:proofErr w:type="spellEnd"/>
      <w:r w:rsidRPr="00872367">
        <w:rPr>
          <w:rFonts w:ascii="Book Antiqua" w:eastAsia="宋体" w:hAnsi="Book Antiqua" w:cs="Times New Roman"/>
          <w:sz w:val="24"/>
          <w:szCs w:val="24"/>
          <w:lang w:eastAsia="zh-CN"/>
        </w:rPr>
        <w:t xml:space="preserve"> BK, </w:t>
      </w:r>
      <w:proofErr w:type="spellStart"/>
      <w:r w:rsidRPr="00872367">
        <w:rPr>
          <w:rFonts w:ascii="Book Antiqua" w:eastAsia="宋体" w:hAnsi="Book Antiqua" w:cs="Times New Roman"/>
          <w:sz w:val="24"/>
          <w:szCs w:val="24"/>
          <w:lang w:eastAsia="zh-CN"/>
        </w:rPr>
        <w:t>Abramowicz</w:t>
      </w:r>
      <w:proofErr w:type="spellEnd"/>
      <w:r w:rsidRPr="00872367">
        <w:rPr>
          <w:rFonts w:ascii="Book Antiqua" w:eastAsia="宋体" w:hAnsi="Book Antiqua" w:cs="Times New Roman"/>
          <w:sz w:val="24"/>
          <w:szCs w:val="24"/>
          <w:lang w:eastAsia="zh-CN"/>
        </w:rPr>
        <w:t xml:space="preserve"> D, Oppenheimer F, Miller D, Dickinson J,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Tacrolimus pharmacokinetics of once- versus twice-daily formulations in de novo kidney transplantation: a </w:t>
      </w:r>
      <w:proofErr w:type="spellStart"/>
      <w:r w:rsidRPr="00872367">
        <w:rPr>
          <w:rFonts w:ascii="Book Antiqua" w:eastAsia="宋体" w:hAnsi="Book Antiqua" w:cs="Times New Roman"/>
          <w:sz w:val="24"/>
          <w:szCs w:val="24"/>
          <w:lang w:eastAsia="zh-CN"/>
        </w:rPr>
        <w:t>substudy</w:t>
      </w:r>
      <w:proofErr w:type="spellEnd"/>
      <w:r w:rsidRPr="00872367">
        <w:rPr>
          <w:rFonts w:ascii="Book Antiqua" w:eastAsia="宋体" w:hAnsi="Book Antiqua" w:cs="Times New Roman"/>
          <w:sz w:val="24"/>
          <w:szCs w:val="24"/>
          <w:lang w:eastAsia="zh-CN"/>
        </w:rPr>
        <w:t xml:space="preserve"> of a randomized phase III trial.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i/>
          <w:iCs/>
          <w:sz w:val="24"/>
          <w:szCs w:val="24"/>
          <w:lang w:eastAsia="zh-CN"/>
        </w:rPr>
        <w:t xml:space="preserve"> Drug </w:t>
      </w:r>
      <w:proofErr w:type="spellStart"/>
      <w:r w:rsidRPr="00872367">
        <w:rPr>
          <w:rFonts w:ascii="Book Antiqua" w:eastAsia="宋体" w:hAnsi="Book Antiqua" w:cs="Times New Roman"/>
          <w:i/>
          <w:iCs/>
          <w:sz w:val="24"/>
          <w:szCs w:val="24"/>
          <w:lang w:eastAsia="zh-CN"/>
        </w:rPr>
        <w:t>Monit</w:t>
      </w:r>
      <w:proofErr w:type="spellEnd"/>
      <w:r w:rsidRPr="00872367">
        <w:rPr>
          <w:rFonts w:ascii="Book Antiqua" w:eastAsia="宋体" w:hAnsi="Book Antiqua" w:cs="Times New Roman"/>
          <w:sz w:val="24"/>
          <w:szCs w:val="24"/>
          <w:lang w:eastAsia="zh-CN"/>
        </w:rPr>
        <w:t> 2012; </w:t>
      </w:r>
      <w:r w:rsidRPr="00872367">
        <w:rPr>
          <w:rFonts w:ascii="Book Antiqua" w:eastAsia="宋体" w:hAnsi="Book Antiqua" w:cs="Times New Roman"/>
          <w:b/>
          <w:bCs/>
          <w:sz w:val="24"/>
          <w:szCs w:val="24"/>
          <w:lang w:eastAsia="zh-CN"/>
        </w:rPr>
        <w:t>34</w:t>
      </w:r>
      <w:r w:rsidRPr="00872367">
        <w:rPr>
          <w:rFonts w:ascii="Book Antiqua" w:eastAsia="宋体" w:hAnsi="Book Antiqua" w:cs="Times New Roman"/>
          <w:sz w:val="24"/>
          <w:szCs w:val="24"/>
          <w:lang w:eastAsia="zh-CN"/>
        </w:rPr>
        <w:t>: 143-147 [PMID: 22406656 DOI: 10.1097/FTD.0b013e31824d1620]</w:t>
      </w:r>
    </w:p>
    <w:p w14:paraId="2B8BC60D"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18 </w:t>
      </w:r>
      <w:r w:rsidRPr="00872367">
        <w:rPr>
          <w:rFonts w:ascii="Book Antiqua" w:eastAsia="宋体" w:hAnsi="Book Antiqua" w:cs="Times New Roman"/>
          <w:b/>
          <w:bCs/>
          <w:sz w:val="24"/>
          <w:szCs w:val="24"/>
          <w:lang w:eastAsia="zh-CN"/>
        </w:rPr>
        <w:t xml:space="preserve">van </w:t>
      </w:r>
      <w:proofErr w:type="spellStart"/>
      <w:r w:rsidRPr="00872367">
        <w:rPr>
          <w:rFonts w:ascii="Book Antiqua" w:eastAsia="宋体" w:hAnsi="Book Antiqua" w:cs="Times New Roman"/>
          <w:b/>
          <w:bCs/>
          <w:sz w:val="24"/>
          <w:szCs w:val="24"/>
          <w:lang w:eastAsia="zh-CN"/>
        </w:rPr>
        <w:t>Hooff</w:t>
      </w:r>
      <w:proofErr w:type="spellEnd"/>
      <w:r w:rsidRPr="00872367">
        <w:rPr>
          <w:rFonts w:ascii="Book Antiqua" w:eastAsia="宋体" w:hAnsi="Book Antiqua" w:cs="Times New Roman"/>
          <w:b/>
          <w:bCs/>
          <w:sz w:val="24"/>
          <w:szCs w:val="24"/>
          <w:lang w:eastAsia="zh-CN"/>
        </w:rPr>
        <w:t xml:space="preserve"> J</w:t>
      </w:r>
      <w:r w:rsidRPr="00872367">
        <w:rPr>
          <w:rFonts w:ascii="Book Antiqua" w:eastAsia="宋体" w:hAnsi="Book Antiqua" w:cs="Times New Roman"/>
          <w:sz w:val="24"/>
          <w:szCs w:val="24"/>
          <w:lang w:eastAsia="zh-CN"/>
        </w:rPr>
        <w:t xml:space="preserve">, Van der Walt I, </w:t>
      </w:r>
      <w:proofErr w:type="spellStart"/>
      <w:r w:rsidRPr="00872367">
        <w:rPr>
          <w:rFonts w:ascii="Book Antiqua" w:eastAsia="宋体" w:hAnsi="Book Antiqua" w:cs="Times New Roman"/>
          <w:sz w:val="24"/>
          <w:szCs w:val="24"/>
          <w:lang w:eastAsia="zh-CN"/>
        </w:rPr>
        <w:t>Kallmeyer</w:t>
      </w:r>
      <w:proofErr w:type="spellEnd"/>
      <w:r w:rsidRPr="00872367">
        <w:rPr>
          <w:rFonts w:ascii="Book Antiqua" w:eastAsia="宋体" w:hAnsi="Book Antiqua" w:cs="Times New Roman"/>
          <w:sz w:val="24"/>
          <w:szCs w:val="24"/>
          <w:lang w:eastAsia="zh-CN"/>
        </w:rPr>
        <w:t xml:space="preserve"> J, Miller D, </w:t>
      </w:r>
      <w:proofErr w:type="spellStart"/>
      <w:r w:rsidRPr="00872367">
        <w:rPr>
          <w:rFonts w:ascii="Book Antiqua" w:eastAsia="宋体" w:hAnsi="Book Antiqua" w:cs="Times New Roman"/>
          <w:sz w:val="24"/>
          <w:szCs w:val="24"/>
          <w:lang w:eastAsia="zh-CN"/>
        </w:rPr>
        <w:t>Dawood</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Moosa</w:t>
      </w:r>
      <w:proofErr w:type="spellEnd"/>
      <w:r w:rsidRPr="00872367">
        <w:rPr>
          <w:rFonts w:ascii="Book Antiqua" w:eastAsia="宋体" w:hAnsi="Book Antiqua" w:cs="Times New Roman"/>
          <w:sz w:val="24"/>
          <w:szCs w:val="24"/>
          <w:lang w:eastAsia="zh-CN"/>
        </w:rPr>
        <w:t xml:space="preserve"> MR, </w:t>
      </w:r>
      <w:proofErr w:type="spellStart"/>
      <w:r w:rsidRPr="00872367">
        <w:rPr>
          <w:rFonts w:ascii="Book Antiqua" w:eastAsia="宋体" w:hAnsi="Book Antiqua" w:cs="Times New Roman"/>
          <w:sz w:val="24"/>
          <w:szCs w:val="24"/>
          <w:lang w:eastAsia="zh-CN"/>
        </w:rPr>
        <w:t>Christiaans</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Karpf</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Pharmacokinetics in stable kidney transplant recipients after conversion from twice-daily to once-daily tacrolimus formulations.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i/>
          <w:iCs/>
          <w:sz w:val="24"/>
          <w:szCs w:val="24"/>
          <w:lang w:eastAsia="zh-CN"/>
        </w:rPr>
        <w:t xml:space="preserve"> Drug </w:t>
      </w:r>
      <w:proofErr w:type="spellStart"/>
      <w:r w:rsidRPr="00872367">
        <w:rPr>
          <w:rFonts w:ascii="Book Antiqua" w:eastAsia="宋体" w:hAnsi="Book Antiqua" w:cs="Times New Roman"/>
          <w:i/>
          <w:iCs/>
          <w:sz w:val="24"/>
          <w:szCs w:val="24"/>
          <w:lang w:eastAsia="zh-CN"/>
        </w:rPr>
        <w:t>Monit</w:t>
      </w:r>
      <w:proofErr w:type="spellEnd"/>
      <w:r w:rsidRPr="00872367">
        <w:rPr>
          <w:rFonts w:ascii="Book Antiqua" w:eastAsia="宋体" w:hAnsi="Book Antiqua" w:cs="Times New Roman"/>
          <w:sz w:val="24"/>
          <w:szCs w:val="24"/>
          <w:lang w:eastAsia="zh-CN"/>
        </w:rPr>
        <w:t> 2012; </w:t>
      </w:r>
      <w:r w:rsidRPr="00872367">
        <w:rPr>
          <w:rFonts w:ascii="Book Antiqua" w:eastAsia="宋体" w:hAnsi="Book Antiqua" w:cs="Times New Roman"/>
          <w:b/>
          <w:bCs/>
          <w:sz w:val="24"/>
          <w:szCs w:val="24"/>
          <w:lang w:eastAsia="zh-CN"/>
        </w:rPr>
        <w:t>34</w:t>
      </w:r>
      <w:r w:rsidRPr="00872367">
        <w:rPr>
          <w:rFonts w:ascii="Book Antiqua" w:eastAsia="宋体" w:hAnsi="Book Antiqua" w:cs="Times New Roman"/>
          <w:sz w:val="24"/>
          <w:szCs w:val="24"/>
          <w:lang w:eastAsia="zh-CN"/>
        </w:rPr>
        <w:t>: 46-52 [PMID: 22249344 DOI: 10.1097/FTD.0b013e318244a7fd]</w:t>
      </w:r>
    </w:p>
    <w:p w14:paraId="2C39988C"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19 </w:t>
      </w:r>
      <w:proofErr w:type="spellStart"/>
      <w:r w:rsidRPr="00872367">
        <w:rPr>
          <w:rFonts w:ascii="Book Antiqua" w:eastAsia="宋体" w:hAnsi="Book Antiqua" w:cs="Times New Roman"/>
          <w:b/>
          <w:bCs/>
          <w:sz w:val="24"/>
          <w:szCs w:val="24"/>
          <w:lang w:eastAsia="zh-CN"/>
        </w:rPr>
        <w:t>Alloway</w:t>
      </w:r>
      <w:proofErr w:type="spellEnd"/>
      <w:r w:rsidRPr="00872367">
        <w:rPr>
          <w:rFonts w:ascii="Book Antiqua" w:eastAsia="宋体" w:hAnsi="Book Antiqua" w:cs="Times New Roman"/>
          <w:b/>
          <w:bCs/>
          <w:sz w:val="24"/>
          <w:szCs w:val="24"/>
          <w:lang w:eastAsia="zh-CN"/>
        </w:rPr>
        <w:t xml:space="preserve"> R</w:t>
      </w:r>
      <w:r w:rsidRPr="00872367">
        <w:rPr>
          <w:rFonts w:ascii="Book Antiqua" w:eastAsia="宋体" w:hAnsi="Book Antiqua" w:cs="Times New Roman"/>
          <w:sz w:val="24"/>
          <w:szCs w:val="24"/>
          <w:lang w:eastAsia="zh-CN"/>
        </w:rPr>
        <w:t xml:space="preserve">, Steinberg S, Khalil K, </w:t>
      </w:r>
      <w:proofErr w:type="spellStart"/>
      <w:r w:rsidRPr="00872367">
        <w:rPr>
          <w:rFonts w:ascii="Book Antiqua" w:eastAsia="宋体" w:hAnsi="Book Antiqua" w:cs="Times New Roman"/>
          <w:sz w:val="24"/>
          <w:szCs w:val="24"/>
          <w:lang w:eastAsia="zh-CN"/>
        </w:rPr>
        <w:t>Gourishankar</w:t>
      </w:r>
      <w:proofErr w:type="spellEnd"/>
      <w:r w:rsidRPr="00872367">
        <w:rPr>
          <w:rFonts w:ascii="Book Antiqua" w:eastAsia="宋体" w:hAnsi="Book Antiqua" w:cs="Times New Roman"/>
          <w:sz w:val="24"/>
          <w:szCs w:val="24"/>
          <w:lang w:eastAsia="zh-CN"/>
        </w:rPr>
        <w:t xml:space="preserve"> S, Miller J, Norman D, </w:t>
      </w:r>
      <w:proofErr w:type="spellStart"/>
      <w:r w:rsidRPr="00872367">
        <w:rPr>
          <w:rFonts w:ascii="Book Antiqua" w:eastAsia="宋体" w:hAnsi="Book Antiqua" w:cs="Times New Roman"/>
          <w:sz w:val="24"/>
          <w:szCs w:val="24"/>
          <w:lang w:eastAsia="zh-CN"/>
        </w:rPr>
        <w:t>Hariharan</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Pirsch</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Matas</w:t>
      </w:r>
      <w:proofErr w:type="spellEnd"/>
      <w:r w:rsidRPr="00872367">
        <w:rPr>
          <w:rFonts w:ascii="Book Antiqua" w:eastAsia="宋体" w:hAnsi="Book Antiqua" w:cs="Times New Roman"/>
          <w:sz w:val="24"/>
          <w:szCs w:val="24"/>
          <w:lang w:eastAsia="zh-CN"/>
        </w:rPr>
        <w:t xml:space="preserve"> A, </w:t>
      </w:r>
      <w:proofErr w:type="spellStart"/>
      <w:r w:rsidRPr="00872367">
        <w:rPr>
          <w:rFonts w:ascii="Book Antiqua" w:eastAsia="宋体" w:hAnsi="Book Antiqua" w:cs="Times New Roman"/>
          <w:sz w:val="24"/>
          <w:szCs w:val="24"/>
          <w:lang w:eastAsia="zh-CN"/>
        </w:rPr>
        <w:t>Zaltzman</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Wisemandle</w:t>
      </w:r>
      <w:proofErr w:type="spellEnd"/>
      <w:r w:rsidRPr="00872367">
        <w:rPr>
          <w:rFonts w:ascii="Book Antiqua" w:eastAsia="宋体" w:hAnsi="Book Antiqua" w:cs="Times New Roman"/>
          <w:sz w:val="24"/>
          <w:szCs w:val="24"/>
          <w:lang w:eastAsia="zh-CN"/>
        </w:rPr>
        <w:t xml:space="preserve"> K, Fitzsimmons W, First MR. Conversion of stable kidney transplant recipients from a twice daily </w:t>
      </w:r>
      <w:proofErr w:type="spellStart"/>
      <w:r w:rsidRPr="00872367">
        <w:rPr>
          <w:rFonts w:ascii="Book Antiqua" w:eastAsia="宋体" w:hAnsi="Book Antiqua" w:cs="Times New Roman"/>
          <w:sz w:val="24"/>
          <w:szCs w:val="24"/>
          <w:lang w:eastAsia="zh-CN"/>
        </w:rPr>
        <w:t>Prograf</w:t>
      </w:r>
      <w:proofErr w:type="spellEnd"/>
      <w:r w:rsidRPr="00872367">
        <w:rPr>
          <w:rFonts w:ascii="Book Antiqua" w:eastAsia="宋体" w:hAnsi="Book Antiqua" w:cs="Times New Roman"/>
          <w:sz w:val="24"/>
          <w:szCs w:val="24"/>
          <w:lang w:eastAsia="zh-CN"/>
        </w:rPr>
        <w:t>-based regimen to a once daily modified release tacrolimus-based regimen.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2005; </w:t>
      </w:r>
      <w:r w:rsidRPr="00872367">
        <w:rPr>
          <w:rFonts w:ascii="Book Antiqua" w:eastAsia="宋体" w:hAnsi="Book Antiqua" w:cs="Times New Roman"/>
          <w:b/>
          <w:bCs/>
          <w:sz w:val="24"/>
          <w:szCs w:val="24"/>
          <w:lang w:eastAsia="zh-CN"/>
        </w:rPr>
        <w:t>37</w:t>
      </w:r>
      <w:r w:rsidRPr="00872367">
        <w:rPr>
          <w:rFonts w:ascii="Book Antiqua" w:eastAsia="宋体" w:hAnsi="Book Antiqua" w:cs="Times New Roman"/>
          <w:sz w:val="24"/>
          <w:szCs w:val="24"/>
          <w:lang w:eastAsia="zh-CN"/>
        </w:rPr>
        <w:t>: 867-870 [PMID: 15848559 DOI: 10.1016/j.transproceed.2004.12.222]</w:t>
      </w:r>
    </w:p>
    <w:p w14:paraId="389DF2B3"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20 </w:t>
      </w:r>
      <w:r w:rsidRPr="00872367">
        <w:rPr>
          <w:rFonts w:ascii="Book Antiqua" w:eastAsia="宋体" w:hAnsi="Book Antiqua" w:cs="Times New Roman"/>
          <w:b/>
          <w:bCs/>
          <w:sz w:val="24"/>
          <w:szCs w:val="24"/>
          <w:lang w:eastAsia="zh-CN"/>
        </w:rPr>
        <w:t xml:space="preserve">de </w:t>
      </w:r>
      <w:proofErr w:type="spellStart"/>
      <w:r w:rsidRPr="00872367">
        <w:rPr>
          <w:rFonts w:ascii="Book Antiqua" w:eastAsia="宋体" w:hAnsi="Book Antiqua" w:cs="Times New Roman"/>
          <w:b/>
          <w:bCs/>
          <w:sz w:val="24"/>
          <w:szCs w:val="24"/>
          <w:lang w:eastAsia="zh-CN"/>
        </w:rPr>
        <w:t>Jonge</w:t>
      </w:r>
      <w:proofErr w:type="spellEnd"/>
      <w:r w:rsidRPr="00872367">
        <w:rPr>
          <w:rFonts w:ascii="Book Antiqua" w:eastAsia="宋体" w:hAnsi="Book Antiqua" w:cs="Times New Roman"/>
          <w:b/>
          <w:bCs/>
          <w:sz w:val="24"/>
          <w:szCs w:val="24"/>
          <w:lang w:eastAsia="zh-CN"/>
        </w:rPr>
        <w:t xml:space="preserve"> H</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Kuypers</w:t>
      </w:r>
      <w:proofErr w:type="spellEnd"/>
      <w:r w:rsidRPr="00872367">
        <w:rPr>
          <w:rFonts w:ascii="Book Antiqua" w:eastAsia="宋体" w:hAnsi="Book Antiqua" w:cs="Times New Roman"/>
          <w:sz w:val="24"/>
          <w:szCs w:val="24"/>
          <w:lang w:eastAsia="zh-CN"/>
        </w:rPr>
        <w:t xml:space="preserve"> DR, </w:t>
      </w:r>
      <w:proofErr w:type="spellStart"/>
      <w:r w:rsidRPr="00872367">
        <w:rPr>
          <w:rFonts w:ascii="Book Antiqua" w:eastAsia="宋体" w:hAnsi="Book Antiqua" w:cs="Times New Roman"/>
          <w:sz w:val="24"/>
          <w:szCs w:val="24"/>
          <w:lang w:eastAsia="zh-CN"/>
        </w:rPr>
        <w:t>Verbeke</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Vanrenterghem</w:t>
      </w:r>
      <w:proofErr w:type="spellEnd"/>
      <w:r w:rsidRPr="00872367">
        <w:rPr>
          <w:rFonts w:ascii="Book Antiqua" w:eastAsia="宋体" w:hAnsi="Book Antiqua" w:cs="Times New Roman"/>
          <w:sz w:val="24"/>
          <w:szCs w:val="24"/>
          <w:lang w:eastAsia="zh-CN"/>
        </w:rPr>
        <w:t xml:space="preserve"> Y. Reduced C0 concentrations and increased dose requirements in renal allograft recipients converted to the novel once-daily tacrolimus formulation. </w:t>
      </w:r>
      <w:r w:rsidRPr="00872367">
        <w:rPr>
          <w:rFonts w:ascii="Book Antiqua" w:eastAsia="宋体" w:hAnsi="Book Antiqua" w:cs="Times New Roman"/>
          <w:i/>
          <w:iCs/>
          <w:sz w:val="24"/>
          <w:szCs w:val="24"/>
          <w:lang w:eastAsia="zh-CN"/>
        </w:rPr>
        <w:t>Transplantation</w:t>
      </w:r>
      <w:r w:rsidRPr="00872367">
        <w:rPr>
          <w:rFonts w:ascii="Book Antiqua" w:eastAsia="宋体" w:hAnsi="Book Antiqua" w:cs="Times New Roman"/>
          <w:sz w:val="24"/>
          <w:szCs w:val="24"/>
          <w:lang w:eastAsia="zh-CN"/>
        </w:rPr>
        <w:t> 2010; </w:t>
      </w:r>
      <w:r w:rsidRPr="00872367">
        <w:rPr>
          <w:rFonts w:ascii="Book Antiqua" w:eastAsia="宋体" w:hAnsi="Book Antiqua" w:cs="Times New Roman"/>
          <w:b/>
          <w:bCs/>
          <w:sz w:val="24"/>
          <w:szCs w:val="24"/>
          <w:lang w:eastAsia="zh-CN"/>
        </w:rPr>
        <w:t>90</w:t>
      </w:r>
      <w:r w:rsidRPr="00872367">
        <w:rPr>
          <w:rFonts w:ascii="Book Antiqua" w:eastAsia="宋体" w:hAnsi="Book Antiqua" w:cs="Times New Roman"/>
          <w:sz w:val="24"/>
          <w:szCs w:val="24"/>
          <w:lang w:eastAsia="zh-CN"/>
        </w:rPr>
        <w:t>: 523-529 [PMID: 20592652 DOI: 10.1097/TP.0b013e3181e9feda]</w:t>
      </w:r>
    </w:p>
    <w:p w14:paraId="1E748D94"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21 </w:t>
      </w:r>
      <w:proofErr w:type="spellStart"/>
      <w:r w:rsidRPr="00872367">
        <w:rPr>
          <w:rFonts w:ascii="Book Antiqua" w:eastAsia="宋体" w:hAnsi="Book Antiqua" w:cs="Times New Roman"/>
          <w:b/>
          <w:bCs/>
          <w:sz w:val="24"/>
          <w:szCs w:val="24"/>
          <w:lang w:eastAsia="zh-CN"/>
        </w:rPr>
        <w:t>Florman</w:t>
      </w:r>
      <w:proofErr w:type="spellEnd"/>
      <w:r w:rsidRPr="00872367">
        <w:rPr>
          <w:rFonts w:ascii="Book Antiqua" w:eastAsia="宋体" w:hAnsi="Book Antiqua" w:cs="Times New Roman"/>
          <w:b/>
          <w:bCs/>
          <w:sz w:val="24"/>
          <w:szCs w:val="24"/>
          <w:lang w:eastAsia="zh-CN"/>
        </w:rPr>
        <w:t xml:space="preserve"> S</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Alloway</w:t>
      </w:r>
      <w:proofErr w:type="spellEnd"/>
      <w:r w:rsidRPr="00872367">
        <w:rPr>
          <w:rFonts w:ascii="Book Antiqua" w:eastAsia="宋体" w:hAnsi="Book Antiqua" w:cs="Times New Roman"/>
          <w:sz w:val="24"/>
          <w:szCs w:val="24"/>
          <w:lang w:eastAsia="zh-CN"/>
        </w:rPr>
        <w:t xml:space="preserve"> R, </w:t>
      </w:r>
      <w:proofErr w:type="spellStart"/>
      <w:r w:rsidRPr="00872367">
        <w:rPr>
          <w:rFonts w:ascii="Book Antiqua" w:eastAsia="宋体" w:hAnsi="Book Antiqua" w:cs="Times New Roman"/>
          <w:sz w:val="24"/>
          <w:szCs w:val="24"/>
          <w:lang w:eastAsia="zh-CN"/>
        </w:rPr>
        <w:t>Kalayoglu</w:t>
      </w:r>
      <w:proofErr w:type="spellEnd"/>
      <w:r w:rsidRPr="00872367">
        <w:rPr>
          <w:rFonts w:ascii="Book Antiqua" w:eastAsia="宋体" w:hAnsi="Book Antiqua" w:cs="Times New Roman"/>
          <w:sz w:val="24"/>
          <w:szCs w:val="24"/>
          <w:lang w:eastAsia="zh-CN"/>
        </w:rPr>
        <w:t xml:space="preserve"> M, Lake K, </w:t>
      </w:r>
      <w:proofErr w:type="spellStart"/>
      <w:r w:rsidRPr="00872367">
        <w:rPr>
          <w:rFonts w:ascii="Book Antiqua" w:eastAsia="宋体" w:hAnsi="Book Antiqua" w:cs="Times New Roman"/>
          <w:sz w:val="24"/>
          <w:szCs w:val="24"/>
          <w:lang w:eastAsia="zh-CN"/>
        </w:rPr>
        <w:t>Bak</w:t>
      </w:r>
      <w:proofErr w:type="spellEnd"/>
      <w:r w:rsidRPr="00872367">
        <w:rPr>
          <w:rFonts w:ascii="Book Antiqua" w:eastAsia="宋体" w:hAnsi="Book Antiqua" w:cs="Times New Roman"/>
          <w:sz w:val="24"/>
          <w:szCs w:val="24"/>
          <w:lang w:eastAsia="zh-CN"/>
        </w:rPr>
        <w:t xml:space="preserve"> T, Klein A, </w:t>
      </w:r>
      <w:proofErr w:type="spellStart"/>
      <w:r w:rsidRPr="00872367">
        <w:rPr>
          <w:rFonts w:ascii="Book Antiqua" w:eastAsia="宋体" w:hAnsi="Book Antiqua" w:cs="Times New Roman"/>
          <w:sz w:val="24"/>
          <w:szCs w:val="24"/>
          <w:lang w:eastAsia="zh-CN"/>
        </w:rPr>
        <w:t>Klintmalm</w:t>
      </w:r>
      <w:proofErr w:type="spellEnd"/>
      <w:r w:rsidRPr="00872367">
        <w:rPr>
          <w:rFonts w:ascii="Book Antiqua" w:eastAsia="宋体" w:hAnsi="Book Antiqua" w:cs="Times New Roman"/>
          <w:sz w:val="24"/>
          <w:szCs w:val="24"/>
          <w:lang w:eastAsia="zh-CN"/>
        </w:rPr>
        <w:t xml:space="preserve"> G, </w:t>
      </w:r>
      <w:proofErr w:type="spellStart"/>
      <w:r w:rsidRPr="00872367">
        <w:rPr>
          <w:rFonts w:ascii="Book Antiqua" w:eastAsia="宋体" w:hAnsi="Book Antiqua" w:cs="Times New Roman"/>
          <w:sz w:val="24"/>
          <w:szCs w:val="24"/>
          <w:lang w:eastAsia="zh-CN"/>
        </w:rPr>
        <w:t>Busque</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Brandenhagen</w:t>
      </w:r>
      <w:proofErr w:type="spellEnd"/>
      <w:r w:rsidRPr="00872367">
        <w:rPr>
          <w:rFonts w:ascii="Book Antiqua" w:eastAsia="宋体" w:hAnsi="Book Antiqua" w:cs="Times New Roman"/>
          <w:sz w:val="24"/>
          <w:szCs w:val="24"/>
          <w:lang w:eastAsia="zh-CN"/>
        </w:rPr>
        <w:t xml:space="preserve"> D, Lake J, </w:t>
      </w:r>
      <w:proofErr w:type="spellStart"/>
      <w:r w:rsidRPr="00872367">
        <w:rPr>
          <w:rFonts w:ascii="Book Antiqua" w:eastAsia="宋体" w:hAnsi="Book Antiqua" w:cs="Times New Roman"/>
          <w:sz w:val="24"/>
          <w:szCs w:val="24"/>
          <w:lang w:eastAsia="zh-CN"/>
        </w:rPr>
        <w:t>Wisemandle</w:t>
      </w:r>
      <w:proofErr w:type="spellEnd"/>
      <w:r w:rsidRPr="00872367">
        <w:rPr>
          <w:rFonts w:ascii="Book Antiqua" w:eastAsia="宋体" w:hAnsi="Book Antiqua" w:cs="Times New Roman"/>
          <w:sz w:val="24"/>
          <w:szCs w:val="24"/>
          <w:lang w:eastAsia="zh-CN"/>
        </w:rPr>
        <w:t xml:space="preserve"> K, Fitzsimmons W, First MR. Conversion of stable liver transplant recipients from a twice-daily </w:t>
      </w:r>
      <w:proofErr w:type="spellStart"/>
      <w:r w:rsidRPr="00872367">
        <w:rPr>
          <w:rFonts w:ascii="Book Antiqua" w:eastAsia="宋体" w:hAnsi="Book Antiqua" w:cs="Times New Roman"/>
          <w:sz w:val="24"/>
          <w:szCs w:val="24"/>
          <w:lang w:eastAsia="zh-CN"/>
        </w:rPr>
        <w:t>Prograf</w:t>
      </w:r>
      <w:proofErr w:type="spellEnd"/>
      <w:r w:rsidRPr="00872367">
        <w:rPr>
          <w:rFonts w:ascii="Book Antiqua" w:eastAsia="宋体" w:hAnsi="Book Antiqua" w:cs="Times New Roman"/>
          <w:sz w:val="24"/>
          <w:szCs w:val="24"/>
          <w:lang w:eastAsia="zh-CN"/>
        </w:rPr>
        <w:t>-based regimen to a once-daily modified release tacrolimus-based regimen.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2005; </w:t>
      </w:r>
      <w:r w:rsidRPr="00872367">
        <w:rPr>
          <w:rFonts w:ascii="Book Antiqua" w:eastAsia="宋体" w:hAnsi="Book Antiqua" w:cs="Times New Roman"/>
          <w:b/>
          <w:bCs/>
          <w:sz w:val="24"/>
          <w:szCs w:val="24"/>
          <w:lang w:eastAsia="zh-CN"/>
        </w:rPr>
        <w:t>37</w:t>
      </w:r>
      <w:r w:rsidRPr="00872367">
        <w:rPr>
          <w:rFonts w:ascii="Book Antiqua" w:eastAsia="宋体" w:hAnsi="Book Antiqua" w:cs="Times New Roman"/>
          <w:sz w:val="24"/>
          <w:szCs w:val="24"/>
          <w:lang w:eastAsia="zh-CN"/>
        </w:rPr>
        <w:t>: 1211-1213 [PMID: 15848672 DOI: 10.1016/j.transproceed.2004.11.086]</w:t>
      </w:r>
    </w:p>
    <w:p w14:paraId="7868245B"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22 </w:t>
      </w:r>
      <w:proofErr w:type="spellStart"/>
      <w:r w:rsidRPr="00872367">
        <w:rPr>
          <w:rFonts w:ascii="Book Antiqua" w:eastAsia="宋体" w:hAnsi="Book Antiqua" w:cs="Times New Roman"/>
          <w:b/>
          <w:bCs/>
          <w:sz w:val="24"/>
          <w:szCs w:val="24"/>
          <w:lang w:eastAsia="zh-CN"/>
        </w:rPr>
        <w:t>Alloway</w:t>
      </w:r>
      <w:proofErr w:type="spellEnd"/>
      <w:r w:rsidRPr="00872367">
        <w:rPr>
          <w:rFonts w:ascii="Book Antiqua" w:eastAsia="宋体" w:hAnsi="Book Antiqua" w:cs="Times New Roman"/>
          <w:b/>
          <w:bCs/>
          <w:sz w:val="24"/>
          <w:szCs w:val="24"/>
          <w:lang w:eastAsia="zh-CN"/>
        </w:rPr>
        <w:t xml:space="preserve"> R</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Vanhaecke</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Yonan</w:t>
      </w:r>
      <w:proofErr w:type="spellEnd"/>
      <w:r w:rsidRPr="00872367">
        <w:rPr>
          <w:rFonts w:ascii="Book Antiqua" w:eastAsia="宋体" w:hAnsi="Book Antiqua" w:cs="Times New Roman"/>
          <w:sz w:val="24"/>
          <w:szCs w:val="24"/>
          <w:lang w:eastAsia="zh-CN"/>
        </w:rPr>
        <w:t xml:space="preserve"> N, White M, Haddad H, </w:t>
      </w:r>
      <w:proofErr w:type="spellStart"/>
      <w:r w:rsidRPr="00872367">
        <w:rPr>
          <w:rFonts w:ascii="Book Antiqua" w:eastAsia="宋体" w:hAnsi="Book Antiqua" w:cs="Times New Roman"/>
          <w:sz w:val="24"/>
          <w:szCs w:val="24"/>
          <w:lang w:eastAsia="zh-CN"/>
        </w:rPr>
        <w:t>Rábago</w:t>
      </w:r>
      <w:proofErr w:type="spellEnd"/>
      <w:r w:rsidRPr="00872367">
        <w:rPr>
          <w:rFonts w:ascii="Book Antiqua" w:eastAsia="宋体" w:hAnsi="Book Antiqua" w:cs="Times New Roman"/>
          <w:sz w:val="24"/>
          <w:szCs w:val="24"/>
          <w:lang w:eastAsia="zh-CN"/>
        </w:rPr>
        <w:t xml:space="preserve"> G, </w:t>
      </w:r>
      <w:proofErr w:type="spellStart"/>
      <w:r w:rsidRPr="00872367">
        <w:rPr>
          <w:rFonts w:ascii="Book Antiqua" w:eastAsia="宋体" w:hAnsi="Book Antiqua" w:cs="Times New Roman"/>
          <w:sz w:val="24"/>
          <w:szCs w:val="24"/>
          <w:lang w:eastAsia="zh-CN"/>
        </w:rPr>
        <w:t>Tymchak</w:t>
      </w:r>
      <w:proofErr w:type="spellEnd"/>
      <w:r w:rsidRPr="00872367">
        <w:rPr>
          <w:rFonts w:ascii="Book Antiqua" w:eastAsia="宋体" w:hAnsi="Book Antiqua" w:cs="Times New Roman"/>
          <w:sz w:val="24"/>
          <w:szCs w:val="24"/>
          <w:lang w:eastAsia="zh-CN"/>
        </w:rPr>
        <w:t xml:space="preserve"> W, Diaz Molina B, Grimm M, </w:t>
      </w:r>
      <w:proofErr w:type="spellStart"/>
      <w:r w:rsidRPr="00872367">
        <w:rPr>
          <w:rFonts w:ascii="Book Antiqua" w:eastAsia="宋体" w:hAnsi="Book Antiqua" w:cs="Times New Roman"/>
          <w:sz w:val="24"/>
          <w:szCs w:val="24"/>
          <w:lang w:eastAsia="zh-CN"/>
        </w:rPr>
        <w:t>Eiskjaer</w:t>
      </w:r>
      <w:proofErr w:type="spellEnd"/>
      <w:r w:rsidRPr="00872367">
        <w:rPr>
          <w:rFonts w:ascii="Book Antiqua" w:eastAsia="宋体" w:hAnsi="Book Antiqua" w:cs="Times New Roman"/>
          <w:sz w:val="24"/>
          <w:szCs w:val="24"/>
          <w:lang w:eastAsia="zh-CN"/>
        </w:rPr>
        <w:t xml:space="preserve"> H, </w:t>
      </w:r>
      <w:proofErr w:type="spellStart"/>
      <w:r w:rsidRPr="00872367">
        <w:rPr>
          <w:rFonts w:ascii="Book Antiqua" w:eastAsia="宋体" w:hAnsi="Book Antiqua" w:cs="Times New Roman"/>
          <w:sz w:val="24"/>
          <w:szCs w:val="24"/>
          <w:lang w:eastAsia="zh-CN"/>
        </w:rPr>
        <w:t>Karpf</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Pharmacokinetics in stable heart transplant recipients after conversion from twice-daily to once-daily tacrolimus </w:t>
      </w:r>
      <w:r w:rsidRPr="00872367">
        <w:rPr>
          <w:rFonts w:ascii="Book Antiqua" w:eastAsia="宋体" w:hAnsi="Book Antiqua" w:cs="Times New Roman"/>
          <w:sz w:val="24"/>
          <w:szCs w:val="24"/>
          <w:lang w:eastAsia="zh-CN"/>
        </w:rPr>
        <w:lastRenderedPageBreak/>
        <w:t>formulations. </w:t>
      </w:r>
      <w:r w:rsidRPr="00872367">
        <w:rPr>
          <w:rFonts w:ascii="Book Antiqua" w:eastAsia="宋体" w:hAnsi="Book Antiqua" w:cs="Times New Roman"/>
          <w:i/>
          <w:iCs/>
          <w:sz w:val="24"/>
          <w:szCs w:val="24"/>
          <w:lang w:eastAsia="zh-CN"/>
        </w:rPr>
        <w:t>J Heart Lung Transplant</w:t>
      </w:r>
      <w:r w:rsidRPr="00872367">
        <w:rPr>
          <w:rFonts w:ascii="Book Antiqua" w:eastAsia="宋体" w:hAnsi="Book Antiqua" w:cs="Times New Roman"/>
          <w:sz w:val="24"/>
          <w:szCs w:val="24"/>
          <w:lang w:eastAsia="zh-CN"/>
        </w:rPr>
        <w:t> 2011; </w:t>
      </w:r>
      <w:r w:rsidRPr="00872367">
        <w:rPr>
          <w:rFonts w:ascii="Book Antiqua" w:eastAsia="宋体" w:hAnsi="Book Antiqua" w:cs="Times New Roman"/>
          <w:b/>
          <w:bCs/>
          <w:sz w:val="24"/>
          <w:szCs w:val="24"/>
          <w:lang w:eastAsia="zh-CN"/>
        </w:rPr>
        <w:t>30</w:t>
      </w:r>
      <w:r w:rsidRPr="00872367">
        <w:rPr>
          <w:rFonts w:ascii="Book Antiqua" w:eastAsia="宋体" w:hAnsi="Book Antiqua" w:cs="Times New Roman"/>
          <w:sz w:val="24"/>
          <w:szCs w:val="24"/>
          <w:lang w:eastAsia="zh-CN"/>
        </w:rPr>
        <w:t>: 1003-1010 [PMID: 21493098 DOI: 10.1016/j.healun.2011.02.008]</w:t>
      </w:r>
    </w:p>
    <w:p w14:paraId="4E479CBC"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23 </w:t>
      </w:r>
      <w:proofErr w:type="spellStart"/>
      <w:r w:rsidRPr="00872367">
        <w:rPr>
          <w:rFonts w:ascii="Book Antiqua" w:eastAsia="宋体" w:hAnsi="Book Antiqua" w:cs="Times New Roman"/>
          <w:b/>
          <w:bCs/>
          <w:sz w:val="24"/>
          <w:szCs w:val="24"/>
          <w:lang w:eastAsia="zh-CN"/>
        </w:rPr>
        <w:t>Diez</w:t>
      </w:r>
      <w:proofErr w:type="spellEnd"/>
      <w:r w:rsidRPr="00872367">
        <w:rPr>
          <w:rFonts w:ascii="Book Antiqua" w:eastAsia="宋体" w:hAnsi="Book Antiqua" w:cs="Times New Roman"/>
          <w:b/>
          <w:bCs/>
          <w:sz w:val="24"/>
          <w:szCs w:val="24"/>
          <w:lang w:eastAsia="zh-CN"/>
        </w:rPr>
        <w:t xml:space="preserve"> </w:t>
      </w:r>
      <w:proofErr w:type="spellStart"/>
      <w:r w:rsidRPr="00872367">
        <w:rPr>
          <w:rFonts w:ascii="Book Antiqua" w:eastAsia="宋体" w:hAnsi="Book Antiqua" w:cs="Times New Roman"/>
          <w:b/>
          <w:bCs/>
          <w:sz w:val="24"/>
          <w:szCs w:val="24"/>
          <w:lang w:eastAsia="zh-CN"/>
        </w:rPr>
        <w:t>Ojea</w:t>
      </w:r>
      <w:proofErr w:type="spellEnd"/>
      <w:r w:rsidRPr="00872367">
        <w:rPr>
          <w:rFonts w:ascii="Book Antiqua" w:eastAsia="宋体" w:hAnsi="Book Antiqua" w:cs="Times New Roman"/>
          <w:b/>
          <w:bCs/>
          <w:sz w:val="24"/>
          <w:szCs w:val="24"/>
          <w:lang w:eastAsia="zh-CN"/>
        </w:rPr>
        <w:t xml:space="preserve"> B</w:t>
      </w:r>
      <w:r w:rsidRPr="00872367">
        <w:rPr>
          <w:rFonts w:ascii="Book Antiqua" w:eastAsia="宋体" w:hAnsi="Book Antiqua" w:cs="Times New Roman"/>
          <w:sz w:val="24"/>
          <w:szCs w:val="24"/>
          <w:lang w:eastAsia="zh-CN"/>
        </w:rPr>
        <w:t xml:space="preserve">, Alonso Alvarez M, </w:t>
      </w:r>
      <w:proofErr w:type="spellStart"/>
      <w:r w:rsidRPr="00872367">
        <w:rPr>
          <w:rFonts w:ascii="Book Antiqua" w:eastAsia="宋体" w:hAnsi="Book Antiqua" w:cs="Times New Roman"/>
          <w:sz w:val="24"/>
          <w:szCs w:val="24"/>
          <w:lang w:eastAsia="zh-CN"/>
        </w:rPr>
        <w:t>Aguado</w:t>
      </w:r>
      <w:proofErr w:type="spellEnd"/>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Fernández</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Baños</w:t>
      </w:r>
      <w:proofErr w:type="spellEnd"/>
      <w:r w:rsidRPr="00872367">
        <w:rPr>
          <w:rFonts w:ascii="Book Antiqua" w:eastAsia="宋体" w:hAnsi="Book Antiqua" w:cs="Times New Roman"/>
          <w:sz w:val="24"/>
          <w:szCs w:val="24"/>
          <w:lang w:eastAsia="zh-CN"/>
        </w:rPr>
        <w:t xml:space="preserve"> Gallardo M, </w:t>
      </w:r>
      <w:proofErr w:type="spellStart"/>
      <w:r w:rsidRPr="00872367">
        <w:rPr>
          <w:rFonts w:ascii="Book Antiqua" w:eastAsia="宋体" w:hAnsi="Book Antiqua" w:cs="Times New Roman"/>
          <w:sz w:val="24"/>
          <w:szCs w:val="24"/>
          <w:lang w:eastAsia="zh-CN"/>
        </w:rPr>
        <w:t>García</w:t>
      </w:r>
      <w:proofErr w:type="spellEnd"/>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Melendreras</w:t>
      </w:r>
      <w:proofErr w:type="spellEnd"/>
      <w:r w:rsidRPr="00872367">
        <w:rPr>
          <w:rFonts w:ascii="Book Antiqua" w:eastAsia="宋体" w:hAnsi="Book Antiqua" w:cs="Times New Roman"/>
          <w:sz w:val="24"/>
          <w:szCs w:val="24"/>
          <w:lang w:eastAsia="zh-CN"/>
        </w:rPr>
        <w:t xml:space="preserve"> S, Gómez </w:t>
      </w:r>
      <w:proofErr w:type="spellStart"/>
      <w:r w:rsidRPr="00872367">
        <w:rPr>
          <w:rFonts w:ascii="Book Antiqua" w:eastAsia="宋体" w:hAnsi="Book Antiqua" w:cs="Times New Roman"/>
          <w:sz w:val="24"/>
          <w:szCs w:val="24"/>
          <w:lang w:eastAsia="zh-CN"/>
        </w:rPr>
        <w:t>Huertas</w:t>
      </w:r>
      <w:proofErr w:type="spellEnd"/>
      <w:r w:rsidRPr="00872367">
        <w:rPr>
          <w:rFonts w:ascii="Book Antiqua" w:eastAsia="宋体" w:hAnsi="Book Antiqua" w:cs="Times New Roman"/>
          <w:sz w:val="24"/>
          <w:szCs w:val="24"/>
          <w:lang w:eastAsia="zh-CN"/>
        </w:rPr>
        <w:t xml:space="preserve"> E. Three-month experience with tacrolimus once-daily regimen in stable renal allografts.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w:t>
      </w:r>
      <w:r w:rsidRPr="00872367">
        <w:rPr>
          <w:rFonts w:ascii="Book Antiqua" w:eastAsia="宋体" w:hAnsi="Book Antiqua" w:cs="Times New Roman" w:hint="eastAsia"/>
          <w:sz w:val="24"/>
          <w:szCs w:val="24"/>
          <w:lang w:eastAsia="zh-CN"/>
        </w:rPr>
        <w:t>2009</w:t>
      </w:r>
      <w:r w:rsidRPr="00872367">
        <w:rPr>
          <w:rFonts w:ascii="Book Antiqua" w:eastAsia="宋体" w:hAnsi="Book Antiqua" w:cs="Times New Roman"/>
          <w:sz w:val="24"/>
          <w:szCs w:val="24"/>
          <w:lang w:eastAsia="zh-CN"/>
        </w:rPr>
        <w:t>; </w:t>
      </w:r>
      <w:r w:rsidRPr="00872367">
        <w:rPr>
          <w:rFonts w:ascii="Book Antiqua" w:eastAsia="宋体" w:hAnsi="Book Antiqua" w:cs="Times New Roman"/>
          <w:b/>
          <w:bCs/>
          <w:sz w:val="24"/>
          <w:szCs w:val="24"/>
          <w:lang w:eastAsia="zh-CN"/>
        </w:rPr>
        <w:t>41</w:t>
      </w:r>
      <w:r w:rsidRPr="00872367">
        <w:rPr>
          <w:rFonts w:ascii="Book Antiqua" w:eastAsia="宋体" w:hAnsi="Book Antiqua" w:cs="Times New Roman"/>
          <w:sz w:val="24"/>
          <w:szCs w:val="24"/>
          <w:lang w:eastAsia="zh-CN"/>
        </w:rPr>
        <w:t>: 2323-2325 [PMID: 19715908 DOI: 10.1016/j.transproceed.2009.06.048]</w:t>
      </w:r>
    </w:p>
    <w:p w14:paraId="2C54C4DF"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24 </w:t>
      </w:r>
      <w:r w:rsidRPr="00872367">
        <w:rPr>
          <w:rFonts w:ascii="Book Antiqua" w:eastAsia="宋体" w:hAnsi="Book Antiqua" w:cs="Times New Roman"/>
          <w:b/>
          <w:bCs/>
          <w:sz w:val="24"/>
          <w:szCs w:val="24"/>
          <w:lang w:eastAsia="zh-CN"/>
        </w:rPr>
        <w:t>Marin-Gomez LM</w:t>
      </w:r>
      <w:r w:rsidRPr="00872367">
        <w:rPr>
          <w:rFonts w:ascii="Book Antiqua" w:eastAsia="宋体" w:hAnsi="Book Antiqua" w:cs="Times New Roman"/>
          <w:sz w:val="24"/>
          <w:szCs w:val="24"/>
          <w:lang w:eastAsia="zh-CN"/>
        </w:rPr>
        <w:t>, Gomez-Bravo MA, Alamo-Martinez JA, Barrera-</w:t>
      </w:r>
      <w:proofErr w:type="spellStart"/>
      <w:r w:rsidRPr="00872367">
        <w:rPr>
          <w:rFonts w:ascii="Book Antiqua" w:eastAsia="宋体" w:hAnsi="Book Antiqua" w:cs="Times New Roman"/>
          <w:sz w:val="24"/>
          <w:szCs w:val="24"/>
          <w:lang w:eastAsia="zh-CN"/>
        </w:rPr>
        <w:t>Pulido</w:t>
      </w:r>
      <w:proofErr w:type="spellEnd"/>
      <w:r w:rsidRPr="00872367">
        <w:rPr>
          <w:rFonts w:ascii="Book Antiqua" w:eastAsia="宋体" w:hAnsi="Book Antiqua" w:cs="Times New Roman"/>
          <w:sz w:val="24"/>
          <w:szCs w:val="24"/>
          <w:lang w:eastAsia="zh-CN"/>
        </w:rPr>
        <w:t xml:space="preserve"> L, Bernal </w:t>
      </w:r>
      <w:proofErr w:type="spellStart"/>
      <w:r w:rsidRPr="00872367">
        <w:rPr>
          <w:rFonts w:ascii="Book Antiqua" w:eastAsia="宋体" w:hAnsi="Book Antiqua" w:cs="Times New Roman"/>
          <w:sz w:val="24"/>
          <w:szCs w:val="24"/>
          <w:lang w:eastAsia="zh-CN"/>
        </w:rPr>
        <w:t>Bellido</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Suárez</w:t>
      </w:r>
      <w:proofErr w:type="spellEnd"/>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Artacho</w:t>
      </w:r>
      <w:proofErr w:type="spellEnd"/>
      <w:r w:rsidRPr="00872367">
        <w:rPr>
          <w:rFonts w:ascii="Book Antiqua" w:eastAsia="宋体" w:hAnsi="Book Antiqua" w:cs="Times New Roman"/>
          <w:sz w:val="24"/>
          <w:szCs w:val="24"/>
          <w:lang w:eastAsia="zh-CN"/>
        </w:rPr>
        <w:t xml:space="preserve"> G, </w:t>
      </w:r>
      <w:proofErr w:type="spellStart"/>
      <w:r w:rsidRPr="00872367">
        <w:rPr>
          <w:rFonts w:ascii="Book Antiqua" w:eastAsia="宋体" w:hAnsi="Book Antiqua" w:cs="Times New Roman"/>
          <w:sz w:val="24"/>
          <w:szCs w:val="24"/>
          <w:lang w:eastAsia="zh-CN"/>
        </w:rPr>
        <w:t>Pascasio</w:t>
      </w:r>
      <w:proofErr w:type="spellEnd"/>
      <w:r w:rsidRPr="00872367">
        <w:rPr>
          <w:rFonts w:ascii="Book Antiqua" w:eastAsia="宋体" w:hAnsi="Book Antiqua" w:cs="Times New Roman"/>
          <w:sz w:val="24"/>
          <w:szCs w:val="24"/>
          <w:lang w:eastAsia="zh-CN"/>
        </w:rPr>
        <w:t xml:space="preserve"> JM. Evaluation of clinical safety of conversion to </w:t>
      </w:r>
      <w:proofErr w:type="spellStart"/>
      <w:r w:rsidRPr="00872367">
        <w:rPr>
          <w:rFonts w:ascii="Book Antiqua" w:eastAsia="宋体" w:hAnsi="Book Antiqua" w:cs="Times New Roman"/>
          <w:sz w:val="24"/>
          <w:szCs w:val="24"/>
          <w:lang w:eastAsia="zh-CN"/>
        </w:rPr>
        <w:t>Advagraf</w:t>
      </w:r>
      <w:proofErr w:type="spellEnd"/>
      <w:r w:rsidRPr="00872367">
        <w:rPr>
          <w:rFonts w:ascii="Book Antiqua" w:eastAsia="宋体" w:hAnsi="Book Antiqua" w:cs="Times New Roman"/>
          <w:sz w:val="24"/>
          <w:szCs w:val="24"/>
          <w:lang w:eastAsia="zh-CN"/>
        </w:rPr>
        <w:t xml:space="preserve"> therapy in liver transplant recipients: observational study.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w:t>
      </w:r>
      <w:r w:rsidRPr="00872367">
        <w:rPr>
          <w:rFonts w:ascii="Book Antiqua" w:eastAsia="宋体" w:hAnsi="Book Antiqua" w:cs="Times New Roman" w:hint="eastAsia"/>
          <w:sz w:val="24"/>
          <w:szCs w:val="24"/>
          <w:lang w:eastAsia="zh-CN"/>
        </w:rPr>
        <w:t>2009</w:t>
      </w:r>
      <w:r w:rsidRPr="00872367">
        <w:rPr>
          <w:rFonts w:ascii="Book Antiqua" w:eastAsia="宋体" w:hAnsi="Book Antiqua" w:cs="Times New Roman"/>
          <w:sz w:val="24"/>
          <w:szCs w:val="24"/>
          <w:lang w:eastAsia="zh-CN"/>
        </w:rPr>
        <w:t>; </w:t>
      </w:r>
      <w:r w:rsidRPr="00872367">
        <w:rPr>
          <w:rFonts w:ascii="Book Antiqua" w:eastAsia="宋体" w:hAnsi="Book Antiqua" w:cs="Times New Roman"/>
          <w:b/>
          <w:bCs/>
          <w:sz w:val="24"/>
          <w:szCs w:val="24"/>
          <w:lang w:eastAsia="zh-CN"/>
        </w:rPr>
        <w:t>41</w:t>
      </w:r>
      <w:r w:rsidRPr="00872367">
        <w:rPr>
          <w:rFonts w:ascii="Book Antiqua" w:eastAsia="宋体" w:hAnsi="Book Antiqua" w:cs="Times New Roman"/>
          <w:sz w:val="24"/>
          <w:szCs w:val="24"/>
          <w:lang w:eastAsia="zh-CN"/>
        </w:rPr>
        <w:t>: 2184-2186 [PMID: 19715867 DOI: 10.1016/j.transproceed.2009.06.085]</w:t>
      </w:r>
    </w:p>
    <w:p w14:paraId="4B115A0E"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25 </w:t>
      </w:r>
      <w:r w:rsidRPr="00872367">
        <w:rPr>
          <w:rFonts w:ascii="Book Antiqua" w:eastAsia="宋体" w:hAnsi="Book Antiqua" w:cs="Times New Roman"/>
          <w:b/>
          <w:bCs/>
          <w:sz w:val="24"/>
          <w:szCs w:val="24"/>
          <w:lang w:eastAsia="zh-CN"/>
        </w:rPr>
        <w:t>Silva HT</w:t>
      </w:r>
      <w:r w:rsidRPr="00872367">
        <w:rPr>
          <w:rFonts w:ascii="Book Antiqua" w:eastAsia="宋体" w:hAnsi="Book Antiqua" w:cs="Times New Roman"/>
          <w:sz w:val="24"/>
          <w:szCs w:val="24"/>
          <w:lang w:eastAsia="zh-CN"/>
        </w:rPr>
        <w:t>, Yang HC, Meier-</w:t>
      </w:r>
      <w:proofErr w:type="spellStart"/>
      <w:r w:rsidRPr="00872367">
        <w:rPr>
          <w:rFonts w:ascii="Book Antiqua" w:eastAsia="宋体" w:hAnsi="Book Antiqua" w:cs="Times New Roman"/>
          <w:sz w:val="24"/>
          <w:szCs w:val="24"/>
          <w:lang w:eastAsia="zh-CN"/>
        </w:rPr>
        <w:t>Kriesche</w:t>
      </w:r>
      <w:proofErr w:type="spellEnd"/>
      <w:r w:rsidRPr="00872367">
        <w:rPr>
          <w:rFonts w:ascii="Book Antiqua" w:eastAsia="宋体" w:hAnsi="Book Antiqua" w:cs="Times New Roman"/>
          <w:sz w:val="24"/>
          <w:szCs w:val="24"/>
          <w:lang w:eastAsia="zh-CN"/>
        </w:rPr>
        <w:t xml:space="preserve"> HU, </w:t>
      </w:r>
      <w:proofErr w:type="spellStart"/>
      <w:r w:rsidRPr="00872367">
        <w:rPr>
          <w:rFonts w:ascii="Book Antiqua" w:eastAsia="宋体" w:hAnsi="Book Antiqua" w:cs="Times New Roman"/>
          <w:sz w:val="24"/>
          <w:szCs w:val="24"/>
          <w:lang w:eastAsia="zh-CN"/>
        </w:rPr>
        <w:t>Croy</w:t>
      </w:r>
      <w:proofErr w:type="spellEnd"/>
      <w:r w:rsidRPr="00872367">
        <w:rPr>
          <w:rFonts w:ascii="Book Antiqua" w:eastAsia="宋体" w:hAnsi="Book Antiqua" w:cs="Times New Roman"/>
          <w:sz w:val="24"/>
          <w:szCs w:val="24"/>
          <w:lang w:eastAsia="zh-CN"/>
        </w:rPr>
        <w:t xml:space="preserve"> R, Holman J, Fitzsimmons WE, First MR. Long-term follow-up of a phase III clinical trial comparing tacrolimus extended-release/MMF, tacrolimus/MMF, and cyclosporine/MMF in de novo kidney transplant recipients. </w:t>
      </w:r>
      <w:r w:rsidRPr="00872367">
        <w:rPr>
          <w:rFonts w:ascii="Book Antiqua" w:eastAsia="宋体" w:hAnsi="Book Antiqua" w:cs="Times New Roman"/>
          <w:i/>
          <w:iCs/>
          <w:sz w:val="24"/>
          <w:szCs w:val="24"/>
          <w:lang w:eastAsia="zh-CN"/>
        </w:rPr>
        <w:t>Transplantation</w:t>
      </w:r>
      <w:r w:rsidRPr="00872367">
        <w:rPr>
          <w:rFonts w:ascii="Book Antiqua" w:eastAsia="宋体" w:hAnsi="Book Antiqua" w:cs="Times New Roman"/>
          <w:sz w:val="24"/>
          <w:szCs w:val="24"/>
          <w:lang w:eastAsia="zh-CN"/>
        </w:rPr>
        <w:t> 2014; </w:t>
      </w:r>
      <w:r w:rsidRPr="00872367">
        <w:rPr>
          <w:rFonts w:ascii="Book Antiqua" w:eastAsia="宋体" w:hAnsi="Book Antiqua" w:cs="Times New Roman"/>
          <w:b/>
          <w:bCs/>
          <w:sz w:val="24"/>
          <w:szCs w:val="24"/>
          <w:lang w:eastAsia="zh-CN"/>
        </w:rPr>
        <w:t>97</w:t>
      </w:r>
      <w:r w:rsidRPr="00872367">
        <w:rPr>
          <w:rFonts w:ascii="Book Antiqua" w:eastAsia="宋体" w:hAnsi="Book Antiqua" w:cs="Times New Roman"/>
          <w:sz w:val="24"/>
          <w:szCs w:val="24"/>
          <w:lang w:eastAsia="zh-CN"/>
        </w:rPr>
        <w:t>: 636-641 [PMID: 24521771 DOI: 10.1097/01.TP.0000437669.93963.8E]</w:t>
      </w:r>
    </w:p>
    <w:p w14:paraId="73B8AA04"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26 Organ Procurement and Transplantation Network (OPTN) and Scientific Registry of Transplant Recipients (SRTR). OPTN/SRTR 2010 Annual Data Report, Rockville, MD: Department of Health and Human Services, Health Resources and Services Administration, Healthcare Systems Bureau, Division of Transplantation; 2011</w:t>
      </w:r>
    </w:p>
    <w:p w14:paraId="0E5F60FB"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27 </w:t>
      </w:r>
      <w:r w:rsidRPr="00872367">
        <w:rPr>
          <w:rFonts w:ascii="Book Antiqua" w:eastAsia="宋体" w:hAnsi="Book Antiqua" w:cs="Times New Roman"/>
          <w:b/>
          <w:bCs/>
          <w:sz w:val="24"/>
          <w:szCs w:val="24"/>
          <w:lang w:eastAsia="zh-CN"/>
        </w:rPr>
        <w:t>Han DJ</w:t>
      </w:r>
      <w:r w:rsidRPr="00872367">
        <w:rPr>
          <w:rFonts w:ascii="Book Antiqua" w:eastAsia="宋体" w:hAnsi="Book Antiqua" w:cs="Times New Roman"/>
          <w:sz w:val="24"/>
          <w:szCs w:val="24"/>
          <w:lang w:eastAsia="zh-CN"/>
        </w:rPr>
        <w:t>, Park JB, Kim YS, Kim SJ, Ha J, Kim HC, Kim SJ, Moon IS, Yang CW. A 39-month follow-up study to evaluate the safety and efficacy in kidney transplant recipients treated with modified-release tacrolimus (FK506E)-based immunosuppression regimen.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2012; </w:t>
      </w:r>
      <w:r w:rsidRPr="00872367">
        <w:rPr>
          <w:rFonts w:ascii="Book Antiqua" w:eastAsia="宋体" w:hAnsi="Book Antiqua" w:cs="Times New Roman"/>
          <w:b/>
          <w:bCs/>
          <w:sz w:val="24"/>
          <w:szCs w:val="24"/>
          <w:lang w:eastAsia="zh-CN"/>
        </w:rPr>
        <w:t>44</w:t>
      </w:r>
      <w:r w:rsidRPr="00872367">
        <w:rPr>
          <w:rFonts w:ascii="Book Antiqua" w:eastAsia="宋体" w:hAnsi="Book Antiqua" w:cs="Times New Roman"/>
          <w:sz w:val="24"/>
          <w:szCs w:val="24"/>
          <w:lang w:eastAsia="zh-CN"/>
        </w:rPr>
        <w:t>: 115-117 [PMID: 22310592 DOI: 10.1016/j.transproceed.2011.12.070]</w:t>
      </w:r>
    </w:p>
    <w:p w14:paraId="7C1824AB"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28 </w:t>
      </w:r>
      <w:r w:rsidRPr="00872367">
        <w:rPr>
          <w:rFonts w:ascii="Book Antiqua" w:eastAsia="宋体" w:hAnsi="Book Antiqua" w:cs="Times New Roman"/>
          <w:b/>
          <w:bCs/>
          <w:sz w:val="24"/>
          <w:szCs w:val="24"/>
          <w:lang w:eastAsia="zh-CN"/>
        </w:rPr>
        <w:t>Yang SS</w:t>
      </w:r>
      <w:r w:rsidRPr="00872367">
        <w:rPr>
          <w:rFonts w:ascii="Book Antiqua" w:eastAsia="宋体" w:hAnsi="Book Antiqua" w:cs="Times New Roman"/>
          <w:sz w:val="24"/>
          <w:szCs w:val="24"/>
          <w:lang w:eastAsia="zh-CN"/>
        </w:rPr>
        <w:t xml:space="preserve">, Choi JY, Cho WT, Park JB, Kim SJ. A single center, open-label, randomized pilot study to evaluate the safety and efficacy of </w:t>
      </w:r>
      <w:proofErr w:type="spellStart"/>
      <w:r w:rsidRPr="00872367">
        <w:rPr>
          <w:rFonts w:ascii="Book Antiqua" w:eastAsia="宋体" w:hAnsi="Book Antiqua" w:cs="Times New Roman"/>
          <w:sz w:val="24"/>
          <w:szCs w:val="24"/>
          <w:lang w:eastAsia="zh-CN"/>
        </w:rPr>
        <w:t>tacrolimus</w:t>
      </w:r>
      <w:proofErr w:type="spellEnd"/>
      <w:r w:rsidRPr="00872367">
        <w:rPr>
          <w:rFonts w:ascii="Book Antiqua" w:eastAsia="宋体" w:hAnsi="Book Antiqua" w:cs="Times New Roman"/>
          <w:sz w:val="24"/>
          <w:szCs w:val="24"/>
          <w:lang w:eastAsia="zh-CN"/>
        </w:rPr>
        <w:t xml:space="preserve"> modified release, </w:t>
      </w:r>
      <w:proofErr w:type="spellStart"/>
      <w:r w:rsidRPr="00872367">
        <w:rPr>
          <w:rFonts w:ascii="Book Antiqua" w:eastAsia="宋体" w:hAnsi="Book Antiqua" w:cs="Times New Roman"/>
          <w:sz w:val="24"/>
          <w:szCs w:val="24"/>
          <w:lang w:eastAsia="zh-CN"/>
        </w:rPr>
        <w:t>Advagraf</w:t>
      </w:r>
      <w:proofErr w:type="spellEnd"/>
      <w:r w:rsidRPr="00872367">
        <w:rPr>
          <w:rFonts w:ascii="Book Antiqua" w:eastAsia="宋体" w:hAnsi="Book Antiqua" w:cs="Times New Roman"/>
          <w:sz w:val="24"/>
          <w:szCs w:val="24"/>
          <w:lang w:eastAsia="zh-CN"/>
        </w:rPr>
        <w:t xml:space="preserve">, versus </w:t>
      </w:r>
      <w:proofErr w:type="spellStart"/>
      <w:r w:rsidRPr="00872367">
        <w:rPr>
          <w:rFonts w:ascii="Book Antiqua" w:eastAsia="宋体" w:hAnsi="Book Antiqua" w:cs="Times New Roman"/>
          <w:sz w:val="24"/>
          <w:szCs w:val="24"/>
          <w:lang w:eastAsia="zh-CN"/>
        </w:rPr>
        <w:t>tacrolimus</w:t>
      </w:r>
      <w:proofErr w:type="spellEnd"/>
      <w:r w:rsidRPr="00872367">
        <w:rPr>
          <w:rFonts w:ascii="Book Antiqua" w:eastAsia="宋体" w:hAnsi="Book Antiqua" w:cs="Times New Roman"/>
          <w:sz w:val="24"/>
          <w:szCs w:val="24"/>
          <w:lang w:eastAsia="zh-CN"/>
        </w:rPr>
        <w:t xml:space="preserve"> twice daily, </w:t>
      </w:r>
      <w:proofErr w:type="spellStart"/>
      <w:r w:rsidRPr="00872367">
        <w:rPr>
          <w:rFonts w:ascii="Book Antiqua" w:eastAsia="宋体" w:hAnsi="Book Antiqua" w:cs="Times New Roman"/>
          <w:sz w:val="24"/>
          <w:szCs w:val="24"/>
          <w:lang w:eastAsia="zh-CN"/>
        </w:rPr>
        <w:t>Prograf</w:t>
      </w:r>
      <w:proofErr w:type="spellEnd"/>
      <w:r w:rsidRPr="00872367">
        <w:rPr>
          <w:rFonts w:ascii="Book Antiqua" w:eastAsia="宋体" w:hAnsi="Book Antiqua" w:cs="Times New Roman"/>
          <w:sz w:val="24"/>
          <w:szCs w:val="24"/>
          <w:lang w:eastAsia="zh-CN"/>
        </w:rPr>
        <w:t>, in stable renal recipients (single).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2015; </w:t>
      </w:r>
      <w:r w:rsidRPr="00872367">
        <w:rPr>
          <w:rFonts w:ascii="Book Antiqua" w:eastAsia="宋体" w:hAnsi="Book Antiqua" w:cs="Times New Roman"/>
          <w:b/>
          <w:bCs/>
          <w:sz w:val="24"/>
          <w:szCs w:val="24"/>
          <w:lang w:eastAsia="zh-CN"/>
        </w:rPr>
        <w:t>47</w:t>
      </w:r>
      <w:r w:rsidRPr="00872367">
        <w:rPr>
          <w:rFonts w:ascii="Book Antiqua" w:eastAsia="宋体" w:hAnsi="Book Antiqua" w:cs="Times New Roman"/>
          <w:sz w:val="24"/>
          <w:szCs w:val="24"/>
          <w:lang w:eastAsia="zh-CN"/>
        </w:rPr>
        <w:t>: 617-621 [PMID: 25891697 DOI: 10.1016/j.transproceed.2014.12.042]</w:t>
      </w:r>
    </w:p>
    <w:p w14:paraId="4543A9C2"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lastRenderedPageBreak/>
        <w:t>29 </w:t>
      </w:r>
      <w:proofErr w:type="spellStart"/>
      <w:r w:rsidRPr="00872367">
        <w:rPr>
          <w:rFonts w:ascii="Book Antiqua" w:eastAsia="宋体" w:hAnsi="Book Antiqua" w:cs="Times New Roman"/>
          <w:b/>
          <w:bCs/>
          <w:sz w:val="24"/>
          <w:szCs w:val="24"/>
          <w:lang w:eastAsia="zh-CN"/>
        </w:rPr>
        <w:t>Gaber</w:t>
      </w:r>
      <w:proofErr w:type="spellEnd"/>
      <w:r w:rsidRPr="00872367">
        <w:rPr>
          <w:rFonts w:ascii="Book Antiqua" w:eastAsia="宋体" w:hAnsi="Book Antiqua" w:cs="Times New Roman"/>
          <w:b/>
          <w:bCs/>
          <w:sz w:val="24"/>
          <w:szCs w:val="24"/>
          <w:lang w:eastAsia="zh-CN"/>
        </w:rPr>
        <w:t xml:space="preserve"> AO</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Alloway</w:t>
      </w:r>
      <w:proofErr w:type="spellEnd"/>
      <w:r w:rsidRPr="00872367">
        <w:rPr>
          <w:rFonts w:ascii="Book Antiqua" w:eastAsia="宋体" w:hAnsi="Book Antiqua" w:cs="Times New Roman"/>
          <w:sz w:val="24"/>
          <w:szCs w:val="24"/>
          <w:lang w:eastAsia="zh-CN"/>
        </w:rPr>
        <w:t xml:space="preserve"> RR, </w:t>
      </w:r>
      <w:proofErr w:type="spellStart"/>
      <w:r w:rsidRPr="00872367">
        <w:rPr>
          <w:rFonts w:ascii="Book Antiqua" w:eastAsia="宋体" w:hAnsi="Book Antiqua" w:cs="Times New Roman"/>
          <w:sz w:val="24"/>
          <w:szCs w:val="24"/>
          <w:lang w:eastAsia="zh-CN"/>
        </w:rPr>
        <w:t>Bodziak</w:t>
      </w:r>
      <w:proofErr w:type="spellEnd"/>
      <w:r w:rsidRPr="00872367">
        <w:rPr>
          <w:rFonts w:ascii="Book Antiqua" w:eastAsia="宋体" w:hAnsi="Book Antiqua" w:cs="Times New Roman"/>
          <w:sz w:val="24"/>
          <w:szCs w:val="24"/>
          <w:lang w:eastAsia="zh-CN"/>
        </w:rPr>
        <w:t xml:space="preserve"> K, Kaplan B, </w:t>
      </w:r>
      <w:proofErr w:type="spellStart"/>
      <w:r w:rsidRPr="00872367">
        <w:rPr>
          <w:rFonts w:ascii="Book Antiqua" w:eastAsia="宋体" w:hAnsi="Book Antiqua" w:cs="Times New Roman"/>
          <w:sz w:val="24"/>
          <w:szCs w:val="24"/>
          <w:lang w:eastAsia="zh-CN"/>
        </w:rPr>
        <w:t>Bunnapradist</w:t>
      </w:r>
      <w:proofErr w:type="spellEnd"/>
      <w:r w:rsidRPr="00872367">
        <w:rPr>
          <w:rFonts w:ascii="Book Antiqua" w:eastAsia="宋体" w:hAnsi="Book Antiqua" w:cs="Times New Roman"/>
          <w:sz w:val="24"/>
          <w:szCs w:val="24"/>
          <w:lang w:eastAsia="zh-CN"/>
        </w:rPr>
        <w:t xml:space="preserve"> S. Conversion from twice-daily tacrolimus capsules to once-daily extended-release tacrolimus (LCPT): a phase 2 trial of stable renal transplant recipients. </w:t>
      </w:r>
      <w:r w:rsidRPr="00872367">
        <w:rPr>
          <w:rFonts w:ascii="Book Antiqua" w:eastAsia="宋体" w:hAnsi="Book Antiqua" w:cs="Times New Roman"/>
          <w:i/>
          <w:iCs/>
          <w:sz w:val="24"/>
          <w:szCs w:val="24"/>
          <w:lang w:eastAsia="zh-CN"/>
        </w:rPr>
        <w:t>Transplantation</w:t>
      </w:r>
      <w:r w:rsidRPr="00872367">
        <w:rPr>
          <w:rFonts w:ascii="Book Antiqua" w:eastAsia="宋体" w:hAnsi="Book Antiqua" w:cs="Times New Roman"/>
          <w:sz w:val="24"/>
          <w:szCs w:val="24"/>
          <w:lang w:eastAsia="zh-CN"/>
        </w:rPr>
        <w:t> 2013; </w:t>
      </w:r>
      <w:r w:rsidRPr="00872367">
        <w:rPr>
          <w:rFonts w:ascii="Book Antiqua" w:eastAsia="宋体" w:hAnsi="Book Antiqua" w:cs="Times New Roman"/>
          <w:b/>
          <w:bCs/>
          <w:sz w:val="24"/>
          <w:szCs w:val="24"/>
          <w:lang w:eastAsia="zh-CN"/>
        </w:rPr>
        <w:t>96</w:t>
      </w:r>
      <w:r w:rsidRPr="00872367">
        <w:rPr>
          <w:rFonts w:ascii="Book Antiqua" w:eastAsia="宋体" w:hAnsi="Book Antiqua" w:cs="Times New Roman"/>
          <w:sz w:val="24"/>
          <w:szCs w:val="24"/>
          <w:lang w:eastAsia="zh-CN"/>
        </w:rPr>
        <w:t>: 191-197 [PMID: 23715050 DOI: 10.1097/TP.0b013e3182962cc1]</w:t>
      </w:r>
    </w:p>
    <w:p w14:paraId="4FD45835"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30 </w:t>
      </w:r>
      <w:proofErr w:type="spellStart"/>
      <w:r w:rsidRPr="00872367">
        <w:rPr>
          <w:rFonts w:ascii="Book Antiqua" w:eastAsia="宋体" w:hAnsi="Book Antiqua" w:cs="Times New Roman"/>
          <w:b/>
          <w:bCs/>
          <w:sz w:val="24"/>
          <w:szCs w:val="24"/>
          <w:lang w:eastAsia="zh-CN"/>
        </w:rPr>
        <w:t>Tsunashima</w:t>
      </w:r>
      <w:proofErr w:type="spellEnd"/>
      <w:r w:rsidRPr="00872367">
        <w:rPr>
          <w:rFonts w:ascii="Book Antiqua" w:eastAsia="宋体" w:hAnsi="Book Antiqua" w:cs="Times New Roman"/>
          <w:b/>
          <w:bCs/>
          <w:sz w:val="24"/>
          <w:szCs w:val="24"/>
          <w:lang w:eastAsia="zh-CN"/>
        </w:rPr>
        <w:t xml:space="preserve"> D</w:t>
      </w:r>
      <w:r w:rsidRPr="00872367">
        <w:rPr>
          <w:rFonts w:ascii="Book Antiqua" w:eastAsia="宋体" w:hAnsi="Book Antiqua" w:cs="Times New Roman"/>
          <w:sz w:val="24"/>
          <w:szCs w:val="24"/>
          <w:lang w:eastAsia="zh-CN"/>
        </w:rPr>
        <w:t xml:space="preserve">, Kawamura A, Murakami M, </w:t>
      </w:r>
      <w:proofErr w:type="spellStart"/>
      <w:r w:rsidRPr="00872367">
        <w:rPr>
          <w:rFonts w:ascii="Book Antiqua" w:eastAsia="宋体" w:hAnsi="Book Antiqua" w:cs="Times New Roman"/>
          <w:sz w:val="24"/>
          <w:szCs w:val="24"/>
          <w:lang w:eastAsia="zh-CN"/>
        </w:rPr>
        <w:t>Sawamoto</w:t>
      </w:r>
      <w:proofErr w:type="spellEnd"/>
      <w:r w:rsidRPr="00872367">
        <w:rPr>
          <w:rFonts w:ascii="Book Antiqua" w:eastAsia="宋体" w:hAnsi="Book Antiqua" w:cs="Times New Roman"/>
          <w:sz w:val="24"/>
          <w:szCs w:val="24"/>
          <w:lang w:eastAsia="zh-CN"/>
        </w:rPr>
        <w:t xml:space="preserve"> T,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Brown M, </w:t>
      </w:r>
      <w:proofErr w:type="spellStart"/>
      <w:r w:rsidRPr="00872367">
        <w:rPr>
          <w:rFonts w:ascii="Book Antiqua" w:eastAsia="宋体" w:hAnsi="Book Antiqua" w:cs="Times New Roman"/>
          <w:sz w:val="24"/>
          <w:szCs w:val="24"/>
          <w:lang w:eastAsia="zh-CN"/>
        </w:rPr>
        <w:t>Groenewoud</w:t>
      </w:r>
      <w:proofErr w:type="spellEnd"/>
      <w:r w:rsidRPr="00872367">
        <w:rPr>
          <w:rFonts w:ascii="Book Antiqua" w:eastAsia="宋体" w:hAnsi="Book Antiqua" w:cs="Times New Roman"/>
          <w:sz w:val="24"/>
          <w:szCs w:val="24"/>
          <w:lang w:eastAsia="zh-CN"/>
        </w:rPr>
        <w:t xml:space="preserve"> A, </w:t>
      </w:r>
      <w:proofErr w:type="spellStart"/>
      <w:r w:rsidRPr="00872367">
        <w:rPr>
          <w:rFonts w:ascii="Book Antiqua" w:eastAsia="宋体" w:hAnsi="Book Antiqua" w:cs="Times New Roman"/>
          <w:sz w:val="24"/>
          <w:szCs w:val="24"/>
          <w:lang w:eastAsia="zh-CN"/>
        </w:rPr>
        <w:t>Keirns</w:t>
      </w:r>
      <w:proofErr w:type="spellEnd"/>
      <w:r w:rsidRPr="00872367">
        <w:rPr>
          <w:rFonts w:ascii="Book Antiqua" w:eastAsia="宋体" w:hAnsi="Book Antiqua" w:cs="Times New Roman"/>
          <w:sz w:val="24"/>
          <w:szCs w:val="24"/>
          <w:lang w:eastAsia="zh-CN"/>
        </w:rPr>
        <w:t xml:space="preserve"> JJ, Holman J, Connor A, </w:t>
      </w:r>
      <w:proofErr w:type="spellStart"/>
      <w:r w:rsidRPr="00872367">
        <w:rPr>
          <w:rFonts w:ascii="Book Antiqua" w:eastAsia="宋体" w:hAnsi="Book Antiqua" w:cs="Times New Roman"/>
          <w:sz w:val="24"/>
          <w:szCs w:val="24"/>
          <w:lang w:eastAsia="zh-CN"/>
        </w:rPr>
        <w:t>Wylde</w:t>
      </w:r>
      <w:proofErr w:type="spellEnd"/>
      <w:r w:rsidRPr="00872367">
        <w:rPr>
          <w:rFonts w:ascii="Book Antiqua" w:eastAsia="宋体" w:hAnsi="Book Antiqua" w:cs="Times New Roman"/>
          <w:sz w:val="24"/>
          <w:szCs w:val="24"/>
          <w:lang w:eastAsia="zh-CN"/>
        </w:rPr>
        <w:t xml:space="preserve"> H, Wilding I, </w:t>
      </w:r>
      <w:proofErr w:type="spellStart"/>
      <w:r w:rsidRPr="00872367">
        <w:rPr>
          <w:rFonts w:ascii="Book Antiqua" w:eastAsia="宋体" w:hAnsi="Book Antiqua" w:cs="Times New Roman"/>
          <w:sz w:val="24"/>
          <w:szCs w:val="24"/>
          <w:lang w:eastAsia="zh-CN"/>
        </w:rPr>
        <w:t>Ogawara</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Sako</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Higaki</w:t>
      </w:r>
      <w:proofErr w:type="spellEnd"/>
      <w:r w:rsidRPr="00872367">
        <w:rPr>
          <w:rFonts w:ascii="Book Antiqua" w:eastAsia="宋体" w:hAnsi="Book Antiqua" w:cs="Times New Roman"/>
          <w:sz w:val="24"/>
          <w:szCs w:val="24"/>
          <w:lang w:eastAsia="zh-CN"/>
        </w:rPr>
        <w:t xml:space="preserve"> K, First R. Assessment of tacrolimus absorption from the human intestinal tract: open-label, randomized, 4-way crossover study. </w:t>
      </w:r>
      <w:proofErr w:type="spellStart"/>
      <w:r w:rsidRPr="00872367">
        <w:rPr>
          <w:rFonts w:ascii="Book Antiqua" w:eastAsia="宋体" w:hAnsi="Book Antiqua" w:cs="Times New Roman"/>
          <w:i/>
          <w:iCs/>
          <w:sz w:val="24"/>
          <w:szCs w:val="24"/>
          <w:lang w:eastAsia="zh-CN"/>
        </w:rPr>
        <w:t>Clin</w:t>
      </w:r>
      <w:proofErr w:type="spellEnd"/>
      <w:r w:rsidRPr="00872367">
        <w:rPr>
          <w:rFonts w:ascii="Book Antiqua" w:eastAsia="宋体" w:hAnsi="Book Antiqua" w:cs="Times New Roman"/>
          <w:i/>
          <w:iCs/>
          <w:sz w:val="24"/>
          <w:szCs w:val="24"/>
          <w:lang w:eastAsia="zh-CN"/>
        </w:rPr>
        <w:t xml:space="preserve">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sz w:val="24"/>
          <w:szCs w:val="24"/>
          <w:lang w:eastAsia="zh-CN"/>
        </w:rPr>
        <w:t> 2014; </w:t>
      </w:r>
      <w:r w:rsidRPr="00872367">
        <w:rPr>
          <w:rFonts w:ascii="Book Antiqua" w:eastAsia="宋体" w:hAnsi="Book Antiqua" w:cs="Times New Roman"/>
          <w:b/>
          <w:bCs/>
          <w:sz w:val="24"/>
          <w:szCs w:val="24"/>
          <w:lang w:eastAsia="zh-CN"/>
        </w:rPr>
        <w:t>36</w:t>
      </w:r>
      <w:r w:rsidRPr="00872367">
        <w:rPr>
          <w:rFonts w:ascii="Book Antiqua" w:eastAsia="宋体" w:hAnsi="Book Antiqua" w:cs="Times New Roman"/>
          <w:sz w:val="24"/>
          <w:szCs w:val="24"/>
          <w:lang w:eastAsia="zh-CN"/>
        </w:rPr>
        <w:t>: 748-759 [PMID: 24680768 DOI: 10.1016/j.clinthera.2014.02.021]</w:t>
      </w:r>
    </w:p>
    <w:p w14:paraId="2048D634"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31 </w:t>
      </w:r>
      <w:r w:rsidRPr="00872367">
        <w:rPr>
          <w:rFonts w:ascii="Book Antiqua" w:eastAsia="宋体" w:hAnsi="Book Antiqua" w:cs="Times New Roman"/>
          <w:b/>
          <w:bCs/>
          <w:sz w:val="24"/>
          <w:szCs w:val="24"/>
          <w:lang w:eastAsia="zh-CN"/>
        </w:rPr>
        <w:t>Albano L</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Banas</w:t>
      </w:r>
      <w:proofErr w:type="spellEnd"/>
      <w:r w:rsidRPr="00872367">
        <w:rPr>
          <w:rFonts w:ascii="Book Antiqua" w:eastAsia="宋体" w:hAnsi="Book Antiqua" w:cs="Times New Roman"/>
          <w:sz w:val="24"/>
          <w:szCs w:val="24"/>
          <w:lang w:eastAsia="zh-CN"/>
        </w:rPr>
        <w:t xml:space="preserve"> B, </w:t>
      </w:r>
      <w:proofErr w:type="spellStart"/>
      <w:r w:rsidRPr="00872367">
        <w:rPr>
          <w:rFonts w:ascii="Book Antiqua" w:eastAsia="宋体" w:hAnsi="Book Antiqua" w:cs="Times New Roman"/>
          <w:sz w:val="24"/>
          <w:szCs w:val="24"/>
          <w:lang w:eastAsia="zh-CN"/>
        </w:rPr>
        <w:t>Klempnauer</w:t>
      </w:r>
      <w:proofErr w:type="spellEnd"/>
      <w:r w:rsidRPr="00872367">
        <w:rPr>
          <w:rFonts w:ascii="Book Antiqua" w:eastAsia="宋体" w:hAnsi="Book Antiqua" w:cs="Times New Roman"/>
          <w:sz w:val="24"/>
          <w:szCs w:val="24"/>
          <w:lang w:eastAsia="zh-CN"/>
        </w:rPr>
        <w:t xml:space="preserve"> JL, </w:t>
      </w:r>
      <w:proofErr w:type="spellStart"/>
      <w:r w:rsidRPr="00872367">
        <w:rPr>
          <w:rFonts w:ascii="Book Antiqua" w:eastAsia="宋体" w:hAnsi="Book Antiqua" w:cs="Times New Roman"/>
          <w:sz w:val="24"/>
          <w:szCs w:val="24"/>
          <w:lang w:eastAsia="zh-CN"/>
        </w:rPr>
        <w:t>Glyda</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Viklicky</w:t>
      </w:r>
      <w:proofErr w:type="spellEnd"/>
      <w:r w:rsidRPr="00872367">
        <w:rPr>
          <w:rFonts w:ascii="Book Antiqua" w:eastAsia="宋体" w:hAnsi="Book Antiqua" w:cs="Times New Roman"/>
          <w:sz w:val="24"/>
          <w:szCs w:val="24"/>
          <w:lang w:eastAsia="zh-CN"/>
        </w:rPr>
        <w:t xml:space="preserve"> O, </w:t>
      </w:r>
      <w:proofErr w:type="spellStart"/>
      <w:r w:rsidRPr="00872367">
        <w:rPr>
          <w:rFonts w:ascii="Book Antiqua" w:eastAsia="宋体" w:hAnsi="Book Antiqua" w:cs="Times New Roman"/>
          <w:sz w:val="24"/>
          <w:szCs w:val="24"/>
          <w:lang w:eastAsia="zh-CN"/>
        </w:rPr>
        <w:t>Kamar</w:t>
      </w:r>
      <w:proofErr w:type="spellEnd"/>
      <w:r w:rsidRPr="00872367">
        <w:rPr>
          <w:rFonts w:ascii="Book Antiqua" w:eastAsia="宋体" w:hAnsi="Book Antiqua" w:cs="Times New Roman"/>
          <w:sz w:val="24"/>
          <w:szCs w:val="24"/>
          <w:lang w:eastAsia="zh-CN"/>
        </w:rPr>
        <w:t xml:space="preserve"> N. OSAKA trial: a randomized, controlled trial comparing tacrolimus QD and BD in kidney transplantation. </w:t>
      </w:r>
      <w:r w:rsidRPr="00872367">
        <w:rPr>
          <w:rFonts w:ascii="Book Antiqua" w:eastAsia="宋体" w:hAnsi="Book Antiqua" w:cs="Times New Roman"/>
          <w:i/>
          <w:iCs/>
          <w:sz w:val="24"/>
          <w:szCs w:val="24"/>
          <w:lang w:eastAsia="zh-CN"/>
        </w:rPr>
        <w:t>Transplantation</w:t>
      </w:r>
      <w:r w:rsidRPr="00872367">
        <w:rPr>
          <w:rFonts w:ascii="Book Antiqua" w:eastAsia="宋体" w:hAnsi="Book Antiqua" w:cs="Times New Roman"/>
          <w:sz w:val="24"/>
          <w:szCs w:val="24"/>
          <w:lang w:eastAsia="zh-CN"/>
        </w:rPr>
        <w:t> 2013; </w:t>
      </w:r>
      <w:r w:rsidRPr="00872367">
        <w:rPr>
          <w:rFonts w:ascii="Book Antiqua" w:eastAsia="宋体" w:hAnsi="Book Antiqua" w:cs="Times New Roman"/>
          <w:b/>
          <w:bCs/>
          <w:sz w:val="24"/>
          <w:szCs w:val="24"/>
          <w:lang w:eastAsia="zh-CN"/>
        </w:rPr>
        <w:t>96</w:t>
      </w:r>
      <w:r w:rsidRPr="00872367">
        <w:rPr>
          <w:rFonts w:ascii="Book Antiqua" w:eastAsia="宋体" w:hAnsi="Book Antiqua" w:cs="Times New Roman"/>
          <w:sz w:val="24"/>
          <w:szCs w:val="24"/>
          <w:lang w:eastAsia="zh-CN"/>
        </w:rPr>
        <w:t>: 897-903 [PMID: 23982340 DOI: 10.1097/TP.0b013e3182a203bd]</w:t>
      </w:r>
    </w:p>
    <w:p w14:paraId="254E406A"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32 </w:t>
      </w:r>
      <w:proofErr w:type="spellStart"/>
      <w:r w:rsidRPr="00872367">
        <w:rPr>
          <w:rFonts w:ascii="Book Antiqua" w:eastAsia="宋体" w:hAnsi="Book Antiqua" w:cs="Times New Roman"/>
          <w:b/>
          <w:bCs/>
          <w:sz w:val="24"/>
          <w:szCs w:val="24"/>
          <w:lang w:eastAsia="zh-CN"/>
        </w:rPr>
        <w:t>TruneČka</w:t>
      </w:r>
      <w:proofErr w:type="spellEnd"/>
      <w:r w:rsidRPr="00872367">
        <w:rPr>
          <w:rFonts w:ascii="Book Antiqua" w:eastAsia="宋体" w:hAnsi="Book Antiqua" w:cs="Times New Roman"/>
          <w:b/>
          <w:bCs/>
          <w:sz w:val="24"/>
          <w:szCs w:val="24"/>
          <w:lang w:eastAsia="zh-CN"/>
        </w:rPr>
        <w:t xml:space="preserve"> P</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Klempnauer</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Bechstein</w:t>
      </w:r>
      <w:proofErr w:type="spellEnd"/>
      <w:r w:rsidRPr="00872367">
        <w:rPr>
          <w:rFonts w:ascii="Book Antiqua" w:eastAsia="宋体" w:hAnsi="Book Antiqua" w:cs="Times New Roman"/>
          <w:sz w:val="24"/>
          <w:szCs w:val="24"/>
          <w:lang w:eastAsia="zh-CN"/>
        </w:rPr>
        <w:t xml:space="preserve"> WO, </w:t>
      </w:r>
      <w:proofErr w:type="spellStart"/>
      <w:r w:rsidRPr="00872367">
        <w:rPr>
          <w:rFonts w:ascii="Book Antiqua" w:eastAsia="宋体" w:hAnsi="Book Antiqua" w:cs="Times New Roman"/>
          <w:sz w:val="24"/>
          <w:szCs w:val="24"/>
          <w:lang w:eastAsia="zh-CN"/>
        </w:rPr>
        <w:t>Pirenne</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Friman</w:t>
      </w:r>
      <w:proofErr w:type="spellEnd"/>
      <w:r w:rsidRPr="00872367">
        <w:rPr>
          <w:rFonts w:ascii="Book Antiqua" w:eastAsia="宋体" w:hAnsi="Book Antiqua" w:cs="Times New Roman"/>
          <w:sz w:val="24"/>
          <w:szCs w:val="24"/>
          <w:lang w:eastAsia="zh-CN"/>
        </w:rPr>
        <w:t xml:space="preserve"> S, Zhao A, </w:t>
      </w:r>
      <w:proofErr w:type="spellStart"/>
      <w:r w:rsidRPr="00872367">
        <w:rPr>
          <w:rFonts w:ascii="Book Antiqua" w:eastAsia="宋体" w:hAnsi="Book Antiqua" w:cs="Times New Roman"/>
          <w:sz w:val="24"/>
          <w:szCs w:val="24"/>
          <w:lang w:eastAsia="zh-CN"/>
        </w:rPr>
        <w:t>Isoniemi</w:t>
      </w:r>
      <w:proofErr w:type="spellEnd"/>
      <w:r w:rsidRPr="00872367">
        <w:rPr>
          <w:rFonts w:ascii="Book Antiqua" w:eastAsia="宋体" w:hAnsi="Book Antiqua" w:cs="Times New Roman"/>
          <w:sz w:val="24"/>
          <w:szCs w:val="24"/>
          <w:lang w:eastAsia="zh-CN"/>
        </w:rPr>
        <w:t xml:space="preserve"> H, </w:t>
      </w:r>
      <w:proofErr w:type="spellStart"/>
      <w:r w:rsidRPr="00872367">
        <w:rPr>
          <w:rFonts w:ascii="Book Antiqua" w:eastAsia="宋体" w:hAnsi="Book Antiqua" w:cs="Times New Roman"/>
          <w:sz w:val="24"/>
          <w:szCs w:val="24"/>
          <w:lang w:eastAsia="zh-CN"/>
        </w:rPr>
        <w:t>Rostaing</w:t>
      </w:r>
      <w:proofErr w:type="spellEnd"/>
      <w:r w:rsidRPr="00872367">
        <w:rPr>
          <w:rFonts w:ascii="Book Antiqua" w:eastAsia="宋体" w:hAnsi="Book Antiqua" w:cs="Times New Roman"/>
          <w:sz w:val="24"/>
          <w:szCs w:val="24"/>
          <w:lang w:eastAsia="zh-CN"/>
        </w:rPr>
        <w:t xml:space="preserve"> L, </w:t>
      </w:r>
      <w:proofErr w:type="spellStart"/>
      <w:r w:rsidRPr="00872367">
        <w:rPr>
          <w:rFonts w:ascii="Book Antiqua" w:eastAsia="宋体" w:hAnsi="Book Antiqua" w:cs="Times New Roman"/>
          <w:sz w:val="24"/>
          <w:szCs w:val="24"/>
          <w:lang w:eastAsia="zh-CN"/>
        </w:rPr>
        <w:t>Settmacher</w:t>
      </w:r>
      <w:proofErr w:type="spellEnd"/>
      <w:r w:rsidRPr="00872367">
        <w:rPr>
          <w:rFonts w:ascii="Book Antiqua" w:eastAsia="宋体" w:hAnsi="Book Antiqua" w:cs="Times New Roman"/>
          <w:sz w:val="24"/>
          <w:szCs w:val="24"/>
          <w:lang w:eastAsia="zh-CN"/>
        </w:rPr>
        <w:t xml:space="preserve"> U, </w:t>
      </w:r>
      <w:proofErr w:type="spellStart"/>
      <w:r w:rsidRPr="00872367">
        <w:rPr>
          <w:rFonts w:ascii="Book Antiqua" w:eastAsia="宋体" w:hAnsi="Book Antiqua" w:cs="Times New Roman"/>
          <w:sz w:val="24"/>
          <w:szCs w:val="24"/>
          <w:lang w:eastAsia="zh-CN"/>
        </w:rPr>
        <w:t>Mönch</w:t>
      </w:r>
      <w:proofErr w:type="spellEnd"/>
      <w:r w:rsidRPr="00872367">
        <w:rPr>
          <w:rFonts w:ascii="Book Antiqua" w:eastAsia="宋体" w:hAnsi="Book Antiqua" w:cs="Times New Roman"/>
          <w:sz w:val="24"/>
          <w:szCs w:val="24"/>
          <w:lang w:eastAsia="zh-CN"/>
        </w:rPr>
        <w:t xml:space="preserve"> C, Brown M,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w:t>
      </w:r>
      <w:proofErr w:type="spellStart"/>
      <w:r w:rsidRPr="00872367">
        <w:rPr>
          <w:rFonts w:ascii="Book Antiqua" w:eastAsia="宋体" w:hAnsi="Book Antiqua" w:cs="Times New Roman"/>
          <w:sz w:val="24"/>
          <w:szCs w:val="24"/>
          <w:lang w:eastAsia="zh-CN"/>
        </w:rPr>
        <w:t>Tisone</w:t>
      </w:r>
      <w:proofErr w:type="spellEnd"/>
      <w:r w:rsidRPr="00872367">
        <w:rPr>
          <w:rFonts w:ascii="Book Antiqua" w:eastAsia="宋体" w:hAnsi="Book Antiqua" w:cs="Times New Roman"/>
          <w:sz w:val="24"/>
          <w:szCs w:val="24"/>
          <w:lang w:eastAsia="zh-CN"/>
        </w:rPr>
        <w:t xml:space="preserve"> G. Renal Function in De Novo Liver Transplant Recipients Receiving Different Prolonged-Release Tacrolimus Regimens-The DIAMOND Study.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2015; </w:t>
      </w:r>
      <w:r w:rsidRPr="00872367">
        <w:rPr>
          <w:rFonts w:ascii="Book Antiqua" w:eastAsia="宋体" w:hAnsi="Book Antiqua" w:cs="Times New Roman"/>
          <w:b/>
          <w:bCs/>
          <w:sz w:val="24"/>
          <w:szCs w:val="24"/>
          <w:lang w:eastAsia="zh-CN"/>
        </w:rPr>
        <w:t>15</w:t>
      </w:r>
      <w:r w:rsidRPr="00872367">
        <w:rPr>
          <w:rFonts w:ascii="Book Antiqua" w:eastAsia="宋体" w:hAnsi="Book Antiqua" w:cs="Times New Roman"/>
          <w:sz w:val="24"/>
          <w:szCs w:val="24"/>
          <w:lang w:eastAsia="zh-CN"/>
        </w:rPr>
        <w:t>: 1843-1854 [PMID: 25707487 DOI: 10.1111/ajt.13182]</w:t>
      </w:r>
    </w:p>
    <w:p w14:paraId="4609ECD6"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33 </w:t>
      </w:r>
      <w:r w:rsidRPr="00872367">
        <w:rPr>
          <w:rFonts w:ascii="Book Antiqua" w:eastAsia="宋体" w:hAnsi="Book Antiqua" w:cs="Times New Roman"/>
          <w:b/>
          <w:bCs/>
          <w:sz w:val="24"/>
          <w:szCs w:val="24"/>
          <w:lang w:eastAsia="zh-CN"/>
        </w:rPr>
        <w:t>Adam R</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Karam</w:t>
      </w:r>
      <w:proofErr w:type="spellEnd"/>
      <w:r w:rsidRPr="00872367">
        <w:rPr>
          <w:rFonts w:ascii="Book Antiqua" w:eastAsia="宋体" w:hAnsi="Book Antiqua" w:cs="Times New Roman"/>
          <w:sz w:val="24"/>
          <w:szCs w:val="24"/>
          <w:lang w:eastAsia="zh-CN"/>
        </w:rPr>
        <w:t xml:space="preserve"> V, </w:t>
      </w:r>
      <w:proofErr w:type="spellStart"/>
      <w:r w:rsidRPr="00872367">
        <w:rPr>
          <w:rFonts w:ascii="Book Antiqua" w:eastAsia="宋体" w:hAnsi="Book Antiqua" w:cs="Times New Roman"/>
          <w:sz w:val="24"/>
          <w:szCs w:val="24"/>
          <w:lang w:eastAsia="zh-CN"/>
        </w:rPr>
        <w:t>Delvart</w:t>
      </w:r>
      <w:proofErr w:type="spellEnd"/>
      <w:r w:rsidRPr="00872367">
        <w:rPr>
          <w:rFonts w:ascii="Book Antiqua" w:eastAsia="宋体" w:hAnsi="Book Antiqua" w:cs="Times New Roman"/>
          <w:sz w:val="24"/>
          <w:szCs w:val="24"/>
          <w:lang w:eastAsia="zh-CN"/>
        </w:rPr>
        <w:t xml:space="preserve"> V, </w:t>
      </w:r>
      <w:proofErr w:type="spellStart"/>
      <w:r w:rsidRPr="00872367">
        <w:rPr>
          <w:rFonts w:ascii="Book Antiqua" w:eastAsia="宋体" w:hAnsi="Book Antiqua" w:cs="Times New Roman"/>
          <w:sz w:val="24"/>
          <w:szCs w:val="24"/>
          <w:lang w:eastAsia="zh-CN"/>
        </w:rPr>
        <w:t>Trunečka</w:t>
      </w:r>
      <w:proofErr w:type="spellEnd"/>
      <w:r w:rsidRPr="00872367">
        <w:rPr>
          <w:rFonts w:ascii="Book Antiqua" w:eastAsia="宋体" w:hAnsi="Book Antiqua" w:cs="Times New Roman"/>
          <w:sz w:val="24"/>
          <w:szCs w:val="24"/>
          <w:lang w:eastAsia="zh-CN"/>
        </w:rPr>
        <w:t xml:space="preserve"> P, Samuel D, </w:t>
      </w:r>
      <w:proofErr w:type="spellStart"/>
      <w:r w:rsidRPr="00872367">
        <w:rPr>
          <w:rFonts w:ascii="Book Antiqua" w:eastAsia="宋体" w:hAnsi="Book Antiqua" w:cs="Times New Roman"/>
          <w:sz w:val="24"/>
          <w:szCs w:val="24"/>
          <w:lang w:eastAsia="zh-CN"/>
        </w:rPr>
        <w:t>Bechstein</w:t>
      </w:r>
      <w:proofErr w:type="spellEnd"/>
      <w:r w:rsidRPr="00872367">
        <w:rPr>
          <w:rFonts w:ascii="Book Antiqua" w:eastAsia="宋体" w:hAnsi="Book Antiqua" w:cs="Times New Roman"/>
          <w:sz w:val="24"/>
          <w:szCs w:val="24"/>
          <w:lang w:eastAsia="zh-CN"/>
        </w:rPr>
        <w:t xml:space="preserve"> WO, </w:t>
      </w:r>
      <w:proofErr w:type="spellStart"/>
      <w:r w:rsidRPr="00872367">
        <w:rPr>
          <w:rFonts w:ascii="Book Antiqua" w:eastAsia="宋体" w:hAnsi="Book Antiqua" w:cs="Times New Roman"/>
          <w:sz w:val="24"/>
          <w:szCs w:val="24"/>
          <w:lang w:eastAsia="zh-CN"/>
        </w:rPr>
        <w:t>Němec</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Tisone</w:t>
      </w:r>
      <w:proofErr w:type="spellEnd"/>
      <w:r w:rsidRPr="00872367">
        <w:rPr>
          <w:rFonts w:ascii="Book Antiqua" w:eastAsia="宋体" w:hAnsi="Book Antiqua" w:cs="Times New Roman"/>
          <w:sz w:val="24"/>
          <w:szCs w:val="24"/>
          <w:lang w:eastAsia="zh-CN"/>
        </w:rPr>
        <w:t xml:space="preserve"> G, </w:t>
      </w:r>
      <w:proofErr w:type="spellStart"/>
      <w:r w:rsidRPr="00872367">
        <w:rPr>
          <w:rFonts w:ascii="Book Antiqua" w:eastAsia="宋体" w:hAnsi="Book Antiqua" w:cs="Times New Roman"/>
          <w:sz w:val="24"/>
          <w:szCs w:val="24"/>
          <w:lang w:eastAsia="zh-CN"/>
        </w:rPr>
        <w:t>Klempnauer</w:t>
      </w:r>
      <w:proofErr w:type="spellEnd"/>
      <w:r w:rsidRPr="00872367">
        <w:rPr>
          <w:rFonts w:ascii="Book Antiqua" w:eastAsia="宋体" w:hAnsi="Book Antiqua" w:cs="Times New Roman"/>
          <w:sz w:val="24"/>
          <w:szCs w:val="24"/>
          <w:lang w:eastAsia="zh-CN"/>
        </w:rPr>
        <w:t xml:space="preserve"> J, Rossi M, </w:t>
      </w:r>
      <w:proofErr w:type="spellStart"/>
      <w:r w:rsidRPr="00872367">
        <w:rPr>
          <w:rFonts w:ascii="Book Antiqua" w:eastAsia="宋体" w:hAnsi="Book Antiqua" w:cs="Times New Roman"/>
          <w:sz w:val="24"/>
          <w:szCs w:val="24"/>
          <w:lang w:eastAsia="zh-CN"/>
        </w:rPr>
        <w:t>Rummo</w:t>
      </w:r>
      <w:proofErr w:type="spellEnd"/>
      <w:r w:rsidRPr="00872367">
        <w:rPr>
          <w:rFonts w:ascii="Book Antiqua" w:eastAsia="宋体" w:hAnsi="Book Antiqua" w:cs="Times New Roman"/>
          <w:sz w:val="24"/>
          <w:szCs w:val="24"/>
          <w:lang w:eastAsia="zh-CN"/>
        </w:rPr>
        <w:t xml:space="preserve"> OO, </w:t>
      </w:r>
      <w:proofErr w:type="spellStart"/>
      <w:r w:rsidRPr="00872367">
        <w:rPr>
          <w:rFonts w:ascii="Book Antiqua" w:eastAsia="宋体" w:hAnsi="Book Antiqua" w:cs="Times New Roman"/>
          <w:sz w:val="24"/>
          <w:szCs w:val="24"/>
          <w:lang w:eastAsia="zh-CN"/>
        </w:rPr>
        <w:t>Dokmak</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Krawczyk</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Pratschke</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Kollmar</w:t>
      </w:r>
      <w:proofErr w:type="spellEnd"/>
      <w:r w:rsidRPr="00872367">
        <w:rPr>
          <w:rFonts w:ascii="Book Antiqua" w:eastAsia="宋体" w:hAnsi="Book Antiqua" w:cs="Times New Roman"/>
          <w:sz w:val="24"/>
          <w:szCs w:val="24"/>
          <w:lang w:eastAsia="zh-CN"/>
        </w:rPr>
        <w:t xml:space="preserve"> O, </w:t>
      </w:r>
      <w:proofErr w:type="spellStart"/>
      <w:r w:rsidRPr="00872367">
        <w:rPr>
          <w:rFonts w:ascii="Book Antiqua" w:eastAsia="宋体" w:hAnsi="Book Antiqua" w:cs="Times New Roman"/>
          <w:sz w:val="24"/>
          <w:szCs w:val="24"/>
          <w:lang w:eastAsia="zh-CN"/>
        </w:rPr>
        <w:t>Boudjema</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Colledan</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Ericzon</w:t>
      </w:r>
      <w:proofErr w:type="spellEnd"/>
      <w:r w:rsidRPr="00872367">
        <w:rPr>
          <w:rFonts w:ascii="Book Antiqua" w:eastAsia="宋体" w:hAnsi="Book Antiqua" w:cs="Times New Roman"/>
          <w:sz w:val="24"/>
          <w:szCs w:val="24"/>
          <w:lang w:eastAsia="zh-CN"/>
        </w:rPr>
        <w:t xml:space="preserve"> BG, </w:t>
      </w:r>
      <w:proofErr w:type="spellStart"/>
      <w:r w:rsidRPr="00872367">
        <w:rPr>
          <w:rFonts w:ascii="Book Antiqua" w:eastAsia="宋体" w:hAnsi="Book Antiqua" w:cs="Times New Roman"/>
          <w:sz w:val="24"/>
          <w:szCs w:val="24"/>
          <w:lang w:eastAsia="zh-CN"/>
        </w:rPr>
        <w:t>Mantion</w:t>
      </w:r>
      <w:proofErr w:type="spellEnd"/>
      <w:r w:rsidRPr="00872367">
        <w:rPr>
          <w:rFonts w:ascii="Book Antiqua" w:eastAsia="宋体" w:hAnsi="Book Antiqua" w:cs="Times New Roman"/>
          <w:sz w:val="24"/>
          <w:szCs w:val="24"/>
          <w:lang w:eastAsia="zh-CN"/>
        </w:rPr>
        <w:t xml:space="preserve"> G, </w:t>
      </w:r>
      <w:proofErr w:type="spellStart"/>
      <w:r w:rsidRPr="00872367">
        <w:rPr>
          <w:rFonts w:ascii="Book Antiqua" w:eastAsia="宋体" w:hAnsi="Book Antiqua" w:cs="Times New Roman"/>
          <w:sz w:val="24"/>
          <w:szCs w:val="24"/>
          <w:lang w:eastAsia="zh-CN"/>
        </w:rPr>
        <w:t>Baccarani</w:t>
      </w:r>
      <w:proofErr w:type="spellEnd"/>
      <w:r w:rsidRPr="00872367">
        <w:rPr>
          <w:rFonts w:ascii="Book Antiqua" w:eastAsia="宋体" w:hAnsi="Book Antiqua" w:cs="Times New Roman"/>
          <w:sz w:val="24"/>
          <w:szCs w:val="24"/>
          <w:lang w:eastAsia="zh-CN"/>
        </w:rPr>
        <w:t xml:space="preserve"> U, </w:t>
      </w:r>
      <w:proofErr w:type="spellStart"/>
      <w:r w:rsidRPr="00872367">
        <w:rPr>
          <w:rFonts w:ascii="Book Antiqua" w:eastAsia="宋体" w:hAnsi="Book Antiqua" w:cs="Times New Roman"/>
          <w:sz w:val="24"/>
          <w:szCs w:val="24"/>
          <w:lang w:eastAsia="zh-CN"/>
        </w:rPr>
        <w:t>Neuhaus</w:t>
      </w:r>
      <w:proofErr w:type="spellEnd"/>
      <w:r w:rsidRPr="00872367">
        <w:rPr>
          <w:rFonts w:ascii="Book Antiqua" w:eastAsia="宋体" w:hAnsi="Book Antiqua" w:cs="Times New Roman"/>
          <w:sz w:val="24"/>
          <w:szCs w:val="24"/>
          <w:lang w:eastAsia="zh-CN"/>
        </w:rPr>
        <w:t xml:space="preserve"> P, Paul A, </w:t>
      </w:r>
      <w:proofErr w:type="spellStart"/>
      <w:r w:rsidRPr="00872367">
        <w:rPr>
          <w:rFonts w:ascii="Book Antiqua" w:eastAsia="宋体" w:hAnsi="Book Antiqua" w:cs="Times New Roman"/>
          <w:sz w:val="24"/>
          <w:szCs w:val="24"/>
          <w:lang w:eastAsia="zh-CN"/>
        </w:rPr>
        <w:t>Bachellier</w:t>
      </w:r>
      <w:proofErr w:type="spellEnd"/>
      <w:r w:rsidRPr="00872367">
        <w:rPr>
          <w:rFonts w:ascii="Book Antiqua" w:eastAsia="宋体" w:hAnsi="Book Antiqua" w:cs="Times New Roman"/>
          <w:sz w:val="24"/>
          <w:szCs w:val="24"/>
          <w:lang w:eastAsia="zh-CN"/>
        </w:rPr>
        <w:t xml:space="preserve"> P, Zamboni F, </w:t>
      </w:r>
      <w:proofErr w:type="spellStart"/>
      <w:r w:rsidRPr="00872367">
        <w:rPr>
          <w:rFonts w:ascii="Book Antiqua" w:eastAsia="宋体" w:hAnsi="Book Antiqua" w:cs="Times New Roman"/>
          <w:sz w:val="24"/>
          <w:szCs w:val="24"/>
          <w:lang w:eastAsia="zh-CN"/>
        </w:rPr>
        <w:t>Hanvesakul</w:t>
      </w:r>
      <w:proofErr w:type="spellEnd"/>
      <w:r w:rsidRPr="00872367">
        <w:rPr>
          <w:rFonts w:ascii="Book Antiqua" w:eastAsia="宋体" w:hAnsi="Book Antiqua" w:cs="Times New Roman"/>
          <w:sz w:val="24"/>
          <w:szCs w:val="24"/>
          <w:lang w:eastAsia="zh-CN"/>
        </w:rPr>
        <w:t xml:space="preserve"> R, </w:t>
      </w:r>
      <w:proofErr w:type="spellStart"/>
      <w:r w:rsidRPr="00872367">
        <w:rPr>
          <w:rFonts w:ascii="Book Antiqua" w:eastAsia="宋体" w:hAnsi="Book Antiqua" w:cs="Times New Roman"/>
          <w:sz w:val="24"/>
          <w:szCs w:val="24"/>
          <w:lang w:eastAsia="zh-CN"/>
        </w:rPr>
        <w:t>Muiesan</w:t>
      </w:r>
      <w:proofErr w:type="spellEnd"/>
      <w:r w:rsidRPr="00872367">
        <w:rPr>
          <w:rFonts w:ascii="Book Antiqua" w:eastAsia="宋体" w:hAnsi="Book Antiqua" w:cs="Times New Roman"/>
          <w:sz w:val="24"/>
          <w:szCs w:val="24"/>
          <w:lang w:eastAsia="zh-CN"/>
        </w:rPr>
        <w:t xml:space="preserve"> P. Improved survival in liver transplant recipients receiving prolonged-release tacrolimus in the European Liver Transplant Registry.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2015; </w:t>
      </w:r>
      <w:r w:rsidRPr="00872367">
        <w:rPr>
          <w:rFonts w:ascii="Book Antiqua" w:eastAsia="宋体" w:hAnsi="Book Antiqua" w:cs="Times New Roman"/>
          <w:b/>
          <w:bCs/>
          <w:sz w:val="24"/>
          <w:szCs w:val="24"/>
          <w:lang w:eastAsia="zh-CN"/>
        </w:rPr>
        <w:t>15</w:t>
      </w:r>
      <w:r w:rsidRPr="00872367">
        <w:rPr>
          <w:rFonts w:ascii="Book Antiqua" w:eastAsia="宋体" w:hAnsi="Book Antiqua" w:cs="Times New Roman"/>
          <w:sz w:val="24"/>
          <w:szCs w:val="24"/>
          <w:lang w:eastAsia="zh-CN"/>
        </w:rPr>
        <w:t>: 1267-1282 [PMID: 25703527 DOI: 10.1111/ajt.13171]</w:t>
      </w:r>
    </w:p>
    <w:p w14:paraId="05CFAEC7"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34 </w:t>
      </w:r>
      <w:proofErr w:type="spellStart"/>
      <w:r w:rsidRPr="00872367">
        <w:rPr>
          <w:rFonts w:ascii="Book Antiqua" w:eastAsia="宋体" w:hAnsi="Book Antiqua" w:cs="Times New Roman"/>
          <w:b/>
          <w:bCs/>
          <w:sz w:val="24"/>
          <w:szCs w:val="24"/>
          <w:lang w:eastAsia="zh-CN"/>
        </w:rPr>
        <w:t>Beckebaum</w:t>
      </w:r>
      <w:proofErr w:type="spellEnd"/>
      <w:r w:rsidRPr="00872367">
        <w:rPr>
          <w:rFonts w:ascii="Book Antiqua" w:eastAsia="宋体" w:hAnsi="Book Antiqua" w:cs="Times New Roman"/>
          <w:b/>
          <w:bCs/>
          <w:sz w:val="24"/>
          <w:szCs w:val="24"/>
          <w:lang w:eastAsia="zh-CN"/>
        </w:rPr>
        <w:t xml:space="preserve"> S</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Iacob</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Sweid</w:t>
      </w:r>
      <w:proofErr w:type="spellEnd"/>
      <w:r w:rsidRPr="00872367">
        <w:rPr>
          <w:rFonts w:ascii="Book Antiqua" w:eastAsia="宋体" w:hAnsi="Book Antiqua" w:cs="Times New Roman"/>
          <w:sz w:val="24"/>
          <w:szCs w:val="24"/>
          <w:lang w:eastAsia="zh-CN"/>
        </w:rPr>
        <w:t xml:space="preserve"> D, </w:t>
      </w:r>
      <w:proofErr w:type="spellStart"/>
      <w:r w:rsidRPr="00872367">
        <w:rPr>
          <w:rFonts w:ascii="Book Antiqua" w:eastAsia="宋体" w:hAnsi="Book Antiqua" w:cs="Times New Roman"/>
          <w:sz w:val="24"/>
          <w:szCs w:val="24"/>
          <w:lang w:eastAsia="zh-CN"/>
        </w:rPr>
        <w:t>Sotiropoulos</w:t>
      </w:r>
      <w:proofErr w:type="spellEnd"/>
      <w:r w:rsidRPr="00872367">
        <w:rPr>
          <w:rFonts w:ascii="Book Antiqua" w:eastAsia="宋体" w:hAnsi="Book Antiqua" w:cs="Times New Roman"/>
          <w:sz w:val="24"/>
          <w:szCs w:val="24"/>
          <w:lang w:eastAsia="zh-CN"/>
        </w:rPr>
        <w:t xml:space="preserve"> GC, Saner F, Kaiser G, </w:t>
      </w:r>
      <w:proofErr w:type="spellStart"/>
      <w:r w:rsidRPr="00872367">
        <w:rPr>
          <w:rFonts w:ascii="Book Antiqua" w:eastAsia="宋体" w:hAnsi="Book Antiqua" w:cs="Times New Roman"/>
          <w:sz w:val="24"/>
          <w:szCs w:val="24"/>
          <w:lang w:eastAsia="zh-CN"/>
        </w:rPr>
        <w:t>Radtke</w:t>
      </w:r>
      <w:proofErr w:type="spellEnd"/>
      <w:r w:rsidRPr="00872367">
        <w:rPr>
          <w:rFonts w:ascii="Book Antiqua" w:eastAsia="宋体" w:hAnsi="Book Antiqua" w:cs="Times New Roman"/>
          <w:sz w:val="24"/>
          <w:szCs w:val="24"/>
          <w:lang w:eastAsia="zh-CN"/>
        </w:rPr>
        <w:t xml:space="preserve"> A, Klein CG, </w:t>
      </w:r>
      <w:proofErr w:type="spellStart"/>
      <w:r w:rsidRPr="00872367">
        <w:rPr>
          <w:rFonts w:ascii="Book Antiqua" w:eastAsia="宋体" w:hAnsi="Book Antiqua" w:cs="Times New Roman"/>
          <w:sz w:val="24"/>
          <w:szCs w:val="24"/>
          <w:lang w:eastAsia="zh-CN"/>
        </w:rPr>
        <w:t>Erim</w:t>
      </w:r>
      <w:proofErr w:type="spellEnd"/>
      <w:r w:rsidRPr="00872367">
        <w:rPr>
          <w:rFonts w:ascii="Book Antiqua" w:eastAsia="宋体" w:hAnsi="Book Antiqua" w:cs="Times New Roman"/>
          <w:sz w:val="24"/>
          <w:szCs w:val="24"/>
          <w:lang w:eastAsia="zh-CN"/>
        </w:rPr>
        <w:t xml:space="preserve"> Y, de </w:t>
      </w:r>
      <w:proofErr w:type="spellStart"/>
      <w:r w:rsidRPr="00872367">
        <w:rPr>
          <w:rFonts w:ascii="Book Antiqua" w:eastAsia="宋体" w:hAnsi="Book Antiqua" w:cs="Times New Roman"/>
          <w:sz w:val="24"/>
          <w:szCs w:val="24"/>
          <w:lang w:eastAsia="zh-CN"/>
        </w:rPr>
        <w:t>Geest</w:t>
      </w:r>
      <w:proofErr w:type="spellEnd"/>
      <w:r w:rsidRPr="00872367">
        <w:rPr>
          <w:rFonts w:ascii="Book Antiqua" w:eastAsia="宋体" w:hAnsi="Book Antiqua" w:cs="Times New Roman"/>
          <w:sz w:val="24"/>
          <w:szCs w:val="24"/>
          <w:lang w:eastAsia="zh-CN"/>
        </w:rPr>
        <w:t xml:space="preserve"> S, Paul A, </w:t>
      </w:r>
      <w:proofErr w:type="spellStart"/>
      <w:r w:rsidRPr="00872367">
        <w:rPr>
          <w:rFonts w:ascii="Book Antiqua" w:eastAsia="宋体" w:hAnsi="Book Antiqua" w:cs="Times New Roman"/>
          <w:sz w:val="24"/>
          <w:szCs w:val="24"/>
          <w:lang w:eastAsia="zh-CN"/>
        </w:rPr>
        <w:t>Gerken</w:t>
      </w:r>
      <w:proofErr w:type="spellEnd"/>
      <w:r w:rsidRPr="00872367">
        <w:rPr>
          <w:rFonts w:ascii="Book Antiqua" w:eastAsia="宋体" w:hAnsi="Book Antiqua" w:cs="Times New Roman"/>
          <w:sz w:val="24"/>
          <w:szCs w:val="24"/>
          <w:lang w:eastAsia="zh-CN"/>
        </w:rPr>
        <w:t xml:space="preserve"> G, </w:t>
      </w:r>
      <w:proofErr w:type="spellStart"/>
      <w:r w:rsidRPr="00872367">
        <w:rPr>
          <w:rFonts w:ascii="Book Antiqua" w:eastAsia="宋体" w:hAnsi="Book Antiqua" w:cs="Times New Roman"/>
          <w:sz w:val="24"/>
          <w:szCs w:val="24"/>
          <w:lang w:eastAsia="zh-CN"/>
        </w:rPr>
        <w:t>Cicinnati</w:t>
      </w:r>
      <w:proofErr w:type="spellEnd"/>
      <w:r w:rsidRPr="00872367">
        <w:rPr>
          <w:rFonts w:ascii="Book Antiqua" w:eastAsia="宋体" w:hAnsi="Book Antiqua" w:cs="Times New Roman"/>
          <w:sz w:val="24"/>
          <w:szCs w:val="24"/>
          <w:lang w:eastAsia="zh-CN"/>
        </w:rPr>
        <w:t xml:space="preserve"> VR. Efficacy, safety, and immunosuppressant adherence in stable liver transplant patients converted from a twice-daily tacrolimus-based regimen to once-daily tacrolimus extended-release </w:t>
      </w:r>
      <w:r w:rsidRPr="00872367">
        <w:rPr>
          <w:rFonts w:ascii="Book Antiqua" w:eastAsia="宋体" w:hAnsi="Book Antiqua" w:cs="Times New Roman"/>
          <w:sz w:val="24"/>
          <w:szCs w:val="24"/>
          <w:lang w:eastAsia="zh-CN"/>
        </w:rPr>
        <w:lastRenderedPageBreak/>
        <w:t>formulation. </w:t>
      </w:r>
      <w:proofErr w:type="spellStart"/>
      <w:r w:rsidRPr="00872367">
        <w:rPr>
          <w:rFonts w:ascii="Book Antiqua" w:eastAsia="宋体" w:hAnsi="Book Antiqua" w:cs="Times New Roman"/>
          <w:i/>
          <w:iCs/>
          <w:sz w:val="24"/>
          <w:szCs w:val="24"/>
          <w:lang w:eastAsia="zh-CN"/>
        </w:rPr>
        <w:t>Transpl</w:t>
      </w:r>
      <w:proofErr w:type="spellEnd"/>
      <w:r w:rsidRPr="00872367">
        <w:rPr>
          <w:rFonts w:ascii="Book Antiqua" w:eastAsia="宋体" w:hAnsi="Book Antiqua" w:cs="Times New Roman"/>
          <w:i/>
          <w:iCs/>
          <w:sz w:val="24"/>
          <w:szCs w:val="24"/>
          <w:lang w:eastAsia="zh-CN"/>
        </w:rPr>
        <w:t xml:space="preserve"> </w:t>
      </w:r>
      <w:proofErr w:type="spellStart"/>
      <w:r w:rsidRPr="00872367">
        <w:rPr>
          <w:rFonts w:ascii="Book Antiqua" w:eastAsia="宋体" w:hAnsi="Book Antiqua" w:cs="Times New Roman"/>
          <w:i/>
          <w:iCs/>
          <w:sz w:val="24"/>
          <w:szCs w:val="24"/>
          <w:lang w:eastAsia="zh-CN"/>
        </w:rPr>
        <w:t>Int</w:t>
      </w:r>
      <w:proofErr w:type="spellEnd"/>
      <w:r w:rsidRPr="00872367">
        <w:rPr>
          <w:rFonts w:ascii="Book Antiqua" w:eastAsia="宋体" w:hAnsi="Book Antiqua" w:cs="Times New Roman"/>
          <w:sz w:val="24"/>
          <w:szCs w:val="24"/>
          <w:lang w:eastAsia="zh-CN"/>
        </w:rPr>
        <w:t> 2011; </w:t>
      </w:r>
      <w:r w:rsidRPr="00872367">
        <w:rPr>
          <w:rFonts w:ascii="Book Antiqua" w:eastAsia="宋体" w:hAnsi="Book Antiqua" w:cs="Times New Roman"/>
          <w:b/>
          <w:bCs/>
          <w:sz w:val="24"/>
          <w:szCs w:val="24"/>
          <w:lang w:eastAsia="zh-CN"/>
        </w:rPr>
        <w:t>24</w:t>
      </w:r>
      <w:r w:rsidRPr="00872367">
        <w:rPr>
          <w:rFonts w:ascii="Book Antiqua" w:eastAsia="宋体" w:hAnsi="Book Antiqua" w:cs="Times New Roman"/>
          <w:sz w:val="24"/>
          <w:szCs w:val="24"/>
          <w:lang w:eastAsia="zh-CN"/>
        </w:rPr>
        <w:t>: 666-675 [PMID: 21466596 DOI: 10.1111/j.1432-2277.2011.01254.x]</w:t>
      </w:r>
    </w:p>
    <w:p w14:paraId="0B70C464"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35 </w:t>
      </w:r>
      <w:proofErr w:type="spellStart"/>
      <w:r w:rsidRPr="00872367">
        <w:rPr>
          <w:rFonts w:ascii="Book Antiqua" w:eastAsia="宋体" w:hAnsi="Book Antiqua" w:cs="Times New Roman"/>
          <w:b/>
          <w:bCs/>
          <w:sz w:val="24"/>
          <w:szCs w:val="24"/>
          <w:lang w:eastAsia="zh-CN"/>
        </w:rPr>
        <w:t>Dopazo</w:t>
      </w:r>
      <w:proofErr w:type="spellEnd"/>
      <w:r w:rsidRPr="00872367">
        <w:rPr>
          <w:rFonts w:ascii="Book Antiqua" w:eastAsia="宋体" w:hAnsi="Book Antiqua" w:cs="Times New Roman"/>
          <w:b/>
          <w:bCs/>
          <w:sz w:val="24"/>
          <w:szCs w:val="24"/>
          <w:lang w:eastAsia="zh-CN"/>
        </w:rPr>
        <w:t xml:space="preserve"> C</w:t>
      </w:r>
      <w:r w:rsidRPr="00872367">
        <w:rPr>
          <w:rFonts w:ascii="Book Antiqua" w:eastAsia="宋体" w:hAnsi="Book Antiqua" w:cs="Times New Roman"/>
          <w:sz w:val="24"/>
          <w:szCs w:val="24"/>
          <w:lang w:eastAsia="zh-CN"/>
        </w:rPr>
        <w:t xml:space="preserve">, Rodriguez R, </w:t>
      </w:r>
      <w:proofErr w:type="spellStart"/>
      <w:r w:rsidRPr="00872367">
        <w:rPr>
          <w:rFonts w:ascii="Book Antiqua" w:eastAsia="宋体" w:hAnsi="Book Antiqua" w:cs="Times New Roman"/>
          <w:sz w:val="24"/>
          <w:szCs w:val="24"/>
          <w:lang w:eastAsia="zh-CN"/>
        </w:rPr>
        <w:t>Llado</w:t>
      </w:r>
      <w:proofErr w:type="spellEnd"/>
      <w:r w:rsidRPr="00872367">
        <w:rPr>
          <w:rFonts w:ascii="Book Antiqua" w:eastAsia="宋体" w:hAnsi="Book Antiqua" w:cs="Times New Roman"/>
          <w:sz w:val="24"/>
          <w:szCs w:val="24"/>
          <w:lang w:eastAsia="zh-CN"/>
        </w:rPr>
        <w:t xml:space="preserve"> L, </w:t>
      </w:r>
      <w:proofErr w:type="spellStart"/>
      <w:r w:rsidRPr="00872367">
        <w:rPr>
          <w:rFonts w:ascii="Book Antiqua" w:eastAsia="宋体" w:hAnsi="Book Antiqua" w:cs="Times New Roman"/>
          <w:sz w:val="24"/>
          <w:szCs w:val="24"/>
          <w:lang w:eastAsia="zh-CN"/>
        </w:rPr>
        <w:t>Calatayud</w:t>
      </w:r>
      <w:proofErr w:type="spellEnd"/>
      <w:r w:rsidRPr="00872367">
        <w:rPr>
          <w:rFonts w:ascii="Book Antiqua" w:eastAsia="宋体" w:hAnsi="Book Antiqua" w:cs="Times New Roman"/>
          <w:sz w:val="24"/>
          <w:szCs w:val="24"/>
          <w:lang w:eastAsia="zh-CN"/>
        </w:rPr>
        <w:t xml:space="preserve"> D, Castells L, Ramos E, Molina V, </w:t>
      </w:r>
      <w:proofErr w:type="spellStart"/>
      <w:r w:rsidRPr="00872367">
        <w:rPr>
          <w:rFonts w:ascii="Book Antiqua" w:eastAsia="宋体" w:hAnsi="Book Antiqua" w:cs="Times New Roman"/>
          <w:sz w:val="24"/>
          <w:szCs w:val="24"/>
          <w:lang w:eastAsia="zh-CN"/>
        </w:rPr>
        <w:t>García</w:t>
      </w:r>
      <w:proofErr w:type="spellEnd"/>
      <w:r w:rsidRPr="00872367">
        <w:rPr>
          <w:rFonts w:ascii="Book Antiqua" w:eastAsia="宋体" w:hAnsi="Book Antiqua" w:cs="Times New Roman"/>
          <w:sz w:val="24"/>
          <w:szCs w:val="24"/>
          <w:lang w:eastAsia="zh-CN"/>
        </w:rPr>
        <w:t xml:space="preserve"> R, </w:t>
      </w:r>
      <w:proofErr w:type="spellStart"/>
      <w:r w:rsidRPr="00872367">
        <w:rPr>
          <w:rFonts w:ascii="Book Antiqua" w:eastAsia="宋体" w:hAnsi="Book Antiqua" w:cs="Times New Roman"/>
          <w:sz w:val="24"/>
          <w:szCs w:val="24"/>
          <w:lang w:eastAsia="zh-CN"/>
        </w:rPr>
        <w:t>Fabregat</w:t>
      </w:r>
      <w:proofErr w:type="spellEnd"/>
      <w:r w:rsidRPr="00872367">
        <w:rPr>
          <w:rFonts w:ascii="Book Antiqua" w:eastAsia="宋体" w:hAnsi="Book Antiqua" w:cs="Times New Roman"/>
          <w:sz w:val="24"/>
          <w:szCs w:val="24"/>
          <w:lang w:eastAsia="zh-CN"/>
        </w:rPr>
        <w:t xml:space="preserve"> J, </w:t>
      </w:r>
      <w:proofErr w:type="spellStart"/>
      <w:r w:rsidRPr="00872367">
        <w:rPr>
          <w:rFonts w:ascii="Book Antiqua" w:eastAsia="宋体" w:hAnsi="Book Antiqua" w:cs="Times New Roman"/>
          <w:sz w:val="24"/>
          <w:szCs w:val="24"/>
          <w:lang w:eastAsia="zh-CN"/>
        </w:rPr>
        <w:t>Charco</w:t>
      </w:r>
      <w:proofErr w:type="spellEnd"/>
      <w:r w:rsidRPr="00872367">
        <w:rPr>
          <w:rFonts w:ascii="Book Antiqua" w:eastAsia="宋体" w:hAnsi="Book Antiqua" w:cs="Times New Roman"/>
          <w:sz w:val="24"/>
          <w:szCs w:val="24"/>
          <w:lang w:eastAsia="zh-CN"/>
        </w:rPr>
        <w:t xml:space="preserve"> R. Successful conversion from twice-daily to once-daily tacrolimus in liver transplantation: observational multicenter study. </w:t>
      </w:r>
      <w:proofErr w:type="spellStart"/>
      <w:r w:rsidRPr="00872367">
        <w:rPr>
          <w:rFonts w:ascii="Book Antiqua" w:eastAsia="宋体" w:hAnsi="Book Antiqua" w:cs="Times New Roman"/>
          <w:i/>
          <w:iCs/>
          <w:sz w:val="24"/>
          <w:szCs w:val="24"/>
          <w:lang w:eastAsia="zh-CN"/>
        </w:rPr>
        <w:t>Clin</w:t>
      </w:r>
      <w:proofErr w:type="spellEnd"/>
      <w:r w:rsidRPr="00872367">
        <w:rPr>
          <w:rFonts w:ascii="Book Antiqua" w:eastAsia="宋体" w:hAnsi="Book Antiqua" w:cs="Times New Roman"/>
          <w:i/>
          <w:iCs/>
          <w:sz w:val="24"/>
          <w:szCs w:val="24"/>
          <w:lang w:eastAsia="zh-CN"/>
        </w:rPr>
        <w:t xml:space="preserve"> Transplant</w:t>
      </w:r>
      <w:r w:rsidRPr="00872367">
        <w:rPr>
          <w:rFonts w:ascii="Book Antiqua" w:eastAsia="宋体" w:hAnsi="Book Antiqua" w:cs="Times New Roman"/>
          <w:sz w:val="24"/>
          <w:szCs w:val="24"/>
          <w:lang w:eastAsia="zh-CN"/>
        </w:rPr>
        <w:t> </w:t>
      </w:r>
      <w:r w:rsidRPr="00872367">
        <w:rPr>
          <w:rFonts w:ascii="Book Antiqua" w:eastAsia="宋体" w:hAnsi="Book Antiqua" w:cs="Times New Roman" w:hint="eastAsia"/>
          <w:sz w:val="24"/>
          <w:szCs w:val="24"/>
          <w:lang w:eastAsia="zh-CN"/>
        </w:rPr>
        <w:t>2012</w:t>
      </w:r>
      <w:r w:rsidRPr="00872367">
        <w:rPr>
          <w:rFonts w:ascii="Book Antiqua" w:eastAsia="宋体" w:hAnsi="Book Antiqua" w:cs="Times New Roman"/>
          <w:sz w:val="24"/>
          <w:szCs w:val="24"/>
          <w:lang w:eastAsia="zh-CN"/>
        </w:rPr>
        <w:t>; </w:t>
      </w:r>
      <w:r w:rsidRPr="00872367">
        <w:rPr>
          <w:rFonts w:ascii="Book Antiqua" w:eastAsia="宋体" w:hAnsi="Book Antiqua" w:cs="Times New Roman"/>
          <w:b/>
          <w:bCs/>
          <w:sz w:val="24"/>
          <w:szCs w:val="24"/>
          <w:lang w:eastAsia="zh-CN"/>
        </w:rPr>
        <w:t>26</w:t>
      </w:r>
      <w:r w:rsidRPr="00872367">
        <w:rPr>
          <w:rFonts w:ascii="Book Antiqua" w:eastAsia="宋体" w:hAnsi="Book Antiqua" w:cs="Times New Roman"/>
          <w:sz w:val="24"/>
          <w:szCs w:val="24"/>
          <w:lang w:eastAsia="zh-CN"/>
        </w:rPr>
        <w:t>: E32-E37 [PMID: 21958123 DOI: 10.1111/j.1399-0012.2011.01521.x]</w:t>
      </w:r>
    </w:p>
    <w:p w14:paraId="002AD75F"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36 </w:t>
      </w:r>
      <w:r w:rsidRPr="00872367">
        <w:rPr>
          <w:rFonts w:ascii="Book Antiqua" w:eastAsia="宋体" w:hAnsi="Book Antiqua" w:cs="Times New Roman"/>
          <w:b/>
          <w:bCs/>
          <w:sz w:val="24"/>
          <w:szCs w:val="24"/>
          <w:lang w:eastAsia="zh-CN"/>
        </w:rPr>
        <w:t xml:space="preserve">van </w:t>
      </w:r>
      <w:proofErr w:type="spellStart"/>
      <w:r w:rsidRPr="00872367">
        <w:rPr>
          <w:rFonts w:ascii="Book Antiqua" w:eastAsia="宋体" w:hAnsi="Book Antiqua" w:cs="Times New Roman"/>
          <w:b/>
          <w:bCs/>
          <w:sz w:val="24"/>
          <w:szCs w:val="24"/>
          <w:lang w:eastAsia="zh-CN"/>
        </w:rPr>
        <w:t>Hooff</w:t>
      </w:r>
      <w:proofErr w:type="spellEnd"/>
      <w:r w:rsidRPr="00872367">
        <w:rPr>
          <w:rFonts w:ascii="Book Antiqua" w:eastAsia="宋体" w:hAnsi="Book Antiqua" w:cs="Times New Roman"/>
          <w:b/>
          <w:bCs/>
          <w:sz w:val="24"/>
          <w:szCs w:val="24"/>
          <w:lang w:eastAsia="zh-CN"/>
        </w:rPr>
        <w:t xml:space="preserve"> JP</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Alloway</w:t>
      </w:r>
      <w:proofErr w:type="spellEnd"/>
      <w:r w:rsidRPr="00872367">
        <w:rPr>
          <w:rFonts w:ascii="Book Antiqua" w:eastAsia="宋体" w:hAnsi="Book Antiqua" w:cs="Times New Roman"/>
          <w:sz w:val="24"/>
          <w:szCs w:val="24"/>
          <w:lang w:eastAsia="zh-CN"/>
        </w:rPr>
        <w:t xml:space="preserve"> RR, </w:t>
      </w:r>
      <w:proofErr w:type="spellStart"/>
      <w:r w:rsidRPr="00872367">
        <w:rPr>
          <w:rFonts w:ascii="Book Antiqua" w:eastAsia="宋体" w:hAnsi="Book Antiqua" w:cs="Times New Roman"/>
          <w:sz w:val="24"/>
          <w:szCs w:val="24"/>
          <w:lang w:eastAsia="zh-CN"/>
        </w:rPr>
        <w:t>Trunečka</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Mourad</w:t>
      </w:r>
      <w:proofErr w:type="spellEnd"/>
      <w:r w:rsidRPr="00872367">
        <w:rPr>
          <w:rFonts w:ascii="Book Antiqua" w:eastAsia="宋体" w:hAnsi="Book Antiqua" w:cs="Times New Roman"/>
          <w:sz w:val="24"/>
          <w:szCs w:val="24"/>
          <w:lang w:eastAsia="zh-CN"/>
        </w:rPr>
        <w:t xml:space="preserve"> M. Four-year experience with tacrolimus once-daily prolonged release in patients from phase II conversion and de novo kidney, liver, and heart studies. </w:t>
      </w:r>
      <w:proofErr w:type="spellStart"/>
      <w:r w:rsidRPr="00872367">
        <w:rPr>
          <w:rFonts w:ascii="Book Antiqua" w:eastAsia="宋体" w:hAnsi="Book Antiqua" w:cs="Times New Roman"/>
          <w:i/>
          <w:iCs/>
          <w:sz w:val="24"/>
          <w:szCs w:val="24"/>
          <w:lang w:eastAsia="zh-CN"/>
        </w:rPr>
        <w:t>Clin</w:t>
      </w:r>
      <w:proofErr w:type="spellEnd"/>
      <w:r w:rsidRPr="00872367">
        <w:rPr>
          <w:rFonts w:ascii="Book Antiqua" w:eastAsia="宋体" w:hAnsi="Book Antiqua" w:cs="Times New Roman"/>
          <w:i/>
          <w:iCs/>
          <w:sz w:val="24"/>
          <w:szCs w:val="24"/>
          <w:lang w:eastAsia="zh-CN"/>
        </w:rPr>
        <w:t xml:space="preserve"> Transplant</w:t>
      </w:r>
      <w:r w:rsidRPr="00872367">
        <w:rPr>
          <w:rFonts w:ascii="Book Antiqua" w:eastAsia="宋体" w:hAnsi="Book Antiqua" w:cs="Times New Roman"/>
          <w:sz w:val="24"/>
          <w:szCs w:val="24"/>
          <w:lang w:eastAsia="zh-CN"/>
        </w:rPr>
        <w:t> </w:t>
      </w:r>
      <w:r w:rsidRPr="00872367">
        <w:rPr>
          <w:rFonts w:ascii="Book Antiqua" w:eastAsia="宋体" w:hAnsi="Book Antiqua" w:cs="Times New Roman" w:hint="eastAsia"/>
          <w:sz w:val="24"/>
          <w:szCs w:val="24"/>
          <w:lang w:eastAsia="zh-CN"/>
        </w:rPr>
        <w:t>2011</w:t>
      </w:r>
      <w:r w:rsidRPr="00872367">
        <w:rPr>
          <w:rFonts w:ascii="Book Antiqua" w:eastAsia="宋体" w:hAnsi="Book Antiqua" w:cs="Times New Roman"/>
          <w:sz w:val="24"/>
          <w:szCs w:val="24"/>
          <w:lang w:eastAsia="zh-CN"/>
        </w:rPr>
        <w:t>; </w:t>
      </w:r>
      <w:r w:rsidRPr="00872367">
        <w:rPr>
          <w:rFonts w:ascii="Book Antiqua" w:eastAsia="宋体" w:hAnsi="Book Antiqua" w:cs="Times New Roman"/>
          <w:b/>
          <w:bCs/>
          <w:sz w:val="24"/>
          <w:szCs w:val="24"/>
          <w:lang w:eastAsia="zh-CN"/>
        </w:rPr>
        <w:t>25</w:t>
      </w:r>
      <w:r w:rsidRPr="00872367">
        <w:rPr>
          <w:rFonts w:ascii="Book Antiqua" w:eastAsia="宋体" w:hAnsi="Book Antiqua" w:cs="Times New Roman"/>
          <w:sz w:val="24"/>
          <w:szCs w:val="24"/>
          <w:lang w:eastAsia="zh-CN"/>
        </w:rPr>
        <w:t>: E1-12 [PMID: 21158926 DOI: 10.1111/j.1399-0012.2010.01377.x]</w:t>
      </w:r>
    </w:p>
    <w:p w14:paraId="0694FCFB"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37 </w:t>
      </w:r>
      <w:r w:rsidRPr="00872367">
        <w:rPr>
          <w:rFonts w:ascii="Book Antiqua" w:eastAsia="宋体" w:hAnsi="Book Antiqua" w:cs="Times New Roman"/>
          <w:b/>
          <w:bCs/>
          <w:sz w:val="24"/>
          <w:szCs w:val="24"/>
          <w:lang w:eastAsia="zh-CN"/>
        </w:rPr>
        <w:t>Fischer L</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Trunečka</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Gridelli</w:t>
      </w:r>
      <w:proofErr w:type="spellEnd"/>
      <w:r w:rsidRPr="00872367">
        <w:rPr>
          <w:rFonts w:ascii="Book Antiqua" w:eastAsia="宋体" w:hAnsi="Book Antiqua" w:cs="Times New Roman"/>
          <w:sz w:val="24"/>
          <w:szCs w:val="24"/>
          <w:lang w:eastAsia="zh-CN"/>
        </w:rPr>
        <w:t xml:space="preserve"> B, Roy A, Vitale A, </w:t>
      </w:r>
      <w:proofErr w:type="spellStart"/>
      <w:r w:rsidRPr="00872367">
        <w:rPr>
          <w:rFonts w:ascii="Book Antiqua" w:eastAsia="宋体" w:hAnsi="Book Antiqua" w:cs="Times New Roman"/>
          <w:sz w:val="24"/>
          <w:szCs w:val="24"/>
          <w:lang w:eastAsia="zh-CN"/>
        </w:rPr>
        <w:t>Valdivieso</w:t>
      </w:r>
      <w:proofErr w:type="spellEnd"/>
      <w:r w:rsidRPr="00872367">
        <w:rPr>
          <w:rFonts w:ascii="Book Antiqua" w:eastAsia="宋体" w:hAnsi="Book Antiqua" w:cs="Times New Roman"/>
          <w:sz w:val="24"/>
          <w:szCs w:val="24"/>
          <w:lang w:eastAsia="zh-CN"/>
        </w:rPr>
        <w:t xml:space="preserve"> A, Varo E, </w:t>
      </w:r>
      <w:proofErr w:type="spellStart"/>
      <w:r w:rsidRPr="00872367">
        <w:rPr>
          <w:rFonts w:ascii="Book Antiqua" w:eastAsia="宋体" w:hAnsi="Book Antiqua" w:cs="Times New Roman"/>
          <w:sz w:val="24"/>
          <w:szCs w:val="24"/>
          <w:lang w:eastAsia="zh-CN"/>
        </w:rPr>
        <w:t>Seehofer</w:t>
      </w:r>
      <w:proofErr w:type="spellEnd"/>
      <w:r w:rsidRPr="00872367">
        <w:rPr>
          <w:rFonts w:ascii="Book Antiqua" w:eastAsia="宋体" w:hAnsi="Book Antiqua" w:cs="Times New Roman"/>
          <w:sz w:val="24"/>
          <w:szCs w:val="24"/>
          <w:lang w:eastAsia="zh-CN"/>
        </w:rPr>
        <w:t xml:space="preserve"> D, Lynch S, Samuel D, </w:t>
      </w:r>
      <w:proofErr w:type="spellStart"/>
      <w:r w:rsidRPr="00872367">
        <w:rPr>
          <w:rFonts w:ascii="Book Antiqua" w:eastAsia="宋体" w:hAnsi="Book Antiqua" w:cs="Times New Roman"/>
          <w:sz w:val="24"/>
          <w:szCs w:val="24"/>
          <w:lang w:eastAsia="zh-CN"/>
        </w:rPr>
        <w:t>Ericzon</w:t>
      </w:r>
      <w:proofErr w:type="spellEnd"/>
      <w:r w:rsidRPr="00872367">
        <w:rPr>
          <w:rFonts w:ascii="Book Antiqua" w:eastAsia="宋体" w:hAnsi="Book Antiqua" w:cs="Times New Roman"/>
          <w:sz w:val="24"/>
          <w:szCs w:val="24"/>
          <w:lang w:eastAsia="zh-CN"/>
        </w:rPr>
        <w:t xml:space="preserve"> BG, </w:t>
      </w:r>
      <w:proofErr w:type="spellStart"/>
      <w:r w:rsidRPr="00872367">
        <w:rPr>
          <w:rFonts w:ascii="Book Antiqua" w:eastAsia="宋体" w:hAnsi="Book Antiqua" w:cs="Times New Roman"/>
          <w:sz w:val="24"/>
          <w:szCs w:val="24"/>
          <w:lang w:eastAsia="zh-CN"/>
        </w:rPr>
        <w:t>Boudjema</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Karpf</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Undre</w:t>
      </w:r>
      <w:proofErr w:type="spellEnd"/>
      <w:r w:rsidRPr="00872367">
        <w:rPr>
          <w:rFonts w:ascii="Book Antiqua" w:eastAsia="宋体" w:hAnsi="Book Antiqua" w:cs="Times New Roman"/>
          <w:sz w:val="24"/>
          <w:szCs w:val="24"/>
          <w:lang w:eastAsia="zh-CN"/>
        </w:rPr>
        <w:t xml:space="preserve"> N. Pharmacokinetics for once-daily versus twice-daily tacrolimus formulations in de novo liver transplantation: a randomized, open-label trial. </w:t>
      </w:r>
      <w:r w:rsidRPr="00872367">
        <w:rPr>
          <w:rFonts w:ascii="Book Antiqua" w:eastAsia="宋体" w:hAnsi="Book Antiqua" w:cs="Times New Roman"/>
          <w:i/>
          <w:iCs/>
          <w:sz w:val="24"/>
          <w:szCs w:val="24"/>
          <w:lang w:eastAsia="zh-CN"/>
        </w:rPr>
        <w:t xml:space="preserve">Liver </w:t>
      </w:r>
      <w:proofErr w:type="spellStart"/>
      <w:r w:rsidRPr="00872367">
        <w:rPr>
          <w:rFonts w:ascii="Book Antiqua" w:eastAsia="宋体" w:hAnsi="Book Antiqua" w:cs="Times New Roman"/>
          <w:i/>
          <w:iCs/>
          <w:sz w:val="24"/>
          <w:szCs w:val="24"/>
          <w:lang w:eastAsia="zh-CN"/>
        </w:rPr>
        <w:t>Transpl</w:t>
      </w:r>
      <w:proofErr w:type="spellEnd"/>
      <w:r w:rsidRPr="00872367">
        <w:rPr>
          <w:rFonts w:ascii="Book Antiqua" w:eastAsia="宋体" w:hAnsi="Book Antiqua" w:cs="Times New Roman"/>
          <w:sz w:val="24"/>
          <w:szCs w:val="24"/>
          <w:lang w:eastAsia="zh-CN"/>
        </w:rPr>
        <w:t> 2011; </w:t>
      </w:r>
      <w:r w:rsidRPr="00872367">
        <w:rPr>
          <w:rFonts w:ascii="Book Antiqua" w:eastAsia="宋体" w:hAnsi="Book Antiqua" w:cs="Times New Roman"/>
          <w:b/>
          <w:bCs/>
          <w:sz w:val="24"/>
          <w:szCs w:val="24"/>
          <w:lang w:eastAsia="zh-CN"/>
        </w:rPr>
        <w:t>17</w:t>
      </w:r>
      <w:r w:rsidRPr="00872367">
        <w:rPr>
          <w:rFonts w:ascii="Book Antiqua" w:eastAsia="宋体" w:hAnsi="Book Antiqua" w:cs="Times New Roman"/>
          <w:sz w:val="24"/>
          <w:szCs w:val="24"/>
          <w:lang w:eastAsia="zh-CN"/>
        </w:rPr>
        <w:t>: 167-177 [PMID: 21280190 DOI: 10.1002/lt.22211]</w:t>
      </w:r>
    </w:p>
    <w:p w14:paraId="1CB9D5C5"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38 </w:t>
      </w:r>
      <w:proofErr w:type="spellStart"/>
      <w:r w:rsidRPr="00872367">
        <w:rPr>
          <w:rFonts w:ascii="Book Antiqua" w:eastAsia="宋体" w:hAnsi="Book Antiqua" w:cs="Times New Roman"/>
          <w:b/>
          <w:bCs/>
          <w:sz w:val="24"/>
          <w:szCs w:val="24"/>
          <w:lang w:eastAsia="zh-CN"/>
        </w:rPr>
        <w:t>Marzoa</w:t>
      </w:r>
      <w:proofErr w:type="spellEnd"/>
      <w:r w:rsidRPr="00872367">
        <w:rPr>
          <w:rFonts w:ascii="Book Antiqua" w:eastAsia="宋体" w:hAnsi="Book Antiqua" w:cs="Times New Roman"/>
          <w:b/>
          <w:bCs/>
          <w:sz w:val="24"/>
          <w:szCs w:val="24"/>
          <w:lang w:eastAsia="zh-CN"/>
        </w:rPr>
        <w:t>-Rivas R</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Paniagua</w:t>
      </w:r>
      <w:proofErr w:type="spellEnd"/>
      <w:r w:rsidRPr="00872367">
        <w:rPr>
          <w:rFonts w:ascii="Book Antiqua" w:eastAsia="宋体" w:hAnsi="Book Antiqua" w:cs="Times New Roman"/>
          <w:sz w:val="24"/>
          <w:szCs w:val="24"/>
          <w:lang w:eastAsia="zh-CN"/>
        </w:rPr>
        <w:t xml:space="preserve">-Martín MJ, Barge-Caballero E, </w:t>
      </w:r>
      <w:proofErr w:type="spellStart"/>
      <w:r w:rsidRPr="00872367">
        <w:rPr>
          <w:rFonts w:ascii="Book Antiqua" w:eastAsia="宋体" w:hAnsi="Book Antiqua" w:cs="Times New Roman"/>
          <w:sz w:val="24"/>
          <w:szCs w:val="24"/>
          <w:lang w:eastAsia="zh-CN"/>
        </w:rPr>
        <w:t>Pedrosa</w:t>
      </w:r>
      <w:proofErr w:type="spellEnd"/>
      <w:r w:rsidRPr="00872367">
        <w:rPr>
          <w:rFonts w:ascii="Book Antiqua" w:eastAsia="宋体" w:hAnsi="Book Antiqua" w:cs="Times New Roman"/>
          <w:sz w:val="24"/>
          <w:szCs w:val="24"/>
          <w:lang w:eastAsia="zh-CN"/>
        </w:rPr>
        <w:t xml:space="preserve"> del Moral V, Barge-Caballero G, Grille-</w:t>
      </w:r>
      <w:proofErr w:type="spellStart"/>
      <w:r w:rsidRPr="00872367">
        <w:rPr>
          <w:rFonts w:ascii="Book Antiqua" w:eastAsia="宋体" w:hAnsi="Book Antiqua" w:cs="Times New Roman"/>
          <w:sz w:val="24"/>
          <w:szCs w:val="24"/>
          <w:lang w:eastAsia="zh-CN"/>
        </w:rPr>
        <w:t>Cancela</w:t>
      </w:r>
      <w:proofErr w:type="spellEnd"/>
      <w:r w:rsidRPr="00872367">
        <w:rPr>
          <w:rFonts w:ascii="Book Antiqua" w:eastAsia="宋体" w:hAnsi="Book Antiqua" w:cs="Times New Roman"/>
          <w:sz w:val="24"/>
          <w:szCs w:val="24"/>
          <w:lang w:eastAsia="zh-CN"/>
        </w:rPr>
        <w:t xml:space="preserve"> Z, </w:t>
      </w:r>
      <w:proofErr w:type="spellStart"/>
      <w:r w:rsidRPr="00872367">
        <w:rPr>
          <w:rFonts w:ascii="Book Antiqua" w:eastAsia="宋体" w:hAnsi="Book Antiqua" w:cs="Times New Roman"/>
          <w:sz w:val="24"/>
          <w:szCs w:val="24"/>
          <w:lang w:eastAsia="zh-CN"/>
        </w:rPr>
        <w:t>Naya-Leira</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Fariñas-Garrido</w:t>
      </w:r>
      <w:proofErr w:type="spellEnd"/>
      <w:r w:rsidRPr="00872367">
        <w:rPr>
          <w:rFonts w:ascii="Book Antiqua" w:eastAsia="宋体" w:hAnsi="Book Antiqua" w:cs="Times New Roman"/>
          <w:sz w:val="24"/>
          <w:szCs w:val="24"/>
          <w:lang w:eastAsia="zh-CN"/>
        </w:rPr>
        <w:t xml:space="preserve"> P, Blanco-</w:t>
      </w:r>
      <w:proofErr w:type="spellStart"/>
      <w:r w:rsidRPr="00872367">
        <w:rPr>
          <w:rFonts w:ascii="Book Antiqua" w:eastAsia="宋体" w:hAnsi="Book Antiqua" w:cs="Times New Roman"/>
          <w:sz w:val="24"/>
          <w:szCs w:val="24"/>
          <w:lang w:eastAsia="zh-CN"/>
        </w:rPr>
        <w:t>Canosa</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Mosquera</w:t>
      </w:r>
      <w:proofErr w:type="spellEnd"/>
      <w:r w:rsidRPr="00872367">
        <w:rPr>
          <w:rFonts w:ascii="Book Antiqua" w:eastAsia="宋体" w:hAnsi="Book Antiqua" w:cs="Times New Roman"/>
          <w:sz w:val="24"/>
          <w:szCs w:val="24"/>
          <w:lang w:eastAsia="zh-CN"/>
        </w:rPr>
        <w:t xml:space="preserve"> V, Castro-</w:t>
      </w:r>
      <w:proofErr w:type="spellStart"/>
      <w:r w:rsidRPr="00872367">
        <w:rPr>
          <w:rFonts w:ascii="Book Antiqua" w:eastAsia="宋体" w:hAnsi="Book Antiqua" w:cs="Times New Roman"/>
          <w:sz w:val="24"/>
          <w:szCs w:val="24"/>
          <w:lang w:eastAsia="zh-CN"/>
        </w:rPr>
        <w:t>Beiras</w:t>
      </w:r>
      <w:proofErr w:type="spellEnd"/>
      <w:r w:rsidRPr="00872367">
        <w:rPr>
          <w:rFonts w:ascii="Book Antiqua" w:eastAsia="宋体" w:hAnsi="Book Antiqua" w:cs="Times New Roman"/>
          <w:sz w:val="24"/>
          <w:szCs w:val="24"/>
          <w:lang w:eastAsia="zh-CN"/>
        </w:rPr>
        <w:t xml:space="preserve"> A, </w:t>
      </w:r>
      <w:proofErr w:type="spellStart"/>
      <w:r w:rsidRPr="00872367">
        <w:rPr>
          <w:rFonts w:ascii="Book Antiqua" w:eastAsia="宋体" w:hAnsi="Book Antiqua" w:cs="Times New Roman"/>
          <w:sz w:val="24"/>
          <w:szCs w:val="24"/>
          <w:lang w:eastAsia="zh-CN"/>
        </w:rPr>
        <w:t>Crespo-Leiro</w:t>
      </w:r>
      <w:proofErr w:type="spellEnd"/>
      <w:r w:rsidRPr="00872367">
        <w:rPr>
          <w:rFonts w:ascii="Book Antiqua" w:eastAsia="宋体" w:hAnsi="Book Antiqua" w:cs="Times New Roman"/>
          <w:sz w:val="24"/>
          <w:szCs w:val="24"/>
          <w:lang w:eastAsia="zh-CN"/>
        </w:rPr>
        <w:t xml:space="preserve"> MG. Conversion of heart transplant patients from standard to sustained-release tacrolimus requires a dosage increase. </w:t>
      </w:r>
      <w:r w:rsidRPr="00872367">
        <w:rPr>
          <w:rFonts w:ascii="Book Antiqua" w:eastAsia="宋体" w:hAnsi="Book Antiqua" w:cs="Times New Roman"/>
          <w:i/>
          <w:iCs/>
          <w:sz w:val="24"/>
          <w:szCs w:val="24"/>
          <w:lang w:eastAsia="zh-CN"/>
        </w:rPr>
        <w:t>Transplant Proc</w:t>
      </w:r>
      <w:r w:rsidRPr="00872367">
        <w:rPr>
          <w:rFonts w:ascii="Book Antiqua" w:eastAsia="宋体" w:hAnsi="Book Antiqua" w:cs="Times New Roman"/>
          <w:sz w:val="24"/>
          <w:szCs w:val="24"/>
          <w:lang w:eastAsia="zh-CN"/>
        </w:rPr>
        <w:t> 2010; </w:t>
      </w:r>
      <w:r w:rsidRPr="00872367">
        <w:rPr>
          <w:rFonts w:ascii="Book Antiqua" w:eastAsia="宋体" w:hAnsi="Book Antiqua" w:cs="Times New Roman"/>
          <w:b/>
          <w:bCs/>
          <w:sz w:val="24"/>
          <w:szCs w:val="24"/>
          <w:lang w:eastAsia="zh-CN"/>
        </w:rPr>
        <w:t>42</w:t>
      </w:r>
      <w:r w:rsidRPr="00872367">
        <w:rPr>
          <w:rFonts w:ascii="Book Antiqua" w:eastAsia="宋体" w:hAnsi="Book Antiqua" w:cs="Times New Roman"/>
          <w:sz w:val="24"/>
          <w:szCs w:val="24"/>
          <w:lang w:eastAsia="zh-CN"/>
        </w:rPr>
        <w:t>: 2994-2996 [PMID: 20970591 DOI: 10.1016/j.transproceed.2010.08.020]</w:t>
      </w:r>
    </w:p>
    <w:p w14:paraId="204AAB57"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39</w:t>
      </w:r>
      <w:r w:rsidRPr="00872367">
        <w:rPr>
          <w:rFonts w:ascii="Book Antiqua" w:eastAsia="宋体" w:hAnsi="Book Antiqua" w:cs="Times New Roman" w:hint="eastAsia"/>
          <w:sz w:val="24"/>
          <w:szCs w:val="24"/>
          <w:lang w:eastAsia="zh-CN"/>
        </w:rPr>
        <w:t xml:space="preserve"> </w:t>
      </w:r>
      <w:r w:rsidRPr="00872367">
        <w:rPr>
          <w:rFonts w:ascii="Book Antiqua" w:eastAsia="宋体" w:hAnsi="Book Antiqua" w:cs="Times New Roman"/>
          <w:b/>
          <w:sz w:val="24"/>
          <w:szCs w:val="24"/>
          <w:lang w:eastAsia="zh-CN"/>
        </w:rPr>
        <w:t>Fuchs U</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Zitterman</w:t>
      </w:r>
      <w:proofErr w:type="spellEnd"/>
      <w:r w:rsidRPr="00872367">
        <w:rPr>
          <w:rFonts w:ascii="Book Antiqua" w:eastAsia="宋体" w:hAnsi="Book Antiqua" w:cs="Times New Roman"/>
          <w:sz w:val="24"/>
          <w:szCs w:val="24"/>
          <w:lang w:eastAsia="zh-CN"/>
        </w:rPr>
        <w:t xml:space="preserve"> A, </w:t>
      </w:r>
      <w:proofErr w:type="spellStart"/>
      <w:r w:rsidRPr="00872367">
        <w:rPr>
          <w:rFonts w:ascii="Book Antiqua" w:eastAsia="宋体" w:hAnsi="Book Antiqua" w:cs="Times New Roman"/>
          <w:sz w:val="24"/>
          <w:szCs w:val="24"/>
          <w:lang w:eastAsia="zh-CN"/>
        </w:rPr>
        <w:t>Ensminger</w:t>
      </w:r>
      <w:proofErr w:type="spellEnd"/>
      <w:r w:rsidRPr="00872367">
        <w:rPr>
          <w:rFonts w:ascii="Book Antiqua" w:eastAsia="宋体" w:hAnsi="Book Antiqua" w:cs="Times New Roman"/>
          <w:sz w:val="24"/>
          <w:szCs w:val="24"/>
          <w:lang w:eastAsia="zh-CN"/>
        </w:rPr>
        <w:t xml:space="preserve"> S, Schulze B, Hakim-</w:t>
      </w:r>
      <w:proofErr w:type="spellStart"/>
      <w:r w:rsidRPr="00872367">
        <w:rPr>
          <w:rFonts w:ascii="Book Antiqua" w:eastAsia="宋体" w:hAnsi="Book Antiqua" w:cs="Times New Roman"/>
          <w:sz w:val="24"/>
          <w:szCs w:val="24"/>
          <w:lang w:eastAsia="zh-CN"/>
        </w:rPr>
        <w:t>Meibodi</w:t>
      </w:r>
      <w:proofErr w:type="spellEnd"/>
      <w:r w:rsidRPr="00872367">
        <w:rPr>
          <w:rFonts w:ascii="Book Antiqua" w:eastAsia="宋体" w:hAnsi="Book Antiqua" w:cs="Times New Roman"/>
          <w:sz w:val="24"/>
          <w:szCs w:val="24"/>
          <w:lang w:eastAsia="zh-CN"/>
        </w:rPr>
        <w:t xml:space="preserve"> K, </w:t>
      </w:r>
      <w:proofErr w:type="spellStart"/>
      <w:r w:rsidRPr="00872367">
        <w:rPr>
          <w:rFonts w:ascii="Book Antiqua" w:eastAsia="宋体" w:hAnsi="Book Antiqua" w:cs="Times New Roman"/>
          <w:sz w:val="24"/>
          <w:szCs w:val="24"/>
          <w:lang w:eastAsia="zh-CN"/>
        </w:rPr>
        <w:t>Gummert</w:t>
      </w:r>
      <w:proofErr w:type="spellEnd"/>
      <w:r w:rsidRPr="00872367">
        <w:rPr>
          <w:rFonts w:ascii="Book Antiqua" w:eastAsia="宋体" w:hAnsi="Book Antiqua" w:cs="Times New Roman"/>
          <w:sz w:val="24"/>
          <w:szCs w:val="24"/>
          <w:lang w:eastAsia="zh-CN"/>
        </w:rPr>
        <w:t xml:space="preserve"> J, Schulz U. Clinical outcomes in cardiac recipients receiving tacrolimus retard. </w:t>
      </w:r>
      <w:r w:rsidRPr="00872367">
        <w:rPr>
          <w:rFonts w:ascii="Book Antiqua" w:eastAsia="宋体" w:hAnsi="Book Antiqua" w:cs="Times New Roman"/>
          <w:i/>
          <w:sz w:val="24"/>
          <w:szCs w:val="24"/>
          <w:lang w:eastAsia="zh-CN"/>
        </w:rPr>
        <w:t>Transplant</w:t>
      </w:r>
      <w:r w:rsidRPr="00872367">
        <w:rPr>
          <w:rFonts w:ascii="Book Antiqua" w:eastAsia="宋体" w:hAnsi="Book Antiqua" w:cs="Times New Roman" w:hint="eastAsia"/>
          <w:i/>
          <w:sz w:val="24"/>
          <w:szCs w:val="24"/>
          <w:lang w:eastAsia="zh-CN"/>
        </w:rPr>
        <w:t xml:space="preserve"> </w:t>
      </w:r>
      <w:r w:rsidRPr="00872367">
        <w:rPr>
          <w:rFonts w:ascii="Book Antiqua" w:eastAsia="宋体" w:hAnsi="Book Antiqua" w:cs="Times New Roman"/>
          <w:i/>
          <w:sz w:val="24"/>
          <w:szCs w:val="24"/>
          <w:lang w:eastAsia="zh-CN"/>
        </w:rPr>
        <w:t>Proc</w:t>
      </w:r>
      <w:r w:rsidRPr="00872367">
        <w:rPr>
          <w:rFonts w:ascii="Book Antiqua" w:eastAsia="宋体" w:hAnsi="Book Antiqua" w:cs="Times New Roman"/>
          <w:sz w:val="24"/>
          <w:szCs w:val="24"/>
          <w:lang w:eastAsia="zh-CN"/>
        </w:rPr>
        <w:t xml:space="preserve"> 2013; </w:t>
      </w:r>
      <w:r w:rsidRPr="00872367">
        <w:rPr>
          <w:rFonts w:ascii="Book Antiqua" w:eastAsia="宋体" w:hAnsi="Book Antiqua" w:cs="Times New Roman"/>
          <w:b/>
          <w:sz w:val="24"/>
          <w:szCs w:val="24"/>
          <w:lang w:eastAsia="zh-CN"/>
        </w:rPr>
        <w:t>45</w:t>
      </w:r>
      <w:r w:rsidRPr="00872367">
        <w:rPr>
          <w:rFonts w:ascii="Book Antiqua" w:eastAsia="宋体" w:hAnsi="Book Antiqua" w:cs="Times New Roman"/>
          <w:sz w:val="24"/>
          <w:szCs w:val="24"/>
          <w:lang w:eastAsia="zh-CN"/>
        </w:rPr>
        <w:t>: 2000-2004 [DOI: 10.1016/j.transproceed.2013.01.044]</w:t>
      </w:r>
    </w:p>
    <w:p w14:paraId="6B9BE1D0"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40 </w:t>
      </w:r>
      <w:proofErr w:type="spellStart"/>
      <w:r w:rsidRPr="00872367">
        <w:rPr>
          <w:rFonts w:ascii="Book Antiqua" w:eastAsia="宋体" w:hAnsi="Book Antiqua" w:cs="Times New Roman"/>
          <w:b/>
          <w:bCs/>
          <w:sz w:val="24"/>
          <w:szCs w:val="24"/>
          <w:lang w:eastAsia="zh-CN"/>
        </w:rPr>
        <w:t>Urbanowicz</w:t>
      </w:r>
      <w:proofErr w:type="spellEnd"/>
      <w:r w:rsidRPr="00872367">
        <w:rPr>
          <w:rFonts w:ascii="Book Antiqua" w:eastAsia="宋体" w:hAnsi="Book Antiqua" w:cs="Times New Roman"/>
          <w:b/>
          <w:bCs/>
          <w:sz w:val="24"/>
          <w:szCs w:val="24"/>
          <w:lang w:eastAsia="zh-CN"/>
        </w:rPr>
        <w:t xml:space="preserve"> T</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Baszyńska-Wachowiak</w:t>
      </w:r>
      <w:proofErr w:type="spellEnd"/>
      <w:r w:rsidRPr="00872367">
        <w:rPr>
          <w:rFonts w:ascii="Book Antiqua" w:eastAsia="宋体" w:hAnsi="Book Antiqua" w:cs="Times New Roman"/>
          <w:sz w:val="24"/>
          <w:szCs w:val="24"/>
          <w:lang w:eastAsia="zh-CN"/>
        </w:rPr>
        <w:t xml:space="preserve"> H, </w:t>
      </w:r>
      <w:proofErr w:type="spellStart"/>
      <w:r w:rsidRPr="00872367">
        <w:rPr>
          <w:rFonts w:ascii="Book Antiqua" w:eastAsia="宋体" w:hAnsi="Book Antiqua" w:cs="Times New Roman"/>
          <w:sz w:val="24"/>
          <w:szCs w:val="24"/>
          <w:lang w:eastAsia="zh-CN"/>
        </w:rPr>
        <w:t>Ligowski</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Straburzyńska-Migaj</w:t>
      </w:r>
      <w:proofErr w:type="spellEnd"/>
      <w:r w:rsidRPr="00872367">
        <w:rPr>
          <w:rFonts w:ascii="Book Antiqua" w:eastAsia="宋体" w:hAnsi="Book Antiqua" w:cs="Times New Roman"/>
          <w:sz w:val="24"/>
          <w:szCs w:val="24"/>
          <w:lang w:eastAsia="zh-CN"/>
        </w:rPr>
        <w:t xml:space="preserve"> E, </w:t>
      </w:r>
      <w:proofErr w:type="spellStart"/>
      <w:r w:rsidRPr="00872367">
        <w:rPr>
          <w:rFonts w:ascii="Book Antiqua" w:eastAsia="宋体" w:hAnsi="Book Antiqua" w:cs="Times New Roman"/>
          <w:sz w:val="24"/>
          <w:szCs w:val="24"/>
          <w:lang w:eastAsia="zh-CN"/>
        </w:rPr>
        <w:t>Misterski</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Jemielity</w:t>
      </w:r>
      <w:proofErr w:type="spellEnd"/>
      <w:r w:rsidRPr="00872367">
        <w:rPr>
          <w:rFonts w:ascii="Book Antiqua" w:eastAsia="宋体" w:hAnsi="Book Antiqua" w:cs="Times New Roman"/>
          <w:sz w:val="24"/>
          <w:szCs w:val="24"/>
          <w:lang w:eastAsia="zh-CN"/>
        </w:rPr>
        <w:t xml:space="preserve"> M. Comparison of conventional tacrolimus versus prolong release formula as initial therapy in heart transplantation. </w:t>
      </w:r>
      <w:r w:rsidRPr="00872367">
        <w:rPr>
          <w:rFonts w:ascii="Book Antiqua" w:eastAsia="宋体" w:hAnsi="Book Antiqua" w:cs="Times New Roman"/>
          <w:i/>
          <w:iCs/>
          <w:sz w:val="24"/>
          <w:szCs w:val="24"/>
          <w:lang w:eastAsia="zh-CN"/>
        </w:rPr>
        <w:t>Ann Transplant</w:t>
      </w:r>
      <w:r w:rsidRPr="00872367">
        <w:rPr>
          <w:rFonts w:ascii="Book Antiqua" w:eastAsia="宋体" w:hAnsi="Book Antiqua" w:cs="Times New Roman"/>
          <w:sz w:val="24"/>
          <w:szCs w:val="24"/>
          <w:lang w:eastAsia="zh-CN"/>
        </w:rPr>
        <w:t> 2014; </w:t>
      </w:r>
      <w:r w:rsidRPr="00872367">
        <w:rPr>
          <w:rFonts w:ascii="Book Antiqua" w:eastAsia="宋体" w:hAnsi="Book Antiqua" w:cs="Times New Roman"/>
          <w:b/>
          <w:bCs/>
          <w:sz w:val="24"/>
          <w:szCs w:val="24"/>
          <w:lang w:eastAsia="zh-CN"/>
        </w:rPr>
        <w:t>19</w:t>
      </w:r>
      <w:r w:rsidRPr="00872367">
        <w:rPr>
          <w:rFonts w:ascii="Book Antiqua" w:eastAsia="宋体" w:hAnsi="Book Antiqua" w:cs="Times New Roman"/>
          <w:sz w:val="24"/>
          <w:szCs w:val="24"/>
          <w:lang w:eastAsia="zh-CN"/>
        </w:rPr>
        <w:t>: 295-299 [PMID: 24949728 DOI: 10.12659/AOT.890268]</w:t>
      </w:r>
    </w:p>
    <w:p w14:paraId="5632C968"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41 </w:t>
      </w:r>
      <w:proofErr w:type="spellStart"/>
      <w:r w:rsidRPr="00872367">
        <w:rPr>
          <w:rFonts w:ascii="Book Antiqua" w:eastAsia="宋体" w:hAnsi="Book Antiqua" w:cs="Times New Roman"/>
          <w:b/>
          <w:bCs/>
          <w:sz w:val="24"/>
          <w:szCs w:val="24"/>
          <w:lang w:eastAsia="zh-CN"/>
        </w:rPr>
        <w:t>Doesch</w:t>
      </w:r>
      <w:proofErr w:type="spellEnd"/>
      <w:r w:rsidRPr="00872367">
        <w:rPr>
          <w:rFonts w:ascii="Book Antiqua" w:eastAsia="宋体" w:hAnsi="Book Antiqua" w:cs="Times New Roman"/>
          <w:b/>
          <w:bCs/>
          <w:sz w:val="24"/>
          <w:szCs w:val="24"/>
          <w:lang w:eastAsia="zh-CN"/>
        </w:rPr>
        <w:t xml:space="preserve"> AO</w:t>
      </w:r>
      <w:r w:rsidRPr="00872367">
        <w:rPr>
          <w:rFonts w:ascii="Book Antiqua" w:eastAsia="宋体" w:hAnsi="Book Antiqua" w:cs="Times New Roman"/>
          <w:sz w:val="24"/>
          <w:szCs w:val="24"/>
          <w:lang w:eastAsia="zh-CN"/>
        </w:rPr>
        <w:t xml:space="preserve">, Mueller S, </w:t>
      </w:r>
      <w:proofErr w:type="spellStart"/>
      <w:r w:rsidRPr="00872367">
        <w:rPr>
          <w:rFonts w:ascii="Book Antiqua" w:eastAsia="宋体" w:hAnsi="Book Antiqua" w:cs="Times New Roman"/>
          <w:sz w:val="24"/>
          <w:szCs w:val="24"/>
          <w:lang w:eastAsia="zh-CN"/>
        </w:rPr>
        <w:t>Akyol</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Erbel</w:t>
      </w:r>
      <w:proofErr w:type="spellEnd"/>
      <w:r w:rsidRPr="00872367">
        <w:rPr>
          <w:rFonts w:ascii="Book Antiqua" w:eastAsia="宋体" w:hAnsi="Book Antiqua" w:cs="Times New Roman"/>
          <w:sz w:val="24"/>
          <w:szCs w:val="24"/>
          <w:lang w:eastAsia="zh-CN"/>
        </w:rPr>
        <w:t xml:space="preserve"> C, Frankenstein L, </w:t>
      </w:r>
      <w:proofErr w:type="spellStart"/>
      <w:r w:rsidRPr="00872367">
        <w:rPr>
          <w:rFonts w:ascii="Book Antiqua" w:eastAsia="宋体" w:hAnsi="Book Antiqua" w:cs="Times New Roman"/>
          <w:sz w:val="24"/>
          <w:szCs w:val="24"/>
          <w:lang w:eastAsia="zh-CN"/>
        </w:rPr>
        <w:t>Ruhparwar</w:t>
      </w:r>
      <w:proofErr w:type="spellEnd"/>
      <w:r w:rsidRPr="00872367">
        <w:rPr>
          <w:rFonts w:ascii="Book Antiqua" w:eastAsia="宋体" w:hAnsi="Book Antiqua" w:cs="Times New Roman"/>
          <w:sz w:val="24"/>
          <w:szCs w:val="24"/>
          <w:lang w:eastAsia="zh-CN"/>
        </w:rPr>
        <w:t xml:space="preserve"> A, </w:t>
      </w:r>
      <w:proofErr w:type="spellStart"/>
      <w:r w:rsidRPr="00872367">
        <w:rPr>
          <w:rFonts w:ascii="Book Antiqua" w:eastAsia="宋体" w:hAnsi="Book Antiqua" w:cs="Times New Roman"/>
          <w:sz w:val="24"/>
          <w:szCs w:val="24"/>
          <w:lang w:eastAsia="zh-CN"/>
        </w:rPr>
        <w:t>Ehlermann</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Dengler</w:t>
      </w:r>
      <w:proofErr w:type="spellEnd"/>
      <w:r w:rsidRPr="00872367">
        <w:rPr>
          <w:rFonts w:ascii="Book Antiqua" w:eastAsia="宋体" w:hAnsi="Book Antiqua" w:cs="Times New Roman"/>
          <w:sz w:val="24"/>
          <w:szCs w:val="24"/>
          <w:lang w:eastAsia="zh-CN"/>
        </w:rPr>
        <w:t xml:space="preserve"> TJ, </w:t>
      </w:r>
      <w:proofErr w:type="spellStart"/>
      <w:r w:rsidRPr="00872367">
        <w:rPr>
          <w:rFonts w:ascii="Book Antiqua" w:eastAsia="宋体" w:hAnsi="Book Antiqua" w:cs="Times New Roman"/>
          <w:sz w:val="24"/>
          <w:szCs w:val="24"/>
          <w:lang w:eastAsia="zh-CN"/>
        </w:rPr>
        <w:t>Katus</w:t>
      </w:r>
      <w:proofErr w:type="spellEnd"/>
      <w:r w:rsidRPr="00872367">
        <w:rPr>
          <w:rFonts w:ascii="Book Antiqua" w:eastAsia="宋体" w:hAnsi="Book Antiqua" w:cs="Times New Roman"/>
          <w:sz w:val="24"/>
          <w:szCs w:val="24"/>
          <w:lang w:eastAsia="zh-CN"/>
        </w:rPr>
        <w:t xml:space="preserve"> HA. Increased adherence eight months after switch from twice </w:t>
      </w:r>
      <w:r w:rsidRPr="00872367">
        <w:rPr>
          <w:rFonts w:ascii="Book Antiqua" w:eastAsia="宋体" w:hAnsi="Book Antiqua" w:cs="Times New Roman"/>
          <w:sz w:val="24"/>
          <w:szCs w:val="24"/>
          <w:lang w:eastAsia="zh-CN"/>
        </w:rPr>
        <w:lastRenderedPageBreak/>
        <w:t xml:space="preserve">daily </w:t>
      </w:r>
      <w:proofErr w:type="spellStart"/>
      <w:r w:rsidRPr="00872367">
        <w:rPr>
          <w:rFonts w:ascii="Book Antiqua" w:eastAsia="宋体" w:hAnsi="Book Antiqua" w:cs="Times New Roman"/>
          <w:sz w:val="24"/>
          <w:szCs w:val="24"/>
          <w:lang w:eastAsia="zh-CN"/>
        </w:rPr>
        <w:t>calcineurin</w:t>
      </w:r>
      <w:proofErr w:type="spellEnd"/>
      <w:r w:rsidRPr="00872367">
        <w:rPr>
          <w:rFonts w:ascii="Book Antiqua" w:eastAsia="宋体" w:hAnsi="Book Antiqua" w:cs="Times New Roman"/>
          <w:sz w:val="24"/>
          <w:szCs w:val="24"/>
          <w:lang w:eastAsia="zh-CN"/>
        </w:rPr>
        <w:t xml:space="preserve"> inhibitor based treatment to once daily modified released tacrolimus in heart transplantation. </w:t>
      </w:r>
      <w:r w:rsidRPr="00872367">
        <w:rPr>
          <w:rFonts w:ascii="Book Antiqua" w:eastAsia="宋体" w:hAnsi="Book Antiqua" w:cs="Times New Roman"/>
          <w:i/>
          <w:iCs/>
          <w:sz w:val="24"/>
          <w:szCs w:val="24"/>
          <w:lang w:eastAsia="zh-CN"/>
        </w:rPr>
        <w:t xml:space="preserve">Drug Des </w:t>
      </w:r>
      <w:proofErr w:type="spellStart"/>
      <w:r w:rsidRPr="00872367">
        <w:rPr>
          <w:rFonts w:ascii="Book Antiqua" w:eastAsia="宋体" w:hAnsi="Book Antiqua" w:cs="Times New Roman"/>
          <w:i/>
          <w:iCs/>
          <w:sz w:val="24"/>
          <w:szCs w:val="24"/>
          <w:lang w:eastAsia="zh-CN"/>
        </w:rPr>
        <w:t>Devel</w:t>
      </w:r>
      <w:proofErr w:type="spellEnd"/>
      <w:r w:rsidRPr="00872367">
        <w:rPr>
          <w:rFonts w:ascii="Book Antiqua" w:eastAsia="宋体" w:hAnsi="Book Antiqua" w:cs="Times New Roman"/>
          <w:i/>
          <w:iCs/>
          <w:sz w:val="24"/>
          <w:szCs w:val="24"/>
          <w:lang w:eastAsia="zh-CN"/>
        </w:rPr>
        <w:t xml:space="preserve"> </w:t>
      </w:r>
      <w:proofErr w:type="spellStart"/>
      <w:r w:rsidRPr="00872367">
        <w:rPr>
          <w:rFonts w:ascii="Book Antiqua" w:eastAsia="宋体" w:hAnsi="Book Antiqua" w:cs="Times New Roman"/>
          <w:i/>
          <w:iCs/>
          <w:sz w:val="24"/>
          <w:szCs w:val="24"/>
          <w:lang w:eastAsia="zh-CN"/>
        </w:rPr>
        <w:t>Ther</w:t>
      </w:r>
      <w:proofErr w:type="spellEnd"/>
      <w:r w:rsidRPr="00872367">
        <w:rPr>
          <w:rFonts w:ascii="Book Antiqua" w:eastAsia="宋体" w:hAnsi="Book Antiqua" w:cs="Times New Roman"/>
          <w:sz w:val="24"/>
          <w:szCs w:val="24"/>
          <w:lang w:eastAsia="zh-CN"/>
        </w:rPr>
        <w:t> 2013; </w:t>
      </w:r>
      <w:r w:rsidRPr="00872367">
        <w:rPr>
          <w:rFonts w:ascii="Book Antiqua" w:eastAsia="宋体" w:hAnsi="Book Antiqua" w:cs="Times New Roman"/>
          <w:b/>
          <w:bCs/>
          <w:sz w:val="24"/>
          <w:szCs w:val="24"/>
          <w:lang w:eastAsia="zh-CN"/>
        </w:rPr>
        <w:t>7</w:t>
      </w:r>
      <w:r w:rsidRPr="00872367">
        <w:rPr>
          <w:rFonts w:ascii="Book Antiqua" w:eastAsia="宋体" w:hAnsi="Book Antiqua" w:cs="Times New Roman"/>
          <w:sz w:val="24"/>
          <w:szCs w:val="24"/>
          <w:lang w:eastAsia="zh-CN"/>
        </w:rPr>
        <w:t>: 1253-1258 [PMID: 24174870 DOI: 10.2147/DDDT.S52820]</w:t>
      </w:r>
    </w:p>
    <w:p w14:paraId="75657F1B"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42 </w:t>
      </w:r>
      <w:r w:rsidRPr="00872367">
        <w:rPr>
          <w:rFonts w:ascii="Book Antiqua" w:eastAsia="宋体" w:hAnsi="Book Antiqua" w:cs="Times New Roman"/>
          <w:b/>
          <w:bCs/>
          <w:sz w:val="24"/>
          <w:szCs w:val="24"/>
          <w:lang w:eastAsia="zh-CN"/>
        </w:rPr>
        <w:t>Méndez A</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Berastegui</w:t>
      </w:r>
      <w:proofErr w:type="spellEnd"/>
      <w:r w:rsidRPr="00872367">
        <w:rPr>
          <w:rFonts w:ascii="Book Antiqua" w:eastAsia="宋体" w:hAnsi="Book Antiqua" w:cs="Times New Roman"/>
          <w:sz w:val="24"/>
          <w:szCs w:val="24"/>
          <w:lang w:eastAsia="zh-CN"/>
        </w:rPr>
        <w:t xml:space="preserve"> C, </w:t>
      </w:r>
      <w:proofErr w:type="spellStart"/>
      <w:r w:rsidRPr="00872367">
        <w:rPr>
          <w:rFonts w:ascii="Book Antiqua" w:eastAsia="宋体" w:hAnsi="Book Antiqua" w:cs="Times New Roman"/>
          <w:sz w:val="24"/>
          <w:szCs w:val="24"/>
          <w:lang w:eastAsia="zh-CN"/>
        </w:rPr>
        <w:t>López-Meseguer</w:t>
      </w:r>
      <w:proofErr w:type="spellEnd"/>
      <w:r w:rsidRPr="00872367">
        <w:rPr>
          <w:rFonts w:ascii="Book Antiqua" w:eastAsia="宋体" w:hAnsi="Book Antiqua" w:cs="Times New Roman"/>
          <w:sz w:val="24"/>
          <w:szCs w:val="24"/>
          <w:lang w:eastAsia="zh-CN"/>
        </w:rPr>
        <w:t xml:space="preserve"> M, Monforte V, Bravo C, Blanco A, </w:t>
      </w:r>
      <w:proofErr w:type="spellStart"/>
      <w:r w:rsidRPr="00872367">
        <w:rPr>
          <w:rFonts w:ascii="Book Antiqua" w:eastAsia="宋体" w:hAnsi="Book Antiqua" w:cs="Times New Roman"/>
          <w:sz w:val="24"/>
          <w:szCs w:val="24"/>
          <w:lang w:eastAsia="zh-CN"/>
        </w:rPr>
        <w:t>Camós</w:t>
      </w:r>
      <w:proofErr w:type="spellEnd"/>
      <w:r w:rsidRPr="00872367">
        <w:rPr>
          <w:rFonts w:ascii="Book Antiqua" w:eastAsia="宋体" w:hAnsi="Book Antiqua" w:cs="Times New Roman"/>
          <w:sz w:val="24"/>
          <w:szCs w:val="24"/>
          <w:lang w:eastAsia="zh-CN"/>
        </w:rPr>
        <w:t xml:space="preserve"> S, </w:t>
      </w:r>
      <w:proofErr w:type="spellStart"/>
      <w:r w:rsidRPr="00872367">
        <w:rPr>
          <w:rFonts w:ascii="Book Antiqua" w:eastAsia="宋体" w:hAnsi="Book Antiqua" w:cs="Times New Roman"/>
          <w:sz w:val="24"/>
          <w:szCs w:val="24"/>
          <w:lang w:eastAsia="zh-CN"/>
        </w:rPr>
        <w:t>Pou</w:t>
      </w:r>
      <w:proofErr w:type="spellEnd"/>
      <w:r w:rsidRPr="00872367">
        <w:rPr>
          <w:rFonts w:ascii="Book Antiqua" w:eastAsia="宋体" w:hAnsi="Book Antiqua" w:cs="Times New Roman"/>
          <w:sz w:val="24"/>
          <w:szCs w:val="24"/>
          <w:lang w:eastAsia="zh-CN"/>
        </w:rPr>
        <w:t xml:space="preserve"> L, Roman A. Pharmacokinetic study of conversion from tacrolimus twice-daily to tacrolimus once-daily in stable lung transplantation. </w:t>
      </w:r>
      <w:r w:rsidRPr="00872367">
        <w:rPr>
          <w:rFonts w:ascii="Book Antiqua" w:eastAsia="宋体" w:hAnsi="Book Antiqua" w:cs="Times New Roman"/>
          <w:i/>
          <w:iCs/>
          <w:sz w:val="24"/>
          <w:szCs w:val="24"/>
          <w:lang w:eastAsia="zh-CN"/>
        </w:rPr>
        <w:t>Transplantation</w:t>
      </w:r>
      <w:r w:rsidRPr="00872367">
        <w:rPr>
          <w:rFonts w:ascii="Book Antiqua" w:eastAsia="宋体" w:hAnsi="Book Antiqua" w:cs="Times New Roman"/>
          <w:sz w:val="24"/>
          <w:szCs w:val="24"/>
          <w:lang w:eastAsia="zh-CN"/>
        </w:rPr>
        <w:t> 2014; </w:t>
      </w:r>
      <w:r w:rsidRPr="00872367">
        <w:rPr>
          <w:rFonts w:ascii="Book Antiqua" w:eastAsia="宋体" w:hAnsi="Book Antiqua" w:cs="Times New Roman"/>
          <w:b/>
          <w:bCs/>
          <w:sz w:val="24"/>
          <w:szCs w:val="24"/>
          <w:lang w:eastAsia="zh-CN"/>
        </w:rPr>
        <w:t>97</w:t>
      </w:r>
      <w:r w:rsidRPr="00872367">
        <w:rPr>
          <w:rFonts w:ascii="Book Antiqua" w:eastAsia="宋体" w:hAnsi="Book Antiqua" w:cs="Times New Roman"/>
          <w:sz w:val="24"/>
          <w:szCs w:val="24"/>
          <w:lang w:eastAsia="zh-CN"/>
        </w:rPr>
        <w:t>: 358-362 [PMID: 24492423 DOI: 10.1097/01.TP.0000435699.69266.6]</w:t>
      </w:r>
    </w:p>
    <w:p w14:paraId="51CA3754"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43 </w:t>
      </w:r>
      <w:r w:rsidRPr="00872367">
        <w:rPr>
          <w:rFonts w:ascii="Book Antiqua" w:eastAsia="宋体" w:hAnsi="Book Antiqua" w:cs="Times New Roman"/>
          <w:b/>
          <w:bCs/>
          <w:sz w:val="24"/>
          <w:szCs w:val="24"/>
          <w:lang w:eastAsia="zh-CN"/>
        </w:rPr>
        <w:t>Soto GA</w:t>
      </w:r>
      <w:r w:rsidRPr="00872367">
        <w:rPr>
          <w:rFonts w:ascii="Book Antiqua" w:eastAsia="宋体" w:hAnsi="Book Antiqua" w:cs="Times New Roman"/>
          <w:sz w:val="24"/>
          <w:szCs w:val="24"/>
          <w:lang w:eastAsia="zh-CN"/>
        </w:rPr>
        <w:t>, Ruiz-</w:t>
      </w:r>
      <w:proofErr w:type="spellStart"/>
      <w:r w:rsidRPr="00872367">
        <w:rPr>
          <w:rFonts w:ascii="Book Antiqua" w:eastAsia="宋体" w:hAnsi="Book Antiqua" w:cs="Times New Roman"/>
          <w:sz w:val="24"/>
          <w:szCs w:val="24"/>
          <w:lang w:eastAsia="zh-CN"/>
        </w:rPr>
        <w:t>Antorán</w:t>
      </w:r>
      <w:proofErr w:type="spellEnd"/>
      <w:r w:rsidRPr="00872367">
        <w:rPr>
          <w:rFonts w:ascii="Book Antiqua" w:eastAsia="宋体" w:hAnsi="Book Antiqua" w:cs="Times New Roman"/>
          <w:sz w:val="24"/>
          <w:szCs w:val="24"/>
          <w:lang w:eastAsia="zh-CN"/>
        </w:rPr>
        <w:t xml:space="preserve"> B, </w:t>
      </w:r>
      <w:proofErr w:type="spellStart"/>
      <w:r w:rsidRPr="00872367">
        <w:rPr>
          <w:rFonts w:ascii="Book Antiqua" w:eastAsia="宋体" w:hAnsi="Book Antiqua" w:cs="Times New Roman"/>
          <w:sz w:val="24"/>
          <w:szCs w:val="24"/>
          <w:lang w:eastAsia="zh-CN"/>
        </w:rPr>
        <w:t>Laporta</w:t>
      </w:r>
      <w:proofErr w:type="spellEnd"/>
      <w:r w:rsidRPr="00872367">
        <w:rPr>
          <w:rFonts w:ascii="Book Antiqua" w:eastAsia="宋体" w:hAnsi="Book Antiqua" w:cs="Times New Roman"/>
          <w:sz w:val="24"/>
          <w:szCs w:val="24"/>
          <w:lang w:eastAsia="zh-CN"/>
        </w:rPr>
        <w:t xml:space="preserve"> R, Sancho A, </w:t>
      </w:r>
      <w:proofErr w:type="spellStart"/>
      <w:r w:rsidRPr="00872367">
        <w:rPr>
          <w:rFonts w:ascii="Book Antiqua" w:eastAsia="宋体" w:hAnsi="Book Antiqua" w:cs="Times New Roman"/>
          <w:sz w:val="24"/>
          <w:szCs w:val="24"/>
          <w:lang w:eastAsia="zh-CN"/>
        </w:rPr>
        <w:t>Lázaro</w:t>
      </w:r>
      <w:proofErr w:type="spellEnd"/>
      <w:r w:rsidRPr="00872367">
        <w:rPr>
          <w:rFonts w:ascii="Book Antiqua" w:eastAsia="宋体" w:hAnsi="Book Antiqua" w:cs="Times New Roman"/>
          <w:sz w:val="24"/>
          <w:szCs w:val="24"/>
          <w:lang w:eastAsia="zh-CN"/>
        </w:rPr>
        <w:t xml:space="preserve"> MT, Herrera CP, Salcedo I, Cos MA, Torres F, </w:t>
      </w:r>
      <w:proofErr w:type="spellStart"/>
      <w:r w:rsidRPr="00872367">
        <w:rPr>
          <w:rFonts w:ascii="Book Antiqua" w:eastAsia="宋体" w:hAnsi="Book Antiqua" w:cs="Times New Roman"/>
          <w:sz w:val="24"/>
          <w:szCs w:val="24"/>
          <w:lang w:eastAsia="zh-CN"/>
        </w:rPr>
        <w:t>Usetti</w:t>
      </w:r>
      <w:proofErr w:type="spellEnd"/>
      <w:r w:rsidRPr="00872367">
        <w:rPr>
          <w:rFonts w:ascii="Book Antiqua" w:eastAsia="宋体" w:hAnsi="Book Antiqua" w:cs="Times New Roman"/>
          <w:sz w:val="24"/>
          <w:szCs w:val="24"/>
          <w:lang w:eastAsia="zh-CN"/>
        </w:rPr>
        <w:t xml:space="preserve"> P, </w:t>
      </w:r>
      <w:proofErr w:type="spellStart"/>
      <w:r w:rsidRPr="00872367">
        <w:rPr>
          <w:rFonts w:ascii="Book Antiqua" w:eastAsia="宋体" w:hAnsi="Book Antiqua" w:cs="Times New Roman"/>
          <w:sz w:val="24"/>
          <w:szCs w:val="24"/>
          <w:lang w:eastAsia="zh-CN"/>
        </w:rPr>
        <w:t>Avendaño</w:t>
      </w:r>
      <w:proofErr w:type="spellEnd"/>
      <w:r w:rsidRPr="00872367">
        <w:rPr>
          <w:rFonts w:ascii="Book Antiqua" w:eastAsia="宋体" w:hAnsi="Book Antiqua" w:cs="Times New Roman"/>
          <w:sz w:val="24"/>
          <w:szCs w:val="24"/>
          <w:lang w:eastAsia="zh-CN"/>
        </w:rPr>
        <w:t>-Sola C. Dose increase needed in most cystic fibrosis lung transplantation patients when changing from twice- to once-daily tacrolimus oral administration. </w:t>
      </w:r>
      <w:proofErr w:type="spellStart"/>
      <w:r w:rsidRPr="00872367">
        <w:rPr>
          <w:rFonts w:ascii="Book Antiqua" w:eastAsia="宋体" w:hAnsi="Book Antiqua" w:cs="Times New Roman"/>
          <w:i/>
          <w:iCs/>
          <w:sz w:val="24"/>
          <w:szCs w:val="24"/>
          <w:lang w:eastAsia="zh-CN"/>
        </w:rPr>
        <w:t>Eur</w:t>
      </w:r>
      <w:proofErr w:type="spellEnd"/>
      <w:r w:rsidRPr="00872367">
        <w:rPr>
          <w:rFonts w:ascii="Book Antiqua" w:eastAsia="宋体" w:hAnsi="Book Antiqua" w:cs="Times New Roman"/>
          <w:i/>
          <w:iCs/>
          <w:sz w:val="24"/>
          <w:szCs w:val="24"/>
          <w:lang w:eastAsia="zh-CN"/>
        </w:rPr>
        <w:t xml:space="preserve"> J </w:t>
      </w:r>
      <w:proofErr w:type="spellStart"/>
      <w:r w:rsidRPr="00872367">
        <w:rPr>
          <w:rFonts w:ascii="Book Antiqua" w:eastAsia="宋体" w:hAnsi="Book Antiqua" w:cs="Times New Roman"/>
          <w:i/>
          <w:iCs/>
          <w:sz w:val="24"/>
          <w:szCs w:val="24"/>
          <w:lang w:eastAsia="zh-CN"/>
        </w:rPr>
        <w:t>Clin</w:t>
      </w:r>
      <w:proofErr w:type="spellEnd"/>
      <w:r w:rsidRPr="00872367">
        <w:rPr>
          <w:rFonts w:ascii="Book Antiqua" w:eastAsia="宋体" w:hAnsi="Book Antiqua" w:cs="Times New Roman"/>
          <w:i/>
          <w:iCs/>
          <w:sz w:val="24"/>
          <w:szCs w:val="24"/>
          <w:lang w:eastAsia="zh-CN"/>
        </w:rPr>
        <w:t xml:space="preserve"> </w:t>
      </w:r>
      <w:proofErr w:type="spellStart"/>
      <w:r w:rsidRPr="00872367">
        <w:rPr>
          <w:rFonts w:ascii="Book Antiqua" w:eastAsia="宋体" w:hAnsi="Book Antiqua" w:cs="Times New Roman"/>
          <w:i/>
          <w:iCs/>
          <w:sz w:val="24"/>
          <w:szCs w:val="24"/>
          <w:lang w:eastAsia="zh-CN"/>
        </w:rPr>
        <w:t>Pharmacol</w:t>
      </w:r>
      <w:proofErr w:type="spellEnd"/>
      <w:r w:rsidRPr="00872367">
        <w:rPr>
          <w:rFonts w:ascii="Book Antiqua" w:eastAsia="宋体" w:hAnsi="Book Antiqua" w:cs="Times New Roman"/>
          <w:sz w:val="24"/>
          <w:szCs w:val="24"/>
          <w:lang w:eastAsia="zh-CN"/>
        </w:rPr>
        <w:t> 2015; </w:t>
      </w:r>
      <w:r w:rsidRPr="00872367">
        <w:rPr>
          <w:rFonts w:ascii="Book Antiqua" w:eastAsia="宋体" w:hAnsi="Book Antiqua" w:cs="Times New Roman"/>
          <w:b/>
          <w:bCs/>
          <w:sz w:val="24"/>
          <w:szCs w:val="24"/>
          <w:lang w:eastAsia="zh-CN"/>
        </w:rPr>
        <w:t>71</w:t>
      </w:r>
      <w:r w:rsidRPr="00872367">
        <w:rPr>
          <w:rFonts w:ascii="Book Antiqua" w:eastAsia="宋体" w:hAnsi="Book Antiqua" w:cs="Times New Roman"/>
          <w:sz w:val="24"/>
          <w:szCs w:val="24"/>
          <w:lang w:eastAsia="zh-CN"/>
        </w:rPr>
        <w:t>: 715-722 [PMID: 25953736 DOI: 10.1007/s00228-015-1859-2]</w:t>
      </w:r>
    </w:p>
    <w:p w14:paraId="55B9698E"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44 </w:t>
      </w:r>
      <w:proofErr w:type="spellStart"/>
      <w:r w:rsidRPr="00872367">
        <w:rPr>
          <w:rFonts w:ascii="Book Antiqua" w:eastAsia="宋体" w:hAnsi="Book Antiqua" w:cs="Times New Roman"/>
          <w:b/>
          <w:bCs/>
          <w:sz w:val="24"/>
          <w:szCs w:val="24"/>
          <w:lang w:eastAsia="zh-CN"/>
        </w:rPr>
        <w:t>Muduma</w:t>
      </w:r>
      <w:proofErr w:type="spellEnd"/>
      <w:r w:rsidRPr="00872367">
        <w:rPr>
          <w:rFonts w:ascii="Book Antiqua" w:eastAsia="宋体" w:hAnsi="Book Antiqua" w:cs="Times New Roman"/>
          <w:b/>
          <w:bCs/>
          <w:sz w:val="24"/>
          <w:szCs w:val="24"/>
          <w:lang w:eastAsia="zh-CN"/>
        </w:rPr>
        <w:t xml:space="preserve"> G</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Odeyemi</w:t>
      </w:r>
      <w:proofErr w:type="spellEnd"/>
      <w:r w:rsidRPr="00872367">
        <w:rPr>
          <w:rFonts w:ascii="Book Antiqua" w:eastAsia="宋体" w:hAnsi="Book Antiqua" w:cs="Times New Roman"/>
          <w:sz w:val="24"/>
          <w:szCs w:val="24"/>
          <w:lang w:eastAsia="zh-CN"/>
        </w:rPr>
        <w:t xml:space="preserve"> I, Smith-Palmer J, Pollock RF. Budget impact of switching from an immediate-release to a prolonged-release formulation of tacrolimus in renal transplant recipients in the UK based on differences in adherence. </w:t>
      </w:r>
      <w:r w:rsidRPr="00872367">
        <w:rPr>
          <w:rFonts w:ascii="Book Antiqua" w:eastAsia="宋体" w:hAnsi="Book Antiqua" w:cs="Times New Roman"/>
          <w:i/>
          <w:iCs/>
          <w:sz w:val="24"/>
          <w:szCs w:val="24"/>
          <w:lang w:eastAsia="zh-CN"/>
        </w:rPr>
        <w:t>Patient Prefer Adherence</w:t>
      </w:r>
      <w:r w:rsidRPr="00872367">
        <w:rPr>
          <w:rFonts w:ascii="Book Antiqua" w:eastAsia="宋体" w:hAnsi="Book Antiqua" w:cs="Times New Roman"/>
          <w:sz w:val="24"/>
          <w:szCs w:val="24"/>
          <w:lang w:eastAsia="zh-CN"/>
        </w:rPr>
        <w:t> 2014; </w:t>
      </w:r>
      <w:r w:rsidRPr="00872367">
        <w:rPr>
          <w:rFonts w:ascii="Book Antiqua" w:eastAsia="宋体" w:hAnsi="Book Antiqua" w:cs="Times New Roman"/>
          <w:b/>
          <w:bCs/>
          <w:sz w:val="24"/>
          <w:szCs w:val="24"/>
          <w:lang w:eastAsia="zh-CN"/>
        </w:rPr>
        <w:t>8</w:t>
      </w:r>
      <w:r w:rsidRPr="00872367">
        <w:rPr>
          <w:rFonts w:ascii="Book Antiqua" w:eastAsia="宋体" w:hAnsi="Book Antiqua" w:cs="Times New Roman"/>
          <w:sz w:val="24"/>
          <w:szCs w:val="24"/>
          <w:lang w:eastAsia="zh-CN"/>
        </w:rPr>
        <w:t>: 391-399 [PMID: 24729687 DOI: 10.2147/PPA.S60213]</w:t>
      </w:r>
    </w:p>
    <w:p w14:paraId="451356D6"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45 </w:t>
      </w:r>
      <w:proofErr w:type="spellStart"/>
      <w:r w:rsidRPr="00872367">
        <w:rPr>
          <w:rFonts w:ascii="Book Antiqua" w:eastAsia="宋体" w:hAnsi="Book Antiqua" w:cs="Times New Roman"/>
          <w:b/>
          <w:bCs/>
          <w:sz w:val="24"/>
          <w:szCs w:val="24"/>
          <w:lang w:eastAsia="zh-CN"/>
        </w:rPr>
        <w:t>Dharancy</w:t>
      </w:r>
      <w:proofErr w:type="spellEnd"/>
      <w:r w:rsidRPr="00872367">
        <w:rPr>
          <w:rFonts w:ascii="Book Antiqua" w:eastAsia="宋体" w:hAnsi="Book Antiqua" w:cs="Times New Roman"/>
          <w:b/>
          <w:bCs/>
          <w:sz w:val="24"/>
          <w:szCs w:val="24"/>
          <w:lang w:eastAsia="zh-CN"/>
        </w:rPr>
        <w:t xml:space="preserve"> S</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Giral</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Tetaz</w:t>
      </w:r>
      <w:proofErr w:type="spellEnd"/>
      <w:r w:rsidRPr="00872367">
        <w:rPr>
          <w:rFonts w:ascii="Book Antiqua" w:eastAsia="宋体" w:hAnsi="Book Antiqua" w:cs="Times New Roman"/>
          <w:sz w:val="24"/>
          <w:szCs w:val="24"/>
          <w:lang w:eastAsia="zh-CN"/>
        </w:rPr>
        <w:t xml:space="preserve"> R, </w:t>
      </w:r>
      <w:proofErr w:type="spellStart"/>
      <w:r w:rsidRPr="00872367">
        <w:rPr>
          <w:rFonts w:ascii="Book Antiqua" w:eastAsia="宋体" w:hAnsi="Book Antiqua" w:cs="Times New Roman"/>
          <w:sz w:val="24"/>
          <w:szCs w:val="24"/>
          <w:lang w:eastAsia="zh-CN"/>
        </w:rPr>
        <w:t>Fatras</w:t>
      </w:r>
      <w:proofErr w:type="spellEnd"/>
      <w:r w:rsidRPr="00872367">
        <w:rPr>
          <w:rFonts w:ascii="Book Antiqua" w:eastAsia="宋体" w:hAnsi="Book Antiqua" w:cs="Times New Roman"/>
          <w:sz w:val="24"/>
          <w:szCs w:val="24"/>
          <w:lang w:eastAsia="zh-CN"/>
        </w:rPr>
        <w:t xml:space="preserve"> M, </w:t>
      </w:r>
      <w:proofErr w:type="spellStart"/>
      <w:r w:rsidRPr="00872367">
        <w:rPr>
          <w:rFonts w:ascii="Book Antiqua" w:eastAsia="宋体" w:hAnsi="Book Antiqua" w:cs="Times New Roman"/>
          <w:sz w:val="24"/>
          <w:szCs w:val="24"/>
          <w:lang w:eastAsia="zh-CN"/>
        </w:rPr>
        <w:t>Dubel</w:t>
      </w:r>
      <w:proofErr w:type="spellEnd"/>
      <w:r w:rsidRPr="00872367">
        <w:rPr>
          <w:rFonts w:ascii="Book Antiqua" w:eastAsia="宋体" w:hAnsi="Book Antiqua" w:cs="Times New Roman"/>
          <w:sz w:val="24"/>
          <w:szCs w:val="24"/>
          <w:lang w:eastAsia="zh-CN"/>
        </w:rPr>
        <w:t xml:space="preserve"> L, </w:t>
      </w:r>
      <w:proofErr w:type="spellStart"/>
      <w:r w:rsidRPr="00872367">
        <w:rPr>
          <w:rFonts w:ascii="Book Antiqua" w:eastAsia="宋体" w:hAnsi="Book Antiqua" w:cs="Times New Roman"/>
          <w:sz w:val="24"/>
          <w:szCs w:val="24"/>
          <w:lang w:eastAsia="zh-CN"/>
        </w:rPr>
        <w:t>Pageaux</w:t>
      </w:r>
      <w:proofErr w:type="spellEnd"/>
      <w:r w:rsidRPr="00872367">
        <w:rPr>
          <w:rFonts w:ascii="Book Antiqua" w:eastAsia="宋体" w:hAnsi="Book Antiqua" w:cs="Times New Roman"/>
          <w:sz w:val="24"/>
          <w:szCs w:val="24"/>
          <w:lang w:eastAsia="zh-CN"/>
        </w:rPr>
        <w:t xml:space="preserve"> GP. Adherence with immunosuppressive treatment after transplantation: results from the French trial PREDICT. </w:t>
      </w:r>
      <w:proofErr w:type="spellStart"/>
      <w:r w:rsidRPr="00872367">
        <w:rPr>
          <w:rFonts w:ascii="Book Antiqua" w:eastAsia="宋体" w:hAnsi="Book Antiqua" w:cs="Times New Roman"/>
          <w:i/>
          <w:iCs/>
          <w:sz w:val="24"/>
          <w:szCs w:val="24"/>
          <w:lang w:eastAsia="zh-CN"/>
        </w:rPr>
        <w:t>Clin</w:t>
      </w:r>
      <w:proofErr w:type="spellEnd"/>
      <w:r w:rsidRPr="00872367">
        <w:rPr>
          <w:rFonts w:ascii="Book Antiqua" w:eastAsia="宋体" w:hAnsi="Book Antiqua" w:cs="Times New Roman"/>
          <w:i/>
          <w:iCs/>
          <w:sz w:val="24"/>
          <w:szCs w:val="24"/>
          <w:lang w:eastAsia="zh-CN"/>
        </w:rPr>
        <w:t xml:space="preserve"> Transplant</w:t>
      </w:r>
      <w:r w:rsidRPr="00872367">
        <w:rPr>
          <w:rFonts w:ascii="Book Antiqua" w:eastAsia="宋体" w:hAnsi="Book Antiqua" w:cs="Times New Roman"/>
          <w:sz w:val="24"/>
          <w:szCs w:val="24"/>
          <w:lang w:eastAsia="zh-CN"/>
        </w:rPr>
        <w:t> </w:t>
      </w:r>
      <w:r w:rsidRPr="00872367">
        <w:rPr>
          <w:rFonts w:ascii="Book Antiqua" w:eastAsia="宋体" w:hAnsi="Book Antiqua" w:cs="Times New Roman" w:hint="eastAsia"/>
          <w:sz w:val="24"/>
          <w:szCs w:val="24"/>
          <w:lang w:eastAsia="zh-CN"/>
        </w:rPr>
        <w:t>2012</w:t>
      </w:r>
      <w:r w:rsidRPr="00872367">
        <w:rPr>
          <w:rFonts w:ascii="Book Antiqua" w:eastAsia="宋体" w:hAnsi="Book Antiqua" w:cs="Times New Roman"/>
          <w:sz w:val="24"/>
          <w:szCs w:val="24"/>
          <w:lang w:eastAsia="zh-CN"/>
        </w:rPr>
        <w:t>; </w:t>
      </w:r>
      <w:r w:rsidRPr="00872367">
        <w:rPr>
          <w:rFonts w:ascii="Book Antiqua" w:eastAsia="宋体" w:hAnsi="Book Antiqua" w:cs="Times New Roman"/>
          <w:b/>
          <w:bCs/>
          <w:sz w:val="24"/>
          <w:szCs w:val="24"/>
          <w:lang w:eastAsia="zh-CN"/>
        </w:rPr>
        <w:t>26</w:t>
      </w:r>
      <w:r w:rsidRPr="00872367">
        <w:rPr>
          <w:rFonts w:ascii="Book Antiqua" w:eastAsia="宋体" w:hAnsi="Book Antiqua" w:cs="Times New Roman"/>
          <w:sz w:val="24"/>
          <w:szCs w:val="24"/>
          <w:lang w:eastAsia="zh-CN"/>
        </w:rPr>
        <w:t>: E293-E299 [PMID: 22686953 DOI: 10.1111/j.1399-0012.2012.01652.x]</w:t>
      </w:r>
    </w:p>
    <w:p w14:paraId="11F718F3"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r w:rsidRPr="00872367">
        <w:rPr>
          <w:rFonts w:ascii="Book Antiqua" w:eastAsia="宋体" w:hAnsi="Book Antiqua" w:cs="Times New Roman"/>
          <w:sz w:val="24"/>
          <w:szCs w:val="24"/>
          <w:lang w:eastAsia="zh-CN"/>
        </w:rPr>
        <w:t>46 </w:t>
      </w:r>
      <w:r w:rsidRPr="00872367">
        <w:rPr>
          <w:rFonts w:ascii="Book Antiqua" w:eastAsia="宋体" w:hAnsi="Book Antiqua" w:cs="Times New Roman"/>
          <w:b/>
          <w:bCs/>
          <w:sz w:val="24"/>
          <w:szCs w:val="24"/>
          <w:lang w:eastAsia="zh-CN"/>
        </w:rPr>
        <w:t>Pinsky BW</w:t>
      </w:r>
      <w:r w:rsidRPr="00872367">
        <w:rPr>
          <w:rFonts w:ascii="Book Antiqua" w:eastAsia="宋体" w:hAnsi="Book Antiqua" w:cs="Times New Roman"/>
          <w:sz w:val="24"/>
          <w:szCs w:val="24"/>
          <w:lang w:eastAsia="zh-CN"/>
        </w:rPr>
        <w:t xml:space="preserve">, </w:t>
      </w:r>
      <w:proofErr w:type="spellStart"/>
      <w:r w:rsidRPr="00872367">
        <w:rPr>
          <w:rFonts w:ascii="Book Antiqua" w:eastAsia="宋体" w:hAnsi="Book Antiqua" w:cs="Times New Roman"/>
          <w:sz w:val="24"/>
          <w:szCs w:val="24"/>
          <w:lang w:eastAsia="zh-CN"/>
        </w:rPr>
        <w:t>Takemoto</w:t>
      </w:r>
      <w:proofErr w:type="spellEnd"/>
      <w:r w:rsidRPr="00872367">
        <w:rPr>
          <w:rFonts w:ascii="Book Antiqua" w:eastAsia="宋体" w:hAnsi="Book Antiqua" w:cs="Times New Roman"/>
          <w:sz w:val="24"/>
          <w:szCs w:val="24"/>
          <w:lang w:eastAsia="zh-CN"/>
        </w:rPr>
        <w:t xml:space="preserve"> SK, </w:t>
      </w:r>
      <w:proofErr w:type="spellStart"/>
      <w:r w:rsidRPr="00872367">
        <w:rPr>
          <w:rFonts w:ascii="Book Antiqua" w:eastAsia="宋体" w:hAnsi="Book Antiqua" w:cs="Times New Roman"/>
          <w:sz w:val="24"/>
          <w:szCs w:val="24"/>
          <w:lang w:eastAsia="zh-CN"/>
        </w:rPr>
        <w:t>Lentine</w:t>
      </w:r>
      <w:proofErr w:type="spellEnd"/>
      <w:r w:rsidRPr="00872367">
        <w:rPr>
          <w:rFonts w:ascii="Book Antiqua" w:eastAsia="宋体" w:hAnsi="Book Antiqua" w:cs="Times New Roman"/>
          <w:sz w:val="24"/>
          <w:szCs w:val="24"/>
          <w:lang w:eastAsia="zh-CN"/>
        </w:rPr>
        <w:t xml:space="preserve"> KL, Burroughs TE, Schnitzler MA, </w:t>
      </w:r>
      <w:proofErr w:type="spellStart"/>
      <w:r w:rsidRPr="00872367">
        <w:rPr>
          <w:rFonts w:ascii="Book Antiqua" w:eastAsia="宋体" w:hAnsi="Book Antiqua" w:cs="Times New Roman"/>
          <w:sz w:val="24"/>
          <w:szCs w:val="24"/>
          <w:lang w:eastAsia="zh-CN"/>
        </w:rPr>
        <w:t>Salvalaggio</w:t>
      </w:r>
      <w:proofErr w:type="spellEnd"/>
      <w:r w:rsidRPr="00872367">
        <w:rPr>
          <w:rFonts w:ascii="Book Antiqua" w:eastAsia="宋体" w:hAnsi="Book Antiqua" w:cs="Times New Roman"/>
          <w:sz w:val="24"/>
          <w:szCs w:val="24"/>
          <w:lang w:eastAsia="zh-CN"/>
        </w:rPr>
        <w:t xml:space="preserve"> PR. Transplant outcomes and economic costs associated with patient noncompliance to immunosuppression. </w:t>
      </w:r>
      <w:r w:rsidRPr="00872367">
        <w:rPr>
          <w:rFonts w:ascii="Book Antiqua" w:eastAsia="宋体" w:hAnsi="Book Antiqua" w:cs="Times New Roman"/>
          <w:i/>
          <w:iCs/>
          <w:sz w:val="24"/>
          <w:szCs w:val="24"/>
          <w:lang w:eastAsia="zh-CN"/>
        </w:rPr>
        <w:t>Am J Transplant</w:t>
      </w:r>
      <w:r w:rsidRPr="00872367">
        <w:rPr>
          <w:rFonts w:ascii="Book Antiqua" w:eastAsia="宋体" w:hAnsi="Book Antiqua" w:cs="Times New Roman"/>
          <w:sz w:val="24"/>
          <w:szCs w:val="24"/>
          <w:lang w:eastAsia="zh-CN"/>
        </w:rPr>
        <w:t> 2009; </w:t>
      </w:r>
      <w:r w:rsidRPr="00872367">
        <w:rPr>
          <w:rFonts w:ascii="Book Antiqua" w:eastAsia="宋体" w:hAnsi="Book Antiqua" w:cs="Times New Roman"/>
          <w:b/>
          <w:bCs/>
          <w:sz w:val="24"/>
          <w:szCs w:val="24"/>
          <w:lang w:eastAsia="zh-CN"/>
        </w:rPr>
        <w:t>9</w:t>
      </w:r>
      <w:r w:rsidRPr="00872367">
        <w:rPr>
          <w:rFonts w:ascii="Book Antiqua" w:eastAsia="宋体" w:hAnsi="Book Antiqua" w:cs="Times New Roman"/>
          <w:sz w:val="24"/>
          <w:szCs w:val="24"/>
          <w:lang w:eastAsia="zh-CN"/>
        </w:rPr>
        <w:t>: 2597-2606 [PMID: 19843035 DOI: 10.1111/j.1600-6143.2009.02798.x]</w:t>
      </w:r>
    </w:p>
    <w:p w14:paraId="4F84E783"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proofErr w:type="gramStart"/>
      <w:r w:rsidRPr="00872367">
        <w:rPr>
          <w:rFonts w:ascii="Book Antiqua" w:eastAsia="宋体" w:hAnsi="Book Antiqua" w:cs="Times New Roman"/>
          <w:sz w:val="24"/>
          <w:szCs w:val="24"/>
          <w:lang w:eastAsia="zh-CN"/>
        </w:rPr>
        <w:t>47 </w:t>
      </w:r>
      <w:r w:rsidRPr="00872367">
        <w:rPr>
          <w:rFonts w:ascii="Book Antiqua" w:eastAsia="宋体" w:hAnsi="Book Antiqua" w:cs="Times New Roman"/>
          <w:b/>
          <w:bCs/>
          <w:sz w:val="24"/>
          <w:szCs w:val="24"/>
          <w:lang w:eastAsia="zh-CN"/>
        </w:rPr>
        <w:t>Butler JA</w:t>
      </w:r>
      <w:r w:rsidRPr="00872367">
        <w:rPr>
          <w:rFonts w:ascii="Book Antiqua" w:eastAsia="宋体" w:hAnsi="Book Antiqua" w:cs="Times New Roman"/>
          <w:sz w:val="24"/>
          <w:szCs w:val="24"/>
          <w:lang w:eastAsia="zh-CN"/>
        </w:rPr>
        <w:t xml:space="preserve">, Roderick P, </w:t>
      </w:r>
      <w:proofErr w:type="spellStart"/>
      <w:r w:rsidRPr="00872367">
        <w:rPr>
          <w:rFonts w:ascii="Book Antiqua" w:eastAsia="宋体" w:hAnsi="Book Antiqua" w:cs="Times New Roman"/>
          <w:sz w:val="24"/>
          <w:szCs w:val="24"/>
          <w:lang w:eastAsia="zh-CN"/>
        </w:rPr>
        <w:t>Mullee</w:t>
      </w:r>
      <w:proofErr w:type="spellEnd"/>
      <w:r w:rsidRPr="00872367">
        <w:rPr>
          <w:rFonts w:ascii="Book Antiqua" w:eastAsia="宋体" w:hAnsi="Book Antiqua" w:cs="Times New Roman"/>
          <w:sz w:val="24"/>
          <w:szCs w:val="24"/>
          <w:lang w:eastAsia="zh-CN"/>
        </w:rPr>
        <w:t xml:space="preserve"> M, Mason JC, </w:t>
      </w:r>
      <w:proofErr w:type="spellStart"/>
      <w:r w:rsidRPr="00872367">
        <w:rPr>
          <w:rFonts w:ascii="Book Antiqua" w:eastAsia="宋体" w:hAnsi="Book Antiqua" w:cs="Times New Roman"/>
          <w:sz w:val="24"/>
          <w:szCs w:val="24"/>
          <w:lang w:eastAsia="zh-CN"/>
        </w:rPr>
        <w:t>Peveler</w:t>
      </w:r>
      <w:proofErr w:type="spellEnd"/>
      <w:r w:rsidRPr="00872367">
        <w:rPr>
          <w:rFonts w:ascii="Book Antiqua" w:eastAsia="宋体" w:hAnsi="Book Antiqua" w:cs="Times New Roman"/>
          <w:sz w:val="24"/>
          <w:szCs w:val="24"/>
          <w:lang w:eastAsia="zh-CN"/>
        </w:rPr>
        <w:t xml:space="preserve"> RC.</w:t>
      </w:r>
      <w:proofErr w:type="gramEnd"/>
      <w:r w:rsidRPr="00872367">
        <w:rPr>
          <w:rFonts w:ascii="Book Antiqua" w:eastAsia="宋体" w:hAnsi="Book Antiqua" w:cs="Times New Roman"/>
          <w:sz w:val="24"/>
          <w:szCs w:val="24"/>
          <w:lang w:eastAsia="zh-CN"/>
        </w:rPr>
        <w:t xml:space="preserve"> Frequency and impact of </w:t>
      </w:r>
      <w:proofErr w:type="spellStart"/>
      <w:r w:rsidRPr="00872367">
        <w:rPr>
          <w:rFonts w:ascii="Book Antiqua" w:eastAsia="宋体" w:hAnsi="Book Antiqua" w:cs="Times New Roman"/>
          <w:sz w:val="24"/>
          <w:szCs w:val="24"/>
          <w:lang w:eastAsia="zh-CN"/>
        </w:rPr>
        <w:t>nonadherence</w:t>
      </w:r>
      <w:proofErr w:type="spellEnd"/>
      <w:r w:rsidRPr="00872367">
        <w:rPr>
          <w:rFonts w:ascii="Book Antiqua" w:eastAsia="宋体" w:hAnsi="Book Antiqua" w:cs="Times New Roman"/>
          <w:sz w:val="24"/>
          <w:szCs w:val="24"/>
          <w:lang w:eastAsia="zh-CN"/>
        </w:rPr>
        <w:t xml:space="preserve"> to </w:t>
      </w:r>
      <w:proofErr w:type="spellStart"/>
      <w:r w:rsidRPr="00872367">
        <w:rPr>
          <w:rFonts w:ascii="Book Antiqua" w:eastAsia="宋体" w:hAnsi="Book Antiqua" w:cs="Times New Roman"/>
          <w:sz w:val="24"/>
          <w:szCs w:val="24"/>
          <w:lang w:eastAsia="zh-CN"/>
        </w:rPr>
        <w:t>immunosuppressants</w:t>
      </w:r>
      <w:proofErr w:type="spellEnd"/>
      <w:r w:rsidRPr="00872367">
        <w:rPr>
          <w:rFonts w:ascii="Book Antiqua" w:eastAsia="宋体" w:hAnsi="Book Antiqua" w:cs="Times New Roman"/>
          <w:sz w:val="24"/>
          <w:szCs w:val="24"/>
          <w:lang w:eastAsia="zh-CN"/>
        </w:rPr>
        <w:t xml:space="preserve"> after renal transplantation: a systematic review. </w:t>
      </w:r>
      <w:r w:rsidRPr="00872367">
        <w:rPr>
          <w:rFonts w:ascii="Book Antiqua" w:eastAsia="宋体" w:hAnsi="Book Antiqua" w:cs="Times New Roman"/>
          <w:i/>
          <w:iCs/>
          <w:sz w:val="24"/>
          <w:szCs w:val="24"/>
          <w:lang w:eastAsia="zh-CN"/>
        </w:rPr>
        <w:t>Transplantation</w:t>
      </w:r>
      <w:r w:rsidRPr="00872367">
        <w:rPr>
          <w:rFonts w:ascii="Book Antiqua" w:eastAsia="宋体" w:hAnsi="Book Antiqua" w:cs="Times New Roman"/>
          <w:sz w:val="24"/>
          <w:szCs w:val="24"/>
          <w:lang w:eastAsia="zh-CN"/>
        </w:rPr>
        <w:t> 2004; </w:t>
      </w:r>
      <w:r w:rsidRPr="00872367">
        <w:rPr>
          <w:rFonts w:ascii="Book Antiqua" w:eastAsia="宋体" w:hAnsi="Book Antiqua" w:cs="Times New Roman"/>
          <w:b/>
          <w:bCs/>
          <w:sz w:val="24"/>
          <w:szCs w:val="24"/>
          <w:lang w:eastAsia="zh-CN"/>
        </w:rPr>
        <w:t>77</w:t>
      </w:r>
      <w:r w:rsidRPr="00872367">
        <w:rPr>
          <w:rFonts w:ascii="Book Antiqua" w:eastAsia="宋体" w:hAnsi="Book Antiqua" w:cs="Times New Roman"/>
          <w:sz w:val="24"/>
          <w:szCs w:val="24"/>
          <w:lang w:eastAsia="zh-CN"/>
        </w:rPr>
        <w:t>: 769-776 [PMID: 15021846]</w:t>
      </w:r>
    </w:p>
    <w:p w14:paraId="38B26023" w14:textId="77777777" w:rsidR="00872367" w:rsidRPr="00872367" w:rsidRDefault="00872367" w:rsidP="00190C0B">
      <w:pPr>
        <w:spacing w:after="0" w:line="360" w:lineRule="auto"/>
        <w:jc w:val="both"/>
        <w:rPr>
          <w:rFonts w:ascii="Book Antiqua" w:eastAsia="宋体" w:hAnsi="Book Antiqua" w:cs="Times New Roman"/>
          <w:sz w:val="24"/>
          <w:szCs w:val="24"/>
          <w:lang w:eastAsia="zh-CN"/>
        </w:rPr>
      </w:pPr>
    </w:p>
    <w:p w14:paraId="625D234D" w14:textId="585245EA" w:rsidR="008140EE" w:rsidRDefault="00872367" w:rsidP="00190C0B">
      <w:pPr>
        <w:widowControl w:val="0"/>
        <w:wordWrap w:val="0"/>
        <w:spacing w:after="0" w:line="360" w:lineRule="auto"/>
        <w:jc w:val="both"/>
        <w:rPr>
          <w:rFonts w:ascii="Book Antiqua" w:eastAsia="宋体" w:hAnsi="Book Antiqua" w:cs="Courier New"/>
          <w:b/>
          <w:kern w:val="2"/>
          <w:sz w:val="24"/>
          <w:szCs w:val="24"/>
          <w:lang w:eastAsia="zh-CN"/>
        </w:rPr>
      </w:pPr>
      <w:bookmarkStart w:id="16" w:name="OLE_LINK176"/>
      <w:bookmarkStart w:id="17" w:name="OLE_LINK187"/>
      <w:bookmarkStart w:id="18" w:name="OLE_LINK188"/>
      <w:r w:rsidRPr="00872367">
        <w:rPr>
          <w:rFonts w:ascii="Book Antiqua" w:eastAsia="宋体" w:hAnsi="Book Antiqua" w:cs="Courier New"/>
          <w:b/>
          <w:kern w:val="2"/>
          <w:sz w:val="24"/>
          <w:szCs w:val="24"/>
          <w:lang w:eastAsia="zh-CN"/>
        </w:rPr>
        <w:t xml:space="preserve">P-Reviewer: </w:t>
      </w:r>
      <w:proofErr w:type="spellStart"/>
      <w:r w:rsidRPr="00872367">
        <w:rPr>
          <w:rFonts w:ascii="Book Antiqua" w:eastAsia="宋体" w:hAnsi="Book Antiqua" w:cs="Courier New"/>
          <w:kern w:val="2"/>
          <w:sz w:val="24"/>
          <w:szCs w:val="24"/>
          <w:lang w:eastAsia="zh-CN"/>
        </w:rPr>
        <w:t>Fulop</w:t>
      </w:r>
      <w:proofErr w:type="spellEnd"/>
      <w:r w:rsidRPr="00872367">
        <w:rPr>
          <w:rFonts w:ascii="Book Antiqua" w:eastAsia="宋体" w:hAnsi="Book Antiqua" w:cs="Courier New"/>
          <w:kern w:val="2"/>
          <w:sz w:val="24"/>
          <w:szCs w:val="24"/>
          <w:lang w:eastAsia="zh-CN"/>
        </w:rPr>
        <w:t xml:space="preserve"> </w:t>
      </w:r>
      <w:r w:rsidRPr="00872367">
        <w:rPr>
          <w:rFonts w:ascii="Book Antiqua" w:eastAsia="宋体" w:hAnsi="Book Antiqua" w:cs="Courier New" w:hint="eastAsia"/>
          <w:kern w:val="2"/>
          <w:sz w:val="24"/>
          <w:szCs w:val="24"/>
          <w:lang w:eastAsia="zh-CN"/>
        </w:rPr>
        <w:t>T,</w:t>
      </w:r>
      <w:r w:rsidRPr="00872367">
        <w:rPr>
          <w:rFonts w:ascii="Book Antiqua" w:eastAsia="宋体" w:hAnsi="Book Antiqua" w:cs="Courier New" w:hint="eastAsia"/>
          <w:b/>
          <w:kern w:val="2"/>
          <w:sz w:val="24"/>
          <w:szCs w:val="24"/>
          <w:lang w:eastAsia="zh-CN"/>
        </w:rPr>
        <w:t xml:space="preserve"> </w:t>
      </w:r>
      <w:proofErr w:type="spellStart"/>
      <w:r w:rsidRPr="00872367">
        <w:rPr>
          <w:rFonts w:ascii="Book Antiqua" w:eastAsia="宋体" w:hAnsi="Book Antiqua" w:cs="Courier New"/>
          <w:kern w:val="2"/>
          <w:sz w:val="24"/>
          <w:szCs w:val="24"/>
          <w:lang w:eastAsia="zh-CN"/>
        </w:rPr>
        <w:t>Fujino</w:t>
      </w:r>
      <w:proofErr w:type="spellEnd"/>
      <w:r w:rsidRPr="00872367">
        <w:rPr>
          <w:rFonts w:ascii="Book Antiqua" w:eastAsia="宋体" w:hAnsi="Book Antiqua" w:cs="Courier New" w:hint="eastAsia"/>
          <w:kern w:val="2"/>
          <w:sz w:val="24"/>
          <w:szCs w:val="24"/>
          <w:lang w:eastAsia="zh-CN"/>
        </w:rPr>
        <w:t xml:space="preserve"> Y, </w:t>
      </w:r>
      <w:r w:rsidRPr="00872367">
        <w:rPr>
          <w:rFonts w:ascii="Book Antiqua" w:eastAsia="宋体" w:hAnsi="Book Antiqua" w:cs="Courier New"/>
          <w:kern w:val="2"/>
          <w:sz w:val="24"/>
          <w:szCs w:val="24"/>
          <w:lang w:eastAsia="zh-CN"/>
        </w:rPr>
        <w:t>Taheri</w:t>
      </w:r>
      <w:r w:rsidRPr="00872367">
        <w:rPr>
          <w:rFonts w:ascii="Book Antiqua" w:eastAsia="宋体" w:hAnsi="Book Antiqua" w:cs="Courier New" w:hint="eastAsia"/>
          <w:kern w:val="2"/>
          <w:sz w:val="24"/>
          <w:szCs w:val="24"/>
          <w:lang w:eastAsia="zh-CN"/>
        </w:rPr>
        <w:t xml:space="preserve"> S, </w:t>
      </w:r>
      <w:r w:rsidRPr="00872367">
        <w:rPr>
          <w:rFonts w:ascii="Book Antiqua" w:eastAsia="宋体" w:hAnsi="Book Antiqua" w:cs="Courier New"/>
          <w:kern w:val="2"/>
          <w:sz w:val="24"/>
          <w:szCs w:val="24"/>
          <w:lang w:eastAsia="zh-CN"/>
        </w:rPr>
        <w:t>Tatsuya</w:t>
      </w:r>
      <w:r w:rsidRPr="00872367">
        <w:rPr>
          <w:rFonts w:ascii="Book Antiqua" w:eastAsia="宋体" w:hAnsi="Book Antiqua" w:cs="Courier New" w:hint="eastAsia"/>
          <w:kern w:val="2"/>
          <w:sz w:val="24"/>
          <w:szCs w:val="24"/>
          <w:lang w:eastAsia="zh-CN"/>
        </w:rPr>
        <w:t xml:space="preserve"> K</w:t>
      </w:r>
      <w:r w:rsidRPr="00872367">
        <w:rPr>
          <w:rFonts w:ascii="Book Antiqua" w:eastAsia="宋体" w:hAnsi="Book Antiqua" w:cs="Courier New"/>
          <w:kern w:val="2"/>
          <w:sz w:val="24"/>
          <w:szCs w:val="24"/>
          <w:lang w:eastAsia="zh-CN"/>
        </w:rPr>
        <w:t xml:space="preserve"> </w:t>
      </w:r>
      <w:r w:rsidRPr="00872367">
        <w:rPr>
          <w:rFonts w:ascii="Book Antiqua" w:eastAsia="宋体" w:hAnsi="Book Antiqua" w:cs="Courier New"/>
          <w:b/>
          <w:kern w:val="2"/>
          <w:sz w:val="24"/>
          <w:szCs w:val="24"/>
          <w:lang w:eastAsia="zh-CN"/>
        </w:rPr>
        <w:t xml:space="preserve">S-Editor: </w:t>
      </w:r>
      <w:proofErr w:type="spellStart"/>
      <w:r w:rsidRPr="00872367">
        <w:rPr>
          <w:rFonts w:ascii="Book Antiqua" w:eastAsia="宋体" w:hAnsi="Book Antiqua" w:cs="Courier New"/>
          <w:kern w:val="2"/>
          <w:sz w:val="24"/>
          <w:szCs w:val="24"/>
          <w:lang w:eastAsia="zh-CN"/>
        </w:rPr>
        <w:t>Qiu</w:t>
      </w:r>
      <w:proofErr w:type="spellEnd"/>
      <w:r w:rsidRPr="00872367">
        <w:rPr>
          <w:rFonts w:ascii="Book Antiqua" w:eastAsia="宋体" w:hAnsi="Book Antiqua" w:cs="Courier New"/>
          <w:kern w:val="2"/>
          <w:sz w:val="24"/>
          <w:szCs w:val="24"/>
          <w:lang w:eastAsia="zh-CN"/>
        </w:rPr>
        <w:t xml:space="preserve"> S</w:t>
      </w:r>
      <w:r w:rsidRPr="00872367">
        <w:rPr>
          <w:rFonts w:ascii="Book Antiqua" w:eastAsia="宋体" w:hAnsi="Book Antiqua" w:cs="Courier New"/>
          <w:b/>
          <w:kern w:val="2"/>
          <w:sz w:val="24"/>
          <w:szCs w:val="24"/>
          <w:lang w:eastAsia="zh-CN"/>
        </w:rPr>
        <w:t xml:space="preserve"> L-Editor: E-Editor:</w:t>
      </w:r>
      <w:bookmarkEnd w:id="14"/>
      <w:bookmarkEnd w:id="15"/>
      <w:bookmarkEnd w:id="16"/>
      <w:bookmarkEnd w:id="17"/>
      <w:bookmarkEnd w:id="18"/>
    </w:p>
    <w:p w14:paraId="32BE5E01" w14:textId="77777777" w:rsidR="008140EE" w:rsidRPr="00F86284" w:rsidRDefault="008140EE" w:rsidP="00190C0B">
      <w:pPr>
        <w:pStyle w:val="a8"/>
        <w:spacing w:after="0" w:line="360" w:lineRule="auto"/>
        <w:jc w:val="both"/>
        <w:rPr>
          <w:rFonts w:ascii="Book Antiqua" w:hAnsi="Book Antiqua"/>
          <w:b/>
          <w:sz w:val="24"/>
          <w:szCs w:val="24"/>
          <w:lang w:eastAsia="zh-CN"/>
        </w:rPr>
      </w:pPr>
      <w:r>
        <w:rPr>
          <w:rFonts w:ascii="Book Antiqua" w:eastAsia="宋体" w:hAnsi="Book Antiqua" w:cs="Courier New"/>
          <w:b/>
          <w:kern w:val="2"/>
          <w:sz w:val="24"/>
          <w:szCs w:val="24"/>
          <w:lang w:eastAsia="zh-CN"/>
        </w:rPr>
        <w:lastRenderedPageBreak/>
        <w:br w:type="page"/>
      </w:r>
      <w:r w:rsidRPr="00F86284">
        <w:rPr>
          <w:rFonts w:ascii="Book Antiqua" w:hAnsi="Book Antiqua"/>
          <w:b/>
          <w:sz w:val="24"/>
          <w:szCs w:val="24"/>
        </w:rPr>
        <w:lastRenderedPageBreak/>
        <w:t xml:space="preserve">Table 1 Comparison of </w:t>
      </w:r>
      <w:proofErr w:type="spellStart"/>
      <w:r w:rsidRPr="00F86284">
        <w:rPr>
          <w:rFonts w:ascii="Book Antiqua" w:hAnsi="Book Antiqua"/>
          <w:b/>
          <w:sz w:val="24"/>
          <w:szCs w:val="24"/>
        </w:rPr>
        <w:t>pk</w:t>
      </w:r>
      <w:proofErr w:type="spellEnd"/>
      <w:r w:rsidRPr="00F86284">
        <w:rPr>
          <w:rFonts w:ascii="Book Antiqua" w:hAnsi="Book Antiqua"/>
          <w:b/>
          <w:sz w:val="24"/>
          <w:szCs w:val="24"/>
        </w:rPr>
        <w:t xml:space="preserve"> parameters of </w:t>
      </w:r>
      <w:proofErr w:type="spellStart"/>
      <w:r w:rsidRPr="00F86284">
        <w:rPr>
          <w:rFonts w:ascii="Book Antiqua" w:hAnsi="Book Antiqua"/>
          <w:b/>
          <w:sz w:val="24"/>
          <w:szCs w:val="24"/>
        </w:rPr>
        <w:t>tacrolimus</w:t>
      </w:r>
      <w:proofErr w:type="spellEnd"/>
      <w:r w:rsidRPr="00F86284">
        <w:rPr>
          <w:rFonts w:ascii="Book Antiqua" w:hAnsi="Book Antiqua"/>
          <w:b/>
          <w:sz w:val="24"/>
          <w:szCs w:val="24"/>
        </w:rPr>
        <w:t xml:space="preserve"> administered as extended release tacrolimus and tacrolimus-</w:t>
      </w:r>
      <w:proofErr w:type="gramStart"/>
      <w:r w:rsidRPr="00F86284">
        <w:rPr>
          <w:rFonts w:ascii="Book Antiqua" w:hAnsi="Book Antiqua"/>
          <w:b/>
          <w:sz w:val="24"/>
          <w:szCs w:val="24"/>
        </w:rPr>
        <w:t>BID</w:t>
      </w:r>
      <w:r w:rsidRPr="00F86284">
        <w:rPr>
          <w:rFonts w:ascii="Book Antiqua" w:hAnsi="Book Antiqua" w:hint="eastAsia"/>
          <w:b/>
          <w:sz w:val="24"/>
          <w:szCs w:val="24"/>
          <w:vertAlign w:val="superscript"/>
          <w:lang w:eastAsia="zh-CN"/>
        </w:rPr>
        <w:t>[</w:t>
      </w:r>
      <w:proofErr w:type="gramEnd"/>
      <w:r w:rsidRPr="00F86284">
        <w:rPr>
          <w:rFonts w:ascii="Book Antiqua" w:hAnsi="Book Antiqua"/>
          <w:b/>
          <w:sz w:val="24"/>
          <w:szCs w:val="24"/>
          <w:vertAlign w:val="superscript"/>
        </w:rPr>
        <w:t>12</w:t>
      </w:r>
      <w:r w:rsidRPr="00F86284">
        <w:rPr>
          <w:rFonts w:ascii="Book Antiqua" w:hAnsi="Book Antiqua" w:hint="eastAsia"/>
          <w:b/>
          <w:sz w:val="24"/>
          <w:szCs w:val="24"/>
          <w:vertAlign w:val="superscript"/>
          <w:lang w:eastAsia="zh-CN"/>
        </w:rPr>
        <w:t>]</w:t>
      </w:r>
    </w:p>
    <w:tbl>
      <w:tblPr>
        <w:tblStyle w:val="a3"/>
        <w:tblpPr w:leftFromText="180" w:rightFromText="180" w:vertAnchor="text" w:horzAnchor="margin" w:tblpXSpec="center" w:tblpY="100"/>
        <w:tblW w:w="105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8"/>
        <w:gridCol w:w="1356"/>
        <w:gridCol w:w="1420"/>
        <w:gridCol w:w="1549"/>
        <w:gridCol w:w="1485"/>
        <w:gridCol w:w="1569"/>
        <w:gridCol w:w="1491"/>
      </w:tblGrid>
      <w:tr w:rsidR="00314EE8" w:rsidRPr="001C0358" w14:paraId="3D773474" w14:textId="77777777" w:rsidTr="00314EE8">
        <w:trPr>
          <w:trHeight w:val="460"/>
        </w:trPr>
        <w:tc>
          <w:tcPr>
            <w:tcW w:w="1678" w:type="dxa"/>
          </w:tcPr>
          <w:p w14:paraId="57C271C5" w14:textId="77777777" w:rsidR="00314EE8" w:rsidRPr="001C0358" w:rsidRDefault="00314EE8" w:rsidP="00190C0B">
            <w:pPr>
              <w:spacing w:line="360" w:lineRule="auto"/>
              <w:jc w:val="both"/>
              <w:rPr>
                <w:rFonts w:ascii="Book Antiqua" w:hAnsi="Book Antiqua"/>
                <w:b/>
              </w:rPr>
            </w:pPr>
          </w:p>
        </w:tc>
        <w:tc>
          <w:tcPr>
            <w:tcW w:w="2776" w:type="dxa"/>
            <w:gridSpan w:val="2"/>
          </w:tcPr>
          <w:p w14:paraId="5993880D"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Day 1</w:t>
            </w:r>
          </w:p>
        </w:tc>
        <w:tc>
          <w:tcPr>
            <w:tcW w:w="3034" w:type="dxa"/>
            <w:gridSpan w:val="2"/>
          </w:tcPr>
          <w:p w14:paraId="0BD753BC"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Day 14</w:t>
            </w:r>
          </w:p>
        </w:tc>
        <w:tc>
          <w:tcPr>
            <w:tcW w:w="3060" w:type="dxa"/>
            <w:gridSpan w:val="2"/>
          </w:tcPr>
          <w:p w14:paraId="5EB4142F"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Week 6</w:t>
            </w:r>
          </w:p>
        </w:tc>
      </w:tr>
      <w:tr w:rsidR="00314EE8" w:rsidRPr="001C0358" w14:paraId="637809E7" w14:textId="77777777" w:rsidTr="00314EE8">
        <w:trPr>
          <w:trHeight w:val="1041"/>
        </w:trPr>
        <w:tc>
          <w:tcPr>
            <w:tcW w:w="1678" w:type="dxa"/>
            <w:tcBorders>
              <w:bottom w:val="single" w:sz="4" w:space="0" w:color="auto"/>
            </w:tcBorders>
          </w:tcPr>
          <w:p w14:paraId="212416C4"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PK Parameter</w:t>
            </w:r>
          </w:p>
        </w:tc>
        <w:tc>
          <w:tcPr>
            <w:tcW w:w="1356" w:type="dxa"/>
            <w:tcBorders>
              <w:bottom w:val="single" w:sz="4" w:space="0" w:color="auto"/>
            </w:tcBorders>
          </w:tcPr>
          <w:p w14:paraId="008A21C4"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Extended release tacrolimus</w:t>
            </w:r>
          </w:p>
          <w:p w14:paraId="4E3E1765" w14:textId="0CC8AAA5" w:rsidR="00314EE8" w:rsidRPr="001C0358" w:rsidRDefault="00314EE8" w:rsidP="00F13D2B">
            <w:pPr>
              <w:spacing w:line="360" w:lineRule="auto"/>
              <w:jc w:val="both"/>
              <w:rPr>
                <w:rFonts w:ascii="Book Antiqua" w:hAnsi="Book Antiqua"/>
                <w:b/>
              </w:rPr>
            </w:pPr>
            <w:r w:rsidRPr="001C0358">
              <w:rPr>
                <w:rFonts w:ascii="Book Antiqua" w:hAnsi="Book Antiqua"/>
                <w:b/>
              </w:rPr>
              <w:t xml:space="preserve"> (</w:t>
            </w:r>
            <w:r w:rsidRPr="001A553F">
              <w:rPr>
                <w:rFonts w:ascii="Book Antiqua" w:hAnsi="Book Antiqua"/>
                <w:b/>
                <w:i/>
              </w:rPr>
              <w:t>n</w:t>
            </w:r>
            <w:r w:rsidR="00F13D2B">
              <w:rPr>
                <w:rFonts w:ascii="Book Antiqua" w:hAnsi="Book Antiqua" w:hint="eastAsia"/>
                <w:b/>
                <w:lang w:eastAsia="zh-CN"/>
              </w:rPr>
              <w:t xml:space="preserve"> </w:t>
            </w:r>
            <w:r w:rsidRPr="001C0358">
              <w:rPr>
                <w:rFonts w:ascii="Book Antiqua" w:hAnsi="Book Antiqua"/>
                <w:b/>
              </w:rPr>
              <w:t>= 34)</w:t>
            </w:r>
          </w:p>
        </w:tc>
        <w:tc>
          <w:tcPr>
            <w:tcW w:w="1420" w:type="dxa"/>
            <w:tcBorders>
              <w:bottom w:val="single" w:sz="4" w:space="0" w:color="auto"/>
            </w:tcBorders>
          </w:tcPr>
          <w:p w14:paraId="3F146A90"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 xml:space="preserve">Tacrolimus-BID </w:t>
            </w:r>
          </w:p>
          <w:p w14:paraId="0D48F8B2"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w:t>
            </w:r>
            <w:r w:rsidRPr="001A553F">
              <w:rPr>
                <w:rFonts w:ascii="Book Antiqua" w:hAnsi="Book Antiqua"/>
                <w:b/>
                <w:i/>
              </w:rPr>
              <w:t>n</w:t>
            </w:r>
            <w:r w:rsidRPr="001C0358">
              <w:rPr>
                <w:rFonts w:ascii="Book Antiqua" w:hAnsi="Book Antiqua"/>
                <w:b/>
              </w:rPr>
              <w:t xml:space="preserve"> = 32</w:t>
            </w:r>
          </w:p>
        </w:tc>
        <w:tc>
          <w:tcPr>
            <w:tcW w:w="1549" w:type="dxa"/>
            <w:tcBorders>
              <w:bottom w:val="single" w:sz="4" w:space="0" w:color="auto"/>
            </w:tcBorders>
          </w:tcPr>
          <w:p w14:paraId="43798B19"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 xml:space="preserve">Extended release tacrolimus </w:t>
            </w:r>
          </w:p>
          <w:p w14:paraId="28DA0E08"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w:t>
            </w:r>
            <w:r w:rsidRPr="001A553F">
              <w:rPr>
                <w:rFonts w:ascii="Book Antiqua" w:hAnsi="Book Antiqua"/>
                <w:b/>
                <w:i/>
              </w:rPr>
              <w:t>n</w:t>
            </w:r>
            <w:r w:rsidRPr="001C0358">
              <w:rPr>
                <w:rFonts w:ascii="Book Antiqua" w:hAnsi="Book Antiqua"/>
                <w:b/>
              </w:rPr>
              <w:t xml:space="preserve"> = 34)</w:t>
            </w:r>
          </w:p>
        </w:tc>
        <w:tc>
          <w:tcPr>
            <w:tcW w:w="1485" w:type="dxa"/>
            <w:tcBorders>
              <w:bottom w:val="single" w:sz="4" w:space="0" w:color="auto"/>
            </w:tcBorders>
          </w:tcPr>
          <w:p w14:paraId="50591B7A"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 xml:space="preserve">Tacrolimus-BID </w:t>
            </w:r>
          </w:p>
          <w:p w14:paraId="057FF79B"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w:t>
            </w:r>
            <w:r w:rsidRPr="001A553F">
              <w:rPr>
                <w:rFonts w:ascii="Book Antiqua" w:hAnsi="Book Antiqua"/>
                <w:b/>
                <w:i/>
              </w:rPr>
              <w:t>n</w:t>
            </w:r>
            <w:r w:rsidRPr="001C0358">
              <w:rPr>
                <w:rFonts w:ascii="Book Antiqua" w:hAnsi="Book Antiqua"/>
                <w:b/>
              </w:rPr>
              <w:t xml:space="preserve"> = 32)</w:t>
            </w:r>
          </w:p>
        </w:tc>
        <w:tc>
          <w:tcPr>
            <w:tcW w:w="1569" w:type="dxa"/>
            <w:tcBorders>
              <w:bottom w:val="single" w:sz="4" w:space="0" w:color="auto"/>
            </w:tcBorders>
          </w:tcPr>
          <w:p w14:paraId="194AB872"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Extended release tacrolimus</w:t>
            </w:r>
          </w:p>
          <w:p w14:paraId="6292BDA9"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 xml:space="preserve"> (</w:t>
            </w:r>
            <w:r w:rsidRPr="001A553F">
              <w:rPr>
                <w:rFonts w:ascii="Book Antiqua" w:hAnsi="Book Antiqua"/>
                <w:b/>
                <w:i/>
              </w:rPr>
              <w:t>n</w:t>
            </w:r>
            <w:r w:rsidRPr="001C0358">
              <w:rPr>
                <w:rFonts w:ascii="Book Antiqua" w:hAnsi="Book Antiqua"/>
                <w:b/>
              </w:rPr>
              <w:t xml:space="preserve"> = 34)</w:t>
            </w:r>
          </w:p>
        </w:tc>
        <w:tc>
          <w:tcPr>
            <w:tcW w:w="1491" w:type="dxa"/>
            <w:tcBorders>
              <w:bottom w:val="single" w:sz="4" w:space="0" w:color="auto"/>
            </w:tcBorders>
          </w:tcPr>
          <w:p w14:paraId="3282EAD7" w14:textId="77777777" w:rsidR="00314EE8" w:rsidRPr="001C0358" w:rsidRDefault="00314EE8" w:rsidP="00190C0B">
            <w:pPr>
              <w:spacing w:line="360" w:lineRule="auto"/>
              <w:jc w:val="both"/>
              <w:rPr>
                <w:rFonts w:ascii="Book Antiqua" w:hAnsi="Book Antiqua"/>
                <w:b/>
              </w:rPr>
            </w:pPr>
            <w:r w:rsidRPr="001C0358">
              <w:rPr>
                <w:rFonts w:ascii="Book Antiqua" w:hAnsi="Book Antiqua"/>
                <w:b/>
              </w:rPr>
              <w:t>Tacrolimus-BID (</w:t>
            </w:r>
            <w:r w:rsidRPr="001A553F">
              <w:rPr>
                <w:rFonts w:ascii="Book Antiqua" w:hAnsi="Book Antiqua"/>
                <w:b/>
                <w:i/>
              </w:rPr>
              <w:t>n</w:t>
            </w:r>
            <w:r w:rsidRPr="001C0358">
              <w:rPr>
                <w:rFonts w:ascii="Book Antiqua" w:hAnsi="Book Antiqua"/>
                <w:b/>
              </w:rPr>
              <w:t xml:space="preserve"> = 32)</w:t>
            </w:r>
          </w:p>
        </w:tc>
      </w:tr>
      <w:tr w:rsidR="00314EE8" w:rsidRPr="001C0358" w14:paraId="78887288" w14:textId="77777777" w:rsidTr="00314EE8">
        <w:trPr>
          <w:trHeight w:val="389"/>
        </w:trPr>
        <w:tc>
          <w:tcPr>
            <w:tcW w:w="10548" w:type="dxa"/>
            <w:gridSpan w:val="7"/>
            <w:tcBorders>
              <w:top w:val="single" w:sz="4" w:space="0" w:color="auto"/>
            </w:tcBorders>
          </w:tcPr>
          <w:p w14:paraId="0F20CDEB" w14:textId="77777777" w:rsidR="00314EE8" w:rsidRPr="001C0358" w:rsidRDefault="00314EE8" w:rsidP="00190C0B">
            <w:pPr>
              <w:spacing w:line="360" w:lineRule="auto"/>
              <w:jc w:val="both"/>
              <w:rPr>
                <w:rFonts w:ascii="Book Antiqua" w:hAnsi="Book Antiqua"/>
              </w:rPr>
            </w:pPr>
            <w:r w:rsidRPr="001C0358">
              <w:rPr>
                <w:rFonts w:ascii="Book Antiqua" w:hAnsi="Book Antiqua"/>
              </w:rPr>
              <w:t>Mean (SD)</w:t>
            </w:r>
          </w:p>
        </w:tc>
      </w:tr>
      <w:tr w:rsidR="00314EE8" w:rsidRPr="001C0358" w14:paraId="5B09B634" w14:textId="77777777" w:rsidTr="00314EE8">
        <w:trPr>
          <w:trHeight w:val="2199"/>
        </w:trPr>
        <w:tc>
          <w:tcPr>
            <w:tcW w:w="1678" w:type="dxa"/>
          </w:tcPr>
          <w:p w14:paraId="259EB428" w14:textId="77777777" w:rsidR="00314EE8" w:rsidRPr="001C0358" w:rsidRDefault="00314EE8" w:rsidP="00190C0B">
            <w:pPr>
              <w:spacing w:line="360" w:lineRule="auto"/>
              <w:jc w:val="both"/>
              <w:rPr>
                <w:rFonts w:ascii="Book Antiqua" w:hAnsi="Book Antiqua"/>
              </w:rPr>
            </w:pPr>
            <w:r w:rsidRPr="001C0358">
              <w:rPr>
                <w:rFonts w:ascii="Book Antiqua" w:hAnsi="Book Antiqua"/>
              </w:rPr>
              <w:t>AUC</w:t>
            </w:r>
            <w:r w:rsidRPr="001C0358">
              <w:rPr>
                <w:rFonts w:ascii="Book Antiqua" w:hAnsi="Book Antiqua"/>
                <w:vertAlign w:val="subscript"/>
              </w:rPr>
              <w:t xml:space="preserve">0-24 </w:t>
            </w:r>
            <w:r w:rsidRPr="001C0358">
              <w:rPr>
                <w:rFonts w:ascii="Book Antiqua" w:hAnsi="Book Antiqua"/>
              </w:rPr>
              <w:t>(</w:t>
            </w:r>
            <w:proofErr w:type="spellStart"/>
            <w:r w:rsidRPr="001C0358">
              <w:rPr>
                <w:rFonts w:ascii="Book Antiqua" w:hAnsi="Book Antiqua"/>
              </w:rPr>
              <w:t>ng.h</w:t>
            </w:r>
            <w:proofErr w:type="spellEnd"/>
            <w:r w:rsidRPr="001C0358">
              <w:rPr>
                <w:rFonts w:ascii="Book Antiqua" w:hAnsi="Book Antiqua"/>
              </w:rPr>
              <w:t>/mL)</w:t>
            </w:r>
          </w:p>
          <w:p w14:paraId="547239F9" w14:textId="77777777" w:rsidR="00314EE8" w:rsidRPr="001C0358" w:rsidRDefault="00314EE8" w:rsidP="00190C0B">
            <w:pPr>
              <w:spacing w:line="360" w:lineRule="auto"/>
              <w:jc w:val="both"/>
              <w:rPr>
                <w:rFonts w:ascii="Book Antiqua" w:hAnsi="Book Antiqua"/>
                <w:vertAlign w:val="subscript"/>
              </w:rPr>
            </w:pPr>
            <w:proofErr w:type="spellStart"/>
            <w:r w:rsidRPr="001C0358">
              <w:rPr>
                <w:rFonts w:ascii="Book Antiqua" w:hAnsi="Book Antiqua"/>
              </w:rPr>
              <w:t>C</w:t>
            </w:r>
            <w:r w:rsidRPr="001C0358">
              <w:rPr>
                <w:rFonts w:ascii="Book Antiqua" w:hAnsi="Book Antiqua"/>
                <w:vertAlign w:val="subscript"/>
              </w:rPr>
              <w:t>max</w:t>
            </w:r>
            <w:proofErr w:type="spellEnd"/>
            <w:r w:rsidRPr="001C0358">
              <w:rPr>
                <w:rFonts w:ascii="Book Antiqua" w:hAnsi="Book Antiqua"/>
                <w:vertAlign w:val="subscript"/>
              </w:rPr>
              <w:t xml:space="preserve"> </w:t>
            </w:r>
            <w:r w:rsidRPr="001C0358">
              <w:rPr>
                <w:rFonts w:ascii="Book Antiqua" w:hAnsi="Book Antiqua"/>
              </w:rPr>
              <w:t>(</w:t>
            </w:r>
            <w:proofErr w:type="spellStart"/>
            <w:r w:rsidRPr="001C0358">
              <w:rPr>
                <w:rFonts w:ascii="Book Antiqua" w:hAnsi="Book Antiqua"/>
              </w:rPr>
              <w:t>ng</w:t>
            </w:r>
            <w:proofErr w:type="spellEnd"/>
            <w:r w:rsidRPr="001C0358">
              <w:rPr>
                <w:rFonts w:ascii="Book Antiqua" w:hAnsi="Book Antiqua"/>
              </w:rPr>
              <w:t>/mL)</w:t>
            </w:r>
          </w:p>
          <w:p w14:paraId="3D26DE53" w14:textId="77777777" w:rsidR="00314EE8" w:rsidRPr="001C0358" w:rsidRDefault="00314EE8" w:rsidP="00190C0B">
            <w:pPr>
              <w:spacing w:line="360" w:lineRule="auto"/>
              <w:jc w:val="both"/>
              <w:rPr>
                <w:rFonts w:ascii="Book Antiqua" w:hAnsi="Book Antiqua"/>
                <w:vertAlign w:val="subscript"/>
              </w:rPr>
            </w:pPr>
            <w:proofErr w:type="spellStart"/>
            <w:r w:rsidRPr="001C0358">
              <w:rPr>
                <w:rFonts w:ascii="Book Antiqua" w:hAnsi="Book Antiqua"/>
              </w:rPr>
              <w:t>C</w:t>
            </w:r>
            <w:r w:rsidRPr="001C0358">
              <w:rPr>
                <w:rFonts w:ascii="Book Antiqua" w:hAnsi="Book Antiqua"/>
                <w:vertAlign w:val="subscript"/>
              </w:rPr>
              <w:t>min</w:t>
            </w:r>
            <w:proofErr w:type="spellEnd"/>
            <w:r w:rsidRPr="001C0358">
              <w:rPr>
                <w:rFonts w:ascii="Book Antiqua" w:hAnsi="Book Antiqua"/>
                <w:vertAlign w:val="subscript"/>
              </w:rPr>
              <w:t xml:space="preserve"> </w:t>
            </w:r>
            <w:r w:rsidRPr="001C0358">
              <w:rPr>
                <w:rFonts w:ascii="Book Antiqua" w:hAnsi="Book Antiqua"/>
              </w:rPr>
              <w:t>(</w:t>
            </w:r>
            <w:proofErr w:type="spellStart"/>
            <w:r w:rsidRPr="001C0358">
              <w:rPr>
                <w:rFonts w:ascii="Book Antiqua" w:hAnsi="Book Antiqua"/>
              </w:rPr>
              <w:t>ng</w:t>
            </w:r>
            <w:proofErr w:type="spellEnd"/>
            <w:r w:rsidRPr="001C0358">
              <w:rPr>
                <w:rFonts w:ascii="Book Antiqua" w:hAnsi="Book Antiqua"/>
              </w:rPr>
              <w:t>/mL)</w:t>
            </w:r>
          </w:p>
          <w:p w14:paraId="172BD9F7" w14:textId="77777777" w:rsidR="00314EE8" w:rsidRPr="001C0358" w:rsidRDefault="00314EE8" w:rsidP="00190C0B">
            <w:pPr>
              <w:spacing w:line="360" w:lineRule="auto"/>
              <w:jc w:val="both"/>
              <w:rPr>
                <w:rFonts w:ascii="Book Antiqua" w:hAnsi="Book Antiqua"/>
              </w:rPr>
            </w:pPr>
            <w:proofErr w:type="spellStart"/>
            <w:r w:rsidRPr="001C0358">
              <w:rPr>
                <w:rFonts w:ascii="Book Antiqua" w:hAnsi="Book Antiqua"/>
              </w:rPr>
              <w:t>T</w:t>
            </w:r>
            <w:r w:rsidRPr="001C0358">
              <w:rPr>
                <w:rFonts w:ascii="Book Antiqua" w:hAnsi="Book Antiqua"/>
                <w:vertAlign w:val="subscript"/>
              </w:rPr>
              <w:t>max</w:t>
            </w:r>
            <w:proofErr w:type="spellEnd"/>
            <w:r w:rsidRPr="001C0358">
              <w:rPr>
                <w:rFonts w:ascii="Book Antiqua" w:hAnsi="Book Antiqua"/>
                <w:vertAlign w:val="subscript"/>
              </w:rPr>
              <w:t xml:space="preserve"> </w:t>
            </w:r>
            <w:r>
              <w:rPr>
                <w:rFonts w:ascii="Book Antiqua" w:hAnsi="Book Antiqua"/>
              </w:rPr>
              <w:t>(h</w:t>
            </w:r>
            <w:r w:rsidRPr="001C0358">
              <w:rPr>
                <w:rFonts w:ascii="Book Antiqua" w:hAnsi="Book Antiqua"/>
              </w:rPr>
              <w:t>)</w:t>
            </w:r>
          </w:p>
          <w:p w14:paraId="08559AF9" w14:textId="77777777" w:rsidR="00314EE8" w:rsidRPr="001C0358" w:rsidRDefault="00314EE8" w:rsidP="00190C0B">
            <w:pPr>
              <w:spacing w:line="360" w:lineRule="auto"/>
              <w:jc w:val="both"/>
              <w:rPr>
                <w:rFonts w:ascii="Book Antiqua" w:hAnsi="Book Antiqua"/>
              </w:rPr>
            </w:pPr>
            <w:r w:rsidRPr="001C0358">
              <w:rPr>
                <w:rFonts w:ascii="Book Antiqua" w:hAnsi="Book Antiqua"/>
              </w:rPr>
              <w:t>Mean daily dose (mg/kg)</w:t>
            </w:r>
          </w:p>
        </w:tc>
        <w:tc>
          <w:tcPr>
            <w:tcW w:w="1356" w:type="dxa"/>
          </w:tcPr>
          <w:p w14:paraId="5726E573" w14:textId="77777777" w:rsidR="00314EE8" w:rsidRPr="001C0358" w:rsidRDefault="00314EE8" w:rsidP="00190C0B">
            <w:pPr>
              <w:spacing w:line="360" w:lineRule="auto"/>
              <w:jc w:val="both"/>
              <w:rPr>
                <w:rFonts w:ascii="Book Antiqua" w:hAnsi="Book Antiqua"/>
              </w:rPr>
            </w:pPr>
            <w:r w:rsidRPr="001C0358">
              <w:rPr>
                <w:rFonts w:ascii="Book Antiqua" w:hAnsi="Book Antiqua"/>
              </w:rPr>
              <w:t>231.91 (102.33)</w:t>
            </w:r>
          </w:p>
          <w:p w14:paraId="0A3D3FF4" w14:textId="77777777" w:rsidR="00314EE8" w:rsidRPr="001C0358" w:rsidRDefault="00314EE8" w:rsidP="00190C0B">
            <w:pPr>
              <w:spacing w:line="360" w:lineRule="auto"/>
              <w:jc w:val="both"/>
              <w:rPr>
                <w:rFonts w:ascii="Book Antiqua" w:hAnsi="Book Antiqua"/>
              </w:rPr>
            </w:pPr>
            <w:r w:rsidRPr="001C0358">
              <w:rPr>
                <w:rFonts w:ascii="Book Antiqua" w:hAnsi="Book Antiqua"/>
              </w:rPr>
              <w:t>18.24 (7.63)</w:t>
            </w:r>
          </w:p>
          <w:p w14:paraId="6ACB1894" w14:textId="77777777" w:rsidR="00314EE8" w:rsidRPr="001C0358" w:rsidRDefault="00314EE8" w:rsidP="00190C0B">
            <w:pPr>
              <w:spacing w:line="360" w:lineRule="auto"/>
              <w:jc w:val="both"/>
              <w:rPr>
                <w:rFonts w:ascii="Book Antiqua" w:hAnsi="Book Antiqua"/>
              </w:rPr>
            </w:pPr>
            <w:r w:rsidRPr="001C0358">
              <w:rPr>
                <w:rFonts w:ascii="Book Antiqua" w:hAnsi="Book Antiqua"/>
              </w:rPr>
              <w:t>8.25 (5.01)</w:t>
            </w:r>
          </w:p>
          <w:p w14:paraId="0C7AD4AA" w14:textId="77777777" w:rsidR="00314EE8" w:rsidRPr="001C0358" w:rsidRDefault="00314EE8" w:rsidP="00190C0B">
            <w:pPr>
              <w:spacing w:line="360" w:lineRule="auto"/>
              <w:jc w:val="both"/>
              <w:rPr>
                <w:rFonts w:ascii="Book Antiqua" w:hAnsi="Book Antiqua"/>
              </w:rPr>
            </w:pPr>
            <w:r w:rsidRPr="001C0358">
              <w:rPr>
                <w:rFonts w:ascii="Book Antiqua" w:hAnsi="Book Antiqua"/>
              </w:rPr>
              <w:t>4.4 (4.3)</w:t>
            </w:r>
          </w:p>
          <w:p w14:paraId="5F3D2AA3" w14:textId="77777777" w:rsidR="00314EE8" w:rsidRPr="001C0358" w:rsidRDefault="00314EE8" w:rsidP="00190C0B">
            <w:pPr>
              <w:spacing w:line="360" w:lineRule="auto"/>
              <w:jc w:val="both"/>
              <w:rPr>
                <w:rFonts w:ascii="Book Antiqua" w:hAnsi="Book Antiqua"/>
              </w:rPr>
            </w:pPr>
            <w:r w:rsidRPr="001C0358">
              <w:rPr>
                <w:rFonts w:ascii="Book Antiqua" w:hAnsi="Book Antiqua"/>
              </w:rPr>
              <w:t>0.189</w:t>
            </w:r>
          </w:p>
        </w:tc>
        <w:tc>
          <w:tcPr>
            <w:tcW w:w="1420" w:type="dxa"/>
          </w:tcPr>
          <w:p w14:paraId="4899A7D9" w14:textId="77777777" w:rsidR="00314EE8" w:rsidRPr="001C0358" w:rsidRDefault="00314EE8" w:rsidP="00190C0B">
            <w:pPr>
              <w:spacing w:line="360" w:lineRule="auto"/>
              <w:jc w:val="both"/>
              <w:rPr>
                <w:rFonts w:ascii="Book Antiqua" w:hAnsi="Book Antiqua"/>
              </w:rPr>
            </w:pPr>
            <w:r w:rsidRPr="001C0358">
              <w:rPr>
                <w:rFonts w:ascii="Book Antiqua" w:hAnsi="Book Antiqua"/>
              </w:rPr>
              <w:t>361.49 (214.65)</w:t>
            </w:r>
          </w:p>
          <w:p w14:paraId="49C91A9B" w14:textId="77777777" w:rsidR="00314EE8" w:rsidRPr="001C0358" w:rsidRDefault="00314EE8" w:rsidP="00190C0B">
            <w:pPr>
              <w:spacing w:line="360" w:lineRule="auto"/>
              <w:jc w:val="both"/>
              <w:rPr>
                <w:rFonts w:ascii="Book Antiqua" w:hAnsi="Book Antiqua"/>
              </w:rPr>
            </w:pPr>
            <w:r w:rsidRPr="001C0358">
              <w:rPr>
                <w:rFonts w:ascii="Book Antiqua" w:hAnsi="Book Antiqua"/>
              </w:rPr>
              <w:t>34.16 (13.86)</w:t>
            </w:r>
          </w:p>
          <w:p w14:paraId="430E7FEE" w14:textId="77777777" w:rsidR="00314EE8" w:rsidRPr="001C0358" w:rsidRDefault="00314EE8" w:rsidP="00190C0B">
            <w:pPr>
              <w:spacing w:line="360" w:lineRule="auto"/>
              <w:jc w:val="both"/>
              <w:rPr>
                <w:rFonts w:ascii="Book Antiqua" w:hAnsi="Book Antiqua"/>
              </w:rPr>
            </w:pPr>
            <w:r w:rsidRPr="001C0358">
              <w:rPr>
                <w:rFonts w:ascii="Book Antiqua" w:hAnsi="Book Antiqua"/>
              </w:rPr>
              <w:t>10.12 (6.98)</w:t>
            </w:r>
          </w:p>
          <w:p w14:paraId="1E4E9C37" w14:textId="77777777" w:rsidR="00314EE8" w:rsidRPr="001C0358" w:rsidRDefault="00314EE8" w:rsidP="00190C0B">
            <w:pPr>
              <w:spacing w:line="360" w:lineRule="auto"/>
              <w:jc w:val="both"/>
              <w:rPr>
                <w:rFonts w:ascii="Book Antiqua" w:hAnsi="Book Antiqua"/>
              </w:rPr>
            </w:pPr>
            <w:r w:rsidRPr="001C0358">
              <w:rPr>
                <w:rFonts w:ascii="Book Antiqua" w:hAnsi="Book Antiqua"/>
              </w:rPr>
              <w:t>1.7 (1.0)</w:t>
            </w:r>
          </w:p>
          <w:p w14:paraId="48CB99C9" w14:textId="77777777" w:rsidR="00314EE8" w:rsidRPr="001C0358" w:rsidRDefault="00314EE8" w:rsidP="00190C0B">
            <w:pPr>
              <w:spacing w:line="360" w:lineRule="auto"/>
              <w:jc w:val="both"/>
              <w:rPr>
                <w:rFonts w:ascii="Book Antiqua" w:hAnsi="Book Antiqua"/>
              </w:rPr>
            </w:pPr>
            <w:r w:rsidRPr="001C0358">
              <w:rPr>
                <w:rFonts w:ascii="Book Antiqua" w:hAnsi="Book Antiqua"/>
              </w:rPr>
              <w:t>0.185</w:t>
            </w:r>
          </w:p>
        </w:tc>
        <w:tc>
          <w:tcPr>
            <w:tcW w:w="1549" w:type="dxa"/>
          </w:tcPr>
          <w:p w14:paraId="45D78983" w14:textId="77777777" w:rsidR="00314EE8" w:rsidRPr="001C0358" w:rsidRDefault="00314EE8" w:rsidP="00190C0B">
            <w:pPr>
              <w:spacing w:line="360" w:lineRule="auto"/>
              <w:jc w:val="both"/>
              <w:rPr>
                <w:rFonts w:ascii="Book Antiqua" w:hAnsi="Book Antiqua"/>
              </w:rPr>
            </w:pPr>
            <w:r w:rsidRPr="001C0358">
              <w:rPr>
                <w:rFonts w:ascii="Book Antiqua" w:hAnsi="Book Antiqua"/>
              </w:rPr>
              <w:t>363.93 (96.61)</w:t>
            </w:r>
          </w:p>
          <w:p w14:paraId="78C34A17" w14:textId="77777777" w:rsidR="00314EE8" w:rsidRPr="001C0358" w:rsidRDefault="00314EE8" w:rsidP="00190C0B">
            <w:pPr>
              <w:spacing w:line="360" w:lineRule="auto"/>
              <w:jc w:val="both"/>
              <w:rPr>
                <w:rFonts w:ascii="Book Antiqua" w:hAnsi="Book Antiqua"/>
              </w:rPr>
            </w:pPr>
            <w:r w:rsidRPr="001C0358">
              <w:rPr>
                <w:rFonts w:ascii="Book Antiqua" w:hAnsi="Book Antiqua"/>
              </w:rPr>
              <w:t>29.87 (9.61)</w:t>
            </w:r>
          </w:p>
          <w:p w14:paraId="76FE5CF2" w14:textId="77777777" w:rsidR="00314EE8" w:rsidRPr="001C0358" w:rsidRDefault="00314EE8" w:rsidP="00190C0B">
            <w:pPr>
              <w:spacing w:line="360" w:lineRule="auto"/>
              <w:jc w:val="both"/>
              <w:rPr>
                <w:rFonts w:ascii="Book Antiqua" w:hAnsi="Book Antiqua"/>
              </w:rPr>
            </w:pPr>
            <w:r w:rsidRPr="001C0358">
              <w:rPr>
                <w:rFonts w:ascii="Book Antiqua" w:hAnsi="Book Antiqua"/>
              </w:rPr>
              <w:t>9.64 (3.25)</w:t>
            </w:r>
          </w:p>
          <w:p w14:paraId="1740B537" w14:textId="77777777" w:rsidR="00314EE8" w:rsidRPr="001C0358" w:rsidRDefault="00314EE8" w:rsidP="00190C0B">
            <w:pPr>
              <w:spacing w:line="360" w:lineRule="auto"/>
              <w:jc w:val="both"/>
              <w:rPr>
                <w:rFonts w:ascii="Book Antiqua" w:hAnsi="Book Antiqua"/>
              </w:rPr>
            </w:pPr>
            <w:r w:rsidRPr="001C0358">
              <w:rPr>
                <w:rFonts w:ascii="Book Antiqua" w:hAnsi="Book Antiqua"/>
              </w:rPr>
              <w:t>2.4 (1.2)</w:t>
            </w:r>
          </w:p>
          <w:p w14:paraId="2874B7DA" w14:textId="77777777" w:rsidR="00314EE8" w:rsidRPr="001C0358" w:rsidRDefault="00314EE8" w:rsidP="00190C0B">
            <w:pPr>
              <w:spacing w:line="360" w:lineRule="auto"/>
              <w:jc w:val="both"/>
              <w:rPr>
                <w:rFonts w:ascii="Book Antiqua" w:hAnsi="Book Antiqua"/>
              </w:rPr>
            </w:pPr>
            <w:r w:rsidRPr="001C0358">
              <w:rPr>
                <w:rFonts w:ascii="Book Antiqua" w:hAnsi="Book Antiqua"/>
              </w:rPr>
              <w:t>0.203</w:t>
            </w:r>
          </w:p>
        </w:tc>
        <w:tc>
          <w:tcPr>
            <w:tcW w:w="1485" w:type="dxa"/>
          </w:tcPr>
          <w:p w14:paraId="20BDFADE" w14:textId="77777777" w:rsidR="00314EE8" w:rsidRPr="001C0358" w:rsidRDefault="00314EE8" w:rsidP="00190C0B">
            <w:pPr>
              <w:spacing w:line="360" w:lineRule="auto"/>
              <w:jc w:val="both"/>
              <w:rPr>
                <w:rFonts w:ascii="Book Antiqua" w:hAnsi="Book Antiqua"/>
              </w:rPr>
            </w:pPr>
            <w:r w:rsidRPr="001C0358">
              <w:rPr>
                <w:rFonts w:ascii="Book Antiqua" w:hAnsi="Book Antiqua"/>
              </w:rPr>
              <w:t>343.69 (105.83)</w:t>
            </w:r>
          </w:p>
          <w:p w14:paraId="334DD3DE" w14:textId="77777777" w:rsidR="00314EE8" w:rsidRPr="001C0358" w:rsidRDefault="00314EE8" w:rsidP="00190C0B">
            <w:pPr>
              <w:spacing w:line="360" w:lineRule="auto"/>
              <w:jc w:val="both"/>
              <w:rPr>
                <w:rFonts w:ascii="Book Antiqua" w:hAnsi="Book Antiqua"/>
              </w:rPr>
            </w:pPr>
            <w:r w:rsidRPr="001C0358">
              <w:rPr>
                <w:rFonts w:ascii="Book Antiqua" w:hAnsi="Book Antiqua"/>
              </w:rPr>
              <w:t>31.74 (12.62)</w:t>
            </w:r>
          </w:p>
          <w:p w14:paraId="4BC5AE7C" w14:textId="77777777" w:rsidR="00314EE8" w:rsidRPr="001C0358" w:rsidRDefault="00314EE8" w:rsidP="00190C0B">
            <w:pPr>
              <w:spacing w:line="360" w:lineRule="auto"/>
              <w:jc w:val="both"/>
              <w:rPr>
                <w:rFonts w:ascii="Book Antiqua" w:hAnsi="Book Antiqua"/>
              </w:rPr>
            </w:pPr>
            <w:r w:rsidRPr="001C0358">
              <w:rPr>
                <w:rFonts w:ascii="Book Antiqua" w:hAnsi="Book Antiqua"/>
              </w:rPr>
              <w:t>10.02 (3.04)</w:t>
            </w:r>
          </w:p>
          <w:p w14:paraId="79C3A5C8" w14:textId="77777777" w:rsidR="00314EE8" w:rsidRPr="001C0358" w:rsidRDefault="00314EE8" w:rsidP="00190C0B">
            <w:pPr>
              <w:spacing w:line="360" w:lineRule="auto"/>
              <w:jc w:val="both"/>
              <w:rPr>
                <w:rFonts w:ascii="Book Antiqua" w:hAnsi="Book Antiqua"/>
              </w:rPr>
            </w:pPr>
            <w:r w:rsidRPr="001C0358">
              <w:rPr>
                <w:rFonts w:ascii="Book Antiqua" w:hAnsi="Book Antiqua"/>
              </w:rPr>
              <w:t>1.6 (0.9)</w:t>
            </w:r>
          </w:p>
          <w:p w14:paraId="61BBE895" w14:textId="77777777" w:rsidR="00314EE8" w:rsidRPr="001C0358" w:rsidRDefault="00314EE8" w:rsidP="00190C0B">
            <w:pPr>
              <w:spacing w:line="360" w:lineRule="auto"/>
              <w:jc w:val="both"/>
              <w:rPr>
                <w:rFonts w:ascii="Book Antiqua" w:hAnsi="Book Antiqua"/>
              </w:rPr>
            </w:pPr>
            <w:r w:rsidRPr="001C0358">
              <w:rPr>
                <w:rFonts w:ascii="Book Antiqua" w:hAnsi="Book Antiqua"/>
              </w:rPr>
              <w:t>0.190</w:t>
            </w:r>
          </w:p>
        </w:tc>
        <w:tc>
          <w:tcPr>
            <w:tcW w:w="1569" w:type="dxa"/>
          </w:tcPr>
          <w:p w14:paraId="00D690F2" w14:textId="77777777" w:rsidR="00314EE8" w:rsidRPr="001C0358" w:rsidRDefault="00314EE8" w:rsidP="00190C0B">
            <w:pPr>
              <w:spacing w:line="360" w:lineRule="auto"/>
              <w:jc w:val="both"/>
              <w:rPr>
                <w:rFonts w:ascii="Book Antiqua" w:hAnsi="Book Antiqua"/>
              </w:rPr>
            </w:pPr>
            <w:r w:rsidRPr="001C0358">
              <w:rPr>
                <w:rFonts w:ascii="Book Antiqua" w:hAnsi="Book Antiqua"/>
              </w:rPr>
              <w:t>331.49 (86.82)</w:t>
            </w:r>
          </w:p>
          <w:p w14:paraId="42834E35" w14:textId="77777777" w:rsidR="00314EE8" w:rsidRPr="001C0358" w:rsidRDefault="00314EE8" w:rsidP="00190C0B">
            <w:pPr>
              <w:spacing w:line="360" w:lineRule="auto"/>
              <w:jc w:val="both"/>
              <w:rPr>
                <w:rFonts w:ascii="Book Antiqua" w:hAnsi="Book Antiqua"/>
              </w:rPr>
            </w:pPr>
            <w:r w:rsidRPr="001C0358">
              <w:rPr>
                <w:rFonts w:ascii="Book Antiqua" w:hAnsi="Book Antiqua"/>
              </w:rPr>
              <w:t>26.38 (7.30)</w:t>
            </w:r>
          </w:p>
          <w:p w14:paraId="425C2D3C" w14:textId="77777777" w:rsidR="00314EE8" w:rsidRPr="001C0358" w:rsidRDefault="00314EE8" w:rsidP="00190C0B">
            <w:pPr>
              <w:spacing w:line="360" w:lineRule="auto"/>
              <w:jc w:val="both"/>
              <w:rPr>
                <w:rFonts w:ascii="Book Antiqua" w:hAnsi="Book Antiqua"/>
              </w:rPr>
            </w:pPr>
            <w:r w:rsidRPr="001C0358">
              <w:rPr>
                <w:rFonts w:ascii="Book Antiqua" w:hAnsi="Book Antiqua"/>
              </w:rPr>
              <w:t>9.60 (2.93)</w:t>
            </w:r>
          </w:p>
          <w:p w14:paraId="65401DE7" w14:textId="77777777" w:rsidR="00314EE8" w:rsidRPr="001C0358" w:rsidRDefault="00314EE8" w:rsidP="00190C0B">
            <w:pPr>
              <w:spacing w:line="360" w:lineRule="auto"/>
              <w:jc w:val="both"/>
              <w:rPr>
                <w:rFonts w:ascii="Book Antiqua" w:hAnsi="Book Antiqua"/>
              </w:rPr>
            </w:pPr>
            <w:r w:rsidRPr="001C0358">
              <w:rPr>
                <w:rFonts w:ascii="Book Antiqua" w:hAnsi="Book Antiqua"/>
              </w:rPr>
              <w:t>2.4 (1.3)</w:t>
            </w:r>
          </w:p>
          <w:p w14:paraId="67C80F37" w14:textId="77777777" w:rsidR="00314EE8" w:rsidRPr="001C0358" w:rsidRDefault="00314EE8" w:rsidP="00190C0B">
            <w:pPr>
              <w:spacing w:line="360" w:lineRule="auto"/>
              <w:jc w:val="both"/>
              <w:rPr>
                <w:rFonts w:ascii="Book Antiqua" w:hAnsi="Book Antiqua"/>
              </w:rPr>
            </w:pPr>
            <w:r w:rsidRPr="001C0358">
              <w:rPr>
                <w:rFonts w:ascii="Book Antiqua" w:hAnsi="Book Antiqua"/>
              </w:rPr>
              <w:t>0.175</w:t>
            </w:r>
          </w:p>
        </w:tc>
        <w:tc>
          <w:tcPr>
            <w:tcW w:w="1491" w:type="dxa"/>
          </w:tcPr>
          <w:p w14:paraId="00FCAB31" w14:textId="77777777" w:rsidR="00314EE8" w:rsidRPr="001C0358" w:rsidRDefault="00314EE8" w:rsidP="00190C0B">
            <w:pPr>
              <w:spacing w:line="360" w:lineRule="auto"/>
              <w:jc w:val="both"/>
              <w:rPr>
                <w:rFonts w:ascii="Book Antiqua" w:hAnsi="Book Antiqua"/>
              </w:rPr>
            </w:pPr>
            <w:r w:rsidRPr="001C0358">
              <w:rPr>
                <w:rFonts w:ascii="Book Antiqua" w:hAnsi="Book Antiqua"/>
              </w:rPr>
              <w:t>382.60 (171.22)</w:t>
            </w:r>
          </w:p>
          <w:p w14:paraId="78403417" w14:textId="77777777" w:rsidR="00314EE8" w:rsidRPr="001C0358" w:rsidRDefault="00314EE8" w:rsidP="00190C0B">
            <w:pPr>
              <w:spacing w:line="360" w:lineRule="auto"/>
              <w:jc w:val="both"/>
              <w:rPr>
                <w:rFonts w:ascii="Book Antiqua" w:hAnsi="Book Antiqua"/>
              </w:rPr>
            </w:pPr>
            <w:r w:rsidRPr="001C0358">
              <w:rPr>
                <w:rFonts w:ascii="Book Antiqua" w:hAnsi="Book Antiqua"/>
              </w:rPr>
              <w:t>33.04 (13.04)</w:t>
            </w:r>
          </w:p>
          <w:p w14:paraId="521B4686" w14:textId="77777777" w:rsidR="00314EE8" w:rsidRPr="001C0358" w:rsidRDefault="00314EE8" w:rsidP="00190C0B">
            <w:pPr>
              <w:spacing w:line="360" w:lineRule="auto"/>
              <w:jc w:val="both"/>
              <w:rPr>
                <w:rFonts w:ascii="Book Antiqua" w:hAnsi="Book Antiqua"/>
              </w:rPr>
            </w:pPr>
            <w:r w:rsidRPr="001C0358">
              <w:rPr>
                <w:rFonts w:ascii="Book Antiqua" w:hAnsi="Book Antiqua"/>
              </w:rPr>
              <w:t>12.06 (5.91)</w:t>
            </w:r>
          </w:p>
          <w:p w14:paraId="7B6D64E8" w14:textId="77777777" w:rsidR="00314EE8" w:rsidRPr="001C0358" w:rsidRDefault="00314EE8" w:rsidP="00190C0B">
            <w:pPr>
              <w:spacing w:line="360" w:lineRule="auto"/>
              <w:jc w:val="both"/>
              <w:rPr>
                <w:rFonts w:ascii="Book Antiqua" w:hAnsi="Book Antiqua"/>
              </w:rPr>
            </w:pPr>
            <w:r w:rsidRPr="001C0358">
              <w:rPr>
                <w:rFonts w:ascii="Book Antiqua" w:hAnsi="Book Antiqua"/>
              </w:rPr>
              <w:t>1.9 (1.3)</w:t>
            </w:r>
          </w:p>
          <w:p w14:paraId="2EC51D81" w14:textId="77777777" w:rsidR="00314EE8" w:rsidRPr="001C0358" w:rsidRDefault="00314EE8" w:rsidP="00190C0B">
            <w:pPr>
              <w:spacing w:line="360" w:lineRule="auto"/>
              <w:jc w:val="both"/>
              <w:rPr>
                <w:rFonts w:ascii="Book Antiqua" w:hAnsi="Book Antiqua"/>
              </w:rPr>
            </w:pPr>
            <w:r w:rsidRPr="001C0358">
              <w:rPr>
                <w:rFonts w:ascii="Book Antiqua" w:hAnsi="Book Antiqua"/>
              </w:rPr>
              <w:t>0.164</w:t>
            </w:r>
          </w:p>
        </w:tc>
      </w:tr>
    </w:tbl>
    <w:p w14:paraId="6750FDCB" w14:textId="315C02B2" w:rsidR="00780FD0" w:rsidRDefault="00780FD0" w:rsidP="00190C0B">
      <w:pPr>
        <w:jc w:val="both"/>
        <w:rPr>
          <w:rFonts w:ascii="Book Antiqua" w:eastAsia="宋体" w:hAnsi="Book Antiqua" w:cs="Courier New"/>
          <w:b/>
          <w:kern w:val="2"/>
          <w:sz w:val="24"/>
          <w:szCs w:val="24"/>
          <w:lang w:eastAsia="zh-CN"/>
        </w:rPr>
      </w:pPr>
    </w:p>
    <w:p w14:paraId="31E03B2F" w14:textId="77777777" w:rsidR="00780FD0" w:rsidRDefault="00780FD0" w:rsidP="00190C0B">
      <w:pPr>
        <w:jc w:val="both"/>
        <w:rPr>
          <w:rFonts w:ascii="Book Antiqua" w:eastAsia="宋体" w:hAnsi="Book Antiqua" w:cs="Courier New"/>
          <w:b/>
          <w:kern w:val="2"/>
          <w:sz w:val="24"/>
          <w:szCs w:val="24"/>
          <w:lang w:eastAsia="zh-CN"/>
        </w:rPr>
      </w:pPr>
      <w:r>
        <w:rPr>
          <w:rFonts w:ascii="Book Antiqua" w:eastAsia="宋体" w:hAnsi="Book Antiqua" w:cs="Courier New"/>
          <w:b/>
          <w:kern w:val="2"/>
          <w:sz w:val="24"/>
          <w:szCs w:val="24"/>
          <w:lang w:eastAsia="zh-CN"/>
        </w:rPr>
        <w:br w:type="page"/>
      </w:r>
    </w:p>
    <w:p w14:paraId="0F6EF950" w14:textId="77777777" w:rsidR="00A95184" w:rsidRPr="007415C7" w:rsidRDefault="00A95184" w:rsidP="00190C0B">
      <w:pPr>
        <w:pStyle w:val="a8"/>
        <w:spacing w:after="0" w:line="360" w:lineRule="auto"/>
        <w:jc w:val="both"/>
        <w:rPr>
          <w:rFonts w:ascii="Book Antiqua" w:hAnsi="Book Antiqua"/>
          <w:b/>
          <w:sz w:val="24"/>
          <w:szCs w:val="24"/>
          <w:lang w:eastAsia="zh-CN"/>
        </w:rPr>
      </w:pPr>
      <w:r w:rsidRPr="007415C7">
        <w:rPr>
          <w:rFonts w:ascii="Book Antiqua" w:hAnsi="Book Antiqua"/>
          <w:b/>
          <w:sz w:val="24"/>
          <w:szCs w:val="24"/>
        </w:rPr>
        <w:lastRenderedPageBreak/>
        <w:t xml:space="preserve">Table 2 Equivalence comparison of pharmacokinetic parameters after conversion tacrolimus-BID to extended release </w:t>
      </w:r>
      <w:proofErr w:type="gramStart"/>
      <w:r w:rsidRPr="007415C7">
        <w:rPr>
          <w:rFonts w:ascii="Book Antiqua" w:hAnsi="Book Antiqua"/>
          <w:b/>
          <w:sz w:val="24"/>
          <w:szCs w:val="24"/>
        </w:rPr>
        <w:t>tacrolimus</w:t>
      </w:r>
      <w:r w:rsidRPr="007415C7">
        <w:rPr>
          <w:rFonts w:ascii="Book Antiqua" w:hAnsi="Book Antiqua" w:hint="eastAsia"/>
          <w:b/>
          <w:sz w:val="24"/>
          <w:szCs w:val="24"/>
          <w:vertAlign w:val="superscript"/>
          <w:lang w:eastAsia="zh-CN"/>
        </w:rPr>
        <w:t>[</w:t>
      </w:r>
      <w:proofErr w:type="gramEnd"/>
      <w:r w:rsidRPr="007415C7">
        <w:rPr>
          <w:rFonts w:ascii="Book Antiqua" w:hAnsi="Book Antiqua"/>
          <w:b/>
          <w:sz w:val="24"/>
          <w:szCs w:val="24"/>
          <w:vertAlign w:val="superscript"/>
        </w:rPr>
        <w:t>19</w:t>
      </w:r>
      <w:r w:rsidRPr="007415C7">
        <w:rPr>
          <w:rFonts w:ascii="Book Antiqua" w:hAnsi="Book Antiqua" w:hint="eastAsia"/>
          <w:b/>
          <w:sz w:val="24"/>
          <w:szCs w:val="24"/>
          <w:vertAlign w:val="superscript"/>
          <w:lang w:eastAsia="zh-CN"/>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A95184" w:rsidRPr="001C0358" w14:paraId="006D4A2F" w14:textId="77777777" w:rsidTr="00B8213B">
        <w:trPr>
          <w:trHeight w:val="1580"/>
        </w:trPr>
        <w:tc>
          <w:tcPr>
            <w:tcW w:w="2214" w:type="dxa"/>
            <w:tcBorders>
              <w:bottom w:val="single" w:sz="4" w:space="0" w:color="auto"/>
            </w:tcBorders>
          </w:tcPr>
          <w:p w14:paraId="2F5F3606" w14:textId="77777777" w:rsidR="00A95184" w:rsidRPr="001C0358" w:rsidRDefault="00A95184" w:rsidP="00190C0B">
            <w:pPr>
              <w:spacing w:line="360" w:lineRule="auto"/>
              <w:jc w:val="both"/>
              <w:rPr>
                <w:rFonts w:ascii="Book Antiqua" w:hAnsi="Book Antiqua"/>
                <w:b/>
              </w:rPr>
            </w:pPr>
            <w:r w:rsidRPr="001C0358">
              <w:rPr>
                <w:rFonts w:ascii="Book Antiqua" w:hAnsi="Book Antiqua"/>
                <w:b/>
              </w:rPr>
              <w:t>PK</w:t>
            </w:r>
          </w:p>
          <w:p w14:paraId="72A8545A" w14:textId="77777777" w:rsidR="00A95184" w:rsidRPr="001C0358" w:rsidRDefault="00A95184" w:rsidP="00190C0B">
            <w:pPr>
              <w:spacing w:line="360" w:lineRule="auto"/>
              <w:jc w:val="both"/>
              <w:rPr>
                <w:rFonts w:ascii="Book Antiqua" w:hAnsi="Book Antiqua"/>
                <w:b/>
              </w:rPr>
            </w:pPr>
            <w:r w:rsidRPr="001C0358">
              <w:rPr>
                <w:rFonts w:ascii="Book Antiqua" w:hAnsi="Book Antiqua"/>
                <w:b/>
              </w:rPr>
              <w:t>Parameter</w:t>
            </w:r>
          </w:p>
        </w:tc>
        <w:tc>
          <w:tcPr>
            <w:tcW w:w="2214" w:type="dxa"/>
            <w:tcBorders>
              <w:bottom w:val="single" w:sz="4" w:space="0" w:color="auto"/>
            </w:tcBorders>
          </w:tcPr>
          <w:p w14:paraId="3EB8E82C" w14:textId="77777777" w:rsidR="00A95184" w:rsidRPr="001C0358" w:rsidRDefault="00A95184" w:rsidP="00190C0B">
            <w:pPr>
              <w:spacing w:line="360" w:lineRule="auto"/>
              <w:jc w:val="both"/>
              <w:rPr>
                <w:rFonts w:ascii="Book Antiqua" w:hAnsi="Book Antiqua"/>
                <w:b/>
              </w:rPr>
            </w:pPr>
            <w:r w:rsidRPr="001C0358">
              <w:rPr>
                <w:rFonts w:ascii="Book Antiqua" w:hAnsi="Book Antiqua"/>
                <w:b/>
              </w:rPr>
              <w:t>Extended release tacrolimus</w:t>
            </w:r>
          </w:p>
          <w:p w14:paraId="56AFB3FA" w14:textId="77777777" w:rsidR="00A95184" w:rsidRPr="001C0358" w:rsidRDefault="00A95184" w:rsidP="00190C0B">
            <w:pPr>
              <w:spacing w:line="360" w:lineRule="auto"/>
              <w:jc w:val="both"/>
              <w:rPr>
                <w:rFonts w:ascii="Book Antiqua" w:hAnsi="Book Antiqua"/>
                <w:b/>
              </w:rPr>
            </w:pPr>
            <w:r w:rsidRPr="001C0358">
              <w:rPr>
                <w:rFonts w:ascii="Book Antiqua" w:hAnsi="Book Antiqua"/>
                <w:b/>
              </w:rPr>
              <w:t>(</w:t>
            </w:r>
            <w:r w:rsidRPr="008122B4">
              <w:rPr>
                <w:rFonts w:ascii="Book Antiqua" w:hAnsi="Book Antiqua"/>
                <w:b/>
                <w:i/>
              </w:rPr>
              <w:t>n</w:t>
            </w:r>
            <w:r w:rsidRPr="001C0358">
              <w:rPr>
                <w:rFonts w:ascii="Book Antiqua" w:hAnsi="Book Antiqua"/>
                <w:b/>
              </w:rPr>
              <w:t xml:space="preserve"> = 60)</w:t>
            </w:r>
          </w:p>
        </w:tc>
        <w:tc>
          <w:tcPr>
            <w:tcW w:w="2214" w:type="dxa"/>
            <w:tcBorders>
              <w:bottom w:val="single" w:sz="4" w:space="0" w:color="auto"/>
            </w:tcBorders>
          </w:tcPr>
          <w:p w14:paraId="2D986F6A" w14:textId="77777777" w:rsidR="00A95184" w:rsidRPr="001C0358" w:rsidRDefault="00A95184" w:rsidP="00190C0B">
            <w:pPr>
              <w:spacing w:line="360" w:lineRule="auto"/>
              <w:jc w:val="both"/>
              <w:rPr>
                <w:rFonts w:ascii="Book Antiqua" w:hAnsi="Book Antiqua"/>
                <w:b/>
              </w:rPr>
            </w:pPr>
            <w:r w:rsidRPr="001C0358">
              <w:rPr>
                <w:rFonts w:ascii="Book Antiqua" w:hAnsi="Book Antiqua"/>
                <w:b/>
              </w:rPr>
              <w:t>Tacrolimus-BID (</w:t>
            </w:r>
            <w:r w:rsidRPr="008122B4">
              <w:rPr>
                <w:rFonts w:ascii="Book Antiqua" w:hAnsi="Book Antiqua"/>
                <w:b/>
                <w:i/>
              </w:rPr>
              <w:t>n</w:t>
            </w:r>
            <w:r w:rsidRPr="001C0358">
              <w:rPr>
                <w:rFonts w:ascii="Book Antiqua" w:hAnsi="Book Antiqua"/>
                <w:b/>
              </w:rPr>
              <w:t xml:space="preserve"> = 60)</w:t>
            </w:r>
          </w:p>
        </w:tc>
        <w:tc>
          <w:tcPr>
            <w:tcW w:w="2214" w:type="dxa"/>
            <w:tcBorders>
              <w:bottom w:val="single" w:sz="4" w:space="0" w:color="auto"/>
            </w:tcBorders>
          </w:tcPr>
          <w:p w14:paraId="4BF6F712" w14:textId="77777777" w:rsidR="00A95184" w:rsidRPr="001C0358" w:rsidRDefault="00A95184" w:rsidP="00190C0B">
            <w:pPr>
              <w:spacing w:line="360" w:lineRule="auto"/>
              <w:jc w:val="both"/>
              <w:rPr>
                <w:rFonts w:ascii="Book Antiqua" w:hAnsi="Book Antiqua"/>
                <w:b/>
              </w:rPr>
            </w:pPr>
            <w:r>
              <w:rPr>
                <w:rFonts w:ascii="Book Antiqua" w:hAnsi="Book Antiqua"/>
                <w:b/>
              </w:rPr>
              <w:t>Ratio (90%</w:t>
            </w:r>
            <w:r w:rsidRPr="001C0358">
              <w:rPr>
                <w:rFonts w:ascii="Book Antiqua" w:hAnsi="Book Antiqua"/>
                <w:b/>
              </w:rPr>
              <w:t>CI)</w:t>
            </w:r>
          </w:p>
          <w:p w14:paraId="5C7144E7" w14:textId="77777777" w:rsidR="00A95184" w:rsidRPr="001C0358" w:rsidRDefault="00A95184" w:rsidP="00190C0B">
            <w:pPr>
              <w:spacing w:line="360" w:lineRule="auto"/>
              <w:jc w:val="both"/>
              <w:rPr>
                <w:rFonts w:ascii="Book Antiqua" w:hAnsi="Book Antiqua"/>
                <w:b/>
              </w:rPr>
            </w:pPr>
            <w:r w:rsidRPr="001C0358">
              <w:rPr>
                <w:rFonts w:ascii="Book Antiqua" w:hAnsi="Book Antiqua"/>
                <w:b/>
              </w:rPr>
              <w:t>Extended release tacrolimus: Tacrolimus-BID</w:t>
            </w:r>
          </w:p>
        </w:tc>
      </w:tr>
      <w:tr w:rsidR="00A95184" w:rsidRPr="001C0358" w14:paraId="053C28AE" w14:textId="77777777" w:rsidTr="00B8213B">
        <w:tc>
          <w:tcPr>
            <w:tcW w:w="2214" w:type="dxa"/>
          </w:tcPr>
          <w:p w14:paraId="7BC38EA4" w14:textId="77777777" w:rsidR="00A95184" w:rsidRPr="001C0358" w:rsidRDefault="00A95184" w:rsidP="00190C0B">
            <w:pPr>
              <w:spacing w:line="360" w:lineRule="auto"/>
              <w:ind w:right="295"/>
              <w:jc w:val="both"/>
              <w:rPr>
                <w:rFonts w:ascii="Book Antiqua" w:hAnsi="Book Antiqua"/>
              </w:rPr>
            </w:pPr>
            <w:r w:rsidRPr="001C0358">
              <w:rPr>
                <w:rFonts w:ascii="Book Antiqua" w:hAnsi="Book Antiqua"/>
              </w:rPr>
              <w:t>AUC</w:t>
            </w:r>
            <w:r w:rsidRPr="001C0358">
              <w:rPr>
                <w:rFonts w:ascii="Book Antiqua" w:hAnsi="Book Antiqua"/>
                <w:vertAlign w:val="subscript"/>
              </w:rPr>
              <w:t xml:space="preserve">0-24 </w:t>
            </w:r>
            <w:r w:rsidRPr="001C0358">
              <w:rPr>
                <w:rFonts w:ascii="Book Antiqua" w:hAnsi="Book Antiqua"/>
              </w:rPr>
              <w:t>(</w:t>
            </w:r>
            <w:proofErr w:type="spellStart"/>
            <w:r w:rsidRPr="001C0358">
              <w:rPr>
                <w:rFonts w:ascii="Book Antiqua" w:hAnsi="Book Antiqua"/>
              </w:rPr>
              <w:t>ng.h</w:t>
            </w:r>
            <w:proofErr w:type="spellEnd"/>
            <w:r w:rsidRPr="001C0358">
              <w:rPr>
                <w:rFonts w:ascii="Book Antiqua" w:hAnsi="Book Antiqua"/>
              </w:rPr>
              <w:t>/mL)</w:t>
            </w:r>
          </w:p>
        </w:tc>
        <w:tc>
          <w:tcPr>
            <w:tcW w:w="2214" w:type="dxa"/>
          </w:tcPr>
          <w:p w14:paraId="184411CF" w14:textId="77777777" w:rsidR="00A95184" w:rsidRPr="001C0358" w:rsidRDefault="00A95184" w:rsidP="00190C0B">
            <w:pPr>
              <w:spacing w:line="360" w:lineRule="auto"/>
              <w:jc w:val="both"/>
              <w:rPr>
                <w:rFonts w:ascii="Book Antiqua" w:hAnsi="Book Antiqua"/>
              </w:rPr>
            </w:pPr>
            <w:r w:rsidRPr="001C0358">
              <w:rPr>
                <w:rFonts w:ascii="Book Antiqua" w:hAnsi="Book Antiqua"/>
              </w:rPr>
              <w:t>217.75</w:t>
            </w:r>
          </w:p>
        </w:tc>
        <w:tc>
          <w:tcPr>
            <w:tcW w:w="2214" w:type="dxa"/>
          </w:tcPr>
          <w:p w14:paraId="066BE455" w14:textId="77777777" w:rsidR="00A95184" w:rsidRPr="001C0358" w:rsidRDefault="00A95184" w:rsidP="00190C0B">
            <w:pPr>
              <w:spacing w:line="360" w:lineRule="auto"/>
              <w:jc w:val="both"/>
              <w:rPr>
                <w:rFonts w:ascii="Book Antiqua" w:hAnsi="Book Antiqua"/>
              </w:rPr>
            </w:pPr>
            <w:r w:rsidRPr="001C0358">
              <w:rPr>
                <w:rFonts w:ascii="Book Antiqua" w:hAnsi="Book Antiqua"/>
              </w:rPr>
              <w:t>234.42</w:t>
            </w:r>
          </w:p>
        </w:tc>
        <w:tc>
          <w:tcPr>
            <w:tcW w:w="2214" w:type="dxa"/>
          </w:tcPr>
          <w:p w14:paraId="742331D8" w14:textId="77777777" w:rsidR="00A95184" w:rsidRPr="001C0358" w:rsidRDefault="00A95184" w:rsidP="00190C0B">
            <w:pPr>
              <w:spacing w:line="360" w:lineRule="auto"/>
              <w:jc w:val="both"/>
              <w:rPr>
                <w:rFonts w:ascii="Book Antiqua" w:hAnsi="Book Antiqua"/>
              </w:rPr>
            </w:pPr>
            <w:r w:rsidRPr="001C0358">
              <w:rPr>
                <w:rFonts w:ascii="Book Antiqua" w:hAnsi="Book Antiqua"/>
              </w:rPr>
              <w:t>92.9% (89.9-96.0)</w:t>
            </w:r>
          </w:p>
        </w:tc>
      </w:tr>
      <w:tr w:rsidR="00A95184" w:rsidRPr="001C0358" w14:paraId="543DEA48" w14:textId="77777777" w:rsidTr="00B8213B">
        <w:tc>
          <w:tcPr>
            <w:tcW w:w="2214" w:type="dxa"/>
          </w:tcPr>
          <w:p w14:paraId="6FF13C67" w14:textId="77777777" w:rsidR="00A95184" w:rsidRPr="001C0358" w:rsidRDefault="00A95184" w:rsidP="00190C0B">
            <w:pPr>
              <w:spacing w:line="360" w:lineRule="auto"/>
              <w:jc w:val="both"/>
              <w:rPr>
                <w:rFonts w:ascii="Book Antiqua" w:hAnsi="Book Antiqua"/>
                <w:vertAlign w:val="subscript"/>
              </w:rPr>
            </w:pPr>
            <w:proofErr w:type="spellStart"/>
            <w:r w:rsidRPr="001C0358">
              <w:rPr>
                <w:rFonts w:ascii="Book Antiqua" w:hAnsi="Book Antiqua"/>
              </w:rPr>
              <w:t>C</w:t>
            </w:r>
            <w:r w:rsidRPr="001C0358">
              <w:rPr>
                <w:rFonts w:ascii="Book Antiqua" w:hAnsi="Book Antiqua"/>
                <w:vertAlign w:val="subscript"/>
              </w:rPr>
              <w:t>max</w:t>
            </w:r>
            <w:proofErr w:type="spellEnd"/>
            <w:r w:rsidRPr="001C0358">
              <w:rPr>
                <w:rFonts w:ascii="Book Antiqua" w:hAnsi="Book Antiqua"/>
                <w:vertAlign w:val="subscript"/>
              </w:rPr>
              <w:t xml:space="preserve"> </w:t>
            </w:r>
            <w:r w:rsidRPr="001C0358">
              <w:rPr>
                <w:rFonts w:ascii="Book Antiqua" w:hAnsi="Book Antiqua"/>
              </w:rPr>
              <w:t>(</w:t>
            </w:r>
            <w:proofErr w:type="spellStart"/>
            <w:r w:rsidRPr="001C0358">
              <w:rPr>
                <w:rFonts w:ascii="Book Antiqua" w:hAnsi="Book Antiqua"/>
              </w:rPr>
              <w:t>ng</w:t>
            </w:r>
            <w:proofErr w:type="spellEnd"/>
            <w:r w:rsidRPr="001C0358">
              <w:rPr>
                <w:rFonts w:ascii="Book Antiqua" w:hAnsi="Book Antiqua"/>
              </w:rPr>
              <w:t>/mL)</w:t>
            </w:r>
          </w:p>
        </w:tc>
        <w:tc>
          <w:tcPr>
            <w:tcW w:w="2214" w:type="dxa"/>
          </w:tcPr>
          <w:p w14:paraId="14A7272B" w14:textId="77777777" w:rsidR="00A95184" w:rsidRPr="001C0358" w:rsidRDefault="00A95184" w:rsidP="00190C0B">
            <w:pPr>
              <w:spacing w:line="360" w:lineRule="auto"/>
              <w:jc w:val="both"/>
              <w:rPr>
                <w:rFonts w:ascii="Book Antiqua" w:hAnsi="Book Antiqua"/>
              </w:rPr>
            </w:pPr>
            <w:r w:rsidRPr="001C0358">
              <w:rPr>
                <w:rFonts w:ascii="Book Antiqua" w:hAnsi="Book Antiqua"/>
              </w:rPr>
              <w:t>15.99</w:t>
            </w:r>
          </w:p>
        </w:tc>
        <w:tc>
          <w:tcPr>
            <w:tcW w:w="2214" w:type="dxa"/>
          </w:tcPr>
          <w:p w14:paraId="6B9657E3" w14:textId="77777777" w:rsidR="00A95184" w:rsidRPr="001C0358" w:rsidRDefault="00A95184" w:rsidP="00190C0B">
            <w:pPr>
              <w:spacing w:line="360" w:lineRule="auto"/>
              <w:jc w:val="both"/>
              <w:rPr>
                <w:rFonts w:ascii="Book Antiqua" w:hAnsi="Book Antiqua"/>
              </w:rPr>
            </w:pPr>
            <w:r w:rsidRPr="001C0358">
              <w:rPr>
                <w:rFonts w:ascii="Book Antiqua" w:hAnsi="Book Antiqua"/>
              </w:rPr>
              <w:t>21.84</w:t>
            </w:r>
          </w:p>
        </w:tc>
        <w:tc>
          <w:tcPr>
            <w:tcW w:w="2214" w:type="dxa"/>
          </w:tcPr>
          <w:p w14:paraId="01B6934F" w14:textId="77777777" w:rsidR="00A95184" w:rsidRPr="001C0358" w:rsidRDefault="00A95184" w:rsidP="00190C0B">
            <w:pPr>
              <w:spacing w:line="360" w:lineRule="auto"/>
              <w:jc w:val="both"/>
              <w:rPr>
                <w:rFonts w:ascii="Book Antiqua" w:hAnsi="Book Antiqua"/>
              </w:rPr>
            </w:pPr>
            <w:r w:rsidRPr="001C0358">
              <w:rPr>
                <w:rFonts w:ascii="Book Antiqua" w:hAnsi="Book Antiqua"/>
              </w:rPr>
              <w:t>73.2% (67.7-78.7)</w:t>
            </w:r>
          </w:p>
        </w:tc>
      </w:tr>
      <w:tr w:rsidR="00A95184" w:rsidRPr="001C0358" w14:paraId="212B6A86" w14:textId="77777777" w:rsidTr="00B8213B">
        <w:tc>
          <w:tcPr>
            <w:tcW w:w="2214" w:type="dxa"/>
          </w:tcPr>
          <w:p w14:paraId="6651A8EB" w14:textId="77777777" w:rsidR="00A95184" w:rsidRPr="001C0358" w:rsidRDefault="00A95184" w:rsidP="00190C0B">
            <w:pPr>
              <w:spacing w:line="360" w:lineRule="auto"/>
              <w:jc w:val="both"/>
              <w:rPr>
                <w:rFonts w:ascii="Book Antiqua" w:hAnsi="Book Antiqua"/>
                <w:vertAlign w:val="subscript"/>
              </w:rPr>
            </w:pPr>
            <w:proofErr w:type="spellStart"/>
            <w:r w:rsidRPr="001C0358">
              <w:rPr>
                <w:rFonts w:ascii="Book Antiqua" w:hAnsi="Book Antiqua"/>
              </w:rPr>
              <w:t>C</w:t>
            </w:r>
            <w:r w:rsidRPr="001C0358">
              <w:rPr>
                <w:rFonts w:ascii="Book Antiqua" w:hAnsi="Book Antiqua"/>
                <w:vertAlign w:val="subscript"/>
              </w:rPr>
              <w:t>min</w:t>
            </w:r>
            <w:proofErr w:type="spellEnd"/>
            <w:r w:rsidRPr="001C0358">
              <w:rPr>
                <w:rFonts w:ascii="Book Antiqua" w:hAnsi="Book Antiqua"/>
                <w:vertAlign w:val="subscript"/>
              </w:rPr>
              <w:t xml:space="preserve"> </w:t>
            </w:r>
            <w:r w:rsidRPr="001C0358">
              <w:rPr>
                <w:rFonts w:ascii="Book Antiqua" w:hAnsi="Book Antiqua"/>
              </w:rPr>
              <w:t>(</w:t>
            </w:r>
            <w:proofErr w:type="spellStart"/>
            <w:r w:rsidRPr="001C0358">
              <w:rPr>
                <w:rFonts w:ascii="Book Antiqua" w:hAnsi="Book Antiqua"/>
              </w:rPr>
              <w:t>ng</w:t>
            </w:r>
            <w:proofErr w:type="spellEnd"/>
            <w:r w:rsidRPr="001C0358">
              <w:rPr>
                <w:rFonts w:ascii="Book Antiqua" w:hAnsi="Book Antiqua"/>
              </w:rPr>
              <w:t>/mL)</w:t>
            </w:r>
          </w:p>
        </w:tc>
        <w:tc>
          <w:tcPr>
            <w:tcW w:w="2214" w:type="dxa"/>
          </w:tcPr>
          <w:p w14:paraId="65CA2B44" w14:textId="77777777" w:rsidR="00A95184" w:rsidRPr="001C0358" w:rsidRDefault="00A95184" w:rsidP="00190C0B">
            <w:pPr>
              <w:spacing w:line="360" w:lineRule="auto"/>
              <w:jc w:val="both"/>
              <w:rPr>
                <w:rFonts w:ascii="Book Antiqua" w:hAnsi="Book Antiqua"/>
              </w:rPr>
            </w:pPr>
            <w:r w:rsidRPr="001C0358">
              <w:rPr>
                <w:rFonts w:ascii="Book Antiqua" w:hAnsi="Book Antiqua"/>
              </w:rPr>
              <w:t>6.60</w:t>
            </w:r>
          </w:p>
        </w:tc>
        <w:tc>
          <w:tcPr>
            <w:tcW w:w="2214" w:type="dxa"/>
          </w:tcPr>
          <w:p w14:paraId="17EABF20" w14:textId="77777777" w:rsidR="00A95184" w:rsidRPr="001C0358" w:rsidRDefault="00A95184" w:rsidP="00190C0B">
            <w:pPr>
              <w:spacing w:line="360" w:lineRule="auto"/>
              <w:jc w:val="both"/>
              <w:rPr>
                <w:rFonts w:ascii="Book Antiqua" w:hAnsi="Book Antiqua"/>
              </w:rPr>
            </w:pPr>
            <w:r w:rsidRPr="001C0358">
              <w:rPr>
                <w:rFonts w:ascii="Book Antiqua" w:hAnsi="Book Antiqua"/>
              </w:rPr>
              <w:t>7.26</w:t>
            </w:r>
          </w:p>
        </w:tc>
        <w:tc>
          <w:tcPr>
            <w:tcW w:w="2214" w:type="dxa"/>
          </w:tcPr>
          <w:p w14:paraId="23B2E5ED" w14:textId="77777777" w:rsidR="00A95184" w:rsidRPr="001C0358" w:rsidRDefault="00A95184" w:rsidP="00190C0B">
            <w:pPr>
              <w:spacing w:line="360" w:lineRule="auto"/>
              <w:jc w:val="both"/>
              <w:rPr>
                <w:rFonts w:ascii="Book Antiqua" w:hAnsi="Book Antiqua"/>
              </w:rPr>
            </w:pPr>
            <w:r w:rsidRPr="001C0358">
              <w:rPr>
                <w:rFonts w:ascii="Book Antiqua" w:hAnsi="Book Antiqua"/>
              </w:rPr>
              <w:t>90.9% (87.3-94.6)</w:t>
            </w:r>
          </w:p>
        </w:tc>
      </w:tr>
    </w:tbl>
    <w:p w14:paraId="19A25DB7" w14:textId="77777777" w:rsidR="00A95184" w:rsidRPr="001C0358" w:rsidRDefault="00A95184" w:rsidP="00190C0B">
      <w:pPr>
        <w:pStyle w:val="a8"/>
        <w:spacing w:after="0" w:line="360" w:lineRule="auto"/>
        <w:jc w:val="both"/>
        <w:rPr>
          <w:rFonts w:ascii="Book Antiqua" w:hAnsi="Book Antiqua"/>
          <w:sz w:val="24"/>
          <w:szCs w:val="24"/>
        </w:rPr>
      </w:pPr>
    </w:p>
    <w:p w14:paraId="04F1F074" w14:textId="77777777" w:rsidR="00A95184" w:rsidRPr="00ED504C" w:rsidRDefault="00A95184" w:rsidP="00190C0B">
      <w:pPr>
        <w:jc w:val="both"/>
        <w:rPr>
          <w:b/>
        </w:rPr>
      </w:pPr>
    </w:p>
    <w:p w14:paraId="51BBEC10" w14:textId="77777777" w:rsidR="008140EE" w:rsidRDefault="008140EE" w:rsidP="00190C0B">
      <w:pPr>
        <w:jc w:val="both"/>
        <w:rPr>
          <w:rFonts w:ascii="Book Antiqua" w:eastAsia="宋体" w:hAnsi="Book Antiqua" w:cs="Courier New"/>
          <w:b/>
          <w:kern w:val="2"/>
          <w:sz w:val="24"/>
          <w:szCs w:val="24"/>
          <w:lang w:eastAsia="zh-CN"/>
        </w:rPr>
      </w:pPr>
    </w:p>
    <w:p w14:paraId="428DE335" w14:textId="77777777" w:rsidR="00E53C0F" w:rsidRPr="000141F2" w:rsidRDefault="00E53C0F" w:rsidP="00190C0B">
      <w:pPr>
        <w:widowControl w:val="0"/>
        <w:spacing w:after="0" w:line="360" w:lineRule="auto"/>
        <w:jc w:val="both"/>
        <w:rPr>
          <w:rFonts w:ascii="Book Antiqua" w:eastAsia="宋体" w:hAnsi="Book Antiqua" w:cs="Courier New"/>
          <w:b/>
          <w:kern w:val="2"/>
          <w:sz w:val="24"/>
          <w:szCs w:val="24"/>
          <w:lang w:eastAsia="zh-CN"/>
        </w:rPr>
      </w:pPr>
    </w:p>
    <w:sectPr w:rsidR="00E53C0F" w:rsidRPr="000141F2" w:rsidSect="008A6DD9">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58B91" w15:done="0"/>
  <w15:commentEx w15:paraId="00B3F1F9" w15:done="0"/>
  <w15:commentEx w15:paraId="1256938F" w15:done="0"/>
  <w15:commentEx w15:paraId="1E678DF9" w15:done="0"/>
  <w15:commentEx w15:paraId="064188E3" w15:done="0"/>
  <w15:commentEx w15:paraId="323F78F6" w15:done="0"/>
  <w15:commentEx w15:paraId="713DFB83" w15:done="0"/>
  <w15:commentEx w15:paraId="71E6BAF3" w15:done="0"/>
  <w15:commentEx w15:paraId="3B9EE328" w15:done="0"/>
  <w15:commentEx w15:paraId="597D3824" w15:done="0"/>
  <w15:commentEx w15:paraId="22652EF6" w15:done="0"/>
  <w15:commentEx w15:paraId="1EC748A5" w15:done="0"/>
  <w15:commentEx w15:paraId="5E3A9B09" w15:done="0"/>
  <w15:commentEx w15:paraId="095A91D9" w15:done="0"/>
  <w15:commentEx w15:paraId="7299E2AF" w15:done="0"/>
  <w15:commentEx w15:paraId="149A3DE7" w15:done="0"/>
  <w15:commentEx w15:paraId="7C4570CD" w15:done="0"/>
  <w15:commentEx w15:paraId="0F0556EC" w15:done="0"/>
  <w15:commentEx w15:paraId="5AE44551" w15:done="0"/>
  <w15:commentEx w15:paraId="02442D5D" w15:done="0"/>
  <w15:commentEx w15:paraId="0C8D02B5" w15:done="0"/>
  <w15:commentEx w15:paraId="18AD9CE5" w15:done="0"/>
  <w15:commentEx w15:paraId="5768BE12" w15:done="0"/>
  <w15:commentEx w15:paraId="68508EAB" w15:done="0"/>
  <w15:commentEx w15:paraId="757E1B45" w15:paraIdParent="68508EAB" w15:done="0"/>
  <w15:commentEx w15:paraId="01E92E84" w15:done="0"/>
  <w15:commentEx w15:paraId="69AA2896" w15:done="0"/>
  <w15:commentEx w15:paraId="3FE3E9E5" w15:done="0"/>
  <w15:commentEx w15:paraId="2590DA26" w15:done="0"/>
  <w15:commentEx w15:paraId="410DA31F" w15:done="0"/>
  <w15:commentEx w15:paraId="4337A265" w15:done="0"/>
  <w15:commentEx w15:paraId="485DD721" w15:done="0"/>
  <w15:commentEx w15:paraId="5312F00B" w15:done="0"/>
  <w15:commentEx w15:paraId="188FB4C8" w15:done="0"/>
  <w15:commentEx w15:paraId="61698829" w15:done="0"/>
  <w15:commentEx w15:paraId="28997CC4" w15:done="0"/>
  <w15:commentEx w15:paraId="274828C0" w15:done="0"/>
  <w15:commentEx w15:paraId="62F0AD9D" w15:done="0"/>
  <w15:commentEx w15:paraId="3F2E87E9" w15:done="0"/>
  <w15:commentEx w15:paraId="48FB5622" w15:done="0"/>
  <w15:commentEx w15:paraId="75300AB7" w15:done="0"/>
  <w15:commentEx w15:paraId="53103C6E" w15:done="0"/>
  <w15:commentEx w15:paraId="2BAEA1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E332" w14:textId="77777777" w:rsidR="00BF52AF" w:rsidRDefault="00BF52AF" w:rsidP="00383D99">
      <w:pPr>
        <w:spacing w:after="0" w:line="240" w:lineRule="auto"/>
      </w:pPr>
      <w:r>
        <w:separator/>
      </w:r>
    </w:p>
  </w:endnote>
  <w:endnote w:type="continuationSeparator" w:id="0">
    <w:p w14:paraId="28CA164A" w14:textId="77777777" w:rsidR="00BF52AF" w:rsidRDefault="00BF52AF" w:rsidP="003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57254"/>
      <w:docPartObj>
        <w:docPartGallery w:val="Page Numbers (Bottom of Page)"/>
        <w:docPartUnique/>
      </w:docPartObj>
    </w:sdtPr>
    <w:sdtEndPr>
      <w:rPr>
        <w:noProof/>
      </w:rPr>
    </w:sdtEndPr>
    <w:sdtContent>
      <w:p w14:paraId="21CC835E" w14:textId="34FEFDC2" w:rsidR="00915EEA" w:rsidRDefault="00915EEA">
        <w:pPr>
          <w:pStyle w:val="af0"/>
          <w:jc w:val="center"/>
        </w:pPr>
        <w:r>
          <w:fldChar w:fldCharType="begin"/>
        </w:r>
        <w:r>
          <w:instrText xml:space="preserve"> PAGE   \* MERGEFORMAT </w:instrText>
        </w:r>
        <w:r>
          <w:fldChar w:fldCharType="separate"/>
        </w:r>
        <w:r w:rsidR="00C35299">
          <w:rPr>
            <w:noProof/>
          </w:rPr>
          <w:t>4</w:t>
        </w:r>
        <w:r>
          <w:rPr>
            <w:noProof/>
          </w:rPr>
          <w:fldChar w:fldCharType="end"/>
        </w:r>
      </w:p>
    </w:sdtContent>
  </w:sdt>
  <w:p w14:paraId="198E82C1" w14:textId="77777777" w:rsidR="00915EEA" w:rsidRDefault="00915E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D3DD9" w14:textId="77777777" w:rsidR="00BF52AF" w:rsidRDefault="00BF52AF" w:rsidP="00383D99">
      <w:pPr>
        <w:spacing w:after="0" w:line="240" w:lineRule="auto"/>
      </w:pPr>
      <w:r>
        <w:separator/>
      </w:r>
    </w:p>
  </w:footnote>
  <w:footnote w:type="continuationSeparator" w:id="0">
    <w:p w14:paraId="3227F82A" w14:textId="77777777" w:rsidR="00BF52AF" w:rsidRDefault="00BF52AF" w:rsidP="00383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6298"/>
    <w:multiLevelType w:val="hybridMultilevel"/>
    <w:tmpl w:val="5578488C"/>
    <w:lvl w:ilvl="0" w:tplc="CC161E0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D1875"/>
    <w:multiLevelType w:val="hybridMultilevel"/>
    <w:tmpl w:val="AED2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F1810"/>
    <w:multiLevelType w:val="hybridMultilevel"/>
    <w:tmpl w:val="AED2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Rech">
    <w15:presenceInfo w15:providerId="Windows Live" w15:userId="9bdfa7cb28458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E5"/>
    <w:rsid w:val="00010CBC"/>
    <w:rsid w:val="000141F2"/>
    <w:rsid w:val="00015452"/>
    <w:rsid w:val="0002049A"/>
    <w:rsid w:val="000216D0"/>
    <w:rsid w:val="00022546"/>
    <w:rsid w:val="00024057"/>
    <w:rsid w:val="00032C00"/>
    <w:rsid w:val="00054123"/>
    <w:rsid w:val="00064138"/>
    <w:rsid w:val="00065698"/>
    <w:rsid w:val="000713F8"/>
    <w:rsid w:val="000724C0"/>
    <w:rsid w:val="00074195"/>
    <w:rsid w:val="0008397E"/>
    <w:rsid w:val="00084556"/>
    <w:rsid w:val="000851B6"/>
    <w:rsid w:val="000912EB"/>
    <w:rsid w:val="0009411E"/>
    <w:rsid w:val="00094D81"/>
    <w:rsid w:val="000A625C"/>
    <w:rsid w:val="000B3DA3"/>
    <w:rsid w:val="000B4725"/>
    <w:rsid w:val="000B635A"/>
    <w:rsid w:val="000B77CE"/>
    <w:rsid w:val="000C63B6"/>
    <w:rsid w:val="000C7F4C"/>
    <w:rsid w:val="000D615A"/>
    <w:rsid w:val="000E1824"/>
    <w:rsid w:val="000E3CFD"/>
    <w:rsid w:val="000F15C8"/>
    <w:rsid w:val="000F5C89"/>
    <w:rsid w:val="000F634C"/>
    <w:rsid w:val="000F67FE"/>
    <w:rsid w:val="000F7566"/>
    <w:rsid w:val="00121D5D"/>
    <w:rsid w:val="001269BA"/>
    <w:rsid w:val="001442DA"/>
    <w:rsid w:val="00145AB6"/>
    <w:rsid w:val="00146E16"/>
    <w:rsid w:val="001474F1"/>
    <w:rsid w:val="00161D8D"/>
    <w:rsid w:val="00171D91"/>
    <w:rsid w:val="001725F1"/>
    <w:rsid w:val="00176EBE"/>
    <w:rsid w:val="00181CFF"/>
    <w:rsid w:val="00190C0B"/>
    <w:rsid w:val="0019463A"/>
    <w:rsid w:val="00197D5B"/>
    <w:rsid w:val="001A0AF2"/>
    <w:rsid w:val="001A27DE"/>
    <w:rsid w:val="001A37D3"/>
    <w:rsid w:val="001A525E"/>
    <w:rsid w:val="001C0358"/>
    <w:rsid w:val="001C0DAC"/>
    <w:rsid w:val="001D561C"/>
    <w:rsid w:val="001E21F1"/>
    <w:rsid w:val="001E5359"/>
    <w:rsid w:val="001E5806"/>
    <w:rsid w:val="001F7395"/>
    <w:rsid w:val="002073DF"/>
    <w:rsid w:val="0022616A"/>
    <w:rsid w:val="00234914"/>
    <w:rsid w:val="00234E05"/>
    <w:rsid w:val="00244AFE"/>
    <w:rsid w:val="00270925"/>
    <w:rsid w:val="00296174"/>
    <w:rsid w:val="00297611"/>
    <w:rsid w:val="002A21B3"/>
    <w:rsid w:val="002A4F88"/>
    <w:rsid w:val="002A5B05"/>
    <w:rsid w:val="002B3335"/>
    <w:rsid w:val="002B3D86"/>
    <w:rsid w:val="002C7272"/>
    <w:rsid w:val="002D2A23"/>
    <w:rsid w:val="002D4F1B"/>
    <w:rsid w:val="002D51AA"/>
    <w:rsid w:val="002E7DE3"/>
    <w:rsid w:val="002F2682"/>
    <w:rsid w:val="002F3674"/>
    <w:rsid w:val="002F7974"/>
    <w:rsid w:val="00314EE8"/>
    <w:rsid w:val="00316D84"/>
    <w:rsid w:val="00320D0C"/>
    <w:rsid w:val="003467C1"/>
    <w:rsid w:val="0034736B"/>
    <w:rsid w:val="00350E81"/>
    <w:rsid w:val="003606CB"/>
    <w:rsid w:val="003646DC"/>
    <w:rsid w:val="0036588B"/>
    <w:rsid w:val="003659BA"/>
    <w:rsid w:val="00367D50"/>
    <w:rsid w:val="003739F4"/>
    <w:rsid w:val="00383D99"/>
    <w:rsid w:val="003849F6"/>
    <w:rsid w:val="003A63C4"/>
    <w:rsid w:val="003A6D8B"/>
    <w:rsid w:val="003C4F98"/>
    <w:rsid w:val="003D2342"/>
    <w:rsid w:val="003D24DA"/>
    <w:rsid w:val="003D5D8B"/>
    <w:rsid w:val="003E2875"/>
    <w:rsid w:val="003F6B8E"/>
    <w:rsid w:val="00413D37"/>
    <w:rsid w:val="00417F1B"/>
    <w:rsid w:val="00433FC5"/>
    <w:rsid w:val="004365E5"/>
    <w:rsid w:val="00437E05"/>
    <w:rsid w:val="00440FED"/>
    <w:rsid w:val="00451891"/>
    <w:rsid w:val="0045191D"/>
    <w:rsid w:val="00454C56"/>
    <w:rsid w:val="004616D5"/>
    <w:rsid w:val="00462671"/>
    <w:rsid w:val="004645FE"/>
    <w:rsid w:val="004648A6"/>
    <w:rsid w:val="004658AD"/>
    <w:rsid w:val="00466992"/>
    <w:rsid w:val="00470D42"/>
    <w:rsid w:val="00471567"/>
    <w:rsid w:val="0048010B"/>
    <w:rsid w:val="004817CE"/>
    <w:rsid w:val="004A0247"/>
    <w:rsid w:val="004A46BB"/>
    <w:rsid w:val="004B596D"/>
    <w:rsid w:val="004C6201"/>
    <w:rsid w:val="004D3246"/>
    <w:rsid w:val="004F15DC"/>
    <w:rsid w:val="004F1F0F"/>
    <w:rsid w:val="005015DD"/>
    <w:rsid w:val="00501AAC"/>
    <w:rsid w:val="00503402"/>
    <w:rsid w:val="00503B24"/>
    <w:rsid w:val="005042D8"/>
    <w:rsid w:val="005110F0"/>
    <w:rsid w:val="00517AC6"/>
    <w:rsid w:val="00517F78"/>
    <w:rsid w:val="00521489"/>
    <w:rsid w:val="005258C9"/>
    <w:rsid w:val="0055231C"/>
    <w:rsid w:val="00552ED3"/>
    <w:rsid w:val="0057052A"/>
    <w:rsid w:val="005831B4"/>
    <w:rsid w:val="005956F6"/>
    <w:rsid w:val="005A4F02"/>
    <w:rsid w:val="005A5CD7"/>
    <w:rsid w:val="005B016C"/>
    <w:rsid w:val="005B3FE1"/>
    <w:rsid w:val="005B51D9"/>
    <w:rsid w:val="005C2410"/>
    <w:rsid w:val="005C6CAA"/>
    <w:rsid w:val="005D0FAE"/>
    <w:rsid w:val="005D259B"/>
    <w:rsid w:val="005D2AD5"/>
    <w:rsid w:val="005D5718"/>
    <w:rsid w:val="005E2E7E"/>
    <w:rsid w:val="005F1E94"/>
    <w:rsid w:val="006056F0"/>
    <w:rsid w:val="00606EB7"/>
    <w:rsid w:val="00622571"/>
    <w:rsid w:val="00632799"/>
    <w:rsid w:val="0063399B"/>
    <w:rsid w:val="00634770"/>
    <w:rsid w:val="00653E2A"/>
    <w:rsid w:val="00663AD4"/>
    <w:rsid w:val="00667A57"/>
    <w:rsid w:val="00671539"/>
    <w:rsid w:val="00674D05"/>
    <w:rsid w:val="0068630C"/>
    <w:rsid w:val="00687710"/>
    <w:rsid w:val="00691426"/>
    <w:rsid w:val="00691DA0"/>
    <w:rsid w:val="00695022"/>
    <w:rsid w:val="006A1915"/>
    <w:rsid w:val="006A1A61"/>
    <w:rsid w:val="006B2BEC"/>
    <w:rsid w:val="006B65DF"/>
    <w:rsid w:val="006C3782"/>
    <w:rsid w:val="006D07CD"/>
    <w:rsid w:val="006E4383"/>
    <w:rsid w:val="006F56CE"/>
    <w:rsid w:val="007127FF"/>
    <w:rsid w:val="00723168"/>
    <w:rsid w:val="00726636"/>
    <w:rsid w:val="00731243"/>
    <w:rsid w:val="00733949"/>
    <w:rsid w:val="0074371D"/>
    <w:rsid w:val="0075642D"/>
    <w:rsid w:val="00763F65"/>
    <w:rsid w:val="00780FD0"/>
    <w:rsid w:val="00790DC8"/>
    <w:rsid w:val="00797EE8"/>
    <w:rsid w:val="007A001D"/>
    <w:rsid w:val="007A0277"/>
    <w:rsid w:val="007A65AC"/>
    <w:rsid w:val="007C2BD6"/>
    <w:rsid w:val="007C4D99"/>
    <w:rsid w:val="007D2245"/>
    <w:rsid w:val="007D2A21"/>
    <w:rsid w:val="007D31FF"/>
    <w:rsid w:val="007D45BE"/>
    <w:rsid w:val="007D793B"/>
    <w:rsid w:val="007E22F4"/>
    <w:rsid w:val="007E2EE8"/>
    <w:rsid w:val="007F0626"/>
    <w:rsid w:val="00802E33"/>
    <w:rsid w:val="00804C40"/>
    <w:rsid w:val="008115D1"/>
    <w:rsid w:val="00812494"/>
    <w:rsid w:val="008140EE"/>
    <w:rsid w:val="008175C4"/>
    <w:rsid w:val="00827979"/>
    <w:rsid w:val="00835789"/>
    <w:rsid w:val="0083596B"/>
    <w:rsid w:val="00842E14"/>
    <w:rsid w:val="00872022"/>
    <w:rsid w:val="00872367"/>
    <w:rsid w:val="00876FF8"/>
    <w:rsid w:val="008904A0"/>
    <w:rsid w:val="00892585"/>
    <w:rsid w:val="008A6DD9"/>
    <w:rsid w:val="008C50DC"/>
    <w:rsid w:val="008D30B3"/>
    <w:rsid w:val="008D400D"/>
    <w:rsid w:val="008D7232"/>
    <w:rsid w:val="00913AD5"/>
    <w:rsid w:val="00915EEA"/>
    <w:rsid w:val="009366E5"/>
    <w:rsid w:val="0094183B"/>
    <w:rsid w:val="00946B84"/>
    <w:rsid w:val="009656AF"/>
    <w:rsid w:val="00970505"/>
    <w:rsid w:val="00974061"/>
    <w:rsid w:val="00980B11"/>
    <w:rsid w:val="00993D14"/>
    <w:rsid w:val="00996519"/>
    <w:rsid w:val="00997B53"/>
    <w:rsid w:val="009A2173"/>
    <w:rsid w:val="009A3915"/>
    <w:rsid w:val="009A5F6E"/>
    <w:rsid w:val="009B256B"/>
    <w:rsid w:val="009B7E64"/>
    <w:rsid w:val="009C5F22"/>
    <w:rsid w:val="009C727C"/>
    <w:rsid w:val="009D1075"/>
    <w:rsid w:val="009D12FF"/>
    <w:rsid w:val="009D4E48"/>
    <w:rsid w:val="009D6ACD"/>
    <w:rsid w:val="009D71F9"/>
    <w:rsid w:val="009E1A8B"/>
    <w:rsid w:val="009E427C"/>
    <w:rsid w:val="009F0435"/>
    <w:rsid w:val="009F568E"/>
    <w:rsid w:val="009F60C7"/>
    <w:rsid w:val="00A006DE"/>
    <w:rsid w:val="00A07E97"/>
    <w:rsid w:val="00A409EF"/>
    <w:rsid w:val="00A432AE"/>
    <w:rsid w:val="00A444F1"/>
    <w:rsid w:val="00A5532A"/>
    <w:rsid w:val="00A56BAC"/>
    <w:rsid w:val="00A625C9"/>
    <w:rsid w:val="00A64695"/>
    <w:rsid w:val="00A64D61"/>
    <w:rsid w:val="00A665AE"/>
    <w:rsid w:val="00A76DDF"/>
    <w:rsid w:val="00A837EF"/>
    <w:rsid w:val="00A9414F"/>
    <w:rsid w:val="00A95184"/>
    <w:rsid w:val="00A96939"/>
    <w:rsid w:val="00AA0D7D"/>
    <w:rsid w:val="00AC17DE"/>
    <w:rsid w:val="00AD0DEC"/>
    <w:rsid w:val="00AD2BA5"/>
    <w:rsid w:val="00AF28D8"/>
    <w:rsid w:val="00AF5481"/>
    <w:rsid w:val="00B01390"/>
    <w:rsid w:val="00B026E7"/>
    <w:rsid w:val="00B06506"/>
    <w:rsid w:val="00B10384"/>
    <w:rsid w:val="00B14C8B"/>
    <w:rsid w:val="00B2127E"/>
    <w:rsid w:val="00B21419"/>
    <w:rsid w:val="00B25A43"/>
    <w:rsid w:val="00B50DF3"/>
    <w:rsid w:val="00B600DB"/>
    <w:rsid w:val="00B63ED6"/>
    <w:rsid w:val="00B9247C"/>
    <w:rsid w:val="00BA07E3"/>
    <w:rsid w:val="00BB41AF"/>
    <w:rsid w:val="00BC11BE"/>
    <w:rsid w:val="00BC4FBA"/>
    <w:rsid w:val="00BC65B4"/>
    <w:rsid w:val="00BD13BE"/>
    <w:rsid w:val="00BF0F2B"/>
    <w:rsid w:val="00BF47AD"/>
    <w:rsid w:val="00BF52AF"/>
    <w:rsid w:val="00C158AE"/>
    <w:rsid w:val="00C16F95"/>
    <w:rsid w:val="00C33421"/>
    <w:rsid w:val="00C35299"/>
    <w:rsid w:val="00C36B26"/>
    <w:rsid w:val="00C451CB"/>
    <w:rsid w:val="00C51D4A"/>
    <w:rsid w:val="00C62712"/>
    <w:rsid w:val="00C62C78"/>
    <w:rsid w:val="00C66156"/>
    <w:rsid w:val="00C7438A"/>
    <w:rsid w:val="00C80A2F"/>
    <w:rsid w:val="00C86BB6"/>
    <w:rsid w:val="00C93F00"/>
    <w:rsid w:val="00C95FE5"/>
    <w:rsid w:val="00C96403"/>
    <w:rsid w:val="00CA1799"/>
    <w:rsid w:val="00CA2E51"/>
    <w:rsid w:val="00CA4B99"/>
    <w:rsid w:val="00CA57A0"/>
    <w:rsid w:val="00CB0666"/>
    <w:rsid w:val="00CB4907"/>
    <w:rsid w:val="00CB55B8"/>
    <w:rsid w:val="00CC53FF"/>
    <w:rsid w:val="00CD44CC"/>
    <w:rsid w:val="00CE2966"/>
    <w:rsid w:val="00CF521A"/>
    <w:rsid w:val="00D438D1"/>
    <w:rsid w:val="00D5609C"/>
    <w:rsid w:val="00D615D5"/>
    <w:rsid w:val="00D656C6"/>
    <w:rsid w:val="00D823AE"/>
    <w:rsid w:val="00D90E2C"/>
    <w:rsid w:val="00DA1694"/>
    <w:rsid w:val="00DA30E5"/>
    <w:rsid w:val="00DB0DA6"/>
    <w:rsid w:val="00DB50FE"/>
    <w:rsid w:val="00DB675A"/>
    <w:rsid w:val="00DE5AE2"/>
    <w:rsid w:val="00DF6FA2"/>
    <w:rsid w:val="00E016B3"/>
    <w:rsid w:val="00E024CD"/>
    <w:rsid w:val="00E1583C"/>
    <w:rsid w:val="00E166DA"/>
    <w:rsid w:val="00E168D9"/>
    <w:rsid w:val="00E22F71"/>
    <w:rsid w:val="00E241EE"/>
    <w:rsid w:val="00E26055"/>
    <w:rsid w:val="00E528C0"/>
    <w:rsid w:val="00E52B39"/>
    <w:rsid w:val="00E53C0F"/>
    <w:rsid w:val="00E553F5"/>
    <w:rsid w:val="00E712B5"/>
    <w:rsid w:val="00E74973"/>
    <w:rsid w:val="00E7687C"/>
    <w:rsid w:val="00E770B0"/>
    <w:rsid w:val="00E8781E"/>
    <w:rsid w:val="00EA499A"/>
    <w:rsid w:val="00EA63C4"/>
    <w:rsid w:val="00EB28BE"/>
    <w:rsid w:val="00ED479E"/>
    <w:rsid w:val="00ED4F6A"/>
    <w:rsid w:val="00EE21C3"/>
    <w:rsid w:val="00EE7410"/>
    <w:rsid w:val="00EF238F"/>
    <w:rsid w:val="00EF3FBC"/>
    <w:rsid w:val="00EF7BB2"/>
    <w:rsid w:val="00F025B7"/>
    <w:rsid w:val="00F12F80"/>
    <w:rsid w:val="00F13D2B"/>
    <w:rsid w:val="00F15A04"/>
    <w:rsid w:val="00F20B63"/>
    <w:rsid w:val="00F21CE0"/>
    <w:rsid w:val="00F33BF6"/>
    <w:rsid w:val="00F55248"/>
    <w:rsid w:val="00F574DB"/>
    <w:rsid w:val="00F61149"/>
    <w:rsid w:val="00F82675"/>
    <w:rsid w:val="00F962D0"/>
    <w:rsid w:val="00FA3926"/>
    <w:rsid w:val="00FB3638"/>
    <w:rsid w:val="00FC2F2A"/>
    <w:rsid w:val="00FD1265"/>
    <w:rsid w:val="00FE6619"/>
    <w:rsid w:val="00FF3E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4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383D99"/>
    <w:pPr>
      <w:spacing w:after="0" w:line="240" w:lineRule="auto"/>
    </w:pPr>
    <w:rPr>
      <w:sz w:val="20"/>
      <w:szCs w:val="20"/>
    </w:rPr>
  </w:style>
  <w:style w:type="character" w:customStyle="1" w:styleId="Char">
    <w:name w:val="脚注文本 Char"/>
    <w:basedOn w:val="a0"/>
    <w:link w:val="a4"/>
    <w:uiPriority w:val="99"/>
    <w:semiHidden/>
    <w:rsid w:val="00383D99"/>
    <w:rPr>
      <w:sz w:val="20"/>
      <w:szCs w:val="20"/>
    </w:rPr>
  </w:style>
  <w:style w:type="character" w:styleId="a5">
    <w:name w:val="footnote reference"/>
    <w:basedOn w:val="a0"/>
    <w:uiPriority w:val="99"/>
    <w:semiHidden/>
    <w:unhideWhenUsed/>
    <w:rsid w:val="00383D99"/>
    <w:rPr>
      <w:vertAlign w:val="superscript"/>
    </w:rPr>
  </w:style>
  <w:style w:type="paragraph" w:styleId="a6">
    <w:name w:val="Bibliography"/>
    <w:basedOn w:val="a"/>
    <w:next w:val="a"/>
    <w:uiPriority w:val="37"/>
    <w:unhideWhenUsed/>
    <w:rsid w:val="00383D99"/>
    <w:pPr>
      <w:spacing w:after="0" w:line="240" w:lineRule="auto"/>
      <w:ind w:left="720" w:hanging="720"/>
    </w:pPr>
  </w:style>
  <w:style w:type="paragraph" w:styleId="a7">
    <w:name w:val="Normal (Web)"/>
    <w:basedOn w:val="a"/>
    <w:uiPriority w:val="99"/>
    <w:rsid w:val="00B06506"/>
    <w:pPr>
      <w:spacing w:beforeLines="1" w:afterLines="1" w:line="240" w:lineRule="auto"/>
    </w:pPr>
    <w:rPr>
      <w:rFonts w:ascii="Times" w:hAnsi="Times" w:cs="Times New Roman"/>
      <w:sz w:val="20"/>
      <w:szCs w:val="20"/>
    </w:rPr>
  </w:style>
  <w:style w:type="paragraph" w:styleId="a8">
    <w:name w:val="List Paragraph"/>
    <w:basedOn w:val="a"/>
    <w:uiPriority w:val="34"/>
    <w:qFormat/>
    <w:rsid w:val="00024057"/>
    <w:pPr>
      <w:ind w:left="720"/>
      <w:contextualSpacing/>
    </w:pPr>
  </w:style>
  <w:style w:type="paragraph" w:styleId="a9">
    <w:name w:val="Balloon Text"/>
    <w:basedOn w:val="a"/>
    <w:link w:val="Char0"/>
    <w:uiPriority w:val="99"/>
    <w:semiHidden/>
    <w:unhideWhenUsed/>
    <w:rsid w:val="003467C1"/>
    <w:pPr>
      <w:spacing w:after="0" w:line="240" w:lineRule="auto"/>
    </w:pPr>
    <w:rPr>
      <w:rFonts w:ascii="Lucida Grande" w:hAnsi="Lucida Grande" w:cs="Lucida Grande"/>
      <w:sz w:val="18"/>
      <w:szCs w:val="18"/>
    </w:rPr>
  </w:style>
  <w:style w:type="character" w:customStyle="1" w:styleId="Char0">
    <w:name w:val="批注框文本 Char"/>
    <w:basedOn w:val="a0"/>
    <w:link w:val="a9"/>
    <w:uiPriority w:val="99"/>
    <w:semiHidden/>
    <w:rsid w:val="003467C1"/>
    <w:rPr>
      <w:rFonts w:ascii="Lucida Grande" w:eastAsiaTheme="minorEastAsia" w:hAnsi="Lucida Grande" w:cs="Lucida Grande"/>
      <w:sz w:val="18"/>
      <w:szCs w:val="18"/>
    </w:rPr>
  </w:style>
  <w:style w:type="character" w:styleId="aa">
    <w:name w:val="annotation reference"/>
    <w:basedOn w:val="a0"/>
    <w:uiPriority w:val="99"/>
    <w:semiHidden/>
    <w:unhideWhenUsed/>
    <w:rsid w:val="001D561C"/>
    <w:rPr>
      <w:sz w:val="16"/>
      <w:szCs w:val="16"/>
    </w:rPr>
  </w:style>
  <w:style w:type="paragraph" w:styleId="ab">
    <w:name w:val="annotation text"/>
    <w:basedOn w:val="a"/>
    <w:link w:val="Char1"/>
    <w:uiPriority w:val="99"/>
    <w:semiHidden/>
    <w:unhideWhenUsed/>
    <w:rsid w:val="001D561C"/>
    <w:pPr>
      <w:spacing w:line="240" w:lineRule="auto"/>
    </w:pPr>
    <w:rPr>
      <w:sz w:val="20"/>
      <w:szCs w:val="20"/>
    </w:rPr>
  </w:style>
  <w:style w:type="character" w:customStyle="1" w:styleId="Char1">
    <w:name w:val="批注文字 Char"/>
    <w:basedOn w:val="a0"/>
    <w:link w:val="ab"/>
    <w:uiPriority w:val="99"/>
    <w:semiHidden/>
    <w:rsid w:val="001D561C"/>
    <w:rPr>
      <w:sz w:val="20"/>
      <w:szCs w:val="20"/>
    </w:rPr>
  </w:style>
  <w:style w:type="paragraph" w:styleId="ac">
    <w:name w:val="annotation subject"/>
    <w:basedOn w:val="ab"/>
    <w:next w:val="ab"/>
    <w:link w:val="Char2"/>
    <w:uiPriority w:val="99"/>
    <w:semiHidden/>
    <w:unhideWhenUsed/>
    <w:rsid w:val="001D561C"/>
    <w:rPr>
      <w:b/>
      <w:bCs/>
    </w:rPr>
  </w:style>
  <w:style w:type="character" w:customStyle="1" w:styleId="Char2">
    <w:name w:val="批注主题 Char"/>
    <w:basedOn w:val="Char1"/>
    <w:link w:val="ac"/>
    <w:uiPriority w:val="99"/>
    <w:semiHidden/>
    <w:rsid w:val="001D561C"/>
    <w:rPr>
      <w:b/>
      <w:bCs/>
      <w:sz w:val="20"/>
      <w:szCs w:val="20"/>
    </w:rPr>
  </w:style>
  <w:style w:type="paragraph" w:styleId="ad">
    <w:name w:val="Revision"/>
    <w:hidden/>
    <w:uiPriority w:val="99"/>
    <w:semiHidden/>
    <w:rsid w:val="00CA2E51"/>
    <w:pPr>
      <w:spacing w:after="0" w:line="240" w:lineRule="auto"/>
    </w:pPr>
  </w:style>
  <w:style w:type="character" w:styleId="ae">
    <w:name w:val="Hyperlink"/>
    <w:basedOn w:val="a0"/>
    <w:uiPriority w:val="99"/>
    <w:unhideWhenUsed/>
    <w:rsid w:val="000713F8"/>
    <w:rPr>
      <w:color w:val="0000FF" w:themeColor="hyperlink"/>
      <w:u w:val="single"/>
    </w:rPr>
  </w:style>
  <w:style w:type="character" w:customStyle="1" w:styleId="highlight">
    <w:name w:val="highlight"/>
    <w:basedOn w:val="a0"/>
    <w:rsid w:val="00F33BF6"/>
  </w:style>
  <w:style w:type="character" w:customStyle="1" w:styleId="doi1">
    <w:name w:val="doi1"/>
    <w:basedOn w:val="a0"/>
    <w:rsid w:val="00CC53FF"/>
  </w:style>
  <w:style w:type="paragraph" w:styleId="af">
    <w:name w:val="header"/>
    <w:basedOn w:val="a"/>
    <w:link w:val="Char3"/>
    <w:uiPriority w:val="99"/>
    <w:unhideWhenUsed/>
    <w:rsid w:val="00B10384"/>
    <w:pPr>
      <w:tabs>
        <w:tab w:val="center" w:pos="4680"/>
        <w:tab w:val="right" w:pos="9360"/>
      </w:tabs>
      <w:spacing w:after="0" w:line="240" w:lineRule="auto"/>
    </w:pPr>
  </w:style>
  <w:style w:type="character" w:customStyle="1" w:styleId="Char3">
    <w:name w:val="页眉 Char"/>
    <w:basedOn w:val="a0"/>
    <w:link w:val="af"/>
    <w:uiPriority w:val="99"/>
    <w:rsid w:val="00B10384"/>
  </w:style>
  <w:style w:type="paragraph" w:styleId="af0">
    <w:name w:val="footer"/>
    <w:basedOn w:val="a"/>
    <w:link w:val="Char4"/>
    <w:uiPriority w:val="99"/>
    <w:unhideWhenUsed/>
    <w:rsid w:val="00B10384"/>
    <w:pPr>
      <w:tabs>
        <w:tab w:val="center" w:pos="4680"/>
        <w:tab w:val="right" w:pos="9360"/>
      </w:tabs>
      <w:spacing w:after="0" w:line="240" w:lineRule="auto"/>
    </w:pPr>
  </w:style>
  <w:style w:type="character" w:customStyle="1" w:styleId="Char4">
    <w:name w:val="页脚 Char"/>
    <w:basedOn w:val="a0"/>
    <w:link w:val="af0"/>
    <w:uiPriority w:val="99"/>
    <w:rsid w:val="00B10384"/>
  </w:style>
  <w:style w:type="character" w:styleId="af1">
    <w:name w:val="Emphasis"/>
    <w:qFormat/>
    <w:rsid w:val="00B50DF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383D99"/>
    <w:pPr>
      <w:spacing w:after="0" w:line="240" w:lineRule="auto"/>
    </w:pPr>
    <w:rPr>
      <w:sz w:val="20"/>
      <w:szCs w:val="20"/>
    </w:rPr>
  </w:style>
  <w:style w:type="character" w:customStyle="1" w:styleId="Char">
    <w:name w:val="脚注文本 Char"/>
    <w:basedOn w:val="a0"/>
    <w:link w:val="a4"/>
    <w:uiPriority w:val="99"/>
    <w:semiHidden/>
    <w:rsid w:val="00383D99"/>
    <w:rPr>
      <w:sz w:val="20"/>
      <w:szCs w:val="20"/>
    </w:rPr>
  </w:style>
  <w:style w:type="character" w:styleId="a5">
    <w:name w:val="footnote reference"/>
    <w:basedOn w:val="a0"/>
    <w:uiPriority w:val="99"/>
    <w:semiHidden/>
    <w:unhideWhenUsed/>
    <w:rsid w:val="00383D99"/>
    <w:rPr>
      <w:vertAlign w:val="superscript"/>
    </w:rPr>
  </w:style>
  <w:style w:type="paragraph" w:styleId="a6">
    <w:name w:val="Bibliography"/>
    <w:basedOn w:val="a"/>
    <w:next w:val="a"/>
    <w:uiPriority w:val="37"/>
    <w:unhideWhenUsed/>
    <w:rsid w:val="00383D99"/>
    <w:pPr>
      <w:spacing w:after="0" w:line="240" w:lineRule="auto"/>
      <w:ind w:left="720" w:hanging="720"/>
    </w:pPr>
  </w:style>
  <w:style w:type="paragraph" w:styleId="a7">
    <w:name w:val="Normal (Web)"/>
    <w:basedOn w:val="a"/>
    <w:uiPriority w:val="99"/>
    <w:rsid w:val="00B06506"/>
    <w:pPr>
      <w:spacing w:beforeLines="1" w:afterLines="1" w:line="240" w:lineRule="auto"/>
    </w:pPr>
    <w:rPr>
      <w:rFonts w:ascii="Times" w:hAnsi="Times" w:cs="Times New Roman"/>
      <w:sz w:val="20"/>
      <w:szCs w:val="20"/>
    </w:rPr>
  </w:style>
  <w:style w:type="paragraph" w:styleId="a8">
    <w:name w:val="List Paragraph"/>
    <w:basedOn w:val="a"/>
    <w:uiPriority w:val="34"/>
    <w:qFormat/>
    <w:rsid w:val="00024057"/>
    <w:pPr>
      <w:ind w:left="720"/>
      <w:contextualSpacing/>
    </w:pPr>
  </w:style>
  <w:style w:type="paragraph" w:styleId="a9">
    <w:name w:val="Balloon Text"/>
    <w:basedOn w:val="a"/>
    <w:link w:val="Char0"/>
    <w:uiPriority w:val="99"/>
    <w:semiHidden/>
    <w:unhideWhenUsed/>
    <w:rsid w:val="003467C1"/>
    <w:pPr>
      <w:spacing w:after="0" w:line="240" w:lineRule="auto"/>
    </w:pPr>
    <w:rPr>
      <w:rFonts w:ascii="Lucida Grande" w:hAnsi="Lucida Grande" w:cs="Lucida Grande"/>
      <w:sz w:val="18"/>
      <w:szCs w:val="18"/>
    </w:rPr>
  </w:style>
  <w:style w:type="character" w:customStyle="1" w:styleId="Char0">
    <w:name w:val="批注框文本 Char"/>
    <w:basedOn w:val="a0"/>
    <w:link w:val="a9"/>
    <w:uiPriority w:val="99"/>
    <w:semiHidden/>
    <w:rsid w:val="003467C1"/>
    <w:rPr>
      <w:rFonts w:ascii="Lucida Grande" w:eastAsiaTheme="minorEastAsia" w:hAnsi="Lucida Grande" w:cs="Lucida Grande"/>
      <w:sz w:val="18"/>
      <w:szCs w:val="18"/>
    </w:rPr>
  </w:style>
  <w:style w:type="character" w:styleId="aa">
    <w:name w:val="annotation reference"/>
    <w:basedOn w:val="a0"/>
    <w:uiPriority w:val="99"/>
    <w:semiHidden/>
    <w:unhideWhenUsed/>
    <w:rsid w:val="001D561C"/>
    <w:rPr>
      <w:sz w:val="16"/>
      <w:szCs w:val="16"/>
    </w:rPr>
  </w:style>
  <w:style w:type="paragraph" w:styleId="ab">
    <w:name w:val="annotation text"/>
    <w:basedOn w:val="a"/>
    <w:link w:val="Char1"/>
    <w:uiPriority w:val="99"/>
    <w:semiHidden/>
    <w:unhideWhenUsed/>
    <w:rsid w:val="001D561C"/>
    <w:pPr>
      <w:spacing w:line="240" w:lineRule="auto"/>
    </w:pPr>
    <w:rPr>
      <w:sz w:val="20"/>
      <w:szCs w:val="20"/>
    </w:rPr>
  </w:style>
  <w:style w:type="character" w:customStyle="1" w:styleId="Char1">
    <w:name w:val="批注文字 Char"/>
    <w:basedOn w:val="a0"/>
    <w:link w:val="ab"/>
    <w:uiPriority w:val="99"/>
    <w:semiHidden/>
    <w:rsid w:val="001D561C"/>
    <w:rPr>
      <w:sz w:val="20"/>
      <w:szCs w:val="20"/>
    </w:rPr>
  </w:style>
  <w:style w:type="paragraph" w:styleId="ac">
    <w:name w:val="annotation subject"/>
    <w:basedOn w:val="ab"/>
    <w:next w:val="ab"/>
    <w:link w:val="Char2"/>
    <w:uiPriority w:val="99"/>
    <w:semiHidden/>
    <w:unhideWhenUsed/>
    <w:rsid w:val="001D561C"/>
    <w:rPr>
      <w:b/>
      <w:bCs/>
    </w:rPr>
  </w:style>
  <w:style w:type="character" w:customStyle="1" w:styleId="Char2">
    <w:name w:val="批注主题 Char"/>
    <w:basedOn w:val="Char1"/>
    <w:link w:val="ac"/>
    <w:uiPriority w:val="99"/>
    <w:semiHidden/>
    <w:rsid w:val="001D561C"/>
    <w:rPr>
      <w:b/>
      <w:bCs/>
      <w:sz w:val="20"/>
      <w:szCs w:val="20"/>
    </w:rPr>
  </w:style>
  <w:style w:type="paragraph" w:styleId="ad">
    <w:name w:val="Revision"/>
    <w:hidden/>
    <w:uiPriority w:val="99"/>
    <w:semiHidden/>
    <w:rsid w:val="00CA2E51"/>
    <w:pPr>
      <w:spacing w:after="0" w:line="240" w:lineRule="auto"/>
    </w:pPr>
  </w:style>
  <w:style w:type="character" w:styleId="ae">
    <w:name w:val="Hyperlink"/>
    <w:basedOn w:val="a0"/>
    <w:uiPriority w:val="99"/>
    <w:unhideWhenUsed/>
    <w:rsid w:val="000713F8"/>
    <w:rPr>
      <w:color w:val="0000FF" w:themeColor="hyperlink"/>
      <w:u w:val="single"/>
    </w:rPr>
  </w:style>
  <w:style w:type="character" w:customStyle="1" w:styleId="highlight">
    <w:name w:val="highlight"/>
    <w:basedOn w:val="a0"/>
    <w:rsid w:val="00F33BF6"/>
  </w:style>
  <w:style w:type="character" w:customStyle="1" w:styleId="doi1">
    <w:name w:val="doi1"/>
    <w:basedOn w:val="a0"/>
    <w:rsid w:val="00CC53FF"/>
  </w:style>
  <w:style w:type="paragraph" w:styleId="af">
    <w:name w:val="header"/>
    <w:basedOn w:val="a"/>
    <w:link w:val="Char3"/>
    <w:uiPriority w:val="99"/>
    <w:unhideWhenUsed/>
    <w:rsid w:val="00B10384"/>
    <w:pPr>
      <w:tabs>
        <w:tab w:val="center" w:pos="4680"/>
        <w:tab w:val="right" w:pos="9360"/>
      </w:tabs>
      <w:spacing w:after="0" w:line="240" w:lineRule="auto"/>
    </w:pPr>
  </w:style>
  <w:style w:type="character" w:customStyle="1" w:styleId="Char3">
    <w:name w:val="页眉 Char"/>
    <w:basedOn w:val="a0"/>
    <w:link w:val="af"/>
    <w:uiPriority w:val="99"/>
    <w:rsid w:val="00B10384"/>
  </w:style>
  <w:style w:type="paragraph" w:styleId="af0">
    <w:name w:val="footer"/>
    <w:basedOn w:val="a"/>
    <w:link w:val="Char4"/>
    <w:uiPriority w:val="99"/>
    <w:unhideWhenUsed/>
    <w:rsid w:val="00B10384"/>
    <w:pPr>
      <w:tabs>
        <w:tab w:val="center" w:pos="4680"/>
        <w:tab w:val="right" w:pos="9360"/>
      </w:tabs>
      <w:spacing w:after="0" w:line="240" w:lineRule="auto"/>
    </w:pPr>
  </w:style>
  <w:style w:type="character" w:customStyle="1" w:styleId="Char4">
    <w:name w:val="页脚 Char"/>
    <w:basedOn w:val="a0"/>
    <w:link w:val="af0"/>
    <w:uiPriority w:val="99"/>
    <w:rsid w:val="00B10384"/>
  </w:style>
  <w:style w:type="character" w:styleId="af1">
    <w:name w:val="Emphasis"/>
    <w:qFormat/>
    <w:rsid w:val="00B50DF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9918">
      <w:bodyDiv w:val="1"/>
      <w:marLeft w:val="0"/>
      <w:marRight w:val="0"/>
      <w:marTop w:val="0"/>
      <w:marBottom w:val="0"/>
      <w:divBdr>
        <w:top w:val="none" w:sz="0" w:space="0" w:color="auto"/>
        <w:left w:val="none" w:sz="0" w:space="0" w:color="auto"/>
        <w:bottom w:val="none" w:sz="0" w:space="0" w:color="auto"/>
        <w:right w:val="none" w:sz="0" w:space="0" w:color="auto"/>
      </w:divBdr>
      <w:divsChild>
        <w:div w:id="483161426">
          <w:marLeft w:val="0"/>
          <w:marRight w:val="0"/>
          <w:marTop w:val="0"/>
          <w:marBottom w:val="0"/>
          <w:divBdr>
            <w:top w:val="single" w:sz="2" w:space="0" w:color="2E2E2E"/>
            <w:left w:val="single" w:sz="2" w:space="0" w:color="2E2E2E"/>
            <w:bottom w:val="single" w:sz="2" w:space="0" w:color="2E2E2E"/>
            <w:right w:val="single" w:sz="2" w:space="0" w:color="2E2E2E"/>
          </w:divBdr>
          <w:divsChild>
            <w:div w:id="823543567">
              <w:marLeft w:val="0"/>
              <w:marRight w:val="0"/>
              <w:marTop w:val="0"/>
              <w:marBottom w:val="0"/>
              <w:divBdr>
                <w:top w:val="single" w:sz="6" w:space="0" w:color="C9C9C9"/>
                <w:left w:val="none" w:sz="0" w:space="0" w:color="auto"/>
                <w:bottom w:val="none" w:sz="0" w:space="0" w:color="auto"/>
                <w:right w:val="none" w:sz="0" w:space="0" w:color="auto"/>
              </w:divBdr>
              <w:divsChild>
                <w:div w:id="1635058606">
                  <w:marLeft w:val="0"/>
                  <w:marRight w:val="0"/>
                  <w:marTop w:val="0"/>
                  <w:marBottom w:val="0"/>
                  <w:divBdr>
                    <w:top w:val="none" w:sz="0" w:space="0" w:color="auto"/>
                    <w:left w:val="none" w:sz="0" w:space="0" w:color="auto"/>
                    <w:bottom w:val="none" w:sz="0" w:space="0" w:color="auto"/>
                    <w:right w:val="none" w:sz="0" w:space="0" w:color="auto"/>
                  </w:divBdr>
                  <w:divsChild>
                    <w:div w:id="2047872864">
                      <w:marLeft w:val="0"/>
                      <w:marRight w:val="0"/>
                      <w:marTop w:val="0"/>
                      <w:marBottom w:val="0"/>
                      <w:divBdr>
                        <w:top w:val="none" w:sz="0" w:space="0" w:color="auto"/>
                        <w:left w:val="none" w:sz="0" w:space="0" w:color="auto"/>
                        <w:bottom w:val="none" w:sz="0" w:space="0" w:color="auto"/>
                        <w:right w:val="none" w:sz="0" w:space="0" w:color="auto"/>
                      </w:divBdr>
                      <w:divsChild>
                        <w:div w:id="8208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871">
      <w:bodyDiv w:val="1"/>
      <w:marLeft w:val="0"/>
      <w:marRight w:val="0"/>
      <w:marTop w:val="0"/>
      <w:marBottom w:val="0"/>
      <w:divBdr>
        <w:top w:val="none" w:sz="0" w:space="0" w:color="auto"/>
        <w:left w:val="none" w:sz="0" w:space="0" w:color="auto"/>
        <w:bottom w:val="none" w:sz="0" w:space="0" w:color="auto"/>
        <w:right w:val="none" w:sz="0" w:space="0" w:color="auto"/>
      </w:divBdr>
      <w:divsChild>
        <w:div w:id="1305549389">
          <w:marLeft w:val="0"/>
          <w:marRight w:val="0"/>
          <w:marTop w:val="0"/>
          <w:marBottom w:val="0"/>
          <w:divBdr>
            <w:top w:val="single" w:sz="2" w:space="0" w:color="2E2E2E"/>
            <w:left w:val="single" w:sz="2" w:space="0" w:color="2E2E2E"/>
            <w:bottom w:val="single" w:sz="2" w:space="0" w:color="2E2E2E"/>
            <w:right w:val="single" w:sz="2" w:space="0" w:color="2E2E2E"/>
          </w:divBdr>
          <w:divsChild>
            <w:div w:id="674957481">
              <w:marLeft w:val="0"/>
              <w:marRight w:val="0"/>
              <w:marTop w:val="0"/>
              <w:marBottom w:val="0"/>
              <w:divBdr>
                <w:top w:val="single" w:sz="6" w:space="0" w:color="C9C9C9"/>
                <w:left w:val="none" w:sz="0" w:space="0" w:color="auto"/>
                <w:bottom w:val="none" w:sz="0" w:space="0" w:color="auto"/>
                <w:right w:val="none" w:sz="0" w:space="0" w:color="auto"/>
              </w:divBdr>
              <w:divsChild>
                <w:div w:id="298346060">
                  <w:marLeft w:val="0"/>
                  <w:marRight w:val="0"/>
                  <w:marTop w:val="0"/>
                  <w:marBottom w:val="0"/>
                  <w:divBdr>
                    <w:top w:val="none" w:sz="0" w:space="0" w:color="auto"/>
                    <w:left w:val="none" w:sz="0" w:space="0" w:color="auto"/>
                    <w:bottom w:val="none" w:sz="0" w:space="0" w:color="auto"/>
                    <w:right w:val="none" w:sz="0" w:space="0" w:color="auto"/>
                  </w:divBdr>
                  <w:divsChild>
                    <w:div w:id="952712714">
                      <w:marLeft w:val="0"/>
                      <w:marRight w:val="0"/>
                      <w:marTop w:val="0"/>
                      <w:marBottom w:val="0"/>
                      <w:divBdr>
                        <w:top w:val="none" w:sz="0" w:space="0" w:color="auto"/>
                        <w:left w:val="none" w:sz="0" w:space="0" w:color="auto"/>
                        <w:bottom w:val="none" w:sz="0" w:space="0" w:color="auto"/>
                        <w:right w:val="none" w:sz="0" w:space="0" w:color="auto"/>
                      </w:divBdr>
                      <w:divsChild>
                        <w:div w:id="2566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11422">
      <w:bodyDiv w:val="1"/>
      <w:marLeft w:val="0"/>
      <w:marRight w:val="0"/>
      <w:marTop w:val="0"/>
      <w:marBottom w:val="0"/>
      <w:divBdr>
        <w:top w:val="none" w:sz="0" w:space="0" w:color="auto"/>
        <w:left w:val="none" w:sz="0" w:space="0" w:color="auto"/>
        <w:bottom w:val="none" w:sz="0" w:space="0" w:color="auto"/>
        <w:right w:val="none" w:sz="0" w:space="0" w:color="auto"/>
      </w:divBdr>
      <w:divsChild>
        <w:div w:id="1217815223">
          <w:marLeft w:val="0"/>
          <w:marRight w:val="0"/>
          <w:marTop w:val="0"/>
          <w:marBottom w:val="0"/>
          <w:divBdr>
            <w:top w:val="single" w:sz="2" w:space="0" w:color="2E2E2E"/>
            <w:left w:val="single" w:sz="2" w:space="0" w:color="2E2E2E"/>
            <w:bottom w:val="single" w:sz="2" w:space="0" w:color="2E2E2E"/>
            <w:right w:val="single" w:sz="2" w:space="0" w:color="2E2E2E"/>
          </w:divBdr>
          <w:divsChild>
            <w:div w:id="2103337329">
              <w:marLeft w:val="0"/>
              <w:marRight w:val="0"/>
              <w:marTop w:val="0"/>
              <w:marBottom w:val="0"/>
              <w:divBdr>
                <w:top w:val="single" w:sz="6" w:space="0" w:color="C9C9C9"/>
                <w:left w:val="none" w:sz="0" w:space="0" w:color="auto"/>
                <w:bottom w:val="none" w:sz="0" w:space="0" w:color="auto"/>
                <w:right w:val="none" w:sz="0" w:space="0" w:color="auto"/>
              </w:divBdr>
              <w:divsChild>
                <w:div w:id="1980455892">
                  <w:marLeft w:val="0"/>
                  <w:marRight w:val="0"/>
                  <w:marTop w:val="0"/>
                  <w:marBottom w:val="0"/>
                  <w:divBdr>
                    <w:top w:val="none" w:sz="0" w:space="0" w:color="auto"/>
                    <w:left w:val="none" w:sz="0" w:space="0" w:color="auto"/>
                    <w:bottom w:val="none" w:sz="0" w:space="0" w:color="auto"/>
                    <w:right w:val="none" w:sz="0" w:space="0" w:color="auto"/>
                  </w:divBdr>
                  <w:divsChild>
                    <w:div w:id="981664648">
                      <w:marLeft w:val="0"/>
                      <w:marRight w:val="0"/>
                      <w:marTop w:val="0"/>
                      <w:marBottom w:val="0"/>
                      <w:divBdr>
                        <w:top w:val="none" w:sz="0" w:space="0" w:color="auto"/>
                        <w:left w:val="none" w:sz="0" w:space="0" w:color="auto"/>
                        <w:bottom w:val="none" w:sz="0" w:space="0" w:color="auto"/>
                        <w:right w:val="none" w:sz="0" w:space="0" w:color="auto"/>
                      </w:divBdr>
                      <w:divsChild>
                        <w:div w:id="14077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54944">
      <w:bodyDiv w:val="1"/>
      <w:marLeft w:val="0"/>
      <w:marRight w:val="0"/>
      <w:marTop w:val="0"/>
      <w:marBottom w:val="0"/>
      <w:divBdr>
        <w:top w:val="none" w:sz="0" w:space="0" w:color="auto"/>
        <w:left w:val="none" w:sz="0" w:space="0" w:color="auto"/>
        <w:bottom w:val="none" w:sz="0" w:space="0" w:color="auto"/>
        <w:right w:val="none" w:sz="0" w:space="0" w:color="auto"/>
      </w:divBdr>
      <w:divsChild>
        <w:div w:id="531915130">
          <w:marLeft w:val="0"/>
          <w:marRight w:val="0"/>
          <w:marTop w:val="0"/>
          <w:marBottom w:val="0"/>
          <w:divBdr>
            <w:top w:val="single" w:sz="2" w:space="0" w:color="2E2E2E"/>
            <w:left w:val="single" w:sz="2" w:space="0" w:color="2E2E2E"/>
            <w:bottom w:val="single" w:sz="2" w:space="0" w:color="2E2E2E"/>
            <w:right w:val="single" w:sz="2" w:space="0" w:color="2E2E2E"/>
          </w:divBdr>
          <w:divsChild>
            <w:div w:id="1980262108">
              <w:marLeft w:val="0"/>
              <w:marRight w:val="0"/>
              <w:marTop w:val="0"/>
              <w:marBottom w:val="0"/>
              <w:divBdr>
                <w:top w:val="single" w:sz="6" w:space="0" w:color="C9C9C9"/>
                <w:left w:val="none" w:sz="0" w:space="0" w:color="auto"/>
                <w:bottom w:val="none" w:sz="0" w:space="0" w:color="auto"/>
                <w:right w:val="none" w:sz="0" w:space="0" w:color="auto"/>
              </w:divBdr>
              <w:divsChild>
                <w:div w:id="1937056353">
                  <w:marLeft w:val="0"/>
                  <w:marRight w:val="0"/>
                  <w:marTop w:val="0"/>
                  <w:marBottom w:val="0"/>
                  <w:divBdr>
                    <w:top w:val="none" w:sz="0" w:space="0" w:color="auto"/>
                    <w:left w:val="none" w:sz="0" w:space="0" w:color="auto"/>
                    <w:bottom w:val="none" w:sz="0" w:space="0" w:color="auto"/>
                    <w:right w:val="none" w:sz="0" w:space="0" w:color="auto"/>
                  </w:divBdr>
                  <w:divsChild>
                    <w:div w:id="931401315">
                      <w:marLeft w:val="0"/>
                      <w:marRight w:val="0"/>
                      <w:marTop w:val="0"/>
                      <w:marBottom w:val="0"/>
                      <w:divBdr>
                        <w:top w:val="none" w:sz="0" w:space="0" w:color="auto"/>
                        <w:left w:val="none" w:sz="0" w:space="0" w:color="auto"/>
                        <w:bottom w:val="none" w:sz="0" w:space="0" w:color="auto"/>
                        <w:right w:val="none" w:sz="0" w:space="0" w:color="auto"/>
                      </w:divBdr>
                      <w:divsChild>
                        <w:div w:id="46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95196">
      <w:bodyDiv w:val="1"/>
      <w:marLeft w:val="0"/>
      <w:marRight w:val="0"/>
      <w:marTop w:val="0"/>
      <w:marBottom w:val="0"/>
      <w:divBdr>
        <w:top w:val="none" w:sz="0" w:space="0" w:color="auto"/>
        <w:left w:val="none" w:sz="0" w:space="0" w:color="auto"/>
        <w:bottom w:val="none" w:sz="0" w:space="0" w:color="auto"/>
        <w:right w:val="none" w:sz="0" w:space="0" w:color="auto"/>
      </w:divBdr>
      <w:divsChild>
        <w:div w:id="685592209">
          <w:marLeft w:val="0"/>
          <w:marRight w:val="0"/>
          <w:marTop w:val="0"/>
          <w:marBottom w:val="0"/>
          <w:divBdr>
            <w:top w:val="single" w:sz="2" w:space="0" w:color="2E2E2E"/>
            <w:left w:val="single" w:sz="2" w:space="0" w:color="2E2E2E"/>
            <w:bottom w:val="single" w:sz="2" w:space="0" w:color="2E2E2E"/>
            <w:right w:val="single" w:sz="2" w:space="0" w:color="2E2E2E"/>
          </w:divBdr>
          <w:divsChild>
            <w:div w:id="578443331">
              <w:marLeft w:val="0"/>
              <w:marRight w:val="0"/>
              <w:marTop w:val="0"/>
              <w:marBottom w:val="0"/>
              <w:divBdr>
                <w:top w:val="single" w:sz="6" w:space="0" w:color="C9C9C9"/>
                <w:left w:val="none" w:sz="0" w:space="0" w:color="auto"/>
                <w:bottom w:val="none" w:sz="0" w:space="0" w:color="auto"/>
                <w:right w:val="none" w:sz="0" w:space="0" w:color="auto"/>
              </w:divBdr>
              <w:divsChild>
                <w:div w:id="1395468495">
                  <w:marLeft w:val="0"/>
                  <w:marRight w:val="0"/>
                  <w:marTop w:val="0"/>
                  <w:marBottom w:val="0"/>
                  <w:divBdr>
                    <w:top w:val="none" w:sz="0" w:space="0" w:color="auto"/>
                    <w:left w:val="none" w:sz="0" w:space="0" w:color="auto"/>
                    <w:bottom w:val="none" w:sz="0" w:space="0" w:color="auto"/>
                    <w:right w:val="none" w:sz="0" w:space="0" w:color="auto"/>
                  </w:divBdr>
                  <w:divsChild>
                    <w:div w:id="664478231">
                      <w:marLeft w:val="0"/>
                      <w:marRight w:val="0"/>
                      <w:marTop w:val="0"/>
                      <w:marBottom w:val="0"/>
                      <w:divBdr>
                        <w:top w:val="none" w:sz="0" w:space="0" w:color="auto"/>
                        <w:left w:val="none" w:sz="0" w:space="0" w:color="auto"/>
                        <w:bottom w:val="none" w:sz="0" w:space="0" w:color="auto"/>
                        <w:right w:val="none" w:sz="0" w:space="0" w:color="auto"/>
                      </w:divBdr>
                      <w:divsChild>
                        <w:div w:id="7970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28592">
      <w:bodyDiv w:val="1"/>
      <w:marLeft w:val="0"/>
      <w:marRight w:val="0"/>
      <w:marTop w:val="0"/>
      <w:marBottom w:val="0"/>
      <w:divBdr>
        <w:top w:val="none" w:sz="0" w:space="0" w:color="auto"/>
        <w:left w:val="none" w:sz="0" w:space="0" w:color="auto"/>
        <w:bottom w:val="none" w:sz="0" w:space="0" w:color="auto"/>
        <w:right w:val="none" w:sz="0" w:space="0" w:color="auto"/>
      </w:divBdr>
    </w:div>
    <w:div w:id="1040547298">
      <w:bodyDiv w:val="1"/>
      <w:marLeft w:val="0"/>
      <w:marRight w:val="0"/>
      <w:marTop w:val="0"/>
      <w:marBottom w:val="0"/>
      <w:divBdr>
        <w:top w:val="none" w:sz="0" w:space="0" w:color="auto"/>
        <w:left w:val="none" w:sz="0" w:space="0" w:color="auto"/>
        <w:bottom w:val="none" w:sz="0" w:space="0" w:color="auto"/>
        <w:right w:val="none" w:sz="0" w:space="0" w:color="auto"/>
      </w:divBdr>
      <w:divsChild>
        <w:div w:id="901907154">
          <w:marLeft w:val="0"/>
          <w:marRight w:val="0"/>
          <w:marTop w:val="0"/>
          <w:marBottom w:val="0"/>
          <w:divBdr>
            <w:top w:val="single" w:sz="2" w:space="0" w:color="2E2E2E"/>
            <w:left w:val="single" w:sz="2" w:space="0" w:color="2E2E2E"/>
            <w:bottom w:val="single" w:sz="2" w:space="0" w:color="2E2E2E"/>
            <w:right w:val="single" w:sz="2" w:space="0" w:color="2E2E2E"/>
          </w:divBdr>
          <w:divsChild>
            <w:div w:id="1804955647">
              <w:marLeft w:val="0"/>
              <w:marRight w:val="0"/>
              <w:marTop w:val="0"/>
              <w:marBottom w:val="0"/>
              <w:divBdr>
                <w:top w:val="single" w:sz="6" w:space="0" w:color="C9C9C9"/>
                <w:left w:val="none" w:sz="0" w:space="0" w:color="auto"/>
                <w:bottom w:val="none" w:sz="0" w:space="0" w:color="auto"/>
                <w:right w:val="none" w:sz="0" w:space="0" w:color="auto"/>
              </w:divBdr>
              <w:divsChild>
                <w:div w:id="712773382">
                  <w:marLeft w:val="0"/>
                  <w:marRight w:val="0"/>
                  <w:marTop w:val="0"/>
                  <w:marBottom w:val="0"/>
                  <w:divBdr>
                    <w:top w:val="none" w:sz="0" w:space="0" w:color="auto"/>
                    <w:left w:val="none" w:sz="0" w:space="0" w:color="auto"/>
                    <w:bottom w:val="none" w:sz="0" w:space="0" w:color="auto"/>
                    <w:right w:val="none" w:sz="0" w:space="0" w:color="auto"/>
                  </w:divBdr>
                  <w:divsChild>
                    <w:div w:id="1340155954">
                      <w:marLeft w:val="0"/>
                      <w:marRight w:val="0"/>
                      <w:marTop w:val="0"/>
                      <w:marBottom w:val="0"/>
                      <w:divBdr>
                        <w:top w:val="none" w:sz="0" w:space="0" w:color="auto"/>
                        <w:left w:val="none" w:sz="0" w:space="0" w:color="auto"/>
                        <w:bottom w:val="none" w:sz="0" w:space="0" w:color="auto"/>
                        <w:right w:val="none" w:sz="0" w:space="0" w:color="auto"/>
                      </w:divBdr>
                      <w:divsChild>
                        <w:div w:id="16886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60064">
      <w:bodyDiv w:val="1"/>
      <w:marLeft w:val="0"/>
      <w:marRight w:val="0"/>
      <w:marTop w:val="0"/>
      <w:marBottom w:val="0"/>
      <w:divBdr>
        <w:top w:val="none" w:sz="0" w:space="0" w:color="auto"/>
        <w:left w:val="none" w:sz="0" w:space="0" w:color="auto"/>
        <w:bottom w:val="none" w:sz="0" w:space="0" w:color="auto"/>
        <w:right w:val="none" w:sz="0" w:space="0" w:color="auto"/>
      </w:divBdr>
      <w:divsChild>
        <w:div w:id="1546868841">
          <w:marLeft w:val="0"/>
          <w:marRight w:val="0"/>
          <w:marTop w:val="0"/>
          <w:marBottom w:val="0"/>
          <w:divBdr>
            <w:top w:val="none" w:sz="0" w:space="0" w:color="auto"/>
            <w:left w:val="none" w:sz="0" w:space="0" w:color="auto"/>
            <w:bottom w:val="none" w:sz="0" w:space="0" w:color="auto"/>
            <w:right w:val="none" w:sz="0" w:space="0" w:color="auto"/>
          </w:divBdr>
          <w:divsChild>
            <w:div w:id="919144818">
              <w:marLeft w:val="0"/>
              <w:marRight w:val="0"/>
              <w:marTop w:val="0"/>
              <w:marBottom w:val="0"/>
              <w:divBdr>
                <w:top w:val="none" w:sz="0" w:space="0" w:color="auto"/>
                <w:left w:val="none" w:sz="0" w:space="0" w:color="auto"/>
                <w:bottom w:val="none" w:sz="0" w:space="0" w:color="auto"/>
                <w:right w:val="none" w:sz="0" w:space="0" w:color="auto"/>
              </w:divBdr>
              <w:divsChild>
                <w:div w:id="573202297">
                  <w:marLeft w:val="0"/>
                  <w:marRight w:val="0"/>
                  <w:marTop w:val="0"/>
                  <w:marBottom w:val="0"/>
                  <w:divBdr>
                    <w:top w:val="none" w:sz="0" w:space="0" w:color="auto"/>
                    <w:left w:val="none" w:sz="0" w:space="0" w:color="auto"/>
                    <w:bottom w:val="none" w:sz="0" w:space="0" w:color="auto"/>
                    <w:right w:val="none" w:sz="0" w:space="0" w:color="auto"/>
                  </w:divBdr>
                  <w:divsChild>
                    <w:div w:id="1258633067">
                      <w:marLeft w:val="0"/>
                      <w:marRight w:val="0"/>
                      <w:marTop w:val="0"/>
                      <w:marBottom w:val="0"/>
                      <w:divBdr>
                        <w:top w:val="none" w:sz="0" w:space="0" w:color="auto"/>
                        <w:left w:val="none" w:sz="0" w:space="0" w:color="auto"/>
                        <w:bottom w:val="none" w:sz="0" w:space="0" w:color="auto"/>
                        <w:right w:val="none" w:sz="0" w:space="0" w:color="auto"/>
                      </w:divBdr>
                      <w:divsChild>
                        <w:div w:id="1183743714">
                          <w:marLeft w:val="0"/>
                          <w:marRight w:val="0"/>
                          <w:marTop w:val="0"/>
                          <w:marBottom w:val="0"/>
                          <w:divBdr>
                            <w:top w:val="none" w:sz="0" w:space="0" w:color="auto"/>
                            <w:left w:val="none" w:sz="0" w:space="0" w:color="auto"/>
                            <w:bottom w:val="none" w:sz="0" w:space="0" w:color="auto"/>
                            <w:right w:val="none" w:sz="0" w:space="0" w:color="auto"/>
                          </w:divBdr>
                          <w:divsChild>
                            <w:div w:id="2104455281">
                              <w:marLeft w:val="0"/>
                              <w:marRight w:val="0"/>
                              <w:marTop w:val="0"/>
                              <w:marBottom w:val="0"/>
                              <w:divBdr>
                                <w:top w:val="none" w:sz="0" w:space="0" w:color="auto"/>
                                <w:left w:val="none" w:sz="0" w:space="0" w:color="auto"/>
                                <w:bottom w:val="none" w:sz="0" w:space="0" w:color="auto"/>
                                <w:right w:val="none" w:sz="0" w:space="0" w:color="auto"/>
                              </w:divBdr>
                              <w:divsChild>
                                <w:div w:id="192353738">
                                  <w:marLeft w:val="0"/>
                                  <w:marRight w:val="0"/>
                                  <w:marTop w:val="0"/>
                                  <w:marBottom w:val="0"/>
                                  <w:divBdr>
                                    <w:top w:val="none" w:sz="0" w:space="0" w:color="auto"/>
                                    <w:left w:val="none" w:sz="0" w:space="0" w:color="auto"/>
                                    <w:bottom w:val="none" w:sz="0" w:space="0" w:color="auto"/>
                                    <w:right w:val="none" w:sz="0" w:space="0" w:color="auto"/>
                                  </w:divBdr>
                                  <w:divsChild>
                                    <w:div w:id="12237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0092">
      <w:bodyDiv w:val="1"/>
      <w:marLeft w:val="0"/>
      <w:marRight w:val="0"/>
      <w:marTop w:val="0"/>
      <w:marBottom w:val="0"/>
      <w:divBdr>
        <w:top w:val="none" w:sz="0" w:space="0" w:color="auto"/>
        <w:left w:val="none" w:sz="0" w:space="0" w:color="auto"/>
        <w:bottom w:val="none" w:sz="0" w:space="0" w:color="auto"/>
        <w:right w:val="none" w:sz="0" w:space="0" w:color="auto"/>
      </w:divBdr>
      <w:divsChild>
        <w:div w:id="200020685">
          <w:marLeft w:val="0"/>
          <w:marRight w:val="0"/>
          <w:marTop w:val="0"/>
          <w:marBottom w:val="0"/>
          <w:divBdr>
            <w:top w:val="single" w:sz="2" w:space="0" w:color="2E2E2E"/>
            <w:left w:val="single" w:sz="2" w:space="0" w:color="2E2E2E"/>
            <w:bottom w:val="single" w:sz="2" w:space="0" w:color="2E2E2E"/>
            <w:right w:val="single" w:sz="2" w:space="0" w:color="2E2E2E"/>
          </w:divBdr>
          <w:divsChild>
            <w:div w:id="537359488">
              <w:marLeft w:val="0"/>
              <w:marRight w:val="0"/>
              <w:marTop w:val="0"/>
              <w:marBottom w:val="0"/>
              <w:divBdr>
                <w:top w:val="single" w:sz="6" w:space="0" w:color="C9C9C9"/>
                <w:left w:val="none" w:sz="0" w:space="0" w:color="auto"/>
                <w:bottom w:val="none" w:sz="0" w:space="0" w:color="auto"/>
                <w:right w:val="none" w:sz="0" w:space="0" w:color="auto"/>
              </w:divBdr>
              <w:divsChild>
                <w:div w:id="1427581685">
                  <w:marLeft w:val="0"/>
                  <w:marRight w:val="0"/>
                  <w:marTop w:val="0"/>
                  <w:marBottom w:val="0"/>
                  <w:divBdr>
                    <w:top w:val="none" w:sz="0" w:space="0" w:color="auto"/>
                    <w:left w:val="none" w:sz="0" w:space="0" w:color="auto"/>
                    <w:bottom w:val="none" w:sz="0" w:space="0" w:color="auto"/>
                    <w:right w:val="none" w:sz="0" w:space="0" w:color="auto"/>
                  </w:divBdr>
                  <w:divsChild>
                    <w:div w:id="684597689">
                      <w:marLeft w:val="0"/>
                      <w:marRight w:val="0"/>
                      <w:marTop w:val="0"/>
                      <w:marBottom w:val="0"/>
                      <w:divBdr>
                        <w:top w:val="none" w:sz="0" w:space="0" w:color="auto"/>
                        <w:left w:val="none" w:sz="0" w:space="0" w:color="auto"/>
                        <w:bottom w:val="none" w:sz="0" w:space="0" w:color="auto"/>
                        <w:right w:val="none" w:sz="0" w:space="0" w:color="auto"/>
                      </w:divBdr>
                      <w:divsChild>
                        <w:div w:id="10818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0448">
      <w:bodyDiv w:val="1"/>
      <w:marLeft w:val="0"/>
      <w:marRight w:val="0"/>
      <w:marTop w:val="0"/>
      <w:marBottom w:val="0"/>
      <w:divBdr>
        <w:top w:val="none" w:sz="0" w:space="0" w:color="auto"/>
        <w:left w:val="none" w:sz="0" w:space="0" w:color="auto"/>
        <w:bottom w:val="none" w:sz="0" w:space="0" w:color="auto"/>
        <w:right w:val="none" w:sz="0" w:space="0" w:color="auto"/>
      </w:divBdr>
      <w:divsChild>
        <w:div w:id="1187058522">
          <w:marLeft w:val="0"/>
          <w:marRight w:val="0"/>
          <w:marTop w:val="0"/>
          <w:marBottom w:val="0"/>
          <w:divBdr>
            <w:top w:val="single" w:sz="2" w:space="0" w:color="2E2E2E"/>
            <w:left w:val="single" w:sz="2" w:space="0" w:color="2E2E2E"/>
            <w:bottom w:val="single" w:sz="2" w:space="0" w:color="2E2E2E"/>
            <w:right w:val="single" w:sz="2" w:space="0" w:color="2E2E2E"/>
          </w:divBdr>
          <w:divsChild>
            <w:div w:id="323094974">
              <w:marLeft w:val="0"/>
              <w:marRight w:val="0"/>
              <w:marTop w:val="0"/>
              <w:marBottom w:val="0"/>
              <w:divBdr>
                <w:top w:val="single" w:sz="6" w:space="0" w:color="C9C9C9"/>
                <w:left w:val="none" w:sz="0" w:space="0" w:color="auto"/>
                <w:bottom w:val="none" w:sz="0" w:space="0" w:color="auto"/>
                <w:right w:val="none" w:sz="0" w:space="0" w:color="auto"/>
              </w:divBdr>
              <w:divsChild>
                <w:div w:id="1405955836">
                  <w:marLeft w:val="0"/>
                  <w:marRight w:val="0"/>
                  <w:marTop w:val="0"/>
                  <w:marBottom w:val="0"/>
                  <w:divBdr>
                    <w:top w:val="none" w:sz="0" w:space="0" w:color="auto"/>
                    <w:left w:val="none" w:sz="0" w:space="0" w:color="auto"/>
                    <w:bottom w:val="none" w:sz="0" w:space="0" w:color="auto"/>
                    <w:right w:val="none" w:sz="0" w:space="0" w:color="auto"/>
                  </w:divBdr>
                  <w:divsChild>
                    <w:div w:id="19246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9204">
      <w:bodyDiv w:val="1"/>
      <w:marLeft w:val="0"/>
      <w:marRight w:val="0"/>
      <w:marTop w:val="0"/>
      <w:marBottom w:val="0"/>
      <w:divBdr>
        <w:top w:val="none" w:sz="0" w:space="0" w:color="auto"/>
        <w:left w:val="none" w:sz="0" w:space="0" w:color="auto"/>
        <w:bottom w:val="none" w:sz="0" w:space="0" w:color="auto"/>
        <w:right w:val="none" w:sz="0" w:space="0" w:color="auto"/>
      </w:divBdr>
      <w:divsChild>
        <w:div w:id="1553613992">
          <w:marLeft w:val="0"/>
          <w:marRight w:val="0"/>
          <w:marTop w:val="0"/>
          <w:marBottom w:val="0"/>
          <w:divBdr>
            <w:top w:val="none" w:sz="0" w:space="0" w:color="auto"/>
            <w:left w:val="none" w:sz="0" w:space="0" w:color="auto"/>
            <w:bottom w:val="none" w:sz="0" w:space="0" w:color="auto"/>
            <w:right w:val="none" w:sz="0" w:space="0" w:color="auto"/>
          </w:divBdr>
          <w:divsChild>
            <w:div w:id="956377337">
              <w:marLeft w:val="0"/>
              <w:marRight w:val="0"/>
              <w:marTop w:val="0"/>
              <w:marBottom w:val="0"/>
              <w:divBdr>
                <w:top w:val="none" w:sz="0" w:space="0" w:color="auto"/>
                <w:left w:val="none" w:sz="0" w:space="0" w:color="auto"/>
                <w:bottom w:val="none" w:sz="0" w:space="0" w:color="auto"/>
                <w:right w:val="none" w:sz="0" w:space="0" w:color="auto"/>
              </w:divBdr>
              <w:divsChild>
                <w:div w:id="834342374">
                  <w:marLeft w:val="0"/>
                  <w:marRight w:val="0"/>
                  <w:marTop w:val="0"/>
                  <w:marBottom w:val="0"/>
                  <w:divBdr>
                    <w:top w:val="none" w:sz="0" w:space="0" w:color="auto"/>
                    <w:left w:val="none" w:sz="0" w:space="0" w:color="auto"/>
                    <w:bottom w:val="none" w:sz="0" w:space="0" w:color="auto"/>
                    <w:right w:val="none" w:sz="0" w:space="0" w:color="auto"/>
                  </w:divBdr>
                  <w:divsChild>
                    <w:div w:id="139075954">
                      <w:marLeft w:val="0"/>
                      <w:marRight w:val="0"/>
                      <w:marTop w:val="0"/>
                      <w:marBottom w:val="0"/>
                      <w:divBdr>
                        <w:top w:val="none" w:sz="0" w:space="0" w:color="auto"/>
                        <w:left w:val="none" w:sz="0" w:space="0" w:color="auto"/>
                        <w:bottom w:val="none" w:sz="0" w:space="0" w:color="auto"/>
                        <w:right w:val="none" w:sz="0" w:space="0" w:color="auto"/>
                      </w:divBdr>
                      <w:divsChild>
                        <w:div w:id="175927644">
                          <w:marLeft w:val="0"/>
                          <w:marRight w:val="0"/>
                          <w:marTop w:val="0"/>
                          <w:marBottom w:val="0"/>
                          <w:divBdr>
                            <w:top w:val="none" w:sz="0" w:space="0" w:color="auto"/>
                            <w:left w:val="none" w:sz="0" w:space="0" w:color="auto"/>
                            <w:bottom w:val="none" w:sz="0" w:space="0" w:color="auto"/>
                            <w:right w:val="none" w:sz="0" w:space="0" w:color="auto"/>
                          </w:divBdr>
                          <w:divsChild>
                            <w:div w:id="1731344658">
                              <w:marLeft w:val="0"/>
                              <w:marRight w:val="0"/>
                              <w:marTop w:val="0"/>
                              <w:marBottom w:val="0"/>
                              <w:divBdr>
                                <w:top w:val="none" w:sz="0" w:space="0" w:color="auto"/>
                                <w:left w:val="none" w:sz="0" w:space="0" w:color="auto"/>
                                <w:bottom w:val="none" w:sz="0" w:space="0" w:color="auto"/>
                                <w:right w:val="none" w:sz="0" w:space="0" w:color="auto"/>
                              </w:divBdr>
                              <w:divsChild>
                                <w:div w:id="1424107135">
                                  <w:marLeft w:val="0"/>
                                  <w:marRight w:val="0"/>
                                  <w:marTop w:val="0"/>
                                  <w:marBottom w:val="0"/>
                                  <w:divBdr>
                                    <w:top w:val="none" w:sz="0" w:space="0" w:color="auto"/>
                                    <w:left w:val="none" w:sz="0" w:space="0" w:color="auto"/>
                                    <w:bottom w:val="none" w:sz="0" w:space="0" w:color="auto"/>
                                    <w:right w:val="none" w:sz="0" w:space="0" w:color="auto"/>
                                  </w:divBdr>
                                  <w:divsChild>
                                    <w:div w:id="682630188">
                                      <w:marLeft w:val="0"/>
                                      <w:marRight w:val="0"/>
                                      <w:marTop w:val="0"/>
                                      <w:marBottom w:val="0"/>
                                      <w:divBdr>
                                        <w:top w:val="none" w:sz="0" w:space="0" w:color="auto"/>
                                        <w:left w:val="none" w:sz="0" w:space="0" w:color="auto"/>
                                        <w:bottom w:val="none" w:sz="0" w:space="0" w:color="auto"/>
                                        <w:right w:val="none" w:sz="0" w:space="0" w:color="auto"/>
                                      </w:divBdr>
                                      <w:divsChild>
                                        <w:div w:id="921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6708">
      <w:bodyDiv w:val="1"/>
      <w:marLeft w:val="0"/>
      <w:marRight w:val="0"/>
      <w:marTop w:val="0"/>
      <w:marBottom w:val="0"/>
      <w:divBdr>
        <w:top w:val="none" w:sz="0" w:space="0" w:color="auto"/>
        <w:left w:val="none" w:sz="0" w:space="0" w:color="auto"/>
        <w:bottom w:val="none" w:sz="0" w:space="0" w:color="auto"/>
        <w:right w:val="none" w:sz="0" w:space="0" w:color="auto"/>
      </w:divBdr>
      <w:divsChild>
        <w:div w:id="878589048">
          <w:marLeft w:val="0"/>
          <w:marRight w:val="0"/>
          <w:marTop w:val="0"/>
          <w:marBottom w:val="0"/>
          <w:divBdr>
            <w:top w:val="single" w:sz="2" w:space="0" w:color="2E2E2E"/>
            <w:left w:val="single" w:sz="2" w:space="0" w:color="2E2E2E"/>
            <w:bottom w:val="single" w:sz="2" w:space="0" w:color="2E2E2E"/>
            <w:right w:val="single" w:sz="2" w:space="0" w:color="2E2E2E"/>
          </w:divBdr>
          <w:divsChild>
            <w:div w:id="1831870904">
              <w:marLeft w:val="0"/>
              <w:marRight w:val="0"/>
              <w:marTop w:val="0"/>
              <w:marBottom w:val="0"/>
              <w:divBdr>
                <w:top w:val="single" w:sz="6" w:space="0" w:color="C9C9C9"/>
                <w:left w:val="none" w:sz="0" w:space="0" w:color="auto"/>
                <w:bottom w:val="none" w:sz="0" w:space="0" w:color="auto"/>
                <w:right w:val="none" w:sz="0" w:space="0" w:color="auto"/>
              </w:divBdr>
              <w:divsChild>
                <w:div w:id="356807537">
                  <w:marLeft w:val="0"/>
                  <w:marRight w:val="0"/>
                  <w:marTop w:val="0"/>
                  <w:marBottom w:val="0"/>
                  <w:divBdr>
                    <w:top w:val="none" w:sz="0" w:space="0" w:color="auto"/>
                    <w:left w:val="none" w:sz="0" w:space="0" w:color="auto"/>
                    <w:bottom w:val="none" w:sz="0" w:space="0" w:color="auto"/>
                    <w:right w:val="none" w:sz="0" w:space="0" w:color="auto"/>
                  </w:divBdr>
                  <w:divsChild>
                    <w:div w:id="1809930203">
                      <w:marLeft w:val="0"/>
                      <w:marRight w:val="0"/>
                      <w:marTop w:val="0"/>
                      <w:marBottom w:val="0"/>
                      <w:divBdr>
                        <w:top w:val="none" w:sz="0" w:space="0" w:color="auto"/>
                        <w:left w:val="none" w:sz="0" w:space="0" w:color="auto"/>
                        <w:bottom w:val="none" w:sz="0" w:space="0" w:color="auto"/>
                        <w:right w:val="none" w:sz="0" w:space="0" w:color="auto"/>
                      </w:divBdr>
                      <w:divsChild>
                        <w:div w:id="1452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133738">
      <w:bodyDiv w:val="1"/>
      <w:marLeft w:val="0"/>
      <w:marRight w:val="0"/>
      <w:marTop w:val="0"/>
      <w:marBottom w:val="0"/>
      <w:divBdr>
        <w:top w:val="none" w:sz="0" w:space="0" w:color="auto"/>
        <w:left w:val="none" w:sz="0" w:space="0" w:color="auto"/>
        <w:bottom w:val="none" w:sz="0" w:space="0" w:color="auto"/>
        <w:right w:val="none" w:sz="0" w:space="0" w:color="auto"/>
      </w:divBdr>
      <w:divsChild>
        <w:div w:id="1989704319">
          <w:marLeft w:val="0"/>
          <w:marRight w:val="0"/>
          <w:marTop w:val="0"/>
          <w:marBottom w:val="0"/>
          <w:divBdr>
            <w:top w:val="single" w:sz="2" w:space="0" w:color="2E2E2E"/>
            <w:left w:val="single" w:sz="2" w:space="0" w:color="2E2E2E"/>
            <w:bottom w:val="single" w:sz="2" w:space="0" w:color="2E2E2E"/>
            <w:right w:val="single" w:sz="2" w:space="0" w:color="2E2E2E"/>
          </w:divBdr>
          <w:divsChild>
            <w:div w:id="583150898">
              <w:marLeft w:val="0"/>
              <w:marRight w:val="0"/>
              <w:marTop w:val="0"/>
              <w:marBottom w:val="0"/>
              <w:divBdr>
                <w:top w:val="single" w:sz="6" w:space="0" w:color="C9C9C9"/>
                <w:left w:val="none" w:sz="0" w:space="0" w:color="auto"/>
                <w:bottom w:val="none" w:sz="0" w:space="0" w:color="auto"/>
                <w:right w:val="none" w:sz="0" w:space="0" w:color="auto"/>
              </w:divBdr>
              <w:divsChild>
                <w:div w:id="1756244222">
                  <w:marLeft w:val="0"/>
                  <w:marRight w:val="0"/>
                  <w:marTop w:val="0"/>
                  <w:marBottom w:val="0"/>
                  <w:divBdr>
                    <w:top w:val="none" w:sz="0" w:space="0" w:color="auto"/>
                    <w:left w:val="none" w:sz="0" w:space="0" w:color="auto"/>
                    <w:bottom w:val="none" w:sz="0" w:space="0" w:color="auto"/>
                    <w:right w:val="none" w:sz="0" w:space="0" w:color="auto"/>
                  </w:divBdr>
                  <w:divsChild>
                    <w:div w:id="1445152252">
                      <w:marLeft w:val="0"/>
                      <w:marRight w:val="0"/>
                      <w:marTop w:val="0"/>
                      <w:marBottom w:val="0"/>
                      <w:divBdr>
                        <w:top w:val="none" w:sz="0" w:space="0" w:color="auto"/>
                        <w:left w:val="none" w:sz="0" w:space="0" w:color="auto"/>
                        <w:bottom w:val="none" w:sz="0" w:space="0" w:color="auto"/>
                        <w:right w:val="none" w:sz="0" w:space="0" w:color="auto"/>
                      </w:divBdr>
                      <w:divsChild>
                        <w:div w:id="4603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09201">
      <w:bodyDiv w:val="1"/>
      <w:marLeft w:val="0"/>
      <w:marRight w:val="0"/>
      <w:marTop w:val="0"/>
      <w:marBottom w:val="0"/>
      <w:divBdr>
        <w:top w:val="none" w:sz="0" w:space="0" w:color="auto"/>
        <w:left w:val="none" w:sz="0" w:space="0" w:color="auto"/>
        <w:bottom w:val="none" w:sz="0" w:space="0" w:color="auto"/>
        <w:right w:val="none" w:sz="0" w:space="0" w:color="auto"/>
      </w:divBdr>
      <w:divsChild>
        <w:div w:id="2109276650">
          <w:marLeft w:val="0"/>
          <w:marRight w:val="0"/>
          <w:marTop w:val="0"/>
          <w:marBottom w:val="0"/>
          <w:divBdr>
            <w:top w:val="single" w:sz="2" w:space="0" w:color="2E2E2E"/>
            <w:left w:val="single" w:sz="2" w:space="0" w:color="2E2E2E"/>
            <w:bottom w:val="single" w:sz="2" w:space="0" w:color="2E2E2E"/>
            <w:right w:val="single" w:sz="2" w:space="0" w:color="2E2E2E"/>
          </w:divBdr>
          <w:divsChild>
            <w:div w:id="653069449">
              <w:marLeft w:val="0"/>
              <w:marRight w:val="0"/>
              <w:marTop w:val="0"/>
              <w:marBottom w:val="0"/>
              <w:divBdr>
                <w:top w:val="single" w:sz="6" w:space="0" w:color="C9C9C9"/>
                <w:left w:val="none" w:sz="0" w:space="0" w:color="auto"/>
                <w:bottom w:val="none" w:sz="0" w:space="0" w:color="auto"/>
                <w:right w:val="none" w:sz="0" w:space="0" w:color="auto"/>
              </w:divBdr>
              <w:divsChild>
                <w:div w:id="1956936764">
                  <w:marLeft w:val="0"/>
                  <w:marRight w:val="0"/>
                  <w:marTop w:val="0"/>
                  <w:marBottom w:val="0"/>
                  <w:divBdr>
                    <w:top w:val="none" w:sz="0" w:space="0" w:color="auto"/>
                    <w:left w:val="none" w:sz="0" w:space="0" w:color="auto"/>
                    <w:bottom w:val="none" w:sz="0" w:space="0" w:color="auto"/>
                    <w:right w:val="none" w:sz="0" w:space="0" w:color="auto"/>
                  </w:divBdr>
                  <w:divsChild>
                    <w:div w:id="672805684">
                      <w:marLeft w:val="0"/>
                      <w:marRight w:val="0"/>
                      <w:marTop w:val="0"/>
                      <w:marBottom w:val="0"/>
                      <w:divBdr>
                        <w:top w:val="none" w:sz="0" w:space="0" w:color="auto"/>
                        <w:left w:val="none" w:sz="0" w:space="0" w:color="auto"/>
                        <w:bottom w:val="none" w:sz="0" w:space="0" w:color="auto"/>
                        <w:right w:val="none" w:sz="0" w:space="0" w:color="auto"/>
                      </w:divBdr>
                      <w:divsChild>
                        <w:div w:id="1771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539440">
      <w:bodyDiv w:val="1"/>
      <w:marLeft w:val="0"/>
      <w:marRight w:val="0"/>
      <w:marTop w:val="0"/>
      <w:marBottom w:val="0"/>
      <w:divBdr>
        <w:top w:val="none" w:sz="0" w:space="0" w:color="auto"/>
        <w:left w:val="none" w:sz="0" w:space="0" w:color="auto"/>
        <w:bottom w:val="none" w:sz="0" w:space="0" w:color="auto"/>
        <w:right w:val="none" w:sz="0" w:space="0" w:color="auto"/>
      </w:divBdr>
      <w:divsChild>
        <w:div w:id="1517306384">
          <w:marLeft w:val="0"/>
          <w:marRight w:val="0"/>
          <w:marTop w:val="0"/>
          <w:marBottom w:val="0"/>
          <w:divBdr>
            <w:top w:val="single" w:sz="2" w:space="0" w:color="2E2E2E"/>
            <w:left w:val="single" w:sz="2" w:space="0" w:color="2E2E2E"/>
            <w:bottom w:val="single" w:sz="2" w:space="0" w:color="2E2E2E"/>
            <w:right w:val="single" w:sz="2" w:space="0" w:color="2E2E2E"/>
          </w:divBdr>
          <w:divsChild>
            <w:div w:id="2069061988">
              <w:marLeft w:val="0"/>
              <w:marRight w:val="0"/>
              <w:marTop w:val="0"/>
              <w:marBottom w:val="0"/>
              <w:divBdr>
                <w:top w:val="single" w:sz="6" w:space="0" w:color="C9C9C9"/>
                <w:left w:val="none" w:sz="0" w:space="0" w:color="auto"/>
                <w:bottom w:val="none" w:sz="0" w:space="0" w:color="auto"/>
                <w:right w:val="none" w:sz="0" w:space="0" w:color="auto"/>
              </w:divBdr>
              <w:divsChild>
                <w:div w:id="182091488">
                  <w:marLeft w:val="0"/>
                  <w:marRight w:val="0"/>
                  <w:marTop w:val="0"/>
                  <w:marBottom w:val="0"/>
                  <w:divBdr>
                    <w:top w:val="none" w:sz="0" w:space="0" w:color="auto"/>
                    <w:left w:val="none" w:sz="0" w:space="0" w:color="auto"/>
                    <w:bottom w:val="none" w:sz="0" w:space="0" w:color="auto"/>
                    <w:right w:val="none" w:sz="0" w:space="0" w:color="auto"/>
                  </w:divBdr>
                  <w:divsChild>
                    <w:div w:id="1730302805">
                      <w:marLeft w:val="0"/>
                      <w:marRight w:val="0"/>
                      <w:marTop w:val="0"/>
                      <w:marBottom w:val="0"/>
                      <w:divBdr>
                        <w:top w:val="none" w:sz="0" w:space="0" w:color="auto"/>
                        <w:left w:val="none" w:sz="0" w:space="0" w:color="auto"/>
                        <w:bottom w:val="none" w:sz="0" w:space="0" w:color="auto"/>
                        <w:right w:val="none" w:sz="0" w:space="0" w:color="auto"/>
                      </w:divBdr>
                      <w:divsChild>
                        <w:div w:id="6190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17805">
      <w:bodyDiv w:val="1"/>
      <w:marLeft w:val="0"/>
      <w:marRight w:val="0"/>
      <w:marTop w:val="0"/>
      <w:marBottom w:val="0"/>
      <w:divBdr>
        <w:top w:val="none" w:sz="0" w:space="0" w:color="auto"/>
        <w:left w:val="none" w:sz="0" w:space="0" w:color="auto"/>
        <w:bottom w:val="none" w:sz="0" w:space="0" w:color="auto"/>
        <w:right w:val="none" w:sz="0" w:space="0" w:color="auto"/>
      </w:divBdr>
      <w:divsChild>
        <w:div w:id="55252036">
          <w:marLeft w:val="0"/>
          <w:marRight w:val="0"/>
          <w:marTop w:val="150"/>
          <w:marBottom w:val="0"/>
          <w:divBdr>
            <w:top w:val="none" w:sz="0" w:space="0" w:color="auto"/>
            <w:left w:val="none" w:sz="0" w:space="0" w:color="auto"/>
            <w:bottom w:val="none" w:sz="0" w:space="0" w:color="auto"/>
            <w:right w:val="none" w:sz="0" w:space="0" w:color="auto"/>
          </w:divBdr>
          <w:divsChild>
            <w:div w:id="19735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0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110"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mailto:Nehapatel2@lumc.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1DA9-9D10-4603-90CA-EA466499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Loyola Medicine</Company>
  <LinksUpToDate>false</LinksUpToDate>
  <CharactersWithSpaces>61787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Loyola Medicine</dc:creator>
  <cp:lastModifiedBy>微软用户</cp:lastModifiedBy>
  <cp:revision>3</cp:revision>
  <cp:lastPrinted>2015-07-29T13:57:00Z</cp:lastPrinted>
  <dcterms:created xsi:type="dcterms:W3CDTF">2015-12-31T02:55:00Z</dcterms:created>
  <dcterms:modified xsi:type="dcterms:W3CDTF">2016-01-04T06:53:00Z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id="YwxyhVIt"/&gt;&lt;style id="http://www.zotero.org/styles/chicago-note-bibliography"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