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9B" w:rsidRPr="003F1C6C" w:rsidRDefault="0092149B" w:rsidP="003A50A3">
      <w:pPr>
        <w:spacing w:line="360" w:lineRule="auto"/>
        <w:rPr>
          <w:rFonts w:ascii="Book Antiqua" w:hAnsi="Book Antiqua"/>
          <w:b/>
          <w:color w:val="000000"/>
          <w:sz w:val="24"/>
          <w:szCs w:val="24"/>
        </w:rPr>
      </w:pPr>
      <w:r w:rsidRPr="003F1C6C">
        <w:rPr>
          <w:rFonts w:ascii="Book Antiqua" w:hAnsi="Book Antiqua"/>
          <w:b/>
          <w:color w:val="000000"/>
          <w:sz w:val="24"/>
          <w:szCs w:val="24"/>
        </w:rPr>
        <w:t xml:space="preserve">Name of Journal: </w:t>
      </w:r>
      <w:r w:rsidRPr="003F1C6C">
        <w:rPr>
          <w:rFonts w:ascii="Book Antiqua" w:hAnsi="Book Antiqua"/>
          <w:b/>
          <w:i/>
          <w:color w:val="000000"/>
          <w:sz w:val="24"/>
          <w:szCs w:val="24"/>
        </w:rPr>
        <w:t>World Journal of Clinical Pediatrics</w:t>
      </w:r>
    </w:p>
    <w:p w:rsidR="0092149B" w:rsidRPr="003F1C6C" w:rsidRDefault="0092149B" w:rsidP="003A50A3">
      <w:pPr>
        <w:spacing w:line="360" w:lineRule="auto"/>
        <w:rPr>
          <w:rFonts w:ascii="Book Antiqua" w:hAnsi="Book Antiqua"/>
          <w:b/>
          <w:color w:val="000000"/>
          <w:sz w:val="24"/>
          <w:szCs w:val="24"/>
        </w:rPr>
      </w:pPr>
      <w:r w:rsidRPr="003F1C6C">
        <w:rPr>
          <w:rFonts w:ascii="Book Antiqua" w:hAnsi="Book Antiqua"/>
          <w:b/>
          <w:color w:val="000000"/>
          <w:sz w:val="24"/>
          <w:szCs w:val="24"/>
        </w:rPr>
        <w:t>ESPS Manuscript NO: 22144</w:t>
      </w:r>
    </w:p>
    <w:p w:rsidR="0092149B" w:rsidRPr="003F1C6C" w:rsidRDefault="0092149B" w:rsidP="003A50A3">
      <w:pPr>
        <w:spacing w:line="360" w:lineRule="auto"/>
        <w:rPr>
          <w:rFonts w:ascii="Book Antiqua" w:hAnsi="Book Antiqua"/>
          <w:b/>
          <w:color w:val="000000"/>
          <w:sz w:val="24"/>
          <w:szCs w:val="24"/>
        </w:rPr>
      </w:pPr>
      <w:r w:rsidRPr="003F1C6C">
        <w:rPr>
          <w:rFonts w:ascii="Book Antiqua" w:hAnsi="Book Antiqua"/>
          <w:b/>
          <w:color w:val="000000"/>
          <w:sz w:val="24"/>
          <w:szCs w:val="24"/>
        </w:rPr>
        <w:t>Manuscript Type: Minireviews</w:t>
      </w:r>
    </w:p>
    <w:p w:rsidR="0092149B" w:rsidRPr="003F1C6C" w:rsidRDefault="0092149B" w:rsidP="003A50A3">
      <w:pPr>
        <w:widowControl w:val="0"/>
        <w:spacing w:line="360" w:lineRule="auto"/>
        <w:rPr>
          <w:rFonts w:ascii="Book Antiqua" w:hAnsi="Book Antiqua" w:cs="Times New Roman"/>
          <w:bCs/>
          <w:sz w:val="24"/>
          <w:szCs w:val="24"/>
          <w:lang w:val="en-US" w:eastAsia="zh-CN"/>
        </w:rPr>
      </w:pPr>
    </w:p>
    <w:p w:rsidR="0092149B" w:rsidRPr="003F1C6C" w:rsidRDefault="0092149B" w:rsidP="003A50A3">
      <w:pPr>
        <w:widowControl w:val="0"/>
        <w:spacing w:line="360" w:lineRule="auto"/>
        <w:rPr>
          <w:rFonts w:ascii="Book Antiqua" w:hAnsi="Book Antiqua" w:cs="Times New Roman"/>
          <w:b/>
          <w:bCs/>
          <w:sz w:val="24"/>
          <w:szCs w:val="24"/>
          <w:lang w:val="en-US" w:eastAsia="zh-CN"/>
        </w:rPr>
      </w:pPr>
      <w:r w:rsidRPr="003F1C6C">
        <w:rPr>
          <w:rFonts w:ascii="Book Antiqua" w:hAnsi="Book Antiqua" w:cs="Times New Roman"/>
          <w:b/>
          <w:bCs/>
          <w:sz w:val="24"/>
          <w:szCs w:val="24"/>
          <w:lang w:val="en-US" w:eastAsia="en-GB"/>
        </w:rPr>
        <w:t>Facility-based constraints to exchange transfusions for neonatal hyperbilirubinemia in resource-limited settings</w:t>
      </w:r>
    </w:p>
    <w:p w:rsidR="0092149B" w:rsidRPr="003F1C6C" w:rsidRDefault="0092149B" w:rsidP="003A50A3">
      <w:pPr>
        <w:widowControl w:val="0"/>
        <w:spacing w:line="360" w:lineRule="auto"/>
        <w:rPr>
          <w:rFonts w:ascii="Book Antiqua" w:hAnsi="Book Antiqua" w:cs="Times New Roman"/>
          <w:b/>
          <w:bCs/>
          <w:sz w:val="24"/>
          <w:szCs w:val="24"/>
          <w:lang w:val="en-US" w:eastAsia="zh-CN"/>
        </w:rPr>
      </w:pPr>
    </w:p>
    <w:p w:rsidR="0092149B" w:rsidRPr="003F1C6C" w:rsidRDefault="0092149B" w:rsidP="003A50A3">
      <w:pPr>
        <w:shd w:val="clear" w:color="auto" w:fill="FFFFFF"/>
        <w:spacing w:line="360" w:lineRule="auto"/>
        <w:outlineLvl w:val="2"/>
        <w:rPr>
          <w:rFonts w:ascii="Book Antiqua" w:hAnsi="Book Antiqua" w:cs="Times New Roman"/>
          <w:b/>
          <w:bCs/>
          <w:sz w:val="24"/>
          <w:szCs w:val="24"/>
          <w:lang w:val="en-US" w:eastAsia="en-GB"/>
        </w:rPr>
      </w:pPr>
      <w:smartTag w:uri="urn:schemas-microsoft-com:office:smarttags" w:element="place">
        <w:smartTag w:uri="urn:schemas-microsoft-com:office:smarttags" w:element="City">
          <w:r w:rsidRPr="003F1C6C">
            <w:rPr>
              <w:rFonts w:ascii="Book Antiqua" w:hAnsi="Book Antiqua" w:cs="Times New Roman"/>
              <w:bCs/>
              <w:sz w:val="24"/>
              <w:szCs w:val="24"/>
              <w:lang w:val="en-US" w:eastAsia="zh-CN"/>
            </w:rPr>
            <w:t>Mabogunje</w:t>
          </w:r>
        </w:smartTag>
        <w:r w:rsidRPr="003F1C6C">
          <w:rPr>
            <w:rFonts w:ascii="Book Antiqua" w:hAnsi="Book Antiqua" w:cs="Times New Roman"/>
            <w:bCs/>
            <w:sz w:val="24"/>
            <w:szCs w:val="24"/>
            <w:lang w:val="en-US" w:eastAsia="zh-CN"/>
          </w:rPr>
          <w:t xml:space="preserve"> </w:t>
        </w:r>
        <w:smartTag w:uri="urn:schemas-microsoft-com:office:smarttags" w:element="State">
          <w:r w:rsidRPr="003F1C6C">
            <w:rPr>
              <w:rFonts w:ascii="Book Antiqua" w:hAnsi="Book Antiqua" w:cs="Times New Roman"/>
              <w:bCs/>
              <w:sz w:val="24"/>
              <w:szCs w:val="24"/>
              <w:lang w:val="en-US" w:eastAsia="zh-CN"/>
            </w:rPr>
            <w:t>CA</w:t>
          </w:r>
        </w:smartTag>
        <w:r w:rsidRPr="003F1C6C">
          <w:rPr>
            <w:rFonts w:ascii="Book Antiqua" w:hAnsi="Book Antiqua" w:cs="Times New Roman"/>
            <w:bCs/>
            <w:sz w:val="24"/>
            <w:szCs w:val="24"/>
            <w:lang w:val="en-US" w:eastAsia="zh-CN"/>
          </w:rPr>
          <w:t xml:space="preserve"> </w:t>
        </w:r>
        <w:r w:rsidRPr="003F1C6C">
          <w:rPr>
            <w:rFonts w:ascii="Book Antiqua" w:hAnsi="Book Antiqua" w:cs="Times New Roman"/>
            <w:bCs/>
            <w:i/>
            <w:sz w:val="24"/>
            <w:szCs w:val="24"/>
            <w:lang w:val="en-US" w:eastAsia="zh-CN"/>
          </w:rPr>
          <w:t>et al</w:t>
        </w:r>
        <w:r w:rsidRPr="003F1C6C">
          <w:rPr>
            <w:rFonts w:ascii="Book Antiqua" w:hAnsi="Book Antiqua" w:cs="Times New Roman"/>
            <w:bCs/>
            <w:sz w:val="24"/>
            <w:szCs w:val="24"/>
            <w:lang w:val="en-US" w:eastAsia="zh-CN"/>
          </w:rPr>
          <w:t>.</w:t>
        </w:r>
      </w:smartTag>
      <w:r w:rsidRPr="003F1C6C">
        <w:rPr>
          <w:rFonts w:ascii="Book Antiqua" w:hAnsi="Book Antiqua" w:cs="Times New Roman"/>
          <w:b/>
          <w:bCs/>
          <w:sz w:val="24"/>
          <w:szCs w:val="24"/>
          <w:lang w:val="en-US" w:eastAsia="en-GB"/>
        </w:rPr>
        <w:t xml:space="preserve"> </w:t>
      </w:r>
      <w:r w:rsidRPr="003F1C6C">
        <w:rPr>
          <w:rFonts w:ascii="Book Antiqua" w:hAnsi="Book Antiqua" w:cs="Times New Roman"/>
          <w:bCs/>
          <w:sz w:val="24"/>
          <w:szCs w:val="24"/>
          <w:lang w:val="en-US" w:eastAsia="en-GB"/>
        </w:rPr>
        <w:t>Exchange transfusions in developing countries</w:t>
      </w:r>
      <w:r w:rsidRPr="003F1C6C">
        <w:rPr>
          <w:rFonts w:ascii="Book Antiqua" w:hAnsi="Book Antiqua" w:cs="Times New Roman"/>
          <w:b/>
          <w:bCs/>
          <w:sz w:val="24"/>
          <w:szCs w:val="24"/>
          <w:lang w:val="en-US" w:eastAsia="en-GB"/>
        </w:rPr>
        <w:t xml:space="preserve">  </w:t>
      </w:r>
    </w:p>
    <w:p w:rsidR="0092149B" w:rsidRPr="003F1C6C" w:rsidRDefault="0092149B" w:rsidP="003A50A3">
      <w:pPr>
        <w:widowControl w:val="0"/>
        <w:spacing w:line="360" w:lineRule="auto"/>
        <w:rPr>
          <w:rFonts w:ascii="Book Antiqua" w:hAnsi="Book Antiqua" w:cs="Times New Roman"/>
          <w:b/>
          <w:bCs/>
          <w:sz w:val="24"/>
          <w:szCs w:val="24"/>
          <w:lang w:val="en-US" w:eastAsia="zh-CN"/>
        </w:rPr>
      </w:pPr>
    </w:p>
    <w:p w:rsidR="0092149B" w:rsidRPr="003F1C6C" w:rsidRDefault="0092149B" w:rsidP="003A50A3">
      <w:pPr>
        <w:widowControl w:val="0"/>
        <w:spacing w:line="360" w:lineRule="auto"/>
        <w:rPr>
          <w:rFonts w:ascii="Book Antiqua" w:hAnsi="Book Antiqua" w:cs="Times New Roman"/>
          <w:b/>
          <w:bCs/>
          <w:sz w:val="24"/>
          <w:szCs w:val="24"/>
          <w:lang w:val="en-US" w:eastAsia="zh-CN"/>
        </w:rPr>
      </w:pPr>
      <w:r w:rsidRPr="003F1C6C">
        <w:rPr>
          <w:rFonts w:ascii="Book Antiqua" w:hAnsi="Book Antiqua" w:cs="Times New Roman"/>
          <w:b/>
          <w:bCs/>
          <w:sz w:val="24"/>
          <w:szCs w:val="24"/>
          <w:lang w:val="en-US" w:eastAsia="zh-CN"/>
        </w:rPr>
        <w:t>Cecilia A Mabogunje, Sarah M Olaifa,</w:t>
      </w:r>
      <w:r w:rsidRPr="003F1C6C">
        <w:rPr>
          <w:rFonts w:ascii="Book Antiqua" w:hAnsi="Book Antiqua"/>
          <w:sz w:val="24"/>
          <w:szCs w:val="24"/>
          <w:vertAlign w:val="superscript"/>
        </w:rPr>
        <w:t xml:space="preserve"> </w:t>
      </w:r>
      <w:r w:rsidRPr="003F1C6C">
        <w:rPr>
          <w:rFonts w:ascii="Book Antiqua" w:hAnsi="Book Antiqua" w:cs="Times New Roman"/>
          <w:b/>
          <w:bCs/>
          <w:sz w:val="24"/>
          <w:szCs w:val="24"/>
          <w:lang w:val="en-US" w:eastAsia="zh-CN"/>
        </w:rPr>
        <w:t>Bolajoko O Olusanya</w:t>
      </w:r>
    </w:p>
    <w:p w:rsidR="0092149B" w:rsidRPr="003F1C6C" w:rsidRDefault="0092149B" w:rsidP="003A50A3">
      <w:pPr>
        <w:widowControl w:val="0"/>
        <w:spacing w:line="360" w:lineRule="auto"/>
        <w:rPr>
          <w:rFonts w:ascii="Book Antiqua" w:hAnsi="Book Antiqua" w:cs="Times New Roman"/>
          <w:b/>
          <w:bCs/>
          <w:sz w:val="24"/>
          <w:szCs w:val="24"/>
          <w:lang w:val="en-US" w:eastAsia="zh-CN"/>
        </w:rPr>
      </w:pPr>
    </w:p>
    <w:p w:rsidR="0092149B" w:rsidRPr="003F1C6C" w:rsidRDefault="0092149B" w:rsidP="003A50A3">
      <w:pPr>
        <w:widowControl w:val="0"/>
        <w:spacing w:line="360" w:lineRule="auto"/>
        <w:rPr>
          <w:rFonts w:ascii="Book Antiqua" w:hAnsi="Book Antiqua"/>
          <w:color w:val="000000"/>
          <w:sz w:val="24"/>
          <w:szCs w:val="24"/>
          <w:lang w:eastAsia="zh-CN"/>
        </w:rPr>
      </w:pPr>
      <w:r w:rsidRPr="003F1C6C">
        <w:rPr>
          <w:rFonts w:ascii="Book Antiqua" w:hAnsi="Book Antiqua" w:cs="Times New Roman"/>
          <w:b/>
          <w:bCs/>
          <w:sz w:val="24"/>
          <w:szCs w:val="24"/>
          <w:lang w:val="en-US" w:eastAsia="zh-CN"/>
        </w:rPr>
        <w:t xml:space="preserve">Cecilia A Mabogunje, </w:t>
      </w:r>
      <w:r w:rsidRPr="003F1C6C">
        <w:rPr>
          <w:rFonts w:ascii="Book Antiqua" w:hAnsi="Book Antiqua"/>
          <w:color w:val="000000"/>
          <w:sz w:val="24"/>
          <w:szCs w:val="24"/>
        </w:rPr>
        <w:t xml:space="preserve">Neonatal Unit, Massey Street Children’s Hospital, </w:t>
      </w:r>
      <w:smartTag w:uri="urn:schemas-microsoft-com:office:smarttags" w:element="place">
        <w:smartTag w:uri="urn:schemas-microsoft-com:office:smarttags" w:element="City">
          <w:r w:rsidRPr="003F1C6C">
            <w:rPr>
              <w:rFonts w:ascii="Book Antiqua" w:hAnsi="Book Antiqua"/>
              <w:color w:val="000000"/>
              <w:sz w:val="24"/>
              <w:szCs w:val="24"/>
            </w:rPr>
            <w:t>Lagos</w:t>
          </w:r>
        </w:smartTag>
        <w:r w:rsidRPr="003F1C6C">
          <w:rPr>
            <w:rFonts w:ascii="Book Antiqua" w:hAnsi="Book Antiqua"/>
            <w:color w:val="000000"/>
            <w:sz w:val="24"/>
            <w:szCs w:val="24"/>
          </w:rPr>
          <w:t xml:space="preserve">, </w:t>
        </w:r>
        <w:smartTag w:uri="urn:schemas-microsoft-com:office:smarttags" w:element="country-region">
          <w:r w:rsidRPr="003F1C6C">
            <w:rPr>
              <w:rFonts w:ascii="Book Antiqua" w:hAnsi="Book Antiqua"/>
              <w:color w:val="000000"/>
              <w:sz w:val="24"/>
              <w:szCs w:val="24"/>
            </w:rPr>
            <w:t>Nigeria</w:t>
          </w:r>
        </w:smartTag>
      </w:smartTag>
    </w:p>
    <w:p w:rsidR="0092149B" w:rsidRPr="003F1C6C" w:rsidRDefault="0092149B" w:rsidP="003A50A3">
      <w:pPr>
        <w:widowControl w:val="0"/>
        <w:spacing w:line="360" w:lineRule="auto"/>
        <w:rPr>
          <w:rStyle w:val="apple-converted-space"/>
          <w:rFonts w:ascii="Book Antiqua" w:hAnsi="Book Antiqua" w:cs="Times New Roman"/>
          <w:b/>
          <w:bCs/>
          <w:sz w:val="24"/>
          <w:szCs w:val="24"/>
          <w:lang w:val="en-US" w:eastAsia="zh-CN"/>
        </w:rPr>
      </w:pPr>
    </w:p>
    <w:p w:rsidR="0092149B" w:rsidRPr="003F1C6C" w:rsidRDefault="0092149B" w:rsidP="003A50A3">
      <w:pPr>
        <w:widowControl w:val="0"/>
        <w:spacing w:line="360" w:lineRule="auto"/>
        <w:rPr>
          <w:rFonts w:ascii="Book Antiqua" w:hAnsi="Book Antiqua"/>
          <w:sz w:val="24"/>
          <w:szCs w:val="24"/>
          <w:lang w:eastAsia="zh-CN"/>
        </w:rPr>
      </w:pPr>
      <w:r w:rsidRPr="003F1C6C">
        <w:rPr>
          <w:rFonts w:ascii="Book Antiqua" w:hAnsi="Book Antiqua" w:cs="Times New Roman"/>
          <w:b/>
          <w:bCs/>
          <w:sz w:val="24"/>
          <w:szCs w:val="24"/>
          <w:lang w:val="en-US" w:eastAsia="zh-CN"/>
        </w:rPr>
        <w:t xml:space="preserve">Sarah M Olaifa, </w:t>
      </w:r>
      <w:r w:rsidRPr="003F1C6C">
        <w:rPr>
          <w:rFonts w:ascii="Book Antiqua" w:hAnsi="Book Antiqua"/>
          <w:sz w:val="24"/>
          <w:szCs w:val="24"/>
        </w:rPr>
        <w:t xml:space="preserve">Laboratory Services, Massey Street Children’s Hospital, </w:t>
      </w:r>
      <w:smartTag w:uri="urn:schemas-microsoft-com:office:smarttags" w:element="place">
        <w:smartTag w:uri="urn:schemas-microsoft-com:office:smarttags" w:element="City">
          <w:r w:rsidRPr="003F1C6C">
            <w:rPr>
              <w:rFonts w:ascii="Book Antiqua" w:hAnsi="Book Antiqua"/>
              <w:sz w:val="24"/>
              <w:szCs w:val="24"/>
            </w:rPr>
            <w:t>Lagos</w:t>
          </w:r>
        </w:smartTag>
        <w:r w:rsidRPr="003F1C6C">
          <w:rPr>
            <w:rFonts w:ascii="Book Antiqua" w:hAnsi="Book Antiqua"/>
            <w:sz w:val="24"/>
            <w:szCs w:val="24"/>
          </w:rPr>
          <w:t xml:space="preserve">, </w:t>
        </w:r>
        <w:smartTag w:uri="urn:schemas-microsoft-com:office:smarttags" w:element="country-region">
          <w:r w:rsidRPr="003F1C6C">
            <w:rPr>
              <w:rFonts w:ascii="Book Antiqua" w:hAnsi="Book Antiqua"/>
              <w:sz w:val="24"/>
              <w:szCs w:val="24"/>
            </w:rPr>
            <w:t>Nigeria</w:t>
          </w:r>
        </w:smartTag>
      </w:smartTag>
    </w:p>
    <w:p w:rsidR="0092149B" w:rsidRPr="003F1C6C" w:rsidRDefault="0092149B" w:rsidP="003A50A3">
      <w:pPr>
        <w:widowControl w:val="0"/>
        <w:spacing w:line="360" w:lineRule="auto"/>
        <w:rPr>
          <w:rFonts w:ascii="Book Antiqua" w:hAnsi="Book Antiqua"/>
          <w:color w:val="555555"/>
          <w:sz w:val="24"/>
          <w:szCs w:val="24"/>
          <w:lang w:eastAsia="zh-CN"/>
        </w:rPr>
      </w:pPr>
      <w:r w:rsidRPr="003F1C6C">
        <w:rPr>
          <w:rFonts w:ascii="Book Antiqua" w:hAnsi="Book Antiqua"/>
          <w:color w:val="555555"/>
          <w:sz w:val="24"/>
          <w:szCs w:val="24"/>
        </w:rPr>
        <w:t xml:space="preserve"> </w:t>
      </w:r>
    </w:p>
    <w:p w:rsidR="0092149B" w:rsidRPr="003F1C6C" w:rsidRDefault="0092149B" w:rsidP="003A50A3">
      <w:pPr>
        <w:widowControl w:val="0"/>
        <w:spacing w:line="360" w:lineRule="auto"/>
        <w:rPr>
          <w:rFonts w:ascii="Book Antiqua" w:hAnsi="Book Antiqua"/>
          <w:sz w:val="24"/>
          <w:szCs w:val="24"/>
          <w:lang w:eastAsia="zh-CN"/>
        </w:rPr>
      </w:pPr>
      <w:r w:rsidRPr="003F1C6C">
        <w:rPr>
          <w:rFonts w:ascii="Book Antiqua" w:hAnsi="Book Antiqua" w:cs="Times New Roman"/>
          <w:b/>
          <w:bCs/>
          <w:sz w:val="24"/>
          <w:szCs w:val="24"/>
          <w:lang w:val="en-US" w:eastAsia="zh-CN"/>
        </w:rPr>
        <w:t xml:space="preserve">Bolajoko O Olusanya, </w:t>
      </w:r>
      <w:r w:rsidRPr="003F1C6C">
        <w:rPr>
          <w:rFonts w:ascii="Book Antiqua" w:hAnsi="Book Antiqua"/>
          <w:sz w:val="24"/>
          <w:szCs w:val="24"/>
        </w:rPr>
        <w:t>Centre</w:t>
      </w:r>
      <w:r>
        <w:rPr>
          <w:rFonts w:ascii="Book Antiqua" w:hAnsi="Book Antiqua"/>
          <w:sz w:val="24"/>
          <w:szCs w:val="24"/>
        </w:rPr>
        <w:t xml:space="preserve"> for Healthy Start Initiative,</w:t>
      </w:r>
      <w:r w:rsidRPr="003F1C6C">
        <w:rPr>
          <w:rFonts w:ascii="Book Antiqua" w:hAnsi="Book Antiqua"/>
          <w:sz w:val="24"/>
          <w:szCs w:val="24"/>
        </w:rPr>
        <w:t xml:space="preserve"> Dolphin Estate, Ikoyi, </w:t>
      </w:r>
      <w:smartTag w:uri="urn:schemas-microsoft-com:office:smarttags" w:element="place">
        <w:smartTag w:uri="urn:schemas-microsoft-com:office:smarttags" w:element="City">
          <w:r w:rsidRPr="003F1C6C">
            <w:rPr>
              <w:rFonts w:ascii="Book Antiqua" w:hAnsi="Book Antiqua"/>
              <w:sz w:val="24"/>
              <w:szCs w:val="24"/>
            </w:rPr>
            <w:t>Lagos</w:t>
          </w:r>
        </w:smartTag>
        <w:r w:rsidRPr="003F1C6C">
          <w:rPr>
            <w:rFonts w:ascii="Book Antiqua" w:hAnsi="Book Antiqua"/>
            <w:sz w:val="24"/>
            <w:szCs w:val="24"/>
          </w:rPr>
          <w:t xml:space="preserve">, </w:t>
        </w:r>
        <w:smartTag w:uri="urn:schemas-microsoft-com:office:smarttags" w:element="country-region">
          <w:r w:rsidRPr="003F1C6C">
            <w:rPr>
              <w:rFonts w:ascii="Book Antiqua" w:hAnsi="Book Antiqua"/>
              <w:sz w:val="24"/>
              <w:szCs w:val="24"/>
            </w:rPr>
            <w:t>Nigeria</w:t>
          </w:r>
        </w:smartTag>
      </w:smartTag>
    </w:p>
    <w:p w:rsidR="0092149B" w:rsidRPr="003F1C6C" w:rsidRDefault="0092149B" w:rsidP="003A50A3">
      <w:pPr>
        <w:widowControl w:val="0"/>
        <w:spacing w:line="360" w:lineRule="auto"/>
        <w:rPr>
          <w:rFonts w:ascii="Book Antiqua" w:hAnsi="Book Antiqua"/>
          <w:sz w:val="24"/>
          <w:szCs w:val="24"/>
          <w:lang w:eastAsia="zh-CN"/>
        </w:rPr>
      </w:pPr>
    </w:p>
    <w:p w:rsidR="0092149B" w:rsidRPr="003F1C6C" w:rsidRDefault="0092149B" w:rsidP="003A50A3">
      <w:pPr>
        <w:spacing w:line="360" w:lineRule="auto"/>
        <w:contextualSpacing/>
        <w:rPr>
          <w:rFonts w:ascii="Book Antiqua" w:hAnsi="Book Antiqua"/>
          <w:sz w:val="24"/>
          <w:szCs w:val="24"/>
          <w:lang w:val="en-US"/>
        </w:rPr>
      </w:pPr>
      <w:r w:rsidRPr="003F1C6C">
        <w:rPr>
          <w:rFonts w:ascii="Book Antiqua" w:hAnsi="Book Antiqua"/>
          <w:b/>
          <w:sz w:val="24"/>
          <w:szCs w:val="24"/>
        </w:rPr>
        <w:t>Author contributions:</w:t>
      </w:r>
      <w:r w:rsidRPr="003F1C6C">
        <w:rPr>
          <w:rFonts w:ascii="Book Antiqua" w:hAnsi="Book Antiqua"/>
          <w:b/>
          <w:sz w:val="24"/>
          <w:szCs w:val="24"/>
          <w:lang w:eastAsia="zh-CN"/>
        </w:rPr>
        <w:t xml:space="preserve"> </w:t>
      </w:r>
      <w:r w:rsidRPr="003F1C6C">
        <w:rPr>
          <w:rFonts w:ascii="Book Antiqua" w:hAnsi="Book Antiqua" w:cs="Times New Roman"/>
          <w:bCs/>
          <w:sz w:val="24"/>
          <w:szCs w:val="24"/>
          <w:lang w:val="en-US" w:eastAsia="zh-CN"/>
        </w:rPr>
        <w:t>Olusanya BO</w:t>
      </w:r>
      <w:r w:rsidRPr="003F1C6C">
        <w:rPr>
          <w:rFonts w:ascii="Book Antiqua" w:hAnsi="Book Antiqua"/>
          <w:sz w:val="24"/>
          <w:szCs w:val="24"/>
          <w:lang w:val="en-US"/>
        </w:rPr>
        <w:t xml:space="preserve"> conceived and designed the study and drafted the manuscript with inputs from </w:t>
      </w:r>
      <w:smartTag w:uri="urn:schemas-microsoft-com:office:smarttags" w:element="place">
        <w:smartTag w:uri="urn:schemas-microsoft-com:office:smarttags" w:element="City">
          <w:r w:rsidRPr="003F1C6C">
            <w:rPr>
              <w:rFonts w:ascii="Book Antiqua" w:hAnsi="Book Antiqua" w:cs="Times New Roman"/>
              <w:bCs/>
              <w:sz w:val="24"/>
              <w:szCs w:val="24"/>
              <w:lang w:val="en-US" w:eastAsia="zh-CN"/>
            </w:rPr>
            <w:t>Mabogunje</w:t>
          </w:r>
        </w:smartTag>
        <w:r w:rsidRPr="003F1C6C">
          <w:rPr>
            <w:rFonts w:ascii="Book Antiqua" w:hAnsi="Book Antiqua" w:cs="Times New Roman"/>
            <w:bCs/>
            <w:sz w:val="24"/>
            <w:szCs w:val="24"/>
            <w:lang w:val="en-US" w:eastAsia="zh-CN"/>
          </w:rPr>
          <w:t xml:space="preserve"> </w:t>
        </w:r>
        <w:smartTag w:uri="urn:schemas-microsoft-com:office:smarttags" w:element="State">
          <w:r w:rsidRPr="003F1C6C">
            <w:rPr>
              <w:rFonts w:ascii="Book Antiqua" w:hAnsi="Book Antiqua" w:cs="Times New Roman"/>
              <w:bCs/>
              <w:sz w:val="24"/>
              <w:szCs w:val="24"/>
              <w:lang w:val="en-US" w:eastAsia="zh-CN"/>
            </w:rPr>
            <w:t>CA</w:t>
          </w:r>
        </w:smartTag>
      </w:smartTag>
      <w:r w:rsidRPr="003F1C6C">
        <w:rPr>
          <w:rFonts w:ascii="Book Antiqua" w:hAnsi="Book Antiqua"/>
          <w:sz w:val="24"/>
          <w:szCs w:val="24"/>
          <w:lang w:val="en-US"/>
        </w:rPr>
        <w:t xml:space="preserve"> and </w:t>
      </w:r>
      <w:r w:rsidRPr="003F1C6C">
        <w:rPr>
          <w:rFonts w:ascii="Book Antiqua" w:hAnsi="Book Antiqua" w:cs="Times New Roman"/>
          <w:bCs/>
          <w:sz w:val="24"/>
          <w:szCs w:val="24"/>
          <w:lang w:val="en-US" w:eastAsia="zh-CN"/>
        </w:rPr>
        <w:t>Olaifa SM</w:t>
      </w:r>
      <w:r w:rsidRPr="003F1C6C">
        <w:rPr>
          <w:rFonts w:ascii="Book Antiqua" w:hAnsi="Book Antiqua"/>
          <w:sz w:val="24"/>
          <w:szCs w:val="24"/>
          <w:lang w:val="en-US" w:eastAsia="zh-CN"/>
        </w:rPr>
        <w:t>;</w:t>
      </w:r>
      <w:r w:rsidRPr="003F1C6C">
        <w:rPr>
          <w:rFonts w:ascii="Book Antiqua" w:hAnsi="Book Antiqua"/>
          <w:sz w:val="24"/>
          <w:szCs w:val="24"/>
          <w:lang w:val="en-US"/>
        </w:rPr>
        <w:t xml:space="preserve"> </w:t>
      </w:r>
      <w:r w:rsidRPr="003F1C6C">
        <w:rPr>
          <w:rFonts w:ascii="Book Antiqua" w:hAnsi="Book Antiqua"/>
          <w:sz w:val="24"/>
          <w:szCs w:val="24"/>
        </w:rPr>
        <w:t>all</w:t>
      </w:r>
      <w:r w:rsidRPr="003F1C6C">
        <w:rPr>
          <w:rFonts w:ascii="Book Antiqua" w:hAnsi="Book Antiqua"/>
          <w:sz w:val="24"/>
          <w:szCs w:val="24"/>
          <w:lang w:val="en-US"/>
        </w:rPr>
        <w:t xml:space="preserve"> authors reviewed and approved the final version before submission.</w:t>
      </w:r>
    </w:p>
    <w:p w:rsidR="0092149B" w:rsidRPr="003F1C6C" w:rsidRDefault="0092149B" w:rsidP="003A50A3">
      <w:pPr>
        <w:spacing w:line="360" w:lineRule="auto"/>
        <w:rPr>
          <w:rFonts w:ascii="Book Antiqua" w:hAnsi="Book Antiqua"/>
          <w:b/>
          <w:sz w:val="24"/>
          <w:szCs w:val="24"/>
          <w:lang w:eastAsia="zh-CN"/>
        </w:rPr>
      </w:pPr>
    </w:p>
    <w:p w:rsidR="0092149B" w:rsidRPr="003F1C6C" w:rsidRDefault="0092149B" w:rsidP="003A50A3">
      <w:pPr>
        <w:widowControl w:val="0"/>
        <w:spacing w:line="360" w:lineRule="auto"/>
        <w:rPr>
          <w:rFonts w:ascii="Book Antiqua" w:hAnsi="Book Antiqua"/>
          <w:sz w:val="24"/>
          <w:szCs w:val="24"/>
          <w:lang w:eastAsia="zh-CN"/>
        </w:rPr>
      </w:pPr>
      <w:r w:rsidRPr="003F1C6C">
        <w:rPr>
          <w:rFonts w:ascii="Book Antiqua" w:hAnsi="Book Antiqua"/>
          <w:b/>
          <w:sz w:val="24"/>
          <w:szCs w:val="24"/>
        </w:rPr>
        <w:t xml:space="preserve">Conflict-of-interest </w:t>
      </w:r>
      <w:bookmarkStart w:id="0" w:name="OLE_LINK24"/>
      <w:bookmarkStart w:id="1" w:name="OLE_LINK25"/>
      <w:r w:rsidRPr="003F1C6C">
        <w:rPr>
          <w:rFonts w:ascii="Book Antiqua" w:hAnsi="Book Antiqua"/>
          <w:b/>
          <w:sz w:val="24"/>
          <w:szCs w:val="24"/>
        </w:rPr>
        <w:t>statement</w:t>
      </w:r>
      <w:bookmarkEnd w:id="0"/>
      <w:bookmarkEnd w:id="1"/>
      <w:r w:rsidRPr="003F1C6C">
        <w:rPr>
          <w:rFonts w:ascii="Book Antiqua" w:hAnsi="Book Antiqua"/>
          <w:b/>
          <w:sz w:val="24"/>
          <w:szCs w:val="24"/>
        </w:rPr>
        <w:t>:</w:t>
      </w:r>
      <w:r w:rsidRPr="003F1C6C">
        <w:rPr>
          <w:rFonts w:ascii="Book Antiqua" w:hAnsi="Book Antiqua"/>
          <w:b/>
          <w:sz w:val="24"/>
          <w:szCs w:val="24"/>
          <w:lang w:eastAsia="zh-CN"/>
        </w:rPr>
        <w:t xml:space="preserve"> </w:t>
      </w:r>
      <w:r w:rsidRPr="003F1C6C">
        <w:rPr>
          <w:rFonts w:ascii="Book Antiqua" w:hAnsi="Book Antiqua" w:cs="Times New Roman"/>
          <w:bCs/>
          <w:sz w:val="24"/>
          <w:szCs w:val="24"/>
          <w:lang w:val="en-US" w:eastAsia="en-GB"/>
        </w:rPr>
        <w:t>The authors have no conflicts of interest to declare.</w:t>
      </w:r>
    </w:p>
    <w:p w:rsidR="0092149B" w:rsidRPr="003F1C6C" w:rsidRDefault="0092149B" w:rsidP="003A50A3">
      <w:pPr>
        <w:widowControl w:val="0"/>
        <w:spacing w:line="360" w:lineRule="auto"/>
        <w:rPr>
          <w:rFonts w:ascii="Book Antiqua" w:hAnsi="Book Antiqua"/>
          <w:sz w:val="24"/>
          <w:szCs w:val="24"/>
          <w:lang w:eastAsia="zh-CN"/>
        </w:rPr>
      </w:pPr>
    </w:p>
    <w:p w:rsidR="0092149B" w:rsidRPr="003F1C6C" w:rsidRDefault="0092149B" w:rsidP="003A50A3">
      <w:pPr>
        <w:spacing w:line="360" w:lineRule="auto"/>
        <w:rPr>
          <w:rFonts w:ascii="Book Antiqua" w:hAnsi="Book Antiqua"/>
          <w:sz w:val="24"/>
          <w:szCs w:val="24"/>
        </w:rPr>
      </w:pPr>
      <w:bookmarkStart w:id="2" w:name="OLE_LINK507"/>
      <w:bookmarkStart w:id="3" w:name="OLE_LINK506"/>
      <w:bookmarkStart w:id="4" w:name="OLE_LINK496"/>
      <w:bookmarkStart w:id="5" w:name="OLE_LINK479"/>
      <w:r w:rsidRPr="003F1C6C">
        <w:rPr>
          <w:rFonts w:ascii="Book Antiqua" w:hAnsi="Book Antiqua"/>
          <w:b/>
          <w:sz w:val="24"/>
          <w:szCs w:val="24"/>
        </w:rPr>
        <w:t xml:space="preserve">Open-Access: </w:t>
      </w:r>
      <w:r w:rsidRPr="003F1C6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92149B" w:rsidRPr="003F1C6C" w:rsidRDefault="0092149B" w:rsidP="003A50A3">
      <w:pPr>
        <w:widowControl w:val="0"/>
        <w:spacing w:line="360" w:lineRule="auto"/>
        <w:rPr>
          <w:rFonts w:ascii="Book Antiqua" w:hAnsi="Book Antiqua"/>
          <w:sz w:val="24"/>
          <w:szCs w:val="24"/>
          <w:lang w:eastAsia="zh-CN"/>
        </w:rPr>
      </w:pPr>
    </w:p>
    <w:p w:rsidR="0092149B" w:rsidRPr="003F1C6C" w:rsidRDefault="0092149B" w:rsidP="007070FA">
      <w:pPr>
        <w:spacing w:line="360" w:lineRule="auto"/>
        <w:ind w:rightChars="50" w:right="31680"/>
        <w:rPr>
          <w:rFonts w:ascii="Book Antiqua" w:hAnsi="Book Antiqua"/>
          <w:b/>
          <w:bCs/>
          <w:sz w:val="24"/>
          <w:szCs w:val="24"/>
          <w:lang w:eastAsia="zh-CN"/>
        </w:rPr>
      </w:pPr>
      <w:r w:rsidRPr="003F1C6C">
        <w:rPr>
          <w:rFonts w:ascii="Book Antiqua" w:hAnsi="Book Antiqua"/>
          <w:b/>
          <w:sz w:val="24"/>
          <w:szCs w:val="24"/>
        </w:rPr>
        <w:t>Correspondence to:</w:t>
      </w:r>
      <w:r w:rsidRPr="003F1C6C">
        <w:rPr>
          <w:rFonts w:ascii="Book Antiqua" w:hAnsi="Book Antiqua"/>
          <w:b/>
          <w:bCs/>
          <w:sz w:val="24"/>
          <w:szCs w:val="24"/>
          <w:lang w:eastAsia="zh-CN"/>
        </w:rPr>
        <w:t xml:space="preserve"> </w:t>
      </w:r>
      <w:r w:rsidRPr="003F1C6C">
        <w:rPr>
          <w:rFonts w:ascii="Book Antiqua" w:hAnsi="Book Antiqua"/>
          <w:b/>
          <w:sz w:val="24"/>
          <w:szCs w:val="24"/>
        </w:rPr>
        <w:t>Bolajoko O Olusanya</w:t>
      </w:r>
      <w:r w:rsidRPr="003F1C6C">
        <w:rPr>
          <w:rFonts w:ascii="Book Antiqua" w:hAnsi="Book Antiqua"/>
          <w:sz w:val="24"/>
          <w:szCs w:val="24"/>
          <w:lang w:eastAsia="zh-CN"/>
        </w:rPr>
        <w:t>,</w:t>
      </w:r>
      <w:r w:rsidRPr="003F1C6C">
        <w:rPr>
          <w:rFonts w:ascii="Book Antiqua" w:hAnsi="Book Antiqua"/>
          <w:sz w:val="24"/>
          <w:szCs w:val="24"/>
        </w:rPr>
        <w:t xml:space="preserve"> </w:t>
      </w:r>
      <w:r w:rsidRPr="003F1C6C">
        <w:rPr>
          <w:rFonts w:ascii="Book Antiqua" w:hAnsi="Book Antiqua"/>
          <w:b/>
          <w:sz w:val="24"/>
          <w:szCs w:val="24"/>
        </w:rPr>
        <w:t>FRCPCH, PhD,</w:t>
      </w:r>
      <w:r w:rsidRPr="003F1C6C">
        <w:rPr>
          <w:rFonts w:ascii="Book Antiqua" w:hAnsi="Book Antiqua"/>
          <w:sz w:val="24"/>
          <w:szCs w:val="24"/>
        </w:rPr>
        <w:t xml:space="preserve"> Centre for Healthy Start Initiative, Dolphin Estate, Ikoyi, PO Box 75130 VI, Lagos, Nigeria. bolajoko.olusanya@uclmail.net </w:t>
      </w:r>
    </w:p>
    <w:p w:rsidR="0092149B" w:rsidRPr="003F1C6C" w:rsidRDefault="0092149B" w:rsidP="003A50A3">
      <w:pPr>
        <w:widowControl w:val="0"/>
        <w:spacing w:line="360" w:lineRule="auto"/>
        <w:rPr>
          <w:rFonts w:ascii="Book Antiqua" w:hAnsi="Book Antiqua"/>
          <w:sz w:val="24"/>
          <w:szCs w:val="24"/>
          <w:lang w:val="en-US" w:eastAsia="zh-CN"/>
        </w:rPr>
      </w:pPr>
      <w:r w:rsidRPr="003F1C6C">
        <w:rPr>
          <w:rFonts w:ascii="Book Antiqua" w:hAnsi="Book Antiqua"/>
          <w:b/>
          <w:bCs/>
          <w:color w:val="000000"/>
          <w:sz w:val="24"/>
          <w:szCs w:val="24"/>
        </w:rPr>
        <w:t>Telephone:</w:t>
      </w:r>
      <w:r w:rsidRPr="003F1C6C">
        <w:rPr>
          <w:rFonts w:ascii="Book Antiqua" w:hAnsi="Book Antiqua"/>
          <w:sz w:val="24"/>
          <w:szCs w:val="24"/>
        </w:rPr>
        <w:t xml:space="preserve"> +234</w:t>
      </w:r>
      <w:r w:rsidRPr="003F1C6C">
        <w:rPr>
          <w:rFonts w:ascii="Book Antiqua" w:hAnsi="Book Antiqua"/>
          <w:sz w:val="24"/>
          <w:szCs w:val="24"/>
          <w:lang w:eastAsia="zh-CN"/>
        </w:rPr>
        <w:t>-</w:t>
      </w:r>
      <w:r w:rsidRPr="003F1C6C">
        <w:rPr>
          <w:rFonts w:ascii="Book Antiqua" w:hAnsi="Book Antiqua"/>
          <w:sz w:val="24"/>
          <w:szCs w:val="24"/>
        </w:rPr>
        <w:t>803</w:t>
      </w:r>
      <w:r w:rsidRPr="003F1C6C">
        <w:rPr>
          <w:rFonts w:ascii="Book Antiqua" w:hAnsi="Book Antiqua"/>
          <w:sz w:val="24"/>
          <w:szCs w:val="24"/>
          <w:lang w:eastAsia="zh-CN"/>
        </w:rPr>
        <w:t>-</w:t>
      </w:r>
      <w:r w:rsidRPr="003F1C6C">
        <w:rPr>
          <w:rFonts w:ascii="Book Antiqua" w:hAnsi="Book Antiqua"/>
          <w:sz w:val="24"/>
          <w:szCs w:val="24"/>
        </w:rPr>
        <w:t>3344300</w:t>
      </w:r>
    </w:p>
    <w:p w:rsidR="0092149B" w:rsidRPr="003F1C6C" w:rsidRDefault="0092149B" w:rsidP="003A50A3">
      <w:pPr>
        <w:shd w:val="clear" w:color="auto" w:fill="FFFFFF"/>
        <w:spacing w:line="360" w:lineRule="auto"/>
        <w:outlineLvl w:val="2"/>
        <w:rPr>
          <w:rFonts w:ascii="Book Antiqua" w:hAnsi="Book Antiqua" w:cs="Times New Roman"/>
          <w:b/>
          <w:bCs/>
          <w:sz w:val="24"/>
          <w:szCs w:val="24"/>
          <w:lang w:val="en-US" w:eastAsia="en-GB"/>
        </w:rPr>
      </w:pPr>
    </w:p>
    <w:p w:rsidR="0092149B" w:rsidRPr="003F1C6C" w:rsidRDefault="0092149B" w:rsidP="003A50A3">
      <w:pPr>
        <w:spacing w:line="360" w:lineRule="auto"/>
        <w:rPr>
          <w:rFonts w:ascii="Book Antiqua" w:hAnsi="Book Antiqua"/>
          <w:b/>
          <w:sz w:val="24"/>
          <w:szCs w:val="24"/>
          <w:lang w:eastAsia="zh-CN"/>
        </w:rPr>
      </w:pPr>
      <w:r w:rsidRPr="003F1C6C">
        <w:rPr>
          <w:rFonts w:ascii="Book Antiqua" w:hAnsi="Book Antiqua"/>
          <w:b/>
          <w:sz w:val="24"/>
          <w:szCs w:val="24"/>
        </w:rPr>
        <w:t xml:space="preserve">Received: </w:t>
      </w:r>
      <w:r w:rsidRPr="003F1C6C">
        <w:rPr>
          <w:rFonts w:ascii="Book Antiqua" w:hAnsi="Book Antiqua"/>
          <w:sz w:val="24"/>
        </w:rPr>
        <w:t xml:space="preserve">August </w:t>
      </w:r>
      <w:r w:rsidRPr="003F1C6C">
        <w:rPr>
          <w:rFonts w:ascii="Book Antiqua" w:hAnsi="Book Antiqua"/>
          <w:sz w:val="24"/>
          <w:lang w:eastAsia="zh-CN"/>
        </w:rPr>
        <w:t>15, 2015</w:t>
      </w:r>
    </w:p>
    <w:p w:rsidR="0092149B" w:rsidRPr="003F1C6C" w:rsidRDefault="0092149B" w:rsidP="003A50A3">
      <w:pPr>
        <w:spacing w:line="360" w:lineRule="auto"/>
        <w:rPr>
          <w:rFonts w:ascii="Book Antiqua" w:hAnsi="Book Antiqua"/>
          <w:b/>
          <w:sz w:val="24"/>
          <w:szCs w:val="24"/>
          <w:lang w:eastAsia="zh-CN"/>
        </w:rPr>
      </w:pPr>
      <w:r w:rsidRPr="003F1C6C">
        <w:rPr>
          <w:rFonts w:ascii="Book Antiqua" w:hAnsi="Book Antiqua"/>
          <w:b/>
          <w:sz w:val="24"/>
          <w:szCs w:val="24"/>
        </w:rPr>
        <w:t>Peer-review started:</w:t>
      </w:r>
      <w:r w:rsidRPr="003F1C6C">
        <w:rPr>
          <w:rFonts w:ascii="Book Antiqua" w:hAnsi="Book Antiqua"/>
          <w:b/>
          <w:sz w:val="24"/>
          <w:szCs w:val="24"/>
          <w:lang w:eastAsia="zh-CN"/>
        </w:rPr>
        <w:t xml:space="preserve"> </w:t>
      </w:r>
      <w:r w:rsidRPr="003F1C6C">
        <w:rPr>
          <w:rFonts w:ascii="Book Antiqua" w:hAnsi="Book Antiqua"/>
          <w:sz w:val="24"/>
        </w:rPr>
        <w:t xml:space="preserve">August </w:t>
      </w:r>
      <w:r w:rsidRPr="003F1C6C">
        <w:rPr>
          <w:rFonts w:ascii="Book Antiqua" w:hAnsi="Book Antiqua"/>
          <w:sz w:val="24"/>
          <w:lang w:eastAsia="zh-CN"/>
        </w:rPr>
        <w:t>16, 2015</w:t>
      </w:r>
    </w:p>
    <w:p w:rsidR="0092149B" w:rsidRPr="003F1C6C" w:rsidRDefault="0092149B" w:rsidP="00657C1E">
      <w:pPr>
        <w:spacing w:line="360" w:lineRule="auto"/>
        <w:rPr>
          <w:rFonts w:ascii="Book Antiqua" w:hAnsi="Book Antiqua"/>
          <w:sz w:val="24"/>
          <w:lang w:eastAsia="zh-CN"/>
        </w:rPr>
      </w:pPr>
      <w:r w:rsidRPr="003F1C6C">
        <w:rPr>
          <w:rFonts w:ascii="Book Antiqua" w:hAnsi="Book Antiqua"/>
          <w:b/>
          <w:sz w:val="24"/>
          <w:szCs w:val="24"/>
        </w:rPr>
        <w:t>First decision:</w:t>
      </w:r>
      <w:r w:rsidRPr="003F1C6C">
        <w:rPr>
          <w:rFonts w:ascii="Book Antiqua" w:hAnsi="Book Antiqua"/>
          <w:sz w:val="24"/>
          <w:szCs w:val="24"/>
        </w:rPr>
        <w:t xml:space="preserve"> </w:t>
      </w:r>
      <w:r w:rsidRPr="003F1C6C">
        <w:rPr>
          <w:rFonts w:ascii="Book Antiqua" w:hAnsi="Book Antiqua"/>
          <w:sz w:val="24"/>
        </w:rPr>
        <w:t>September</w:t>
      </w:r>
      <w:r w:rsidRPr="003F1C6C">
        <w:rPr>
          <w:rFonts w:ascii="Book Antiqua" w:hAnsi="Book Antiqua"/>
          <w:sz w:val="24"/>
          <w:lang w:eastAsia="zh-CN"/>
        </w:rPr>
        <w:t xml:space="preserve"> 17, 2015</w:t>
      </w:r>
    </w:p>
    <w:p w:rsidR="0092149B" w:rsidRPr="003F1C6C" w:rsidRDefault="0092149B" w:rsidP="003A50A3">
      <w:pPr>
        <w:spacing w:line="360" w:lineRule="auto"/>
        <w:rPr>
          <w:rFonts w:ascii="Book Antiqua" w:hAnsi="Book Antiqua"/>
          <w:b/>
          <w:sz w:val="24"/>
          <w:szCs w:val="24"/>
          <w:lang w:eastAsia="zh-CN"/>
        </w:rPr>
      </w:pPr>
      <w:r w:rsidRPr="003F1C6C">
        <w:rPr>
          <w:rFonts w:ascii="Book Antiqua" w:hAnsi="Book Antiqua"/>
          <w:b/>
          <w:sz w:val="24"/>
          <w:szCs w:val="24"/>
        </w:rPr>
        <w:t xml:space="preserve">Revised: </w:t>
      </w:r>
      <w:r w:rsidRPr="003F1C6C">
        <w:rPr>
          <w:rFonts w:ascii="Book Antiqua" w:hAnsi="Book Antiqua"/>
          <w:sz w:val="24"/>
        </w:rPr>
        <w:t>December</w:t>
      </w:r>
      <w:r w:rsidRPr="003F1C6C">
        <w:rPr>
          <w:rFonts w:ascii="Book Antiqua" w:hAnsi="Book Antiqua"/>
          <w:sz w:val="24"/>
          <w:lang w:eastAsia="zh-CN"/>
        </w:rPr>
        <w:t xml:space="preserve"> 15, 2015</w:t>
      </w:r>
    </w:p>
    <w:p w:rsidR="0092149B" w:rsidRPr="003F1C6C" w:rsidRDefault="0092149B" w:rsidP="003A50A3">
      <w:pPr>
        <w:spacing w:line="360" w:lineRule="auto"/>
        <w:rPr>
          <w:rFonts w:ascii="Book Antiqua" w:hAnsi="Book Antiqua"/>
          <w:b/>
          <w:sz w:val="24"/>
          <w:szCs w:val="24"/>
        </w:rPr>
      </w:pPr>
      <w:r w:rsidRPr="003F1C6C">
        <w:rPr>
          <w:rFonts w:ascii="Book Antiqua" w:hAnsi="Book Antiqua"/>
          <w:b/>
          <w:sz w:val="24"/>
          <w:szCs w:val="24"/>
        </w:rPr>
        <w:t xml:space="preserve">Accepted: </w:t>
      </w:r>
      <w:r w:rsidRPr="00666ED8">
        <w:rPr>
          <w:rFonts w:ascii="Book Antiqua" w:hAnsi="Book Antiqua"/>
          <w:sz w:val="24"/>
          <w:szCs w:val="24"/>
        </w:rPr>
        <w:t>January 5, 2016</w:t>
      </w:r>
    </w:p>
    <w:p w:rsidR="0092149B" w:rsidRPr="003F1C6C" w:rsidRDefault="0092149B" w:rsidP="003A50A3">
      <w:pPr>
        <w:spacing w:line="360" w:lineRule="auto"/>
        <w:rPr>
          <w:rFonts w:ascii="Book Antiqua" w:hAnsi="Book Antiqua"/>
          <w:b/>
          <w:sz w:val="24"/>
          <w:szCs w:val="24"/>
        </w:rPr>
      </w:pPr>
      <w:r w:rsidRPr="003F1C6C">
        <w:rPr>
          <w:rFonts w:ascii="Book Antiqua" w:hAnsi="Book Antiqua"/>
          <w:b/>
          <w:sz w:val="24"/>
          <w:szCs w:val="24"/>
        </w:rPr>
        <w:t>Article in press:</w:t>
      </w:r>
    </w:p>
    <w:p w:rsidR="0092149B" w:rsidRPr="003F1C6C" w:rsidRDefault="0092149B" w:rsidP="003A50A3">
      <w:pPr>
        <w:spacing w:line="360" w:lineRule="auto"/>
        <w:rPr>
          <w:rFonts w:ascii="Book Antiqua" w:hAnsi="Book Antiqua"/>
          <w:b/>
          <w:sz w:val="24"/>
          <w:szCs w:val="24"/>
        </w:rPr>
      </w:pPr>
      <w:r w:rsidRPr="003F1C6C">
        <w:rPr>
          <w:rFonts w:ascii="Book Antiqua" w:hAnsi="Book Antiqua"/>
          <w:b/>
          <w:sz w:val="24"/>
          <w:szCs w:val="24"/>
        </w:rPr>
        <w:t xml:space="preserve">Published online: </w:t>
      </w:r>
    </w:p>
    <w:p w:rsidR="0092149B" w:rsidRPr="003F1C6C" w:rsidRDefault="0092149B" w:rsidP="003A50A3">
      <w:pPr>
        <w:shd w:val="clear" w:color="auto" w:fill="FFFFFF"/>
        <w:spacing w:line="360" w:lineRule="auto"/>
        <w:outlineLvl w:val="2"/>
        <w:rPr>
          <w:rFonts w:ascii="Book Antiqua" w:hAnsi="Book Antiqua" w:cs="Times New Roman"/>
          <w:b/>
          <w:bCs/>
          <w:sz w:val="24"/>
          <w:szCs w:val="24"/>
          <w:lang w:val="en-US" w:eastAsia="en-GB"/>
        </w:rPr>
      </w:pPr>
      <w:r w:rsidRPr="003F1C6C">
        <w:rPr>
          <w:rFonts w:ascii="Book Antiqua" w:hAnsi="Book Antiqua" w:cs="Times New Roman"/>
          <w:b/>
          <w:bCs/>
          <w:sz w:val="24"/>
          <w:szCs w:val="24"/>
          <w:lang w:val="en-US" w:eastAsia="zh-CN"/>
        </w:rPr>
        <w:br w:type="page"/>
      </w:r>
      <w:r w:rsidRPr="003F1C6C">
        <w:rPr>
          <w:rFonts w:ascii="Book Antiqua" w:hAnsi="Book Antiqua" w:cs="Times New Roman"/>
          <w:b/>
          <w:bCs/>
          <w:sz w:val="24"/>
          <w:szCs w:val="24"/>
          <w:lang w:val="en-US" w:eastAsia="en-GB"/>
        </w:rPr>
        <w:t>Abstract</w:t>
      </w:r>
    </w:p>
    <w:p w:rsidR="0092149B" w:rsidRPr="003F1C6C" w:rsidRDefault="0092149B" w:rsidP="003A50A3">
      <w:pPr>
        <w:shd w:val="clear" w:color="auto" w:fill="FFFFFF"/>
        <w:spacing w:line="360" w:lineRule="auto"/>
        <w:rPr>
          <w:rFonts w:ascii="Book Antiqua" w:hAnsi="Book Antiqua" w:cs="Times New Roman"/>
          <w:noProof/>
          <w:sz w:val="24"/>
          <w:szCs w:val="24"/>
          <w:lang w:val="en-US" w:eastAsia="en-GB"/>
        </w:rPr>
      </w:pPr>
      <w:r w:rsidRPr="003F1C6C">
        <w:rPr>
          <w:rFonts w:ascii="Book Antiqua" w:hAnsi="Book Antiqua" w:cs="Times New Roman"/>
          <w:noProof/>
          <w:sz w:val="24"/>
          <w:szCs w:val="24"/>
          <w:lang w:val="en-US" w:eastAsia="en-GB"/>
        </w:rPr>
        <w:t>Several clinical guidelines for the management of infants with severe neonatal hyperbilirubinemia recommend immediate exchange transfusion (ET) when the risk or presence of acute bilirubin encephalopathy is established to prevent chronic bilirubin encephalopathy or kernicterus.</w:t>
      </w:r>
      <w:r w:rsidRPr="003F1C6C">
        <w:rPr>
          <w:rFonts w:ascii="Book Antiqua" w:hAnsi="Book Antiqua" w:cs="Times New Roman"/>
          <w:sz w:val="24"/>
          <w:szCs w:val="24"/>
          <w:lang w:val="en-US" w:eastAsia="en-GB"/>
        </w:rPr>
        <w:t xml:space="preserve"> </w:t>
      </w:r>
      <w:r w:rsidRPr="003F1C6C">
        <w:rPr>
          <w:rFonts w:ascii="Book Antiqua" w:hAnsi="Book Antiqua" w:cs="Times New Roman"/>
          <w:noProof/>
          <w:sz w:val="24"/>
          <w:szCs w:val="24"/>
          <w:lang w:val="en-US" w:eastAsia="en-GB"/>
        </w:rPr>
        <w:t>However, the literature is sparse on the interval between the time the decision for ET is made and the actual initiation of ET, especially in low- and middle-income countries (LMICs) with significant resource constraints but high rates of ET. This paper explores the various stages and potential delays during this interval in complying with the requirement for immediate ET for the affected infants based on a review of the available evidence from LMICs. The vital role of intensive phototherapy, efficient laboratory and logistical support, and clinical expertise for ET are highlighted. The challenges in securing informed parental consent especially on religious grounds and meeting the financial burden of this emergency procedure to facilitate timely ET are examined. Secondary delays arising from post-treatment bilirubin rebound with intensive phototherapy or ET are also discussed. These potential delays can compromise the effectiveness of ET and should provide additional impetus to curtail avoidable ET in LMICs.</w:t>
      </w:r>
    </w:p>
    <w:p w:rsidR="0092149B" w:rsidRPr="003F1C6C" w:rsidRDefault="0092149B" w:rsidP="003A50A3">
      <w:pPr>
        <w:shd w:val="clear" w:color="auto" w:fill="FFFFFF"/>
        <w:spacing w:line="360" w:lineRule="auto"/>
        <w:rPr>
          <w:rFonts w:ascii="Book Antiqua" w:hAnsi="Book Antiqua" w:cs="Times New Roman"/>
          <w:noProof/>
          <w:sz w:val="24"/>
          <w:szCs w:val="24"/>
          <w:lang w:val="en-US" w:eastAsia="en-GB"/>
        </w:rPr>
      </w:pPr>
    </w:p>
    <w:p w:rsidR="0092149B" w:rsidRPr="003F1C6C" w:rsidRDefault="0092149B" w:rsidP="003A50A3">
      <w:pPr>
        <w:spacing w:line="360" w:lineRule="auto"/>
        <w:rPr>
          <w:rFonts w:ascii="Book Antiqua" w:hAnsi="Book Antiqua"/>
          <w:sz w:val="24"/>
          <w:szCs w:val="24"/>
          <w:lang w:val="en-US" w:eastAsia="zh-CN"/>
        </w:rPr>
      </w:pPr>
      <w:r w:rsidRPr="003F1C6C">
        <w:rPr>
          <w:rFonts w:ascii="Book Antiqua" w:hAnsi="Book Antiqua"/>
          <w:b/>
          <w:sz w:val="24"/>
          <w:szCs w:val="24"/>
          <w:lang w:val="en-US"/>
        </w:rPr>
        <w:t>Key</w:t>
      </w:r>
      <w:r w:rsidRPr="003F1C6C">
        <w:rPr>
          <w:rFonts w:ascii="Book Antiqua" w:hAnsi="Book Antiqua"/>
          <w:b/>
          <w:sz w:val="24"/>
          <w:szCs w:val="24"/>
          <w:lang w:val="en-US" w:eastAsia="zh-CN"/>
        </w:rPr>
        <w:t xml:space="preserve"> </w:t>
      </w:r>
      <w:r w:rsidRPr="003F1C6C">
        <w:rPr>
          <w:rFonts w:ascii="Book Antiqua" w:hAnsi="Book Antiqua"/>
          <w:b/>
          <w:sz w:val="24"/>
          <w:szCs w:val="24"/>
          <w:lang w:val="en-US"/>
        </w:rPr>
        <w:t>words:</w:t>
      </w:r>
      <w:r w:rsidRPr="003F1C6C">
        <w:rPr>
          <w:rFonts w:ascii="Book Antiqua" w:hAnsi="Book Antiqua"/>
          <w:sz w:val="24"/>
          <w:szCs w:val="24"/>
          <w:lang w:val="en-US"/>
        </w:rPr>
        <w:t xml:space="preserve"> Bilirubin encephalopathy</w:t>
      </w:r>
      <w:r w:rsidRPr="003F1C6C">
        <w:rPr>
          <w:rFonts w:ascii="Book Antiqua" w:hAnsi="Book Antiqua"/>
          <w:sz w:val="24"/>
          <w:szCs w:val="24"/>
          <w:lang w:val="en-US" w:eastAsia="zh-CN"/>
        </w:rPr>
        <w:t>;</w:t>
      </w:r>
      <w:r w:rsidRPr="003F1C6C">
        <w:rPr>
          <w:rFonts w:ascii="Book Antiqua" w:hAnsi="Book Antiqua"/>
          <w:sz w:val="24"/>
          <w:szCs w:val="24"/>
          <w:lang w:val="en-US"/>
        </w:rPr>
        <w:t xml:space="preserve"> Kernicterus</w:t>
      </w:r>
      <w:r w:rsidRPr="003F1C6C">
        <w:rPr>
          <w:rFonts w:ascii="Book Antiqua" w:hAnsi="Book Antiqua"/>
          <w:sz w:val="24"/>
          <w:szCs w:val="24"/>
          <w:lang w:val="en-US" w:eastAsia="zh-CN"/>
        </w:rPr>
        <w:t>;</w:t>
      </w:r>
      <w:r w:rsidRPr="003F1C6C">
        <w:rPr>
          <w:rFonts w:ascii="Book Antiqua" w:hAnsi="Book Antiqua"/>
          <w:sz w:val="24"/>
          <w:szCs w:val="24"/>
          <w:lang w:val="en-US"/>
        </w:rPr>
        <w:t xml:space="preserve"> Intensive phototherapy</w:t>
      </w:r>
      <w:r w:rsidRPr="003F1C6C">
        <w:rPr>
          <w:rFonts w:ascii="Book Antiqua" w:hAnsi="Book Antiqua"/>
          <w:sz w:val="24"/>
          <w:szCs w:val="24"/>
          <w:lang w:val="en-US" w:eastAsia="zh-CN"/>
        </w:rPr>
        <w:t>;</w:t>
      </w:r>
      <w:r w:rsidRPr="003F1C6C">
        <w:rPr>
          <w:rFonts w:ascii="Book Antiqua" w:hAnsi="Book Antiqua"/>
          <w:sz w:val="24"/>
          <w:szCs w:val="24"/>
          <w:lang w:val="en-US"/>
        </w:rPr>
        <w:t xml:space="preserve"> Laboratory services</w:t>
      </w:r>
      <w:r w:rsidRPr="003F1C6C">
        <w:rPr>
          <w:rFonts w:ascii="Book Antiqua" w:hAnsi="Book Antiqua"/>
          <w:sz w:val="24"/>
          <w:szCs w:val="24"/>
          <w:lang w:val="en-US" w:eastAsia="zh-CN"/>
        </w:rPr>
        <w:t>;</w:t>
      </w:r>
      <w:r w:rsidRPr="003F1C6C">
        <w:rPr>
          <w:rFonts w:ascii="Book Antiqua" w:hAnsi="Book Antiqua"/>
          <w:sz w:val="24"/>
          <w:szCs w:val="24"/>
          <w:lang w:val="en-US"/>
        </w:rPr>
        <w:t xml:space="preserve"> Neonatal care</w:t>
      </w:r>
      <w:r w:rsidRPr="003F1C6C">
        <w:rPr>
          <w:rFonts w:ascii="Book Antiqua" w:hAnsi="Book Antiqua"/>
          <w:sz w:val="24"/>
          <w:szCs w:val="24"/>
          <w:lang w:val="en-US" w:eastAsia="zh-CN"/>
        </w:rPr>
        <w:t>;</w:t>
      </w:r>
      <w:r w:rsidRPr="003F1C6C">
        <w:rPr>
          <w:rFonts w:ascii="Book Antiqua" w:hAnsi="Book Antiqua"/>
          <w:sz w:val="24"/>
          <w:szCs w:val="24"/>
          <w:lang w:val="en-US"/>
        </w:rPr>
        <w:t xml:space="preserve"> Developing countries</w:t>
      </w:r>
    </w:p>
    <w:p w:rsidR="0092149B" w:rsidRPr="003F1C6C" w:rsidRDefault="0092149B" w:rsidP="003A50A3">
      <w:pPr>
        <w:spacing w:line="360" w:lineRule="auto"/>
        <w:rPr>
          <w:rFonts w:ascii="Book Antiqua" w:hAnsi="Book Antiqua"/>
          <w:sz w:val="24"/>
          <w:szCs w:val="24"/>
          <w:lang w:val="en-US" w:eastAsia="zh-CN"/>
        </w:rPr>
      </w:pPr>
    </w:p>
    <w:p w:rsidR="0092149B" w:rsidRPr="003F1C6C" w:rsidRDefault="0092149B" w:rsidP="003A50A3">
      <w:pPr>
        <w:snapToGrid w:val="0"/>
        <w:spacing w:line="360" w:lineRule="auto"/>
        <w:rPr>
          <w:rFonts w:ascii="Book Antiqua" w:hAnsi="Book Antiqua"/>
          <w:sz w:val="24"/>
          <w:szCs w:val="24"/>
        </w:rPr>
      </w:pPr>
      <w:r w:rsidRPr="003F1C6C">
        <w:rPr>
          <w:rFonts w:ascii="Book Antiqua" w:hAnsi="Book Antiqua"/>
          <w:sz w:val="24"/>
          <w:szCs w:val="24"/>
        </w:rPr>
        <w:t xml:space="preserve">© </w:t>
      </w:r>
      <w:r w:rsidRPr="003F1C6C">
        <w:rPr>
          <w:rFonts w:ascii="Book Antiqua" w:hAnsi="Book Antiqua"/>
          <w:b/>
          <w:sz w:val="24"/>
          <w:szCs w:val="24"/>
        </w:rPr>
        <w:t>The Author(s) 201</w:t>
      </w:r>
      <w:r>
        <w:rPr>
          <w:rFonts w:ascii="Book Antiqua" w:hAnsi="Book Antiqua"/>
          <w:b/>
          <w:sz w:val="24"/>
          <w:szCs w:val="24"/>
          <w:lang w:eastAsia="zh-CN"/>
        </w:rPr>
        <w:t>6</w:t>
      </w:r>
      <w:r w:rsidRPr="003F1C6C">
        <w:rPr>
          <w:rFonts w:ascii="Book Antiqua" w:hAnsi="Book Antiqua"/>
          <w:sz w:val="24"/>
          <w:szCs w:val="24"/>
        </w:rPr>
        <w:t>. Published by Baishideng Publishing Group Inc. All rights reserved.</w:t>
      </w:r>
    </w:p>
    <w:p w:rsidR="0092149B" w:rsidRPr="003F1C6C" w:rsidRDefault="0092149B" w:rsidP="003A50A3">
      <w:pPr>
        <w:spacing w:line="360" w:lineRule="auto"/>
        <w:rPr>
          <w:rFonts w:ascii="Book Antiqua" w:hAnsi="Book Antiqua"/>
          <w:color w:val="5B9BD5"/>
          <w:sz w:val="24"/>
          <w:szCs w:val="24"/>
          <w:lang w:val="en-US" w:eastAsia="zh-CN"/>
        </w:rPr>
      </w:pPr>
    </w:p>
    <w:p w:rsidR="0092149B" w:rsidRPr="003F1C6C" w:rsidRDefault="0092149B" w:rsidP="003A50A3">
      <w:pPr>
        <w:spacing w:line="360" w:lineRule="auto"/>
        <w:rPr>
          <w:rFonts w:ascii="Book Antiqua" w:hAnsi="Book Antiqua"/>
          <w:color w:val="5B9BD5"/>
          <w:sz w:val="24"/>
          <w:szCs w:val="24"/>
          <w:lang w:val="en-US"/>
        </w:rPr>
      </w:pPr>
      <w:r w:rsidRPr="003F1C6C">
        <w:rPr>
          <w:rFonts w:ascii="Book Antiqua" w:hAnsi="Book Antiqua"/>
          <w:b/>
          <w:sz w:val="24"/>
          <w:szCs w:val="24"/>
          <w:lang w:val="en-US"/>
        </w:rPr>
        <w:t>Core tip:</w:t>
      </w:r>
      <w:r w:rsidRPr="003F1C6C">
        <w:rPr>
          <w:rFonts w:ascii="Book Antiqua" w:hAnsi="Book Antiqua"/>
          <w:sz w:val="24"/>
          <w:szCs w:val="24"/>
          <w:lang w:val="en-US"/>
        </w:rPr>
        <w:t xml:space="preserve"> Exchange transfusion (ET) is effective </w:t>
      </w:r>
      <w:r w:rsidRPr="003F1C6C">
        <w:rPr>
          <w:rFonts w:ascii="Book Antiqua" w:hAnsi="Book Antiqua"/>
          <w:sz w:val="24"/>
          <w:szCs w:val="24"/>
        </w:rPr>
        <w:t xml:space="preserve">in preventing </w:t>
      </w:r>
      <w:r w:rsidRPr="003F1C6C">
        <w:rPr>
          <w:rFonts w:ascii="Book Antiqua" w:hAnsi="Book Antiqua"/>
          <w:sz w:val="24"/>
          <w:szCs w:val="24"/>
          <w:lang w:val="en-US"/>
        </w:rPr>
        <w:t xml:space="preserve">bilirubin induced neurologic dysfunction in infants with severe hyperbilirubinemia. </w:t>
      </w:r>
      <w:r w:rsidRPr="003F1C6C">
        <w:rPr>
          <w:rFonts w:ascii="Book Antiqua" w:hAnsi="Book Antiqua"/>
          <w:sz w:val="24"/>
          <w:szCs w:val="24"/>
        </w:rPr>
        <w:t xml:space="preserve">However, </w:t>
      </w:r>
      <w:r w:rsidRPr="003F1C6C">
        <w:rPr>
          <w:rFonts w:ascii="Book Antiqua" w:hAnsi="Book Antiqua"/>
          <w:noProof/>
          <w:sz w:val="24"/>
          <w:szCs w:val="24"/>
          <w:lang w:val="en-US"/>
        </w:rPr>
        <w:t xml:space="preserve">the timely initiation of this emergency procedure is frequently constrained by delays at various critical stages from the time decision to commence ET is made and when ET is actually conducted. These delays must be carefully identified and appropriately addressed in each clinical setting to minimize their adverse impact in the provision of effective ET in </w:t>
      </w:r>
      <w:r w:rsidRPr="003F1C6C">
        <w:rPr>
          <w:rFonts w:ascii="Book Antiqua" w:hAnsi="Book Antiqua" w:cs="Times New Roman"/>
          <w:noProof/>
          <w:sz w:val="24"/>
          <w:szCs w:val="24"/>
          <w:lang w:val="en-US" w:eastAsia="en-GB"/>
        </w:rPr>
        <w:t>low- and middle-income countries</w:t>
      </w:r>
      <w:r w:rsidRPr="003F1C6C">
        <w:rPr>
          <w:rFonts w:ascii="Book Antiqua" w:hAnsi="Book Antiqua"/>
          <w:noProof/>
          <w:sz w:val="24"/>
          <w:szCs w:val="24"/>
          <w:lang w:val="en-US"/>
        </w:rPr>
        <w:t xml:space="preserve">. Intensive phototherapy should also be considered as a priority during this interval to minimize avoidable ETs. </w:t>
      </w:r>
    </w:p>
    <w:p w:rsidR="0092149B" w:rsidRPr="003F1C6C" w:rsidRDefault="0092149B" w:rsidP="003A50A3">
      <w:pPr>
        <w:spacing w:line="360" w:lineRule="auto"/>
        <w:rPr>
          <w:rFonts w:ascii="Book Antiqua" w:hAnsi="Book Antiqua"/>
          <w:color w:val="5B9BD5"/>
          <w:sz w:val="24"/>
          <w:szCs w:val="24"/>
          <w:lang w:val="en-US" w:eastAsia="zh-CN"/>
        </w:rPr>
      </w:pPr>
    </w:p>
    <w:p w:rsidR="0092149B" w:rsidRPr="003F1C6C" w:rsidRDefault="0092149B" w:rsidP="003A50A3">
      <w:pPr>
        <w:widowControl w:val="0"/>
        <w:spacing w:line="360" w:lineRule="auto"/>
        <w:rPr>
          <w:rFonts w:ascii="Book Antiqua" w:hAnsi="Book Antiqua" w:cs="Times New Roman"/>
          <w:bCs/>
          <w:sz w:val="24"/>
          <w:szCs w:val="24"/>
          <w:lang w:val="en-US" w:eastAsia="zh-CN"/>
        </w:rPr>
      </w:pPr>
      <w:r w:rsidRPr="003F1C6C">
        <w:rPr>
          <w:rFonts w:ascii="Book Antiqua" w:hAnsi="Book Antiqua" w:cs="Times New Roman"/>
          <w:bCs/>
          <w:sz w:val="24"/>
          <w:szCs w:val="24"/>
          <w:lang w:val="en-US" w:eastAsia="zh-CN"/>
        </w:rPr>
        <w:t xml:space="preserve">Mabogunje CA, Olaifa SM, Olusanya BO. </w:t>
      </w:r>
      <w:r w:rsidRPr="003F1C6C">
        <w:rPr>
          <w:rFonts w:ascii="Book Antiqua" w:hAnsi="Book Antiqua" w:cs="Times New Roman"/>
          <w:bCs/>
          <w:sz w:val="24"/>
          <w:szCs w:val="24"/>
          <w:lang w:val="en-US" w:eastAsia="en-GB"/>
        </w:rPr>
        <w:t>Facility-based constraints to exchange transfusions for neonatal hyperbilirubinemia in resource-limited settings</w:t>
      </w:r>
      <w:r w:rsidRPr="003F1C6C">
        <w:rPr>
          <w:rFonts w:ascii="Book Antiqua" w:hAnsi="Book Antiqua" w:cs="Times New Roman"/>
          <w:bCs/>
          <w:sz w:val="24"/>
          <w:szCs w:val="24"/>
          <w:lang w:val="en-US" w:eastAsia="zh-CN"/>
        </w:rPr>
        <w:t xml:space="preserve">. </w:t>
      </w:r>
      <w:r w:rsidRPr="003F1C6C">
        <w:rPr>
          <w:rFonts w:ascii="Book Antiqua" w:hAnsi="Book Antiqua"/>
          <w:i/>
          <w:iCs/>
          <w:sz w:val="24"/>
          <w:szCs w:val="24"/>
        </w:rPr>
        <w:t>World J Clin Pediatr</w:t>
      </w:r>
      <w:r>
        <w:rPr>
          <w:rFonts w:ascii="Book Antiqua" w:hAnsi="Book Antiqua"/>
          <w:iCs/>
          <w:sz w:val="24"/>
          <w:szCs w:val="24"/>
          <w:lang w:eastAsia="zh-CN"/>
        </w:rPr>
        <w:t xml:space="preserve"> 2016</w:t>
      </w:r>
      <w:r w:rsidRPr="003F1C6C">
        <w:rPr>
          <w:rFonts w:ascii="Book Antiqua" w:hAnsi="Book Antiqua"/>
          <w:iCs/>
          <w:sz w:val="24"/>
          <w:szCs w:val="24"/>
          <w:lang w:eastAsia="zh-CN"/>
        </w:rPr>
        <w:t>; In press</w:t>
      </w:r>
    </w:p>
    <w:p w:rsidR="0092149B" w:rsidRPr="003F1C6C" w:rsidRDefault="0092149B" w:rsidP="003A50A3">
      <w:pPr>
        <w:spacing w:line="360" w:lineRule="auto"/>
        <w:rPr>
          <w:rFonts w:ascii="Book Antiqua" w:hAnsi="Book Antiqua"/>
          <w:b/>
          <w:sz w:val="24"/>
          <w:szCs w:val="24"/>
          <w:lang w:val="en-US"/>
        </w:rPr>
      </w:pPr>
      <w:r w:rsidRPr="003F1C6C">
        <w:rPr>
          <w:rFonts w:ascii="Book Antiqua" w:hAnsi="Book Antiqua"/>
          <w:color w:val="5B9BD5"/>
          <w:sz w:val="24"/>
          <w:szCs w:val="24"/>
          <w:lang w:val="en-US" w:eastAsia="zh-CN"/>
        </w:rPr>
        <w:br w:type="page"/>
      </w:r>
      <w:r w:rsidRPr="003F1C6C">
        <w:rPr>
          <w:rFonts w:ascii="Book Antiqua" w:hAnsi="Book Antiqua"/>
          <w:b/>
          <w:sz w:val="24"/>
          <w:szCs w:val="24"/>
          <w:lang w:val="en-US"/>
        </w:rPr>
        <w:t>INTRODUCTION</w:t>
      </w:r>
    </w:p>
    <w:p w:rsidR="0092149B" w:rsidRPr="003F1C6C" w:rsidRDefault="0092149B" w:rsidP="003A50A3">
      <w:pPr>
        <w:shd w:val="clear" w:color="auto" w:fill="FFFFFF"/>
        <w:spacing w:line="360" w:lineRule="auto"/>
        <w:contextualSpacing/>
        <w:rPr>
          <w:rFonts w:ascii="Book Antiqua" w:hAnsi="Book Antiqua"/>
          <w:sz w:val="24"/>
          <w:szCs w:val="24"/>
          <w:lang w:eastAsia="zh-CN"/>
        </w:rPr>
      </w:pPr>
      <w:r w:rsidRPr="003F1C6C">
        <w:rPr>
          <w:rFonts w:ascii="Book Antiqua" w:hAnsi="Book Antiqua"/>
          <w:noProof/>
          <w:sz w:val="24"/>
          <w:szCs w:val="24"/>
          <w:lang w:eastAsia="en-GB"/>
        </w:rPr>
        <w:t>Exchange transfusion (ET) is a definitive and effective therapy for preventing kernicterus, usually where intensive phototherapy is either lacking or proves to be ineffective in arresting rapidly rising bilirubin levels in infants with severe neonatal hyperbilirubinemia or symptoms of acute bilirubin encephalopathy (ABE)</w:t>
      </w:r>
      <w:r w:rsidRPr="003F1C6C">
        <w:rPr>
          <w:rFonts w:ascii="Book Antiqua" w:hAnsi="Book Antiqua"/>
          <w:noProof/>
          <w:sz w:val="24"/>
          <w:szCs w:val="24"/>
          <w:vertAlign w:val="superscript"/>
          <w:lang w:eastAsia="en-GB"/>
        </w:rPr>
        <w:t>[1,2]</w:t>
      </w:r>
      <w:r w:rsidRPr="003F1C6C">
        <w:rPr>
          <w:rFonts w:ascii="Book Antiqua" w:hAnsi="Book Antiqua"/>
          <w:noProof/>
          <w:sz w:val="24"/>
          <w:szCs w:val="24"/>
          <w:lang w:eastAsia="en-GB"/>
        </w:rPr>
        <w:t>.</w:t>
      </w:r>
      <w:r w:rsidRPr="003F1C6C">
        <w:rPr>
          <w:rFonts w:ascii="Book Antiqua" w:hAnsi="Book Antiqua"/>
          <w:sz w:val="24"/>
          <w:szCs w:val="24"/>
          <w:lang w:eastAsia="en-GB"/>
        </w:rPr>
        <w:t xml:space="preserve"> </w:t>
      </w:r>
      <w:r w:rsidRPr="003F1C6C">
        <w:rPr>
          <w:rFonts w:ascii="Book Antiqua" w:hAnsi="Book Antiqua"/>
          <w:noProof/>
          <w:sz w:val="24"/>
          <w:szCs w:val="24"/>
          <w:lang w:eastAsia="en-GB"/>
        </w:rPr>
        <w:t xml:space="preserve">The procedure is not risk-free as it may be associated with complications such as </w:t>
      </w:r>
      <w:r w:rsidRPr="003F1C6C">
        <w:rPr>
          <w:rFonts w:ascii="Book Antiqua" w:hAnsi="Book Antiqua"/>
          <w:noProof/>
          <w:sz w:val="24"/>
          <w:szCs w:val="24"/>
          <w:lang w:val="en-US"/>
        </w:rPr>
        <w:t xml:space="preserve">sepsis, </w:t>
      </w:r>
      <w:r w:rsidRPr="003F1C6C">
        <w:rPr>
          <w:rFonts w:ascii="Book Antiqua" w:hAnsi="Book Antiqua" w:cs="NewGalliard-Roman"/>
          <w:noProof/>
          <w:sz w:val="24"/>
          <w:szCs w:val="24"/>
          <w:lang w:val="en-US"/>
        </w:rPr>
        <w:t xml:space="preserve">electrolyte imbalance, </w:t>
      </w:r>
      <w:r w:rsidRPr="003F1C6C">
        <w:rPr>
          <w:rFonts w:ascii="Book Antiqua" w:hAnsi="Book Antiqua" w:cs="Galliard-Roman"/>
          <w:noProof/>
          <w:sz w:val="24"/>
          <w:szCs w:val="24"/>
          <w:lang w:val="en-US"/>
        </w:rPr>
        <w:t xml:space="preserve">air embolism, portal vein thrombosis, cardiac overload, thrombophlebitis, </w:t>
      </w:r>
      <w:r w:rsidRPr="003F1C6C">
        <w:rPr>
          <w:rFonts w:ascii="Book Antiqua" w:hAnsi="Book Antiqua" w:cs="NewGalliard-Roman"/>
          <w:noProof/>
          <w:sz w:val="24"/>
          <w:szCs w:val="24"/>
          <w:lang w:val="en-US"/>
        </w:rPr>
        <w:t>thrombocytopenia,</w:t>
      </w:r>
      <w:r w:rsidRPr="003F1C6C">
        <w:rPr>
          <w:rFonts w:ascii="Book Antiqua" w:hAnsi="Book Antiqua" w:cs="Galliard-Roman"/>
          <w:noProof/>
          <w:sz w:val="24"/>
          <w:szCs w:val="24"/>
          <w:lang w:val="en-US"/>
        </w:rPr>
        <w:t xml:space="preserve"> necrotizing enterocolitis as well as the transmission of blood-borne diseases, </w:t>
      </w:r>
      <w:r w:rsidRPr="003F1C6C">
        <w:rPr>
          <w:rFonts w:ascii="Book Antiqua" w:hAnsi="Book Antiqua"/>
          <w:noProof/>
          <w:sz w:val="24"/>
          <w:szCs w:val="24"/>
          <w:lang w:val="en-US"/>
        </w:rPr>
        <w:t>even in settings with advanced clinical care</w:t>
      </w:r>
      <w:r w:rsidRPr="003F1C6C">
        <w:rPr>
          <w:rFonts w:ascii="Book Antiqua" w:hAnsi="Book Antiqua"/>
          <w:noProof/>
          <w:sz w:val="24"/>
          <w:szCs w:val="24"/>
          <w:vertAlign w:val="superscript"/>
          <w:lang w:val="en-US"/>
        </w:rPr>
        <w:t>[3-6]</w:t>
      </w:r>
      <w:r w:rsidRPr="003F1C6C">
        <w:rPr>
          <w:rFonts w:ascii="Book Antiqua" w:hAnsi="Book Antiqua" w:cs="Galliard-Roman"/>
          <w:noProof/>
          <w:sz w:val="24"/>
          <w:szCs w:val="24"/>
          <w:lang w:val="en-US"/>
        </w:rPr>
        <w:t>.</w:t>
      </w:r>
      <w:r w:rsidRPr="003F1C6C">
        <w:rPr>
          <w:rFonts w:ascii="Book Antiqua" w:hAnsi="Book Antiqua" w:cs="Galliard-Roman"/>
          <w:sz w:val="24"/>
          <w:szCs w:val="24"/>
          <w:lang w:val="en-US"/>
        </w:rPr>
        <w:t xml:space="preserve"> </w:t>
      </w:r>
      <w:r w:rsidRPr="003F1C6C">
        <w:rPr>
          <w:rFonts w:ascii="Book Antiqua" w:hAnsi="Book Antiqua"/>
          <w:sz w:val="24"/>
          <w:szCs w:val="24"/>
          <w:lang w:eastAsia="en-GB"/>
        </w:rPr>
        <w:t>Notwithstanding, several guidelines for the management of neonatal hyperbilirubinemia in developed and developing countries recommend immediate ET for infants with or at risk of acute or chronic bilirubin encephalopathy</w:t>
      </w:r>
      <w:r w:rsidRPr="003F1C6C">
        <w:rPr>
          <w:rFonts w:ascii="Book Antiqua" w:hAnsi="Book Antiqua"/>
          <w:sz w:val="24"/>
          <w:szCs w:val="24"/>
          <w:vertAlign w:val="superscript"/>
          <w:lang w:eastAsia="en-GB"/>
        </w:rPr>
        <w:t>[2,7,8]</w:t>
      </w:r>
      <w:r w:rsidRPr="003F1C6C">
        <w:rPr>
          <w:rFonts w:ascii="Book Antiqua" w:hAnsi="Book Antiqua"/>
          <w:sz w:val="24"/>
          <w:szCs w:val="24"/>
          <w:lang w:eastAsia="en-GB"/>
        </w:rPr>
        <w:t>. This is primarily because the timing of ET vis-a-vis the complex interaction between the level and duration of exposure of the neuronal cells to unbound bilirubin crucially affects intervention outcomes</w:t>
      </w:r>
      <w:r w:rsidRPr="003F1C6C">
        <w:rPr>
          <w:rFonts w:ascii="Book Antiqua" w:hAnsi="Book Antiqua"/>
          <w:sz w:val="24"/>
          <w:szCs w:val="24"/>
          <w:vertAlign w:val="superscript"/>
          <w:lang w:eastAsia="en-GB"/>
        </w:rPr>
        <w:t>[9]</w:t>
      </w:r>
      <w:r w:rsidRPr="003F1C6C">
        <w:rPr>
          <w:rFonts w:ascii="Book Antiqua" w:hAnsi="Book Antiqua"/>
          <w:sz w:val="24"/>
          <w:szCs w:val="24"/>
          <w:lang w:eastAsia="en-GB"/>
        </w:rPr>
        <w:t>.</w:t>
      </w:r>
      <w:r w:rsidRPr="003F1C6C">
        <w:rPr>
          <w:rFonts w:ascii="Book Antiqua" w:hAnsi="Book Antiqua"/>
          <w:sz w:val="24"/>
          <w:szCs w:val="24"/>
          <w:vertAlign w:val="superscript"/>
          <w:lang w:eastAsia="en-GB"/>
        </w:rPr>
        <w:t xml:space="preserve"> </w:t>
      </w:r>
      <w:r w:rsidRPr="003F1C6C">
        <w:rPr>
          <w:rFonts w:ascii="Book Antiqua" w:hAnsi="Book Antiqua"/>
          <w:sz w:val="24"/>
          <w:szCs w:val="24"/>
          <w:lang w:eastAsia="en-GB"/>
        </w:rPr>
        <w:t xml:space="preserve">However, this timely goal is rarely achieved in many </w:t>
      </w:r>
      <w:r w:rsidRPr="003F1C6C">
        <w:rPr>
          <w:rFonts w:ascii="Book Antiqua" w:hAnsi="Book Antiqua" w:cs="Times New Roman"/>
          <w:noProof/>
          <w:sz w:val="24"/>
          <w:szCs w:val="24"/>
          <w:lang w:val="en-US" w:eastAsia="en-GB"/>
        </w:rPr>
        <w:t>low- and middle-income countries</w:t>
      </w:r>
      <w:r w:rsidRPr="003F1C6C">
        <w:rPr>
          <w:rFonts w:ascii="Book Antiqua" w:hAnsi="Book Antiqua"/>
          <w:sz w:val="24"/>
          <w:szCs w:val="24"/>
          <w:lang w:eastAsia="en-GB"/>
        </w:rPr>
        <w:t xml:space="preserve"> </w:t>
      </w:r>
      <w:r w:rsidRPr="003F1C6C">
        <w:rPr>
          <w:rFonts w:ascii="Book Antiqua" w:hAnsi="Book Antiqua"/>
          <w:sz w:val="24"/>
          <w:szCs w:val="24"/>
          <w:lang w:eastAsia="zh-CN"/>
        </w:rPr>
        <w:t>(</w:t>
      </w:r>
      <w:r w:rsidRPr="003F1C6C">
        <w:rPr>
          <w:rFonts w:ascii="Book Antiqua" w:hAnsi="Book Antiqua"/>
          <w:sz w:val="24"/>
          <w:szCs w:val="24"/>
          <w:lang w:eastAsia="en-GB"/>
        </w:rPr>
        <w:t>LMICs</w:t>
      </w:r>
      <w:r w:rsidRPr="003F1C6C">
        <w:rPr>
          <w:rFonts w:ascii="Book Antiqua" w:hAnsi="Book Antiqua"/>
          <w:sz w:val="24"/>
          <w:szCs w:val="24"/>
          <w:lang w:eastAsia="zh-CN"/>
        </w:rPr>
        <w:t>)</w:t>
      </w:r>
      <w:r w:rsidRPr="003F1C6C">
        <w:rPr>
          <w:rFonts w:ascii="Book Antiqua" w:hAnsi="Book Antiqua"/>
          <w:sz w:val="24"/>
          <w:szCs w:val="24"/>
          <w:lang w:eastAsia="en-GB"/>
        </w:rPr>
        <w:t xml:space="preserve"> where excessive rates of ET </w:t>
      </w:r>
      <w:r w:rsidRPr="003F1C6C">
        <w:rPr>
          <w:rFonts w:ascii="Book Antiqua" w:hAnsi="Book Antiqua"/>
          <w:noProof/>
          <w:sz w:val="24"/>
          <w:szCs w:val="24"/>
          <w:lang w:eastAsia="en-GB"/>
        </w:rPr>
        <w:t>persist</w:t>
      </w:r>
      <w:r w:rsidRPr="003F1C6C">
        <w:rPr>
          <w:rFonts w:ascii="Book Antiqua" w:hAnsi="Book Antiqua"/>
          <w:sz w:val="24"/>
          <w:szCs w:val="24"/>
          <w:lang w:eastAsia="en-GB"/>
        </w:rPr>
        <w:t xml:space="preserve"> as a result of the weaknesses in the health-care delivery system</w:t>
      </w:r>
      <w:r w:rsidRPr="003F1C6C">
        <w:rPr>
          <w:rFonts w:ascii="Book Antiqua" w:hAnsi="Book Antiqua"/>
          <w:sz w:val="24"/>
          <w:szCs w:val="24"/>
          <w:vertAlign w:val="superscript"/>
          <w:lang w:eastAsia="en-GB"/>
        </w:rPr>
        <w:t>[10-13]</w:t>
      </w:r>
      <w:r w:rsidRPr="003F1C6C">
        <w:rPr>
          <w:rFonts w:ascii="Book Antiqua" w:hAnsi="Book Antiqua"/>
          <w:sz w:val="24"/>
          <w:szCs w:val="24"/>
          <w:lang w:eastAsia="en-GB"/>
        </w:rPr>
        <w:t xml:space="preserve">. </w:t>
      </w:r>
      <w:r w:rsidRPr="003F1C6C">
        <w:rPr>
          <w:rFonts w:ascii="Book Antiqua" w:hAnsi="Book Antiqua"/>
          <w:noProof/>
          <w:sz w:val="24"/>
          <w:szCs w:val="24"/>
          <w:lang w:eastAsia="en-GB"/>
        </w:rPr>
        <w:t>For example, it is not uncommon for a severely jaundiced infant to first present in a hospital not adequately equipped to provide emergency care, including ET, and subsequently referred to a better equipped hospital</w:t>
      </w:r>
      <w:r w:rsidRPr="003F1C6C">
        <w:rPr>
          <w:rFonts w:ascii="Book Antiqua" w:hAnsi="Book Antiqua"/>
          <w:noProof/>
          <w:sz w:val="24"/>
          <w:szCs w:val="24"/>
          <w:vertAlign w:val="superscript"/>
          <w:lang w:eastAsia="en-GB"/>
        </w:rPr>
        <w:t>[11,14]</w:t>
      </w:r>
      <w:r w:rsidRPr="003F1C6C">
        <w:rPr>
          <w:rFonts w:ascii="Book Antiqua" w:hAnsi="Book Antiqua"/>
          <w:noProof/>
          <w:sz w:val="24"/>
          <w:szCs w:val="24"/>
          <w:lang w:eastAsia="en-GB"/>
        </w:rPr>
        <w:t>.</w:t>
      </w:r>
      <w:r w:rsidRPr="003F1C6C">
        <w:rPr>
          <w:rFonts w:ascii="Book Antiqua" w:hAnsi="Book Antiqua"/>
          <w:sz w:val="24"/>
          <w:szCs w:val="24"/>
          <w:lang w:eastAsia="en-GB"/>
        </w:rPr>
        <w:t xml:space="preserve"> </w:t>
      </w:r>
      <w:r w:rsidRPr="003F1C6C">
        <w:rPr>
          <w:rFonts w:ascii="Book Antiqua" w:hAnsi="Book Antiqua"/>
          <w:noProof/>
          <w:sz w:val="24"/>
          <w:szCs w:val="24"/>
          <w:lang w:eastAsia="en-GB"/>
        </w:rPr>
        <w:t>This experience often</w:t>
      </w:r>
      <w:r w:rsidRPr="003F1C6C">
        <w:rPr>
          <w:rFonts w:ascii="Book Antiqua" w:hAnsi="Book Antiqua"/>
          <w:sz w:val="24"/>
          <w:szCs w:val="24"/>
          <w:lang w:eastAsia="en-GB"/>
        </w:rPr>
        <w:t xml:space="preserve"> results in </w:t>
      </w:r>
      <w:r w:rsidRPr="003F1C6C">
        <w:rPr>
          <w:rFonts w:ascii="Book Antiqua" w:hAnsi="Book Antiqua"/>
          <w:sz w:val="24"/>
          <w:szCs w:val="24"/>
          <w:lang w:val="en-US" w:eastAsia="en-GB"/>
        </w:rPr>
        <w:t>considerable</w:t>
      </w:r>
      <w:r w:rsidRPr="003F1C6C">
        <w:rPr>
          <w:rFonts w:ascii="Book Antiqua" w:hAnsi="Book Antiqua"/>
          <w:sz w:val="24"/>
          <w:szCs w:val="24"/>
          <w:lang w:eastAsia="en-GB"/>
        </w:rPr>
        <w:t xml:space="preserve"> delay </w:t>
      </w:r>
      <w:r w:rsidRPr="003F1C6C">
        <w:rPr>
          <w:rFonts w:ascii="Book Antiqua" w:hAnsi="Book Antiqua"/>
          <w:sz w:val="24"/>
          <w:szCs w:val="24"/>
          <w:lang w:val="en-US" w:eastAsia="en-GB"/>
        </w:rPr>
        <w:t>in providing ET</w:t>
      </w:r>
      <w:r w:rsidRPr="003F1C6C">
        <w:rPr>
          <w:rFonts w:ascii="Book Antiqua" w:hAnsi="Book Antiqua"/>
          <w:sz w:val="24"/>
          <w:szCs w:val="24"/>
          <w:vertAlign w:val="superscript"/>
          <w:lang w:val="en-US" w:eastAsia="en-GB"/>
        </w:rPr>
        <w:t>[15]</w:t>
      </w:r>
      <w:r w:rsidRPr="003F1C6C">
        <w:rPr>
          <w:rFonts w:ascii="Book Antiqua" w:hAnsi="Book Antiqua"/>
          <w:sz w:val="24"/>
          <w:szCs w:val="24"/>
          <w:lang w:eastAsia="en-GB"/>
        </w:rPr>
        <w:t xml:space="preserve">. </w:t>
      </w:r>
      <w:r w:rsidRPr="003F1C6C">
        <w:rPr>
          <w:rFonts w:ascii="Book Antiqua" w:hAnsi="Book Antiqua"/>
          <w:noProof/>
          <w:sz w:val="24"/>
          <w:szCs w:val="24"/>
          <w:lang w:eastAsia="en-GB"/>
        </w:rPr>
        <w:t xml:space="preserve">Several reports also suggest that delays of up to 24 h from the time the decision to carry out ET is made and when treatment is received by the affected infant </w:t>
      </w:r>
      <w:r w:rsidRPr="003F1C6C">
        <w:rPr>
          <w:rFonts w:ascii="Book Antiqua" w:hAnsi="Book Antiqua"/>
          <w:noProof/>
          <w:sz w:val="24"/>
          <w:szCs w:val="24"/>
          <w:lang w:val="en-US" w:eastAsia="en-GB"/>
        </w:rPr>
        <w:t>in the same hospital are not uncommon</w:t>
      </w:r>
      <w:r w:rsidRPr="003F1C6C">
        <w:rPr>
          <w:rFonts w:ascii="Book Antiqua" w:hAnsi="Book Antiqua"/>
          <w:noProof/>
          <w:sz w:val="24"/>
          <w:szCs w:val="24"/>
          <w:vertAlign w:val="superscript"/>
          <w:lang w:eastAsia="en-GB"/>
        </w:rPr>
        <w:t>[6,14,15]</w:t>
      </w:r>
      <w:r w:rsidRPr="003F1C6C">
        <w:rPr>
          <w:rFonts w:ascii="Book Antiqua" w:hAnsi="Book Antiqua"/>
          <w:noProof/>
          <w:sz w:val="24"/>
          <w:szCs w:val="24"/>
          <w:lang w:eastAsia="en-GB"/>
        </w:rPr>
        <w:t>, compared to the estimated 4-6 h in developed countries</w:t>
      </w:r>
      <w:r w:rsidRPr="003F1C6C">
        <w:rPr>
          <w:rFonts w:ascii="Book Antiqua" w:hAnsi="Book Antiqua"/>
          <w:noProof/>
          <w:sz w:val="24"/>
          <w:szCs w:val="24"/>
          <w:vertAlign w:val="superscript"/>
          <w:lang w:eastAsia="en-GB"/>
        </w:rPr>
        <w:t>[16]</w:t>
      </w:r>
      <w:r w:rsidRPr="003F1C6C">
        <w:rPr>
          <w:rFonts w:ascii="Book Antiqua" w:hAnsi="Book Antiqua"/>
          <w:noProof/>
          <w:sz w:val="24"/>
          <w:szCs w:val="24"/>
          <w:lang w:eastAsia="en-GB"/>
        </w:rPr>
        <w:t>.</w:t>
      </w:r>
      <w:r w:rsidRPr="003F1C6C">
        <w:rPr>
          <w:rFonts w:ascii="Book Antiqua" w:hAnsi="Book Antiqua"/>
          <w:sz w:val="24"/>
          <w:szCs w:val="24"/>
          <w:lang w:eastAsia="en-GB"/>
        </w:rPr>
        <w:t xml:space="preserve"> Such delays are likely to </w:t>
      </w:r>
      <w:r w:rsidRPr="003F1C6C">
        <w:rPr>
          <w:rFonts w:ascii="Book Antiqua" w:hAnsi="Book Antiqua"/>
          <w:sz w:val="24"/>
          <w:szCs w:val="24"/>
          <w:lang w:val="en-US" w:eastAsia="en-GB"/>
        </w:rPr>
        <w:t xml:space="preserve">account for </w:t>
      </w:r>
      <w:r w:rsidRPr="003F1C6C">
        <w:rPr>
          <w:rFonts w:ascii="Book Antiqua" w:hAnsi="Book Antiqua"/>
          <w:sz w:val="24"/>
          <w:szCs w:val="24"/>
          <w:lang w:eastAsia="en-GB"/>
        </w:rPr>
        <w:t>high incidence of bilirubin-induced neurological dysfunctions (ABE and kernicterus) and the associated devastating consequences in many LMICs</w:t>
      </w:r>
      <w:r w:rsidRPr="003F1C6C">
        <w:rPr>
          <w:rFonts w:ascii="Book Antiqua" w:hAnsi="Book Antiqua"/>
          <w:sz w:val="24"/>
          <w:szCs w:val="24"/>
          <w:vertAlign w:val="superscript"/>
          <w:lang w:eastAsia="en-GB"/>
        </w:rPr>
        <w:t>[15,17,18]</w:t>
      </w:r>
      <w:r w:rsidRPr="003F1C6C">
        <w:rPr>
          <w:rFonts w:ascii="Book Antiqua" w:hAnsi="Book Antiqua"/>
          <w:sz w:val="24"/>
          <w:szCs w:val="24"/>
          <w:lang w:eastAsia="en-GB"/>
        </w:rPr>
        <w:t>. This paper therefore</w:t>
      </w:r>
      <w:r w:rsidRPr="003F1C6C">
        <w:rPr>
          <w:rFonts w:ascii="Book Antiqua" w:hAnsi="Book Antiqua"/>
          <w:sz w:val="24"/>
          <w:szCs w:val="24"/>
          <w:lang w:val="en-US" w:eastAsia="en-GB"/>
        </w:rPr>
        <w:t xml:space="preserve">, </w:t>
      </w:r>
      <w:r w:rsidRPr="003F1C6C">
        <w:rPr>
          <w:rFonts w:ascii="Book Antiqua" w:hAnsi="Book Antiqua"/>
          <w:sz w:val="24"/>
          <w:szCs w:val="24"/>
          <w:lang w:eastAsia="en-GB"/>
        </w:rPr>
        <w:t>sets out to identify commonly reported facility-based challenges in providing timely and effective ET in hospitals designated for such an emergency procedure in LMICs.</w:t>
      </w:r>
    </w:p>
    <w:p w:rsidR="0092149B" w:rsidRPr="003F1C6C" w:rsidRDefault="0092149B" w:rsidP="003A50A3">
      <w:pPr>
        <w:shd w:val="clear" w:color="auto" w:fill="FFFFFF"/>
        <w:spacing w:line="360" w:lineRule="auto"/>
        <w:contextualSpacing/>
        <w:rPr>
          <w:rFonts w:ascii="Book Antiqua" w:hAnsi="Book Antiqua"/>
          <w:sz w:val="24"/>
          <w:szCs w:val="24"/>
          <w:lang w:eastAsia="zh-CN"/>
        </w:rPr>
      </w:pPr>
    </w:p>
    <w:p w:rsidR="0092149B" w:rsidRPr="003F1C6C" w:rsidRDefault="0092149B" w:rsidP="003A50A3">
      <w:pPr>
        <w:widowControl w:val="0"/>
        <w:tabs>
          <w:tab w:val="left" w:pos="4222"/>
        </w:tabs>
        <w:spacing w:line="360" w:lineRule="auto"/>
        <w:rPr>
          <w:rFonts w:ascii="Book Antiqua" w:hAnsi="Book Antiqua"/>
          <w:b/>
          <w:sz w:val="24"/>
          <w:szCs w:val="24"/>
        </w:rPr>
      </w:pPr>
      <w:r w:rsidRPr="003F1C6C">
        <w:rPr>
          <w:rFonts w:ascii="Book Antiqua" w:hAnsi="Book Antiqua"/>
          <w:b/>
          <w:sz w:val="24"/>
          <w:szCs w:val="24"/>
        </w:rPr>
        <w:t>DATA SOURCES</w:t>
      </w:r>
    </w:p>
    <w:p w:rsidR="0092149B" w:rsidRPr="003F1C6C" w:rsidRDefault="0092149B" w:rsidP="003A50A3">
      <w:pPr>
        <w:tabs>
          <w:tab w:val="left" w:pos="4222"/>
        </w:tabs>
        <w:spacing w:line="360" w:lineRule="auto"/>
        <w:rPr>
          <w:rFonts w:ascii="Book Antiqua" w:hAnsi="Book Antiqua" w:cs="Times New Roman"/>
          <w:sz w:val="24"/>
          <w:szCs w:val="24"/>
          <w:lang w:eastAsia="zh-CN"/>
        </w:rPr>
      </w:pPr>
      <w:r w:rsidRPr="003F1C6C">
        <w:rPr>
          <w:rFonts w:ascii="Book Antiqua" w:hAnsi="Book Antiqua" w:cs="Times New Roman"/>
          <w:noProof/>
          <w:sz w:val="24"/>
          <w:szCs w:val="24"/>
        </w:rPr>
        <w:t>We conducted electronic search of PubMed, Scopus, Ovid EMBASE and Cumulative Index to Nursing and Allied Health Literature to retrieve articles between January 1990 and June 2015 on exchange transfusion for hyperbilirubinemia in resource-limited countries.</w:t>
      </w:r>
      <w:r w:rsidRPr="003F1C6C">
        <w:rPr>
          <w:rFonts w:ascii="Book Antiqua" w:hAnsi="Book Antiqua" w:cs="Times New Roman"/>
          <w:sz w:val="24"/>
          <w:szCs w:val="24"/>
        </w:rPr>
        <w:t xml:space="preserve"> The search terms were “neonatal hyperbilirubinemia”, “neonatal jaundice”, “exchange transfusion”, “bilirubin encephalopathy”, and/or “kernicterus”. </w:t>
      </w:r>
      <w:r w:rsidRPr="003F1C6C">
        <w:rPr>
          <w:rFonts w:ascii="Book Antiqua" w:hAnsi="Book Antiqua" w:cs="GoudyOldStyleT-Regular"/>
          <w:noProof/>
          <w:sz w:val="24"/>
          <w:szCs w:val="24"/>
          <w:lang w:val="en-US"/>
        </w:rPr>
        <w:t xml:space="preserve">The terms “resource-limited”, “resource-constrained” and “resource-poor” countries are used interchangeably and refer to the </w:t>
      </w:r>
      <w:r w:rsidRPr="003F1C6C">
        <w:rPr>
          <w:rFonts w:ascii="Book Antiqua" w:hAnsi="Book Antiqua"/>
          <w:noProof/>
          <w:sz w:val="24"/>
          <w:szCs w:val="24"/>
          <w:lang w:val="en-US"/>
        </w:rPr>
        <w:t>91 LMICs</w:t>
      </w:r>
      <w:r w:rsidRPr="003F1C6C">
        <w:rPr>
          <w:rFonts w:ascii="Book Antiqua" w:hAnsi="Book Antiqua"/>
          <w:noProof/>
          <w:snapToGrid w:val="0"/>
          <w:sz w:val="24"/>
          <w:szCs w:val="24"/>
          <w:lang w:val="en-US"/>
        </w:rPr>
        <w:t xml:space="preserve"> with per capita gross national income (GNI) of </w:t>
      </w:r>
      <w:r w:rsidRPr="003F1C6C">
        <w:rPr>
          <w:rFonts w:ascii="Book Antiqua" w:hAnsi="Book Antiqua"/>
          <w:noProof/>
          <w:sz w:val="24"/>
          <w:szCs w:val="24"/>
          <w:lang w:val="en-US"/>
        </w:rPr>
        <w:t>≤</w:t>
      </w:r>
      <w:r w:rsidRPr="003F1C6C">
        <w:rPr>
          <w:rFonts w:ascii="Book Antiqua" w:hAnsi="Book Antiqua"/>
          <w:noProof/>
          <w:sz w:val="24"/>
          <w:szCs w:val="24"/>
          <w:lang w:val="en-US" w:eastAsia="zh-CN"/>
        </w:rPr>
        <w:t xml:space="preserve"> </w:t>
      </w:r>
      <w:r w:rsidRPr="003F1C6C">
        <w:rPr>
          <w:rFonts w:ascii="Book Antiqua" w:hAnsi="Book Antiqua"/>
          <w:noProof/>
          <w:snapToGrid w:val="0"/>
          <w:sz w:val="24"/>
          <w:szCs w:val="24"/>
          <w:lang w:val="en-US"/>
        </w:rPr>
        <w:t>$6000 using the Human Development Report 2013 published by United Nations Development Program as previously reported (</w:t>
      </w:r>
      <w:r w:rsidRPr="003F1C6C">
        <w:rPr>
          <w:rFonts w:ascii="Book Antiqua" w:hAnsi="Book Antiqua"/>
          <w:noProof/>
          <w:snapToGrid w:val="0"/>
          <w:sz w:val="24"/>
          <w:szCs w:val="24"/>
          <w:lang w:val="en-US" w:eastAsia="zh-CN"/>
        </w:rPr>
        <w:t xml:space="preserve">Table </w:t>
      </w:r>
      <w:r w:rsidRPr="003F1C6C">
        <w:rPr>
          <w:rFonts w:ascii="Book Antiqua" w:hAnsi="Book Antiqua"/>
          <w:noProof/>
          <w:snapToGrid w:val="0"/>
          <w:sz w:val="24"/>
          <w:szCs w:val="24"/>
          <w:lang w:val="en-US"/>
        </w:rPr>
        <w:t>1)</w:t>
      </w:r>
      <w:r w:rsidRPr="003F1C6C">
        <w:rPr>
          <w:rFonts w:ascii="Book Antiqua" w:hAnsi="Book Antiqua"/>
          <w:noProof/>
          <w:snapToGrid w:val="0"/>
          <w:sz w:val="24"/>
          <w:szCs w:val="24"/>
          <w:vertAlign w:val="superscript"/>
          <w:lang w:val="en-US"/>
        </w:rPr>
        <w:t>[8,15]</w:t>
      </w:r>
      <w:r w:rsidRPr="003F1C6C">
        <w:rPr>
          <w:rFonts w:ascii="Book Antiqua" w:hAnsi="Book Antiqua"/>
          <w:noProof/>
          <w:snapToGrid w:val="0"/>
          <w:sz w:val="24"/>
          <w:szCs w:val="24"/>
          <w:lang w:val="en-US"/>
        </w:rPr>
        <w:t>.</w:t>
      </w:r>
      <w:r w:rsidRPr="003F1C6C">
        <w:rPr>
          <w:rFonts w:ascii="Book Antiqua" w:hAnsi="Book Antiqua" w:cs="Calibri"/>
          <w:sz w:val="24"/>
          <w:szCs w:val="24"/>
        </w:rPr>
        <w:t xml:space="preserve"> These countries have an average life expectancy of 63.3 years and a median national frequency of 8.2% (inter-quartile range: 3.3%</w:t>
      </w:r>
      <w:r w:rsidRPr="003F1C6C">
        <w:rPr>
          <w:rFonts w:ascii="Book Antiqua" w:hAnsi="Book Antiqua" w:cs="Calibri"/>
          <w:sz w:val="24"/>
          <w:szCs w:val="24"/>
          <w:lang w:eastAsia="zh-CN"/>
        </w:rPr>
        <w:t>-</w:t>
      </w:r>
      <w:r w:rsidRPr="003F1C6C">
        <w:rPr>
          <w:rFonts w:ascii="Book Antiqua" w:hAnsi="Book Antiqua" w:cs="Calibri"/>
          <w:sz w:val="24"/>
          <w:szCs w:val="24"/>
        </w:rPr>
        <w:t xml:space="preserve">14.6%) for </w:t>
      </w:r>
      <w:r w:rsidRPr="003F1C6C">
        <w:rPr>
          <w:rFonts w:ascii="Book Antiqua" w:hAnsi="Book Antiqua"/>
          <w:sz w:val="24"/>
          <w:szCs w:val="24"/>
          <w:lang w:val="en-US"/>
        </w:rPr>
        <w:t>glucose 6-phospho-dehydrogenase (G-6-PD) deficiency</w:t>
      </w:r>
      <w:r w:rsidRPr="003F1C6C">
        <w:rPr>
          <w:rFonts w:ascii="Book Antiqua" w:hAnsi="Book Antiqua" w:cs="Calibri"/>
          <w:sz w:val="24"/>
          <w:szCs w:val="24"/>
        </w:rPr>
        <w:t xml:space="preserve">. Only articles or reports published from these 91 countries </w:t>
      </w:r>
      <w:r w:rsidRPr="003F1C6C">
        <w:rPr>
          <w:rFonts w:ascii="Book Antiqua" w:hAnsi="Book Antiqua" w:cs="Calibri"/>
          <w:noProof/>
          <w:sz w:val="24"/>
          <w:szCs w:val="24"/>
        </w:rPr>
        <w:t>were reviewed</w:t>
      </w:r>
      <w:r w:rsidRPr="003F1C6C">
        <w:rPr>
          <w:rFonts w:ascii="Book Antiqua" w:hAnsi="Book Antiqua" w:cs="Calibri"/>
          <w:sz w:val="24"/>
          <w:szCs w:val="24"/>
        </w:rPr>
        <w:t xml:space="preserve">. </w:t>
      </w:r>
      <w:r w:rsidRPr="003F1C6C">
        <w:rPr>
          <w:rFonts w:ascii="Book Antiqua" w:hAnsi="Book Antiqua" w:cs="Times New Roman"/>
          <w:sz w:val="24"/>
          <w:szCs w:val="24"/>
        </w:rPr>
        <w:t xml:space="preserve">As this paper </w:t>
      </w:r>
      <w:r w:rsidRPr="003F1C6C">
        <w:rPr>
          <w:rFonts w:ascii="Book Antiqua" w:hAnsi="Book Antiqua" w:cs="Times New Roman"/>
          <w:noProof/>
          <w:sz w:val="24"/>
          <w:szCs w:val="24"/>
        </w:rPr>
        <w:t>was designed</w:t>
      </w:r>
      <w:r w:rsidRPr="003F1C6C">
        <w:rPr>
          <w:rFonts w:ascii="Book Antiqua" w:hAnsi="Book Antiqua" w:cs="Times New Roman"/>
          <w:sz w:val="24"/>
          <w:szCs w:val="24"/>
        </w:rPr>
        <w:t xml:space="preserve"> as a narrative review, no systematic evaluation of the retrieved articles and reports was planned.</w:t>
      </w:r>
    </w:p>
    <w:p w:rsidR="0092149B" w:rsidRPr="003F1C6C" w:rsidRDefault="0092149B" w:rsidP="003A50A3">
      <w:pPr>
        <w:tabs>
          <w:tab w:val="left" w:pos="4222"/>
        </w:tabs>
        <w:spacing w:line="360" w:lineRule="auto"/>
        <w:rPr>
          <w:rFonts w:ascii="Book Antiqua" w:hAnsi="Book Antiqua" w:cs="Times New Roman"/>
          <w:sz w:val="24"/>
          <w:szCs w:val="24"/>
          <w:lang w:eastAsia="zh-CN"/>
        </w:rPr>
      </w:pPr>
    </w:p>
    <w:p w:rsidR="0092149B" w:rsidRPr="003F1C6C" w:rsidRDefault="0092149B" w:rsidP="003A50A3">
      <w:pPr>
        <w:tabs>
          <w:tab w:val="left" w:pos="4222"/>
        </w:tabs>
        <w:spacing w:line="360" w:lineRule="auto"/>
        <w:rPr>
          <w:rFonts w:ascii="Book Antiqua" w:hAnsi="Book Antiqua" w:cs="Times New Roman"/>
          <w:sz w:val="24"/>
          <w:szCs w:val="24"/>
        </w:rPr>
      </w:pPr>
      <w:r w:rsidRPr="003F1C6C">
        <w:rPr>
          <w:rFonts w:ascii="Book Antiqua" w:hAnsi="Book Antiqua"/>
          <w:b/>
          <w:sz w:val="24"/>
          <w:szCs w:val="24"/>
          <w:lang w:eastAsia="en-GB"/>
        </w:rPr>
        <w:t xml:space="preserve">BILIRUBIN METABOLISM AND NEUROTOXICITY </w:t>
      </w:r>
    </w:p>
    <w:p w:rsidR="0092149B" w:rsidRPr="003F1C6C" w:rsidRDefault="0092149B" w:rsidP="003A50A3">
      <w:pPr>
        <w:tabs>
          <w:tab w:val="left" w:pos="4222"/>
        </w:tabs>
        <w:spacing w:line="360" w:lineRule="auto"/>
        <w:rPr>
          <w:rFonts w:ascii="Book Antiqua" w:hAnsi="Book Antiqua" w:cs="Trebuchet"/>
          <w:sz w:val="24"/>
          <w:szCs w:val="24"/>
          <w:lang w:eastAsia="zh-CN"/>
        </w:rPr>
      </w:pPr>
      <w:r w:rsidRPr="003F1C6C">
        <w:rPr>
          <w:rFonts w:ascii="Book Antiqua" w:hAnsi="Book Antiqua" w:cs="Trebuchet"/>
          <w:sz w:val="24"/>
          <w:szCs w:val="24"/>
        </w:rPr>
        <w:t>The metabolism of bilirubin has been well described in the literature</w:t>
      </w:r>
      <w:r w:rsidRPr="003F1C6C">
        <w:rPr>
          <w:rFonts w:ascii="Book Antiqua" w:hAnsi="Book Antiqua" w:cs="Trebuchet"/>
          <w:sz w:val="24"/>
          <w:szCs w:val="24"/>
          <w:vertAlign w:val="superscript"/>
        </w:rPr>
        <w:t>[19</w:t>
      </w:r>
      <w:r w:rsidRPr="003F1C6C">
        <w:rPr>
          <w:rFonts w:ascii="Book Antiqua" w:hAnsi="Book Antiqua" w:cs="Trebuchet"/>
          <w:sz w:val="24"/>
          <w:szCs w:val="24"/>
          <w:vertAlign w:val="superscript"/>
          <w:lang w:eastAsia="zh-CN"/>
        </w:rPr>
        <w:t>-</w:t>
      </w:r>
      <w:r w:rsidRPr="003F1C6C">
        <w:rPr>
          <w:rFonts w:ascii="Book Antiqua" w:hAnsi="Book Antiqua" w:cs="Trebuchet"/>
          <w:sz w:val="24"/>
          <w:szCs w:val="24"/>
          <w:vertAlign w:val="superscript"/>
        </w:rPr>
        <w:t>21]</w:t>
      </w:r>
      <w:r w:rsidRPr="003F1C6C">
        <w:rPr>
          <w:rFonts w:ascii="Book Antiqua" w:hAnsi="Book Antiqua" w:cs="Trebuchet"/>
          <w:sz w:val="24"/>
          <w:szCs w:val="24"/>
        </w:rPr>
        <w:t>. Essentially, bilirubin production is a normal process of the human physiology and it begins from the degradation of heme from senescent red blood cell (Figure 1). Once produced, bilirubin is conjugated in the liver with glucuronic acid to form bilirubin glucuronide. Conjugated bilirubin is then conveyed across the canalicular membrane through the biliary tree to the intestinal lumen for excretion. Newborns, especially premature infants, have an immature bilirubin conjugation and excretion system. As a result, they have a limited ability to conjugate bilirubin and excrete unconjugated bilirubin readily. These limitations account for an imbalance between bilirubin production and elimination. In effect, neonatal jaundice occurs when the rate at which bilirubin is produced exceeds the rate of elimination. It reflects the total bilirubin load in the body after birth and becomes visible in the skin as yellow pigment. In full-term infants, the serum bilirubin concentrations, known as physiologic jaundice, peak at 5 to 10 mg/dL in the first three days of life and declines thereafter to values commonly found in adults of approximately 1 mg/dL. However, in a few infants, serum bilirubin concentrations may become pathologic and exceed 17 mg/dL, which is indicative of a disorder that requires treatment. Total bilirubin levels beyond 17 mg/dL especially in infants with predisposing hemolytic conditions may lead to movement of unconjugated bilirubin into brain cells to cause acute bilirubin encephalopathy. Continued exposure to free bilirubin may lead to irreversible damage or chronic bilirubin encephalopathy. Timely intensive phototherapy and ET can arrest this progression and prevent or minimise bilirubin induced mortality and long-term neurologic morbidity.</w:t>
      </w:r>
    </w:p>
    <w:p w:rsidR="0092149B" w:rsidRPr="003F1C6C" w:rsidRDefault="0092149B" w:rsidP="003A50A3">
      <w:pPr>
        <w:tabs>
          <w:tab w:val="left" w:pos="4222"/>
        </w:tabs>
        <w:spacing w:line="360" w:lineRule="auto"/>
        <w:rPr>
          <w:rFonts w:ascii="Book Antiqua" w:hAnsi="Book Antiqua" w:cs="Times New Roman"/>
          <w:sz w:val="24"/>
          <w:szCs w:val="24"/>
          <w:lang w:eastAsia="zh-CN"/>
        </w:rPr>
      </w:pPr>
    </w:p>
    <w:p w:rsidR="0092149B" w:rsidRPr="003F1C6C" w:rsidRDefault="0092149B" w:rsidP="003A50A3">
      <w:pPr>
        <w:shd w:val="clear" w:color="auto" w:fill="FFFFFF"/>
        <w:spacing w:line="360" w:lineRule="auto"/>
        <w:rPr>
          <w:rFonts w:ascii="Book Antiqua" w:hAnsi="Book Antiqua"/>
          <w:b/>
          <w:sz w:val="24"/>
          <w:szCs w:val="24"/>
          <w:lang w:eastAsia="en-GB"/>
        </w:rPr>
      </w:pPr>
      <w:r w:rsidRPr="003F1C6C">
        <w:rPr>
          <w:rFonts w:ascii="Book Antiqua" w:hAnsi="Book Antiqua"/>
          <w:b/>
          <w:sz w:val="24"/>
          <w:szCs w:val="24"/>
          <w:lang w:eastAsia="en-GB"/>
        </w:rPr>
        <w:t>PATHWAY TO ET AND POTENTIAL CHALLENGES IN LMICS</w:t>
      </w:r>
    </w:p>
    <w:p w:rsidR="0092149B" w:rsidRPr="003F1C6C" w:rsidRDefault="0092149B" w:rsidP="003A50A3">
      <w:pPr>
        <w:shd w:val="clear" w:color="auto" w:fill="FFFFFF"/>
        <w:spacing w:line="360" w:lineRule="auto"/>
        <w:rPr>
          <w:rFonts w:ascii="Book Antiqua" w:hAnsi="Book Antiqua"/>
          <w:sz w:val="24"/>
          <w:szCs w:val="24"/>
          <w:lang w:val="en-US"/>
        </w:rPr>
      </w:pPr>
      <w:r w:rsidRPr="003F1C6C">
        <w:rPr>
          <w:rFonts w:ascii="Book Antiqua" w:hAnsi="Book Antiqua"/>
          <w:sz w:val="24"/>
          <w:szCs w:val="24"/>
          <w:lang w:eastAsia="en-GB"/>
        </w:rPr>
        <w:t>The facilities and techniques for undertaking ET in LMICs have been well described in the literature</w:t>
      </w:r>
      <w:r w:rsidRPr="003F1C6C">
        <w:rPr>
          <w:rFonts w:ascii="Book Antiqua" w:hAnsi="Book Antiqua"/>
          <w:sz w:val="24"/>
          <w:szCs w:val="24"/>
          <w:vertAlign w:val="superscript"/>
          <w:lang w:eastAsia="en-GB"/>
        </w:rPr>
        <w:t>[4,8]</w:t>
      </w:r>
      <w:r w:rsidRPr="003F1C6C">
        <w:rPr>
          <w:rFonts w:ascii="Book Antiqua" w:hAnsi="Book Antiqua"/>
          <w:sz w:val="24"/>
          <w:szCs w:val="24"/>
          <w:lang w:eastAsia="en-GB"/>
        </w:rPr>
        <w:t>. The clinical criteria for initiating ET have also been discussed in greater detail elsewhere</w:t>
      </w:r>
      <w:r w:rsidRPr="003F1C6C">
        <w:rPr>
          <w:rFonts w:ascii="Book Antiqua" w:hAnsi="Book Antiqua"/>
          <w:sz w:val="24"/>
          <w:szCs w:val="24"/>
          <w:vertAlign w:val="superscript"/>
          <w:lang w:eastAsia="en-GB"/>
        </w:rPr>
        <w:t>[8,22]</w:t>
      </w:r>
      <w:r w:rsidRPr="003F1C6C">
        <w:rPr>
          <w:rFonts w:ascii="Book Antiqua" w:hAnsi="Book Antiqua"/>
          <w:sz w:val="24"/>
          <w:szCs w:val="24"/>
          <w:lang w:eastAsia="en-GB"/>
        </w:rPr>
        <w:t xml:space="preserve">. Typically, regardless of the total plasma/serum bilirubin (TSB) level, a </w:t>
      </w:r>
      <w:r w:rsidRPr="003F1C6C">
        <w:rPr>
          <w:rFonts w:ascii="Book Antiqua" w:hAnsi="Book Antiqua" w:cs="MinionPro-Regular"/>
          <w:sz w:val="24"/>
          <w:szCs w:val="24"/>
          <w:lang w:eastAsia="zh-CN"/>
        </w:rPr>
        <w:t>“</w:t>
      </w:r>
      <w:r w:rsidRPr="003F1C6C">
        <w:rPr>
          <w:rFonts w:ascii="Book Antiqua" w:hAnsi="Book Antiqua" w:cs="MinionPro-Regular"/>
          <w:sz w:val="24"/>
          <w:szCs w:val="24"/>
        </w:rPr>
        <w:t>crash-cart approach</w:t>
      </w:r>
      <w:r w:rsidRPr="003F1C6C">
        <w:rPr>
          <w:rFonts w:ascii="Book Antiqua" w:hAnsi="Book Antiqua" w:cs="MinionPro-Regular"/>
          <w:sz w:val="24"/>
          <w:szCs w:val="24"/>
          <w:lang w:eastAsia="zh-CN"/>
        </w:rPr>
        <w:t>”</w:t>
      </w:r>
      <w:r w:rsidRPr="003F1C6C">
        <w:rPr>
          <w:rFonts w:ascii="Book Antiqua" w:hAnsi="Book Antiqua" w:cs="MinionPro-Regular"/>
          <w:sz w:val="24"/>
          <w:szCs w:val="24"/>
        </w:rPr>
        <w:t xml:space="preserve"> (initiation of immediate intensive phototherapy and fluid supplementation, followed by ET) is recommended for infants with early signs </w:t>
      </w:r>
      <w:r w:rsidRPr="003F1C6C">
        <w:rPr>
          <w:rFonts w:ascii="Book Antiqua" w:hAnsi="Book Antiqua"/>
          <w:sz w:val="24"/>
          <w:szCs w:val="24"/>
        </w:rPr>
        <w:t>and symptoms of intermediate/advanced ABE (lethargy, hypotonia, poor feeding, seizures, opisthotonos and impaired level of consciousness) with or without evidence of neurotoxicity risk factors (</w:t>
      </w:r>
      <w:r w:rsidRPr="003F1C6C">
        <w:rPr>
          <w:rFonts w:ascii="Book Antiqua" w:hAnsi="Book Antiqua"/>
          <w:sz w:val="24"/>
          <w:szCs w:val="24"/>
          <w:lang w:val="en-US"/>
        </w:rPr>
        <w:t xml:space="preserve">prematurity, isoimmune hemolytic disease, G6PD deficiency, asphyxia, sepsis, acidosis, and hypoalbuminemia). </w:t>
      </w:r>
      <w:r w:rsidRPr="003F1C6C">
        <w:rPr>
          <w:rFonts w:ascii="Book Antiqua" w:hAnsi="Book Antiqua"/>
          <w:noProof/>
          <w:sz w:val="24"/>
          <w:szCs w:val="24"/>
          <w:lang w:val="en-US"/>
        </w:rPr>
        <w:t xml:space="preserve">It is worth noting also that the clinical diagnosis of hemolytic jaundice remains a challenge because of the lack of advanced tests like </w:t>
      </w:r>
      <w:r w:rsidRPr="003F1C6C">
        <w:rPr>
          <w:rFonts w:ascii="Book Antiqua" w:hAnsi="Book Antiqua" w:cs="AdvPSA183"/>
          <w:noProof/>
          <w:sz w:val="24"/>
          <w:szCs w:val="24"/>
        </w:rPr>
        <w:t>end-tidal carbon monoxide (ETCO), eosin-5-maleimide flow cytometry to identify red blood cell membrane defects, and next-generation sequencing of relevant genes for mutations and polymorphisms</w:t>
      </w:r>
      <w:r w:rsidRPr="003F1C6C">
        <w:rPr>
          <w:rFonts w:ascii="Book Antiqua" w:hAnsi="Book Antiqua" w:cs="AdvPSA183"/>
          <w:noProof/>
          <w:sz w:val="24"/>
          <w:szCs w:val="24"/>
          <w:vertAlign w:val="superscript"/>
        </w:rPr>
        <w:t>[23]</w:t>
      </w:r>
      <w:r w:rsidRPr="003F1C6C">
        <w:rPr>
          <w:rFonts w:ascii="Book Antiqua" w:hAnsi="Book Antiqua" w:cs="AdvPSA183"/>
          <w:noProof/>
          <w:sz w:val="24"/>
          <w:szCs w:val="24"/>
        </w:rPr>
        <w:t>.</w:t>
      </w:r>
    </w:p>
    <w:p w:rsidR="0092149B" w:rsidRPr="003F1C6C" w:rsidRDefault="0092149B" w:rsidP="007070FA">
      <w:pPr>
        <w:shd w:val="clear" w:color="auto" w:fill="FFFFFF"/>
        <w:spacing w:line="360" w:lineRule="auto"/>
        <w:ind w:firstLineChars="100" w:firstLine="31680"/>
        <w:rPr>
          <w:rFonts w:ascii="Book Antiqua" w:hAnsi="Book Antiqua"/>
          <w:sz w:val="24"/>
          <w:szCs w:val="24"/>
          <w:lang w:eastAsia="zh-CN"/>
        </w:rPr>
      </w:pPr>
      <w:r w:rsidRPr="003F1C6C">
        <w:rPr>
          <w:rFonts w:ascii="Book Antiqua" w:hAnsi="Book Antiqua"/>
          <w:sz w:val="24"/>
          <w:szCs w:val="24"/>
          <w:lang w:eastAsia="en-GB"/>
        </w:rPr>
        <w:t>Studies describing the process from when the decision to conduct ET has been made and the actual execution of ET systematically were surprisingly rare from our literature review</w:t>
      </w:r>
      <w:r w:rsidRPr="003F1C6C">
        <w:rPr>
          <w:rFonts w:ascii="Book Antiqua" w:hAnsi="Book Antiqua"/>
          <w:sz w:val="24"/>
          <w:szCs w:val="24"/>
          <w:vertAlign w:val="superscript"/>
          <w:lang w:eastAsia="en-GB"/>
        </w:rPr>
        <w:t>[4,9,24,25]</w:t>
      </w:r>
      <w:r w:rsidRPr="003F1C6C">
        <w:rPr>
          <w:rFonts w:ascii="Book Antiqua" w:hAnsi="Book Antiqua"/>
          <w:sz w:val="24"/>
          <w:szCs w:val="24"/>
          <w:lang w:eastAsia="en-GB"/>
        </w:rPr>
        <w:t>. We therefore relied also on our practice experience in providing newborn care in a LMIC spanning over three decades. For example, from 2012 to 2014, an average of 140 ETs were conducted annually in our hospital, the oldest children hospital in Nigeria. Typically, in most clinical settings, once the need for ET has been established by the resident physician and the consultant, the typical steps to ET can be summarized as shown in Figure 2. The delays that may be encountered at any of these stages are described as follows:</w:t>
      </w:r>
    </w:p>
    <w:p w:rsidR="0092149B" w:rsidRPr="003F1C6C" w:rsidRDefault="0092149B" w:rsidP="003A50A3">
      <w:pPr>
        <w:shd w:val="clear" w:color="auto" w:fill="FFFFFF"/>
        <w:spacing w:line="360" w:lineRule="auto"/>
        <w:ind w:firstLine="360"/>
        <w:rPr>
          <w:rFonts w:ascii="Book Antiqua" w:hAnsi="Book Antiqua"/>
          <w:sz w:val="24"/>
          <w:szCs w:val="24"/>
          <w:lang w:eastAsia="zh-CN"/>
        </w:rPr>
      </w:pPr>
    </w:p>
    <w:p w:rsidR="0092149B" w:rsidRPr="003F1C6C" w:rsidRDefault="0092149B" w:rsidP="003A50A3">
      <w:pPr>
        <w:shd w:val="clear" w:color="auto" w:fill="FFFFFF"/>
        <w:spacing w:line="360" w:lineRule="auto"/>
        <w:rPr>
          <w:rFonts w:ascii="Book Antiqua" w:hAnsi="Book Antiqua"/>
          <w:b/>
          <w:i/>
          <w:sz w:val="24"/>
          <w:szCs w:val="24"/>
          <w:lang w:val="en-US" w:eastAsia="en-GB"/>
        </w:rPr>
      </w:pPr>
      <w:r w:rsidRPr="003F1C6C">
        <w:rPr>
          <w:rFonts w:ascii="Book Antiqua" w:hAnsi="Book Antiqua"/>
          <w:b/>
          <w:i/>
          <w:sz w:val="24"/>
          <w:szCs w:val="24"/>
          <w:lang w:val="en-US" w:eastAsia="en-GB"/>
        </w:rPr>
        <w:t xml:space="preserve">Providing </w:t>
      </w:r>
      <w:r w:rsidRPr="003F1C6C">
        <w:rPr>
          <w:rFonts w:ascii="Book Antiqua" w:hAnsi="Book Antiqua"/>
          <w:b/>
          <w:i/>
          <w:sz w:val="24"/>
          <w:szCs w:val="24"/>
          <w:lang w:eastAsia="en-GB"/>
        </w:rPr>
        <w:t>intensive phototherapy</w:t>
      </w:r>
      <w:r w:rsidRPr="003F1C6C">
        <w:rPr>
          <w:rFonts w:ascii="Book Antiqua" w:hAnsi="Book Antiqua"/>
          <w:b/>
          <w:i/>
          <w:sz w:val="24"/>
          <w:szCs w:val="24"/>
          <w:lang w:val="en-US" w:eastAsia="en-GB"/>
        </w:rPr>
        <w:t xml:space="preserve"> preparatory to ET</w:t>
      </w:r>
    </w:p>
    <w:p w:rsidR="0092149B" w:rsidRPr="003F1C6C" w:rsidRDefault="0092149B" w:rsidP="003A50A3">
      <w:pPr>
        <w:shd w:val="clear" w:color="auto" w:fill="FFFFFF"/>
        <w:spacing w:line="360" w:lineRule="auto"/>
        <w:rPr>
          <w:rFonts w:ascii="Book Antiqua" w:hAnsi="Book Antiqua"/>
          <w:sz w:val="24"/>
          <w:szCs w:val="24"/>
        </w:rPr>
      </w:pPr>
      <w:r w:rsidRPr="003F1C6C">
        <w:rPr>
          <w:rFonts w:ascii="Book Antiqua" w:hAnsi="Book Antiqua"/>
          <w:sz w:val="24"/>
          <w:szCs w:val="24"/>
        </w:rPr>
        <w:t>Effective phototherapy has been shown to reduce the need for ET in several studies</w:t>
      </w:r>
      <w:r w:rsidRPr="003F1C6C">
        <w:rPr>
          <w:rFonts w:ascii="Book Antiqua" w:hAnsi="Book Antiqua"/>
          <w:sz w:val="24"/>
          <w:szCs w:val="24"/>
          <w:vertAlign w:val="superscript"/>
        </w:rPr>
        <w:t>[26-30]</w:t>
      </w:r>
      <w:r w:rsidRPr="003F1C6C">
        <w:rPr>
          <w:rFonts w:ascii="Book Antiqua" w:hAnsi="Book Antiqua"/>
          <w:sz w:val="24"/>
          <w:szCs w:val="24"/>
        </w:rPr>
        <w:t>. An effective phototherapy device should produce specific blue-light wavelengths (peak emission: 450</w:t>
      </w:r>
      <w:r w:rsidRPr="003F1C6C">
        <w:rPr>
          <w:rFonts w:ascii="Book Antiqua" w:hAnsi="Book Antiqua"/>
          <w:sz w:val="24"/>
          <w:szCs w:val="24"/>
          <w:lang w:eastAsia="zh-CN"/>
        </w:rPr>
        <w:t xml:space="preserve"> </w:t>
      </w:r>
      <w:r w:rsidRPr="003F1C6C">
        <w:rPr>
          <w:rFonts w:ascii="Book Antiqua" w:hAnsi="Book Antiqua"/>
          <w:sz w:val="24"/>
          <w:szCs w:val="24"/>
        </w:rPr>
        <w:t>±</w:t>
      </w:r>
      <w:r w:rsidRPr="003F1C6C">
        <w:rPr>
          <w:rFonts w:ascii="Book Antiqua" w:hAnsi="Book Antiqua"/>
          <w:sz w:val="24"/>
          <w:szCs w:val="24"/>
          <w:lang w:eastAsia="zh-CN"/>
        </w:rPr>
        <w:t xml:space="preserve"> </w:t>
      </w:r>
      <w:r w:rsidRPr="003F1C6C">
        <w:rPr>
          <w:rFonts w:ascii="Book Antiqua" w:hAnsi="Book Antiqua"/>
          <w:sz w:val="24"/>
          <w:szCs w:val="24"/>
        </w:rPr>
        <w:t>20</w:t>
      </w:r>
      <w:r w:rsidRPr="003F1C6C">
        <w:rPr>
          <w:rFonts w:ascii="Book Antiqua" w:hAnsi="Book Antiqua"/>
          <w:sz w:val="24"/>
          <w:szCs w:val="24"/>
          <w:lang w:eastAsia="zh-CN"/>
        </w:rPr>
        <w:t xml:space="preserve"> </w:t>
      </w:r>
      <w:r w:rsidRPr="003F1C6C">
        <w:rPr>
          <w:rFonts w:ascii="Book Antiqua" w:hAnsi="Book Antiqua"/>
          <w:sz w:val="24"/>
          <w:szCs w:val="24"/>
        </w:rPr>
        <w:t>nm), preferably in a narrow bandwidth to about 80% of an infant’s body surface area</w:t>
      </w:r>
      <w:r w:rsidRPr="003F1C6C">
        <w:rPr>
          <w:rFonts w:ascii="Book Antiqua" w:hAnsi="Book Antiqua"/>
          <w:sz w:val="24"/>
          <w:szCs w:val="24"/>
          <w:vertAlign w:val="superscript"/>
        </w:rPr>
        <w:t>[31]</w:t>
      </w:r>
      <w:r w:rsidRPr="003F1C6C">
        <w:rPr>
          <w:rFonts w:ascii="Book Antiqua" w:hAnsi="Book Antiqua"/>
          <w:sz w:val="24"/>
          <w:szCs w:val="24"/>
        </w:rPr>
        <w:t xml:space="preserve">. The </w:t>
      </w:r>
      <w:r w:rsidRPr="003F1C6C">
        <w:rPr>
          <w:rFonts w:ascii="Book Antiqua" w:hAnsi="Book Antiqua"/>
          <w:snapToGrid w:val="0"/>
          <w:sz w:val="24"/>
          <w:szCs w:val="24"/>
        </w:rPr>
        <w:t xml:space="preserve">light source may be </w:t>
      </w:r>
      <w:r w:rsidRPr="003F1C6C">
        <w:rPr>
          <w:rFonts w:ascii="Book Antiqua" w:hAnsi="Book Antiqua"/>
          <w:sz w:val="24"/>
          <w:szCs w:val="24"/>
        </w:rPr>
        <w:t xml:space="preserve">fluorescent tubes, halogen lamps or light emitting diodes. </w:t>
      </w:r>
      <w:r w:rsidRPr="003F1C6C">
        <w:rPr>
          <w:rFonts w:ascii="Book Antiqua" w:hAnsi="Book Antiqua"/>
          <w:noProof/>
          <w:sz w:val="24"/>
          <w:szCs w:val="24"/>
        </w:rPr>
        <w:t>Whatever the light-source, conventional phototherapy should have an irradiance of at least 8-10 μW/cm</w:t>
      </w:r>
      <w:r w:rsidRPr="003F1C6C">
        <w:rPr>
          <w:rFonts w:ascii="Book Antiqua" w:hAnsi="Book Antiqua"/>
          <w:noProof/>
          <w:sz w:val="24"/>
          <w:szCs w:val="24"/>
          <w:vertAlign w:val="superscript"/>
        </w:rPr>
        <w:t>2</w:t>
      </w:r>
      <w:r w:rsidRPr="003F1C6C">
        <w:rPr>
          <w:rFonts w:ascii="Book Antiqua" w:hAnsi="Book Antiqua"/>
          <w:noProof/>
          <w:sz w:val="24"/>
          <w:szCs w:val="24"/>
          <w:lang w:eastAsia="zh-CN"/>
        </w:rPr>
        <w:t xml:space="preserve"> per </w:t>
      </w:r>
      <w:r w:rsidRPr="003F1C6C">
        <w:rPr>
          <w:rFonts w:ascii="Book Antiqua" w:hAnsi="Book Antiqua"/>
          <w:noProof/>
          <w:sz w:val="24"/>
          <w:szCs w:val="24"/>
        </w:rPr>
        <w:t>nanometre and intensive phototherapy should have an irradiance of ≥</w:t>
      </w:r>
      <w:r w:rsidRPr="003F1C6C">
        <w:rPr>
          <w:rFonts w:ascii="Book Antiqua" w:hAnsi="Book Antiqua"/>
          <w:noProof/>
          <w:sz w:val="24"/>
          <w:szCs w:val="24"/>
          <w:lang w:eastAsia="zh-CN"/>
        </w:rPr>
        <w:t xml:space="preserve"> </w:t>
      </w:r>
      <w:r w:rsidRPr="003F1C6C">
        <w:rPr>
          <w:rFonts w:ascii="Book Antiqua" w:hAnsi="Book Antiqua"/>
          <w:noProof/>
          <w:sz w:val="24"/>
          <w:szCs w:val="24"/>
        </w:rPr>
        <w:t>30 μW/cm</w:t>
      </w:r>
      <w:r w:rsidRPr="003F1C6C">
        <w:rPr>
          <w:rFonts w:ascii="Book Antiqua" w:hAnsi="Book Antiqua"/>
          <w:noProof/>
          <w:sz w:val="24"/>
          <w:szCs w:val="24"/>
          <w:vertAlign w:val="superscript"/>
        </w:rPr>
        <w:t>2</w:t>
      </w:r>
      <w:r w:rsidRPr="003F1C6C">
        <w:rPr>
          <w:rFonts w:ascii="Book Antiqua" w:hAnsi="Book Antiqua"/>
          <w:noProof/>
          <w:sz w:val="24"/>
          <w:szCs w:val="24"/>
          <w:lang w:eastAsia="zh-CN"/>
        </w:rPr>
        <w:t xml:space="preserve"> per </w:t>
      </w:r>
      <w:r w:rsidRPr="003F1C6C">
        <w:rPr>
          <w:rFonts w:ascii="Book Antiqua" w:hAnsi="Book Antiqua"/>
          <w:noProof/>
          <w:sz w:val="24"/>
          <w:szCs w:val="24"/>
        </w:rPr>
        <w:t>nanometre (from either a single or multiple phototherapy units).</w:t>
      </w:r>
      <w:r w:rsidRPr="003F1C6C">
        <w:rPr>
          <w:rFonts w:ascii="Book Antiqua" w:hAnsi="Book Antiqua"/>
          <w:sz w:val="24"/>
          <w:szCs w:val="24"/>
        </w:rPr>
        <w:t xml:space="preserve"> </w:t>
      </w:r>
      <w:r w:rsidRPr="003F1C6C">
        <w:rPr>
          <w:rFonts w:ascii="Book Antiqua" w:hAnsi="Book Antiqua"/>
          <w:sz w:val="24"/>
          <w:szCs w:val="24"/>
          <w:lang w:eastAsia="en-GB"/>
        </w:rPr>
        <w:t xml:space="preserve">The lack of effective phototherapy in many hospitals has </w:t>
      </w:r>
      <w:r w:rsidRPr="003F1C6C">
        <w:rPr>
          <w:rFonts w:ascii="Book Antiqua" w:hAnsi="Book Antiqua"/>
          <w:noProof/>
          <w:sz w:val="24"/>
          <w:szCs w:val="24"/>
          <w:lang w:eastAsia="en-GB"/>
        </w:rPr>
        <w:t>been reported</w:t>
      </w:r>
      <w:r w:rsidRPr="003F1C6C">
        <w:rPr>
          <w:rFonts w:ascii="Book Antiqua" w:hAnsi="Book Antiqua"/>
          <w:sz w:val="24"/>
          <w:szCs w:val="24"/>
          <w:lang w:eastAsia="en-GB"/>
        </w:rPr>
        <w:t xml:space="preserve"> in several studies</w:t>
      </w:r>
      <w:r w:rsidRPr="003F1C6C">
        <w:rPr>
          <w:rFonts w:ascii="Book Antiqua" w:hAnsi="Book Antiqua"/>
          <w:sz w:val="24"/>
          <w:szCs w:val="24"/>
          <w:vertAlign w:val="superscript"/>
          <w:lang w:eastAsia="en-GB"/>
        </w:rPr>
        <w:t>[32-35]</w:t>
      </w:r>
      <w:r w:rsidRPr="003F1C6C">
        <w:rPr>
          <w:rFonts w:ascii="Book Antiqua" w:hAnsi="Book Antiqua"/>
          <w:sz w:val="24"/>
          <w:szCs w:val="24"/>
          <w:lang w:eastAsia="en-GB"/>
        </w:rPr>
        <w:t xml:space="preserve">. </w:t>
      </w:r>
      <w:r w:rsidRPr="003F1C6C">
        <w:rPr>
          <w:rFonts w:ascii="Book Antiqua" w:hAnsi="Book Antiqua"/>
          <w:noProof/>
          <w:sz w:val="24"/>
          <w:szCs w:val="24"/>
        </w:rPr>
        <w:t xml:space="preserve">In one survey from Nigeria, for example, the vast majority (94%) of 63 phototherapy devices tested in twelve referral-level hospitals delivered irradiances of </w:t>
      </w:r>
      <w:r w:rsidRPr="003F1C6C">
        <w:rPr>
          <w:rFonts w:ascii="Book Antiqua" w:eastAsia="AdvTT2acb703b+22" w:hAnsi="Book Antiqua"/>
          <w:noProof/>
          <w:sz w:val="24"/>
          <w:szCs w:val="24"/>
        </w:rPr>
        <w:t>≤</w:t>
      </w:r>
      <w:r w:rsidRPr="003F1C6C">
        <w:rPr>
          <w:rFonts w:ascii="Book Antiqua" w:hAnsi="Book Antiqua"/>
          <w:noProof/>
          <w:sz w:val="24"/>
          <w:szCs w:val="24"/>
          <w:lang w:eastAsia="zh-CN"/>
        </w:rPr>
        <w:t xml:space="preserve"> </w:t>
      </w:r>
      <w:r w:rsidRPr="003F1C6C">
        <w:rPr>
          <w:rFonts w:ascii="Book Antiqua" w:hAnsi="Book Antiqua"/>
          <w:noProof/>
          <w:sz w:val="24"/>
          <w:szCs w:val="24"/>
        </w:rPr>
        <w:t>10 μW/cm</w:t>
      </w:r>
      <w:r w:rsidRPr="003F1C6C">
        <w:rPr>
          <w:rFonts w:ascii="Book Antiqua" w:hAnsi="Book Antiqua"/>
          <w:noProof/>
          <w:sz w:val="24"/>
          <w:szCs w:val="24"/>
          <w:vertAlign w:val="superscript"/>
        </w:rPr>
        <w:t>2</w:t>
      </w:r>
      <w:r w:rsidRPr="003F1C6C">
        <w:rPr>
          <w:rFonts w:ascii="Book Antiqua" w:hAnsi="Book Antiqua"/>
          <w:noProof/>
          <w:sz w:val="24"/>
          <w:szCs w:val="24"/>
          <w:lang w:eastAsia="zh-CN"/>
        </w:rPr>
        <w:t xml:space="preserve"> per </w:t>
      </w:r>
      <w:r w:rsidRPr="003F1C6C">
        <w:rPr>
          <w:rFonts w:ascii="Book Antiqua" w:hAnsi="Book Antiqua"/>
          <w:noProof/>
          <w:sz w:val="24"/>
          <w:szCs w:val="24"/>
        </w:rPr>
        <w:t xml:space="preserve">nanometre and none were </w:t>
      </w:r>
      <w:r w:rsidRPr="003F1C6C">
        <w:rPr>
          <w:rFonts w:ascii="Book Antiqua" w:eastAsia="AdvTT2acb703b+22" w:hAnsi="Book Antiqua"/>
          <w:noProof/>
          <w:sz w:val="24"/>
          <w:szCs w:val="24"/>
        </w:rPr>
        <w:t>≥</w:t>
      </w:r>
      <w:r w:rsidRPr="003F1C6C">
        <w:rPr>
          <w:rFonts w:ascii="Book Antiqua" w:hAnsi="Book Antiqua"/>
          <w:noProof/>
          <w:sz w:val="24"/>
          <w:szCs w:val="24"/>
          <w:lang w:eastAsia="zh-CN"/>
        </w:rPr>
        <w:t xml:space="preserve"> </w:t>
      </w:r>
      <w:r w:rsidRPr="003F1C6C">
        <w:rPr>
          <w:rFonts w:ascii="Book Antiqua" w:hAnsi="Book Antiqua"/>
          <w:noProof/>
          <w:sz w:val="24"/>
          <w:szCs w:val="24"/>
        </w:rPr>
        <w:t>30 μW/cm</w:t>
      </w:r>
      <w:r w:rsidRPr="003F1C6C">
        <w:rPr>
          <w:rFonts w:ascii="Book Antiqua" w:hAnsi="Book Antiqua"/>
          <w:noProof/>
          <w:sz w:val="24"/>
          <w:szCs w:val="24"/>
          <w:vertAlign w:val="superscript"/>
        </w:rPr>
        <w:t>2</w:t>
      </w:r>
      <w:r w:rsidRPr="003F1C6C">
        <w:rPr>
          <w:rFonts w:ascii="Book Antiqua" w:hAnsi="Book Antiqua"/>
          <w:noProof/>
          <w:sz w:val="24"/>
          <w:szCs w:val="24"/>
          <w:lang w:eastAsia="zh-CN"/>
        </w:rPr>
        <w:t xml:space="preserve"> per </w:t>
      </w:r>
      <w:r w:rsidRPr="003F1C6C">
        <w:rPr>
          <w:rFonts w:ascii="Book Antiqua" w:hAnsi="Book Antiqua"/>
          <w:noProof/>
          <w:sz w:val="24"/>
          <w:szCs w:val="24"/>
        </w:rPr>
        <w:t>nm</w:t>
      </w:r>
      <w:r w:rsidRPr="003F1C6C">
        <w:rPr>
          <w:rFonts w:ascii="Book Antiqua" w:hAnsi="Book Antiqua"/>
          <w:noProof/>
          <w:sz w:val="24"/>
          <w:szCs w:val="24"/>
          <w:vertAlign w:val="superscript"/>
        </w:rPr>
        <w:t>[34]</w:t>
      </w:r>
      <w:r w:rsidRPr="003F1C6C">
        <w:rPr>
          <w:rFonts w:ascii="Book Antiqua" w:hAnsi="Book Antiqua"/>
          <w:noProof/>
          <w:sz w:val="24"/>
          <w:szCs w:val="24"/>
        </w:rPr>
        <w:t>.</w:t>
      </w:r>
      <w:r w:rsidRPr="003F1C6C">
        <w:rPr>
          <w:rFonts w:ascii="Book Antiqua" w:hAnsi="Book Antiqua"/>
          <w:sz w:val="24"/>
          <w:szCs w:val="24"/>
        </w:rPr>
        <w:t xml:space="preserve"> </w:t>
      </w:r>
    </w:p>
    <w:p w:rsidR="0092149B" w:rsidRPr="003F1C6C" w:rsidRDefault="0092149B" w:rsidP="007070FA">
      <w:pPr>
        <w:shd w:val="clear" w:color="auto" w:fill="FFFFFF"/>
        <w:spacing w:line="360" w:lineRule="auto"/>
        <w:ind w:firstLineChars="100" w:firstLine="31680"/>
        <w:rPr>
          <w:rFonts w:ascii="Book Antiqua" w:hAnsi="Book Antiqua"/>
          <w:snapToGrid w:val="0"/>
          <w:sz w:val="24"/>
          <w:szCs w:val="24"/>
        </w:rPr>
      </w:pPr>
      <w:r w:rsidRPr="003F1C6C">
        <w:rPr>
          <w:rFonts w:ascii="Book Antiqua" w:hAnsi="Book Antiqua"/>
          <w:sz w:val="24"/>
          <w:szCs w:val="24"/>
        </w:rPr>
        <w:t xml:space="preserve">Ineffective phototherapy </w:t>
      </w:r>
      <w:r w:rsidRPr="003F1C6C">
        <w:rPr>
          <w:rFonts w:ascii="Book Antiqua" w:hAnsi="Book Antiqua"/>
          <w:noProof/>
          <w:sz w:val="24"/>
          <w:szCs w:val="24"/>
          <w:lang w:eastAsia="en-GB"/>
        </w:rPr>
        <w:t>is frequently attributed</w:t>
      </w:r>
      <w:r w:rsidRPr="003F1C6C">
        <w:rPr>
          <w:rFonts w:ascii="Book Antiqua" w:hAnsi="Book Antiqua"/>
          <w:sz w:val="24"/>
          <w:szCs w:val="24"/>
          <w:lang w:eastAsia="en-GB"/>
        </w:rPr>
        <w:t xml:space="preserve"> to </w:t>
      </w:r>
      <w:r w:rsidRPr="003F1C6C">
        <w:rPr>
          <w:rFonts w:ascii="Book Antiqua" w:hAnsi="Book Antiqua"/>
          <w:snapToGrid w:val="0"/>
          <w:sz w:val="24"/>
          <w:szCs w:val="24"/>
        </w:rPr>
        <w:t>erratic power supply, inadequate skin exposure from overcrowding with multiple infants placed under a single device, sub-optimal irradiance levels,</w:t>
      </w:r>
      <w:r w:rsidRPr="003F1C6C">
        <w:rPr>
          <w:rFonts w:ascii="Book Antiqua" w:hAnsi="Book Antiqua"/>
          <w:sz w:val="24"/>
          <w:szCs w:val="24"/>
        </w:rPr>
        <w:t xml:space="preserve"> </w:t>
      </w:r>
      <w:r w:rsidRPr="003F1C6C">
        <w:rPr>
          <w:rFonts w:ascii="Book Antiqua" w:hAnsi="Book Antiqua"/>
          <w:snapToGrid w:val="0"/>
          <w:sz w:val="24"/>
          <w:szCs w:val="24"/>
        </w:rPr>
        <w:t>and poor device maintenance. Lack of intensive phototherapy during the waiting period for ET, often results in high incidence of kernicterus prior to ET and ultimately compromises the effectiveness of ET</w:t>
      </w:r>
      <w:r w:rsidRPr="003F1C6C">
        <w:rPr>
          <w:rFonts w:ascii="Book Antiqua" w:hAnsi="Book Antiqua"/>
          <w:snapToGrid w:val="0"/>
          <w:sz w:val="24"/>
          <w:szCs w:val="24"/>
          <w:vertAlign w:val="superscript"/>
        </w:rPr>
        <w:t>[11]</w:t>
      </w:r>
      <w:r w:rsidRPr="003F1C6C">
        <w:rPr>
          <w:rFonts w:ascii="Book Antiqua" w:hAnsi="Book Antiqua"/>
          <w:snapToGrid w:val="0"/>
          <w:sz w:val="24"/>
          <w:szCs w:val="24"/>
        </w:rPr>
        <w:t>. It is therefore not surprising to find adverse neurodevelopmental outcomes post ET</w:t>
      </w:r>
      <w:r w:rsidRPr="003F1C6C">
        <w:rPr>
          <w:rFonts w:ascii="Book Antiqua" w:hAnsi="Book Antiqua"/>
          <w:snapToGrid w:val="0"/>
          <w:sz w:val="24"/>
          <w:szCs w:val="24"/>
          <w:vertAlign w:val="superscript"/>
        </w:rPr>
        <w:t>[17,18,36,37]</w:t>
      </w:r>
      <w:r w:rsidRPr="003F1C6C">
        <w:rPr>
          <w:rFonts w:ascii="Book Antiqua" w:hAnsi="Book Antiqua"/>
          <w:snapToGrid w:val="0"/>
          <w:sz w:val="24"/>
          <w:szCs w:val="24"/>
        </w:rPr>
        <w:t xml:space="preserve">. To ensure effective phototherapy, it </w:t>
      </w:r>
      <w:r w:rsidRPr="003F1C6C">
        <w:rPr>
          <w:rFonts w:ascii="Book Antiqua" w:hAnsi="Book Antiqua"/>
          <w:noProof/>
          <w:snapToGrid w:val="0"/>
          <w:sz w:val="24"/>
          <w:szCs w:val="24"/>
        </w:rPr>
        <w:t>is essential</w:t>
      </w:r>
      <w:r w:rsidRPr="003F1C6C">
        <w:rPr>
          <w:rFonts w:ascii="Book Antiqua" w:hAnsi="Book Antiqua"/>
          <w:snapToGrid w:val="0"/>
          <w:sz w:val="24"/>
          <w:szCs w:val="24"/>
        </w:rPr>
        <w:t xml:space="preserve"> that the devices </w:t>
      </w:r>
      <w:r w:rsidRPr="003F1C6C">
        <w:rPr>
          <w:rFonts w:ascii="Book Antiqua" w:hAnsi="Book Antiqua"/>
          <w:noProof/>
          <w:snapToGrid w:val="0"/>
          <w:sz w:val="24"/>
          <w:szCs w:val="24"/>
        </w:rPr>
        <w:t>are properly monitored</w:t>
      </w:r>
      <w:r w:rsidRPr="003F1C6C">
        <w:rPr>
          <w:rFonts w:ascii="Book Antiqua" w:hAnsi="Book Antiqua"/>
          <w:snapToGrid w:val="0"/>
          <w:sz w:val="24"/>
          <w:szCs w:val="24"/>
        </w:rPr>
        <w:t xml:space="preserve">, regularly maintained, and the staff well trained to provide the best possible care for the affected infants preparatory to ET. The potential use of filtered sunlight phototherapy is currently being piloted and holds promise in tropical LMICs where effective conventional electric blue-light phototherapy devices cannot </w:t>
      </w:r>
      <w:r w:rsidRPr="003F1C6C">
        <w:rPr>
          <w:rFonts w:ascii="Book Antiqua" w:hAnsi="Book Antiqua"/>
          <w:noProof/>
          <w:snapToGrid w:val="0"/>
          <w:sz w:val="24"/>
          <w:szCs w:val="24"/>
        </w:rPr>
        <w:t>be routinely assured</w:t>
      </w:r>
      <w:r w:rsidRPr="003F1C6C">
        <w:rPr>
          <w:rFonts w:ascii="Book Antiqua" w:hAnsi="Book Antiqua"/>
          <w:snapToGrid w:val="0"/>
          <w:sz w:val="24"/>
          <w:szCs w:val="24"/>
          <w:vertAlign w:val="superscript"/>
        </w:rPr>
        <w:t>[38,39]</w:t>
      </w:r>
      <w:r w:rsidRPr="003F1C6C">
        <w:rPr>
          <w:rFonts w:ascii="Book Antiqua" w:hAnsi="Book Antiqua"/>
          <w:snapToGrid w:val="0"/>
          <w:sz w:val="24"/>
          <w:szCs w:val="24"/>
        </w:rPr>
        <w:t xml:space="preserve">. </w:t>
      </w:r>
    </w:p>
    <w:p w:rsidR="0092149B" w:rsidRPr="003F1C6C" w:rsidRDefault="0092149B" w:rsidP="007070FA">
      <w:pPr>
        <w:autoSpaceDE w:val="0"/>
        <w:autoSpaceDN w:val="0"/>
        <w:adjustRightInd w:val="0"/>
        <w:spacing w:line="360" w:lineRule="auto"/>
        <w:ind w:firstLineChars="100" w:firstLine="31680"/>
        <w:contextualSpacing/>
        <w:rPr>
          <w:rFonts w:ascii="Book Antiqua" w:hAnsi="Book Antiqua" w:cs="Berkeley-Book"/>
          <w:color w:val="000000"/>
          <w:sz w:val="24"/>
          <w:szCs w:val="24"/>
          <w:lang w:eastAsia="zh-CN"/>
        </w:rPr>
      </w:pPr>
      <w:r w:rsidRPr="003F1C6C">
        <w:rPr>
          <w:rFonts w:ascii="Book Antiqua" w:hAnsi="Book Antiqua" w:cs="Berkeley-Book"/>
          <w:sz w:val="24"/>
          <w:szCs w:val="24"/>
        </w:rPr>
        <w:t>The administration of intravenous fluid supplementation should be considered for infants with evidence of dehydration, especially as a result of late presentation. Th</w:t>
      </w:r>
      <w:r w:rsidRPr="003F1C6C">
        <w:rPr>
          <w:rFonts w:ascii="Book Antiqua" w:hAnsi="Book Antiqua" w:cs="Berkeley-Book"/>
          <w:color w:val="000000"/>
          <w:sz w:val="24"/>
          <w:szCs w:val="24"/>
        </w:rPr>
        <w:t>is intervention has been found to decrease the need for ET by up to 70% without any long-term adverse effects</w:t>
      </w:r>
      <w:r w:rsidRPr="003F1C6C">
        <w:rPr>
          <w:rFonts w:ascii="Book Antiqua" w:hAnsi="Book Antiqua" w:cs="Berkeley-Book"/>
          <w:color w:val="000000"/>
          <w:sz w:val="24"/>
          <w:szCs w:val="24"/>
          <w:vertAlign w:val="superscript"/>
        </w:rPr>
        <w:t>[4,40]</w:t>
      </w:r>
      <w:r w:rsidRPr="003F1C6C">
        <w:rPr>
          <w:rFonts w:ascii="Book Antiqua" w:hAnsi="Book Antiqua" w:cs="Berkeley-Book"/>
          <w:color w:val="000000"/>
          <w:sz w:val="24"/>
          <w:szCs w:val="24"/>
        </w:rPr>
        <w:t>. Similarly, the use of intravenous immunoglobulin may be helpful in reducing the need for ET in infants with isoimmune hemolytic jaundice</w:t>
      </w:r>
      <w:r w:rsidRPr="003F1C6C">
        <w:rPr>
          <w:rFonts w:ascii="Book Antiqua" w:hAnsi="Book Antiqua" w:cs="Berkeley-Book"/>
          <w:color w:val="000000"/>
          <w:sz w:val="24"/>
          <w:szCs w:val="24"/>
          <w:vertAlign w:val="superscript"/>
        </w:rPr>
        <w:t>[4,41]</w:t>
      </w:r>
      <w:r w:rsidRPr="003F1C6C">
        <w:rPr>
          <w:rFonts w:ascii="Book Antiqua" w:hAnsi="Book Antiqua" w:cs="Berkeley-Book"/>
          <w:color w:val="000000"/>
          <w:sz w:val="24"/>
          <w:szCs w:val="24"/>
        </w:rPr>
        <w:t>.</w:t>
      </w:r>
    </w:p>
    <w:p w:rsidR="0092149B" w:rsidRPr="003F1C6C" w:rsidRDefault="0092149B" w:rsidP="003A50A3">
      <w:pPr>
        <w:autoSpaceDE w:val="0"/>
        <w:autoSpaceDN w:val="0"/>
        <w:adjustRightInd w:val="0"/>
        <w:spacing w:line="360" w:lineRule="auto"/>
        <w:ind w:firstLine="720"/>
        <w:contextualSpacing/>
        <w:rPr>
          <w:rFonts w:ascii="Book Antiqua" w:hAnsi="Book Antiqua"/>
          <w:i/>
          <w:snapToGrid w:val="0"/>
          <w:sz w:val="24"/>
          <w:szCs w:val="24"/>
          <w:lang w:eastAsia="zh-CN"/>
        </w:rPr>
      </w:pPr>
    </w:p>
    <w:p w:rsidR="0092149B" w:rsidRPr="003F1C6C" w:rsidRDefault="0092149B" w:rsidP="003A50A3">
      <w:pPr>
        <w:shd w:val="clear" w:color="auto" w:fill="FFFFFF"/>
        <w:spacing w:line="360" w:lineRule="auto"/>
        <w:rPr>
          <w:rFonts w:ascii="Book Antiqua" w:hAnsi="Book Antiqua"/>
          <w:b/>
          <w:i/>
          <w:sz w:val="24"/>
          <w:szCs w:val="24"/>
          <w:lang w:eastAsia="en-GB"/>
        </w:rPr>
      </w:pPr>
      <w:r w:rsidRPr="003F1C6C">
        <w:rPr>
          <w:rFonts w:ascii="Book Antiqua" w:hAnsi="Book Antiqua"/>
          <w:b/>
          <w:i/>
          <w:sz w:val="24"/>
          <w:szCs w:val="24"/>
          <w:lang w:eastAsia="en-GB"/>
        </w:rPr>
        <w:t>Obtaining informed consent and blood samples</w:t>
      </w:r>
    </w:p>
    <w:p w:rsidR="0092149B" w:rsidRPr="003F1C6C" w:rsidRDefault="0092149B" w:rsidP="003A50A3">
      <w:pPr>
        <w:shd w:val="clear" w:color="auto" w:fill="FFFFFF"/>
        <w:spacing w:line="360" w:lineRule="auto"/>
        <w:rPr>
          <w:rFonts w:ascii="Book Antiqua" w:hAnsi="Book Antiqua"/>
          <w:sz w:val="24"/>
          <w:szCs w:val="24"/>
          <w:lang w:eastAsia="zh-CN"/>
        </w:rPr>
      </w:pPr>
      <w:r w:rsidRPr="003F1C6C">
        <w:rPr>
          <w:rFonts w:ascii="Book Antiqua" w:hAnsi="Book Antiqua"/>
          <w:sz w:val="24"/>
          <w:szCs w:val="24"/>
          <w:lang w:eastAsia="en-GB"/>
        </w:rPr>
        <w:t xml:space="preserve">Information on grouping and cross-matching as well as baseline investigations such as full blood count, sodium, potassium, calcium, TSB, magnesium and glucose </w:t>
      </w:r>
      <w:r w:rsidRPr="003F1C6C">
        <w:rPr>
          <w:rFonts w:ascii="Book Antiqua" w:hAnsi="Book Antiqua"/>
          <w:noProof/>
          <w:sz w:val="24"/>
          <w:szCs w:val="24"/>
          <w:lang w:eastAsia="en-GB"/>
        </w:rPr>
        <w:t>are required</w:t>
      </w:r>
      <w:r w:rsidRPr="003F1C6C">
        <w:rPr>
          <w:rFonts w:ascii="Book Antiqua" w:hAnsi="Book Antiqua"/>
          <w:sz w:val="24"/>
          <w:szCs w:val="24"/>
          <w:lang w:eastAsia="en-GB"/>
        </w:rPr>
        <w:t xml:space="preserve"> before initiating ET. Ethical considerations forbid blood or blood product transfusion without informed consent. </w:t>
      </w:r>
      <w:r w:rsidRPr="003F1C6C">
        <w:rPr>
          <w:rFonts w:ascii="Book Antiqua" w:hAnsi="Book Antiqua"/>
          <w:noProof/>
          <w:sz w:val="24"/>
          <w:szCs w:val="24"/>
          <w:lang w:eastAsia="en-GB"/>
        </w:rPr>
        <w:t>However, delay in getting informed consent because mother is not available, either from death, critical illness or in another hospital and the person with parental right is also not available, is not uncommon</w:t>
      </w:r>
      <w:r w:rsidRPr="003F1C6C">
        <w:rPr>
          <w:rFonts w:ascii="Book Antiqua" w:hAnsi="Book Antiqua"/>
          <w:noProof/>
          <w:sz w:val="24"/>
          <w:szCs w:val="24"/>
          <w:vertAlign w:val="superscript"/>
          <w:lang w:eastAsia="en-GB"/>
        </w:rPr>
        <w:t>[6]</w:t>
      </w:r>
      <w:r w:rsidRPr="003F1C6C">
        <w:rPr>
          <w:rFonts w:ascii="Book Antiqua" w:hAnsi="Book Antiqua"/>
          <w:noProof/>
          <w:sz w:val="24"/>
          <w:szCs w:val="24"/>
          <w:lang w:eastAsia="en-GB"/>
        </w:rPr>
        <w:t>.</w:t>
      </w:r>
      <w:r w:rsidRPr="003F1C6C">
        <w:rPr>
          <w:rFonts w:ascii="Book Antiqua" w:hAnsi="Book Antiqua"/>
          <w:sz w:val="24"/>
          <w:szCs w:val="24"/>
          <w:lang w:eastAsia="en-GB"/>
        </w:rPr>
        <w:t xml:space="preserve"> Delay may also </w:t>
      </w:r>
      <w:r w:rsidRPr="003F1C6C">
        <w:rPr>
          <w:rFonts w:ascii="Book Antiqua" w:hAnsi="Book Antiqua"/>
          <w:noProof/>
          <w:sz w:val="24"/>
          <w:szCs w:val="24"/>
          <w:lang w:eastAsia="en-GB"/>
        </w:rPr>
        <w:t>be encountered</w:t>
      </w:r>
      <w:r w:rsidRPr="003F1C6C">
        <w:rPr>
          <w:rFonts w:ascii="Book Antiqua" w:hAnsi="Book Antiqua"/>
          <w:sz w:val="24"/>
          <w:szCs w:val="24"/>
          <w:lang w:eastAsia="en-GB"/>
        </w:rPr>
        <w:t xml:space="preserve"> in trying to convince parents who are reluctant to give consent on religious grounds</w:t>
      </w:r>
      <w:r w:rsidRPr="003F1C6C">
        <w:rPr>
          <w:rFonts w:ascii="Book Antiqua" w:hAnsi="Book Antiqua"/>
          <w:sz w:val="24"/>
          <w:szCs w:val="24"/>
          <w:vertAlign w:val="superscript"/>
          <w:lang w:eastAsia="en-GB"/>
        </w:rPr>
        <w:t>[11]</w:t>
      </w:r>
      <w:r w:rsidRPr="003F1C6C">
        <w:rPr>
          <w:rFonts w:ascii="Book Antiqua" w:hAnsi="Book Antiqua"/>
          <w:sz w:val="24"/>
          <w:szCs w:val="24"/>
          <w:lang w:eastAsia="en-GB"/>
        </w:rPr>
        <w:t xml:space="preserve">. Additionally, mother’s blood may also not be available in-time because of critical illness or the mother is on admission in another hospital. Difficulties may also </w:t>
      </w:r>
      <w:r w:rsidRPr="003F1C6C">
        <w:rPr>
          <w:rFonts w:ascii="Book Antiqua" w:hAnsi="Book Antiqua"/>
          <w:noProof/>
          <w:sz w:val="24"/>
          <w:szCs w:val="24"/>
          <w:lang w:eastAsia="en-GB"/>
        </w:rPr>
        <w:t>be encountered</w:t>
      </w:r>
      <w:r w:rsidRPr="003F1C6C">
        <w:rPr>
          <w:rFonts w:ascii="Book Antiqua" w:hAnsi="Book Antiqua"/>
          <w:sz w:val="24"/>
          <w:szCs w:val="24"/>
          <w:lang w:eastAsia="en-GB"/>
        </w:rPr>
        <w:t xml:space="preserve"> where the mother is unavailable due to premature death. These potential sources of delay should be anticipated and addressed appropriately. It is important that prenatal maternal education </w:t>
      </w:r>
      <w:r w:rsidRPr="003F1C6C">
        <w:rPr>
          <w:rFonts w:ascii="Book Antiqua" w:hAnsi="Book Antiqua"/>
          <w:noProof/>
          <w:sz w:val="24"/>
          <w:szCs w:val="24"/>
          <w:lang w:eastAsia="en-GB"/>
        </w:rPr>
        <w:t>be considered</w:t>
      </w:r>
      <w:r w:rsidRPr="003F1C6C">
        <w:rPr>
          <w:rFonts w:ascii="Book Antiqua" w:hAnsi="Book Antiqua"/>
          <w:sz w:val="24"/>
          <w:szCs w:val="24"/>
          <w:lang w:eastAsia="en-GB"/>
        </w:rPr>
        <w:t xml:space="preserve"> especially in settings where religious beliefs are likely to delay consent for ET.</w:t>
      </w:r>
    </w:p>
    <w:p w:rsidR="0092149B" w:rsidRPr="003F1C6C" w:rsidRDefault="0092149B" w:rsidP="003A50A3">
      <w:pPr>
        <w:shd w:val="clear" w:color="auto" w:fill="FFFFFF"/>
        <w:spacing w:line="360" w:lineRule="auto"/>
        <w:rPr>
          <w:rFonts w:ascii="Book Antiqua" w:hAnsi="Book Antiqua"/>
          <w:sz w:val="24"/>
          <w:szCs w:val="24"/>
          <w:lang w:eastAsia="zh-CN"/>
        </w:rPr>
      </w:pPr>
    </w:p>
    <w:p w:rsidR="0092149B" w:rsidRPr="003F1C6C" w:rsidRDefault="0092149B" w:rsidP="003A50A3">
      <w:pPr>
        <w:spacing w:line="360" w:lineRule="auto"/>
        <w:rPr>
          <w:rFonts w:ascii="Book Antiqua" w:hAnsi="Book Antiqua"/>
          <w:b/>
          <w:i/>
          <w:sz w:val="24"/>
          <w:szCs w:val="24"/>
          <w:lang w:eastAsia="zh-CN"/>
        </w:rPr>
      </w:pPr>
      <w:r w:rsidRPr="003F1C6C">
        <w:rPr>
          <w:rFonts w:ascii="Book Antiqua" w:hAnsi="Book Antiqua"/>
          <w:b/>
          <w:i/>
          <w:sz w:val="24"/>
          <w:szCs w:val="24"/>
          <w:lang w:eastAsia="en-GB"/>
        </w:rPr>
        <w:t xml:space="preserve">Transportation of blood samples to </w:t>
      </w:r>
      <w:r w:rsidRPr="003F1C6C">
        <w:rPr>
          <w:rFonts w:ascii="Book Antiqua" w:hAnsi="Book Antiqua"/>
          <w:b/>
          <w:i/>
          <w:sz w:val="24"/>
          <w:szCs w:val="24"/>
          <w:lang w:eastAsia="zh-CN"/>
        </w:rPr>
        <w:t>and</w:t>
      </w:r>
      <w:r w:rsidRPr="003F1C6C">
        <w:rPr>
          <w:rFonts w:ascii="Book Antiqua" w:hAnsi="Book Antiqua"/>
          <w:b/>
          <w:i/>
          <w:sz w:val="24"/>
          <w:szCs w:val="24"/>
          <w:lang w:eastAsia="en-GB"/>
        </w:rPr>
        <w:t xml:space="preserve"> collection of cross-matched blood from the laboratory</w:t>
      </w:r>
    </w:p>
    <w:p w:rsidR="0092149B" w:rsidRPr="003F1C6C" w:rsidRDefault="0092149B" w:rsidP="003A50A3">
      <w:pPr>
        <w:shd w:val="clear" w:color="auto" w:fill="FFFFFF"/>
        <w:spacing w:line="360" w:lineRule="auto"/>
        <w:rPr>
          <w:rFonts w:ascii="Book Antiqua" w:hAnsi="Book Antiqua"/>
          <w:sz w:val="24"/>
          <w:szCs w:val="24"/>
          <w:lang w:eastAsia="en-GB"/>
        </w:rPr>
      </w:pPr>
      <w:r w:rsidRPr="003F1C6C">
        <w:rPr>
          <w:rFonts w:ascii="Book Antiqua" w:hAnsi="Book Antiqua"/>
          <w:noProof/>
          <w:sz w:val="24"/>
          <w:szCs w:val="24"/>
          <w:lang w:eastAsia="en-GB"/>
        </w:rPr>
        <w:t>The volume of blood to request will depend on the decision for a single (estimated blood volume</w:t>
      </w:r>
      <w:r w:rsidRPr="003F1C6C">
        <w:rPr>
          <w:rFonts w:ascii="宋体" w:hAnsi="宋体"/>
          <w:noProof/>
          <w:sz w:val="24"/>
          <w:szCs w:val="24"/>
          <w:lang w:eastAsia="en-GB"/>
        </w:rPr>
        <w:t xml:space="preserve"> </w:t>
      </w:r>
      <w:r w:rsidRPr="003F1C6C">
        <w:rPr>
          <w:rFonts w:ascii="Book Antiqua" w:hAnsi="Book Antiqua"/>
          <w:noProof/>
          <w:sz w:val="24"/>
          <w:szCs w:val="24"/>
          <w:lang w:eastAsia="zh-CN"/>
        </w:rPr>
        <w:t>×</w:t>
      </w:r>
      <w:r w:rsidRPr="003F1C6C">
        <w:rPr>
          <w:rFonts w:ascii="Book Antiqua" w:hAnsi="Book Antiqua"/>
          <w:noProof/>
          <w:sz w:val="24"/>
          <w:szCs w:val="24"/>
          <w:lang w:eastAsia="en-GB"/>
        </w:rPr>
        <w:t xml:space="preserve"> baby’s weight in kilograms) or double volume (estimated blood volume </w:t>
      </w:r>
      <w:r w:rsidRPr="003F1C6C">
        <w:rPr>
          <w:rFonts w:ascii="Book Antiqua" w:hAnsi="Book Antiqua"/>
          <w:noProof/>
          <w:sz w:val="24"/>
          <w:szCs w:val="24"/>
          <w:lang w:eastAsia="zh-CN"/>
        </w:rPr>
        <w:t>×</w:t>
      </w:r>
      <w:r w:rsidRPr="003F1C6C">
        <w:rPr>
          <w:rFonts w:ascii="Book Antiqua" w:hAnsi="Book Antiqua"/>
          <w:noProof/>
          <w:sz w:val="24"/>
          <w:szCs w:val="24"/>
          <w:lang w:eastAsia="en-GB"/>
        </w:rPr>
        <w:t xml:space="preserve"> 2 </w:t>
      </w:r>
      <w:r w:rsidRPr="003F1C6C">
        <w:rPr>
          <w:rFonts w:ascii="Book Antiqua" w:hAnsi="Book Antiqua"/>
          <w:noProof/>
          <w:sz w:val="24"/>
          <w:szCs w:val="24"/>
          <w:lang w:eastAsia="zh-CN"/>
        </w:rPr>
        <w:t>×</w:t>
      </w:r>
      <w:r w:rsidRPr="003F1C6C">
        <w:rPr>
          <w:rFonts w:ascii="Book Antiqua" w:hAnsi="Book Antiqua"/>
          <w:noProof/>
          <w:sz w:val="24"/>
          <w:szCs w:val="24"/>
          <w:lang w:eastAsia="en-GB"/>
        </w:rPr>
        <w:t xml:space="preserve"> baby’s weight in kilograms) ET.</w:t>
      </w:r>
      <w:r w:rsidRPr="003F1C6C">
        <w:rPr>
          <w:rFonts w:ascii="Book Antiqua" w:hAnsi="Book Antiqua"/>
          <w:sz w:val="24"/>
          <w:szCs w:val="24"/>
          <w:lang w:eastAsia="en-GB"/>
        </w:rPr>
        <w:t xml:space="preserve"> </w:t>
      </w:r>
      <w:r w:rsidRPr="003F1C6C">
        <w:rPr>
          <w:rFonts w:ascii="Book Antiqua" w:hAnsi="Book Antiqua"/>
          <w:noProof/>
          <w:sz w:val="24"/>
          <w:szCs w:val="24"/>
          <w:lang w:eastAsia="en-GB"/>
        </w:rPr>
        <w:t>Given the wide prevalence of G6PD deficiency in many LMICs, it is not uncommon for centres to have a standing rule for double-volume ET that removes 85% of the infant’s red blood cells with up to 50% TSB decline and a potential rebound to two-thirds pre-exchange level, effectively removing one-third pre-exchange TSB level</w:t>
      </w:r>
      <w:r w:rsidRPr="003F1C6C">
        <w:rPr>
          <w:rFonts w:ascii="Book Antiqua" w:hAnsi="Book Antiqua"/>
          <w:noProof/>
          <w:sz w:val="24"/>
          <w:szCs w:val="24"/>
          <w:vertAlign w:val="superscript"/>
          <w:lang w:eastAsia="en-GB"/>
        </w:rPr>
        <w:t>[4]</w:t>
      </w:r>
      <w:r w:rsidRPr="003F1C6C">
        <w:rPr>
          <w:rFonts w:ascii="Book Antiqua" w:hAnsi="Book Antiqua"/>
          <w:noProof/>
          <w:sz w:val="24"/>
          <w:szCs w:val="24"/>
          <w:lang w:eastAsia="en-GB"/>
        </w:rPr>
        <w:t>.</w:t>
      </w:r>
      <w:r w:rsidRPr="003F1C6C">
        <w:rPr>
          <w:rFonts w:ascii="Book Antiqua" w:hAnsi="Book Antiqua"/>
          <w:sz w:val="24"/>
          <w:szCs w:val="24"/>
          <w:lang w:eastAsia="en-GB"/>
        </w:rPr>
        <w:t xml:space="preserve"> However, failure to request the right amount of blood is not unusual and often results in a delay or wastage. It is in fact more common to find clinicians over-ordering just to be assured of the availability of sufficient blood. This often results in wastage of blood and remains a potential source of friction between clinicians and the laboratory personnel</w:t>
      </w:r>
      <w:r w:rsidRPr="003F1C6C">
        <w:rPr>
          <w:rFonts w:ascii="Book Antiqua" w:hAnsi="Book Antiqua"/>
          <w:sz w:val="24"/>
          <w:szCs w:val="24"/>
          <w:vertAlign w:val="superscript"/>
          <w:lang w:eastAsia="en-GB"/>
        </w:rPr>
        <w:t>[42]</w:t>
      </w:r>
      <w:r w:rsidRPr="003F1C6C">
        <w:rPr>
          <w:rFonts w:ascii="Book Antiqua" w:hAnsi="Book Antiqua"/>
          <w:sz w:val="24"/>
          <w:szCs w:val="24"/>
          <w:lang w:eastAsia="en-GB"/>
        </w:rPr>
        <w:t>.</w:t>
      </w:r>
    </w:p>
    <w:p w:rsidR="0092149B" w:rsidRPr="003F1C6C" w:rsidRDefault="0092149B" w:rsidP="007070FA">
      <w:pPr>
        <w:spacing w:line="360" w:lineRule="auto"/>
        <w:ind w:firstLineChars="100" w:firstLine="31680"/>
        <w:rPr>
          <w:rFonts w:ascii="Book Antiqua" w:hAnsi="Book Antiqua"/>
          <w:sz w:val="24"/>
          <w:szCs w:val="24"/>
          <w:lang w:eastAsia="zh-CN"/>
        </w:rPr>
      </w:pPr>
      <w:r w:rsidRPr="003F1C6C">
        <w:rPr>
          <w:rFonts w:ascii="Book Antiqua" w:hAnsi="Book Antiqua"/>
          <w:sz w:val="24"/>
          <w:szCs w:val="24"/>
          <w:lang w:eastAsia="en-GB"/>
        </w:rPr>
        <w:t xml:space="preserve">Getting blood samples to the laboratory may be challenging where the functional laboratory and blood bank are outside the immediate vicinity of the hospital as frequently encountered in many LMICs. In fact, laboratories are often centralized to serve diverse requirements from all clinical units. Information from the lab may therefore be difficult to track. </w:t>
      </w:r>
      <w:r w:rsidRPr="003F1C6C">
        <w:rPr>
          <w:rFonts w:ascii="Book Antiqua" w:hAnsi="Book Antiqua"/>
          <w:noProof/>
          <w:sz w:val="24"/>
          <w:szCs w:val="24"/>
          <w:lang w:eastAsia="en-GB"/>
        </w:rPr>
        <w:t>Where the laboratory is accessible, a hospital personnel may not be immediately available, due to shortage of staff, to collect the blood as soon as the laboratory sends the information to the ward that blood is ready.</w:t>
      </w:r>
      <w:r w:rsidRPr="003F1C6C">
        <w:rPr>
          <w:rFonts w:ascii="Book Antiqua" w:hAnsi="Book Antiqua"/>
          <w:sz w:val="24"/>
          <w:szCs w:val="24"/>
          <w:lang w:eastAsia="en-GB"/>
        </w:rPr>
        <w:t xml:space="preserve"> To facilitate efficient communication with laboratory personnel, it is important to designate somebody for this task well in advance, if possible.</w:t>
      </w:r>
    </w:p>
    <w:p w:rsidR="0092149B" w:rsidRPr="003F1C6C" w:rsidRDefault="0092149B" w:rsidP="003A50A3">
      <w:pPr>
        <w:spacing w:line="360" w:lineRule="auto"/>
        <w:ind w:firstLine="720"/>
        <w:rPr>
          <w:rFonts w:ascii="Book Antiqua" w:hAnsi="Book Antiqua"/>
          <w:sz w:val="24"/>
          <w:szCs w:val="24"/>
          <w:lang w:eastAsia="zh-CN"/>
        </w:rPr>
      </w:pPr>
    </w:p>
    <w:p w:rsidR="0092149B" w:rsidRPr="003F1C6C" w:rsidRDefault="0092149B" w:rsidP="003A50A3">
      <w:pPr>
        <w:shd w:val="clear" w:color="auto" w:fill="FFFFFF"/>
        <w:spacing w:line="360" w:lineRule="auto"/>
        <w:rPr>
          <w:rFonts w:ascii="Book Antiqua" w:hAnsi="Book Antiqua"/>
          <w:b/>
          <w:i/>
          <w:sz w:val="24"/>
          <w:szCs w:val="24"/>
          <w:lang w:eastAsia="en-GB"/>
        </w:rPr>
      </w:pPr>
      <w:r w:rsidRPr="003F1C6C">
        <w:rPr>
          <w:rFonts w:ascii="Book Antiqua" w:hAnsi="Book Antiqua"/>
          <w:b/>
          <w:i/>
          <w:sz w:val="24"/>
          <w:szCs w:val="24"/>
          <w:lang w:eastAsia="en-GB"/>
        </w:rPr>
        <w:t>Preparing room and equipment for ET</w:t>
      </w:r>
    </w:p>
    <w:p w:rsidR="0092149B" w:rsidRPr="003F1C6C" w:rsidRDefault="0092149B" w:rsidP="003A50A3">
      <w:pPr>
        <w:shd w:val="clear" w:color="auto" w:fill="FFFFFF"/>
        <w:spacing w:line="360" w:lineRule="auto"/>
        <w:rPr>
          <w:rFonts w:ascii="Book Antiqua" w:hAnsi="Book Antiqua"/>
          <w:sz w:val="24"/>
          <w:szCs w:val="24"/>
          <w:lang w:eastAsia="zh-CN"/>
        </w:rPr>
      </w:pPr>
      <w:r w:rsidRPr="003F1C6C">
        <w:rPr>
          <w:rFonts w:ascii="Book Antiqua" w:hAnsi="Book Antiqua"/>
          <w:noProof/>
          <w:sz w:val="24"/>
          <w:szCs w:val="24"/>
          <w:lang w:eastAsia="en-GB"/>
        </w:rPr>
        <w:t>ET room must be warm and ready with essential items for the procedure such as IV infusion pump, arterial line pack, blood warmer, protective goggles and automated monitors for cardiac, blood pressure, oxygen saturation and respiratory function.</w:t>
      </w:r>
      <w:r w:rsidRPr="003F1C6C">
        <w:rPr>
          <w:rFonts w:ascii="Book Antiqua" w:hAnsi="Book Antiqua"/>
          <w:sz w:val="24"/>
          <w:szCs w:val="24"/>
          <w:lang w:eastAsia="en-GB"/>
        </w:rPr>
        <w:t xml:space="preserve"> Emergency trolley and suction equipment with appropriate catheters should be checked, stocked and </w:t>
      </w:r>
      <w:r w:rsidRPr="003F1C6C">
        <w:rPr>
          <w:rFonts w:ascii="Book Antiqua" w:hAnsi="Book Antiqua"/>
          <w:noProof/>
          <w:sz w:val="24"/>
          <w:szCs w:val="24"/>
          <w:lang w:eastAsia="en-GB"/>
        </w:rPr>
        <w:t>nearby</w:t>
      </w:r>
      <w:r w:rsidRPr="003F1C6C">
        <w:rPr>
          <w:rFonts w:ascii="Book Antiqua" w:hAnsi="Book Antiqua"/>
          <w:sz w:val="24"/>
          <w:szCs w:val="24"/>
          <w:lang w:eastAsia="en-GB"/>
        </w:rPr>
        <w:t xml:space="preserve">. Many of these items may not be readily available and a significant number of </w:t>
      </w:r>
      <w:r w:rsidRPr="003F1C6C">
        <w:rPr>
          <w:rFonts w:ascii="Book Antiqua" w:hAnsi="Book Antiqua"/>
          <w:noProof/>
          <w:sz w:val="24"/>
          <w:szCs w:val="24"/>
          <w:lang w:eastAsia="en-GB"/>
        </w:rPr>
        <w:t>critical items</w:t>
      </w:r>
      <w:r w:rsidRPr="003F1C6C">
        <w:rPr>
          <w:rFonts w:ascii="Book Antiqua" w:hAnsi="Book Antiqua"/>
          <w:sz w:val="24"/>
          <w:szCs w:val="24"/>
          <w:lang w:eastAsia="en-GB"/>
        </w:rPr>
        <w:t xml:space="preserve"> may also have to be purchased by the family. Where there is no designated room for ET, a suitable area has to </w:t>
      </w:r>
      <w:r w:rsidRPr="003F1C6C">
        <w:rPr>
          <w:rFonts w:ascii="Book Antiqua" w:hAnsi="Book Antiqua"/>
          <w:noProof/>
          <w:sz w:val="24"/>
          <w:szCs w:val="24"/>
          <w:lang w:eastAsia="en-GB"/>
        </w:rPr>
        <w:t>be identified</w:t>
      </w:r>
      <w:r w:rsidRPr="003F1C6C">
        <w:rPr>
          <w:rFonts w:ascii="Book Antiqua" w:hAnsi="Book Antiqua"/>
          <w:sz w:val="24"/>
          <w:szCs w:val="24"/>
          <w:lang w:eastAsia="en-GB"/>
        </w:rPr>
        <w:t xml:space="preserve"> and screened off for the procedure. The need for infection control and keeping the baby warm must be considered.</w:t>
      </w:r>
    </w:p>
    <w:p w:rsidR="0092149B" w:rsidRPr="003F1C6C" w:rsidRDefault="0092149B" w:rsidP="003A50A3">
      <w:pPr>
        <w:shd w:val="clear" w:color="auto" w:fill="FFFFFF"/>
        <w:spacing w:line="360" w:lineRule="auto"/>
        <w:rPr>
          <w:rFonts w:ascii="Book Antiqua" w:hAnsi="Book Antiqua"/>
          <w:sz w:val="24"/>
          <w:szCs w:val="24"/>
          <w:lang w:eastAsia="zh-CN"/>
        </w:rPr>
      </w:pPr>
    </w:p>
    <w:p w:rsidR="0092149B" w:rsidRPr="003F1C6C" w:rsidRDefault="0092149B" w:rsidP="003A50A3">
      <w:pPr>
        <w:shd w:val="clear" w:color="auto" w:fill="FFFFFF"/>
        <w:spacing w:line="360" w:lineRule="auto"/>
        <w:rPr>
          <w:rFonts w:ascii="Book Antiqua" w:hAnsi="Book Antiqua"/>
          <w:b/>
          <w:i/>
          <w:sz w:val="24"/>
          <w:szCs w:val="24"/>
          <w:lang w:eastAsia="en-GB"/>
        </w:rPr>
      </w:pPr>
      <w:r w:rsidRPr="003F1C6C">
        <w:rPr>
          <w:rFonts w:ascii="Book Antiqua" w:hAnsi="Book Antiqua"/>
          <w:b/>
          <w:i/>
          <w:sz w:val="24"/>
          <w:szCs w:val="24"/>
          <w:lang w:eastAsia="en-GB"/>
        </w:rPr>
        <w:t>Timely availability of laboratory results</w:t>
      </w:r>
    </w:p>
    <w:p w:rsidR="0092149B" w:rsidRPr="003F1C6C" w:rsidRDefault="0092149B" w:rsidP="003A50A3">
      <w:pPr>
        <w:spacing w:line="360" w:lineRule="auto"/>
        <w:rPr>
          <w:rFonts w:ascii="Book Antiqua" w:hAnsi="Book Antiqua"/>
          <w:sz w:val="24"/>
          <w:szCs w:val="24"/>
        </w:rPr>
      </w:pPr>
      <w:r w:rsidRPr="003F1C6C">
        <w:rPr>
          <w:rFonts w:ascii="Book Antiqua" w:hAnsi="Book Antiqua"/>
          <w:sz w:val="24"/>
          <w:szCs w:val="24"/>
        </w:rPr>
        <w:t xml:space="preserve">In most hospitals, all laboratory services are centralized, implying that requests from ET personnel even when it is urgent, have to be queued on arrival with other urgent requests. Laboratories in LMICs encounter several challenges that compromise their efficiency in achieving optimal turn-around time on the various requests for special investigations. These include inadequate and up-to-date facilities, inadequate personnel, inadequate stock of blood and occasionally, inadequate blood samples for the required investigations. </w:t>
      </w:r>
    </w:p>
    <w:p w:rsidR="0092149B" w:rsidRPr="003F1C6C" w:rsidRDefault="0092149B" w:rsidP="007070FA">
      <w:pPr>
        <w:spacing w:line="360" w:lineRule="auto"/>
        <w:ind w:firstLineChars="100" w:firstLine="31680"/>
        <w:rPr>
          <w:rFonts w:ascii="Book Antiqua" w:hAnsi="Book Antiqua"/>
          <w:sz w:val="24"/>
          <w:szCs w:val="24"/>
        </w:rPr>
      </w:pPr>
      <w:r w:rsidRPr="003F1C6C">
        <w:rPr>
          <w:rFonts w:ascii="Book Antiqua" w:hAnsi="Book Antiqua"/>
          <w:sz w:val="24"/>
          <w:szCs w:val="24"/>
          <w:lang w:eastAsia="en-GB"/>
        </w:rPr>
        <w:t xml:space="preserve">Screening donor blood for hepatitis and human immunodeficiency virus is standard in many </w:t>
      </w:r>
      <w:r w:rsidRPr="003F1C6C">
        <w:rPr>
          <w:rFonts w:ascii="Book Antiqua" w:hAnsi="Book Antiqua"/>
          <w:noProof/>
          <w:sz w:val="24"/>
          <w:szCs w:val="24"/>
          <w:lang w:eastAsia="en-GB"/>
        </w:rPr>
        <w:t>LMICs, but</w:t>
      </w:r>
      <w:r w:rsidRPr="003F1C6C">
        <w:rPr>
          <w:rFonts w:ascii="Book Antiqua" w:hAnsi="Book Antiqua"/>
          <w:sz w:val="24"/>
          <w:szCs w:val="24"/>
          <w:lang w:eastAsia="en-GB"/>
        </w:rPr>
        <w:t xml:space="preserve"> tests for G6PD status, cytomegalovirus (CMV) and Malaria are often excluded especially in Malaria endemic regions. </w:t>
      </w:r>
      <w:r w:rsidRPr="003F1C6C">
        <w:rPr>
          <w:rFonts w:ascii="Book Antiqua" w:hAnsi="Book Antiqua"/>
          <w:noProof/>
          <w:sz w:val="24"/>
          <w:szCs w:val="24"/>
          <w:lang w:eastAsia="en-GB"/>
        </w:rPr>
        <w:t>This may</w:t>
      </w:r>
      <w:r w:rsidRPr="003F1C6C">
        <w:rPr>
          <w:rFonts w:ascii="Book Antiqua" w:hAnsi="Book Antiqua"/>
          <w:sz w:val="24"/>
          <w:szCs w:val="24"/>
          <w:lang w:eastAsia="en-GB"/>
        </w:rPr>
        <w:t xml:space="preserve"> lead to using G6PD deficient, CMV or Malaria packed blood for ET. The use of G6PD deficient blood has </w:t>
      </w:r>
      <w:r w:rsidRPr="003F1C6C">
        <w:rPr>
          <w:rFonts w:ascii="Book Antiqua" w:hAnsi="Book Antiqua"/>
          <w:noProof/>
          <w:sz w:val="24"/>
          <w:szCs w:val="24"/>
          <w:lang w:eastAsia="en-GB"/>
        </w:rPr>
        <w:t>been associated</w:t>
      </w:r>
      <w:r w:rsidRPr="003F1C6C">
        <w:rPr>
          <w:rFonts w:ascii="Book Antiqua" w:hAnsi="Book Antiqua"/>
          <w:sz w:val="24"/>
          <w:szCs w:val="24"/>
          <w:lang w:eastAsia="en-GB"/>
        </w:rPr>
        <w:t xml:space="preserve"> with recurrent hemolysis and rebound TSB that often leads to repeat ET</w:t>
      </w:r>
      <w:r w:rsidRPr="003F1C6C">
        <w:rPr>
          <w:rFonts w:ascii="Book Antiqua" w:hAnsi="Book Antiqua"/>
          <w:sz w:val="24"/>
          <w:szCs w:val="24"/>
          <w:vertAlign w:val="superscript"/>
          <w:lang w:eastAsia="en-GB"/>
        </w:rPr>
        <w:t>[28,43]</w:t>
      </w:r>
      <w:r w:rsidRPr="003F1C6C">
        <w:rPr>
          <w:rFonts w:ascii="Book Antiqua" w:hAnsi="Book Antiqua"/>
          <w:sz w:val="24"/>
          <w:szCs w:val="24"/>
          <w:lang w:eastAsia="en-GB"/>
        </w:rPr>
        <w:t>. In the absence of blood warmer, the added time interval required to warm blood to body temperature may also prolong waiting time. Most laboratories lack diagnostic facilities for hemolytic disorders of the newborn and this frequently delays effective treatment for the affected infants.</w:t>
      </w:r>
    </w:p>
    <w:p w:rsidR="0092149B" w:rsidRPr="003F1C6C" w:rsidRDefault="0092149B" w:rsidP="007070FA">
      <w:pPr>
        <w:spacing w:line="360" w:lineRule="auto"/>
        <w:ind w:firstLineChars="100" w:firstLine="31680"/>
        <w:rPr>
          <w:rFonts w:ascii="Book Antiqua" w:hAnsi="Book Antiqua"/>
          <w:sz w:val="24"/>
          <w:szCs w:val="24"/>
        </w:rPr>
      </w:pPr>
      <w:r w:rsidRPr="003F1C6C">
        <w:rPr>
          <w:rFonts w:ascii="Book Antiqua" w:hAnsi="Book Antiqua"/>
          <w:sz w:val="24"/>
          <w:szCs w:val="24"/>
        </w:rPr>
        <w:t xml:space="preserve">A shortage in the number of laboratory personnel that is available to perform all the necessary laboratory analysis is also an </w:t>
      </w:r>
      <w:r w:rsidRPr="003F1C6C">
        <w:rPr>
          <w:rFonts w:ascii="Book Antiqua" w:hAnsi="Book Antiqua"/>
          <w:noProof/>
          <w:sz w:val="24"/>
          <w:szCs w:val="24"/>
        </w:rPr>
        <w:t>important source</w:t>
      </w:r>
      <w:r w:rsidRPr="003F1C6C">
        <w:rPr>
          <w:rFonts w:ascii="Book Antiqua" w:hAnsi="Book Antiqua"/>
          <w:sz w:val="24"/>
          <w:szCs w:val="24"/>
        </w:rPr>
        <w:t xml:space="preserve"> of delay. A laboratory scientist who is in charge of carrying out the grouping and cross matching of blood for ET may </w:t>
      </w:r>
      <w:r w:rsidRPr="003F1C6C">
        <w:rPr>
          <w:rFonts w:ascii="Book Antiqua" w:hAnsi="Book Antiqua"/>
          <w:noProof/>
          <w:sz w:val="24"/>
          <w:szCs w:val="24"/>
        </w:rPr>
        <w:t>be engaged</w:t>
      </w:r>
      <w:r w:rsidRPr="003F1C6C">
        <w:rPr>
          <w:rFonts w:ascii="Book Antiqua" w:hAnsi="Book Antiqua"/>
          <w:sz w:val="24"/>
          <w:szCs w:val="24"/>
        </w:rPr>
        <w:t xml:space="preserve"> on other benches at the same time. This unacceptable </w:t>
      </w:r>
      <w:r w:rsidRPr="003F1C6C">
        <w:rPr>
          <w:rFonts w:ascii="Book Antiqua" w:hAnsi="Book Antiqua"/>
          <w:noProof/>
          <w:sz w:val="24"/>
          <w:szCs w:val="24"/>
        </w:rPr>
        <w:t xml:space="preserve">situation </w:t>
      </w:r>
      <w:r w:rsidRPr="003F1C6C">
        <w:rPr>
          <w:rFonts w:ascii="Book Antiqua" w:hAnsi="Book Antiqua"/>
          <w:sz w:val="24"/>
          <w:szCs w:val="24"/>
        </w:rPr>
        <w:t xml:space="preserve">often leads to delays in issuing out blood for the ET. Additionally, if the request for cross-matching gets to the laboratory very late in the day, a call personnel in charge of several benches may have to be called in for grouping and cross-matching. </w:t>
      </w:r>
    </w:p>
    <w:p w:rsidR="0092149B" w:rsidRPr="003F1C6C" w:rsidRDefault="0092149B" w:rsidP="003A50A3">
      <w:pPr>
        <w:spacing w:line="360" w:lineRule="auto"/>
        <w:rPr>
          <w:rFonts w:ascii="Book Antiqua" w:hAnsi="Book Antiqua"/>
          <w:sz w:val="24"/>
          <w:szCs w:val="24"/>
          <w:lang w:eastAsia="zh-CN"/>
        </w:rPr>
      </w:pPr>
      <w:r w:rsidRPr="003F1C6C">
        <w:rPr>
          <w:rFonts w:ascii="Book Antiqua" w:hAnsi="Book Antiqua"/>
          <w:sz w:val="24"/>
          <w:szCs w:val="24"/>
        </w:rPr>
        <w:t xml:space="preserve"> </w:t>
      </w:r>
      <w:r w:rsidRPr="003F1C6C">
        <w:rPr>
          <w:rFonts w:ascii="Book Antiqua" w:hAnsi="Book Antiqua"/>
          <w:sz w:val="24"/>
          <w:szCs w:val="24"/>
          <w:lang w:eastAsia="zh-CN"/>
        </w:rPr>
        <w:t xml:space="preserve">  </w:t>
      </w:r>
      <w:r w:rsidRPr="003F1C6C">
        <w:rPr>
          <w:rFonts w:ascii="Book Antiqua" w:hAnsi="Book Antiqua"/>
          <w:sz w:val="24"/>
          <w:szCs w:val="24"/>
          <w:lang w:eastAsia="en-GB"/>
        </w:rPr>
        <w:t xml:space="preserve">Blood samples from the baby may also be insufficient. </w:t>
      </w:r>
      <w:r w:rsidRPr="003F1C6C">
        <w:rPr>
          <w:rFonts w:ascii="Book Antiqua" w:hAnsi="Book Antiqua"/>
          <w:sz w:val="24"/>
          <w:szCs w:val="24"/>
        </w:rPr>
        <w:t xml:space="preserve">Laboratory staff often complain about very small blood samples from the baby because of the method of grouping and cross-matching. A follow-up request for more blood from the laboratory causes further delay. The choice of blood especially when mother’s blood is not available may also compound the problem. In situations where mother is dead or critically ill, the best blood for ET is fresh but very scarce O rhesus </w:t>
      </w:r>
      <w:r w:rsidRPr="003F1C6C">
        <w:rPr>
          <w:rFonts w:ascii="Book Antiqua" w:hAnsi="Book Antiqua"/>
          <w:sz w:val="24"/>
          <w:szCs w:val="24"/>
          <w:lang w:eastAsia="zh-CN"/>
        </w:rPr>
        <w:t>“</w:t>
      </w:r>
      <w:r w:rsidRPr="003F1C6C">
        <w:rPr>
          <w:rFonts w:ascii="Book Antiqua" w:hAnsi="Book Antiqua"/>
          <w:sz w:val="24"/>
          <w:szCs w:val="24"/>
        </w:rPr>
        <w:t>D</w:t>
      </w:r>
      <w:r w:rsidRPr="003F1C6C">
        <w:rPr>
          <w:rFonts w:ascii="Book Antiqua" w:hAnsi="Book Antiqua"/>
          <w:sz w:val="24"/>
          <w:szCs w:val="24"/>
          <w:lang w:eastAsia="zh-CN"/>
        </w:rPr>
        <w:t>”</w:t>
      </w:r>
      <w:r w:rsidRPr="003F1C6C">
        <w:rPr>
          <w:rFonts w:ascii="Book Antiqua" w:hAnsi="Book Antiqua"/>
          <w:sz w:val="24"/>
          <w:szCs w:val="24"/>
        </w:rPr>
        <w:t xml:space="preserve"> negative blood. Fresh whole blood less than 48</w:t>
      </w:r>
      <w:r w:rsidRPr="003F1C6C">
        <w:rPr>
          <w:rFonts w:ascii="Book Antiqua" w:hAnsi="Book Antiqua"/>
          <w:sz w:val="24"/>
          <w:szCs w:val="24"/>
          <w:lang w:eastAsia="zh-CN"/>
        </w:rPr>
        <w:t xml:space="preserve"> </w:t>
      </w:r>
      <w:r w:rsidRPr="003F1C6C">
        <w:rPr>
          <w:rFonts w:ascii="Book Antiqua" w:hAnsi="Book Antiqua"/>
          <w:sz w:val="24"/>
          <w:szCs w:val="24"/>
        </w:rPr>
        <w:t xml:space="preserve">h and not more than </w:t>
      </w:r>
      <w:r w:rsidRPr="003F1C6C">
        <w:rPr>
          <w:rFonts w:ascii="Book Antiqua" w:hAnsi="Book Antiqua"/>
          <w:noProof/>
          <w:sz w:val="24"/>
          <w:szCs w:val="24"/>
        </w:rPr>
        <w:t>five</w:t>
      </w:r>
      <w:r w:rsidRPr="003F1C6C">
        <w:rPr>
          <w:rFonts w:ascii="Book Antiqua" w:hAnsi="Book Antiqua"/>
          <w:sz w:val="24"/>
          <w:szCs w:val="24"/>
        </w:rPr>
        <w:t xml:space="preserve"> days </w:t>
      </w:r>
      <w:r w:rsidRPr="003F1C6C">
        <w:rPr>
          <w:rFonts w:ascii="Book Antiqua" w:hAnsi="Book Antiqua"/>
          <w:noProof/>
          <w:sz w:val="24"/>
          <w:szCs w:val="24"/>
        </w:rPr>
        <w:t>is preferred</w:t>
      </w:r>
      <w:r w:rsidRPr="003F1C6C">
        <w:rPr>
          <w:rFonts w:ascii="Book Antiqua" w:hAnsi="Book Antiqua"/>
          <w:sz w:val="24"/>
          <w:szCs w:val="24"/>
        </w:rPr>
        <w:t xml:space="preserve"> for ET. However, since this is unattainable in most cases, the newborn does not get ET done as quickly as it is needed</w:t>
      </w:r>
      <w:r w:rsidRPr="003F1C6C">
        <w:rPr>
          <w:rFonts w:ascii="Book Antiqua" w:hAnsi="Book Antiqua"/>
          <w:sz w:val="24"/>
          <w:szCs w:val="24"/>
          <w:vertAlign w:val="superscript"/>
        </w:rPr>
        <w:t>[13]</w:t>
      </w:r>
      <w:r w:rsidRPr="003F1C6C">
        <w:rPr>
          <w:rFonts w:ascii="Book Antiqua" w:hAnsi="Book Antiqua"/>
          <w:sz w:val="24"/>
          <w:szCs w:val="24"/>
        </w:rPr>
        <w:t xml:space="preserve">. Moreover, all blood donors should be voluntary according to internationally laid down guidelines but blood banks in many LMICs find it difficult to convince individuals to donate blood. The end-result is delayed ET for newborns at risk of ABE/kernicterus </w:t>
      </w:r>
      <w:r w:rsidRPr="003F1C6C">
        <w:rPr>
          <w:rFonts w:ascii="Book Antiqua" w:hAnsi="Book Antiqua"/>
          <w:noProof/>
          <w:sz w:val="24"/>
          <w:szCs w:val="24"/>
        </w:rPr>
        <w:t>while the</w:t>
      </w:r>
      <w:r w:rsidRPr="003F1C6C">
        <w:rPr>
          <w:rFonts w:ascii="Book Antiqua" w:hAnsi="Book Antiqua"/>
          <w:sz w:val="24"/>
          <w:szCs w:val="24"/>
        </w:rPr>
        <w:t xml:space="preserve"> perennial problem, of insufficient blood in the blood bank persists. </w:t>
      </w:r>
      <w:r w:rsidRPr="003F1C6C">
        <w:rPr>
          <w:rFonts w:ascii="Book Antiqua" w:hAnsi="Book Antiqua"/>
          <w:noProof/>
          <w:sz w:val="24"/>
          <w:szCs w:val="24"/>
        </w:rPr>
        <w:t>If the blood group that is compatible with the newborn and the mother is not available in the the blood bank, other blood banks will have to be contacted and this may extend to days before the compatible blood unit becomes available.</w:t>
      </w:r>
      <w:r w:rsidRPr="003F1C6C">
        <w:rPr>
          <w:rFonts w:ascii="Book Antiqua" w:hAnsi="Book Antiqua"/>
          <w:sz w:val="24"/>
          <w:szCs w:val="24"/>
        </w:rPr>
        <w:t xml:space="preserve"> The packed cell volume (PCV) of the donor blood is not expected to be less than 40% for male donors and 38%</w:t>
      </w:r>
      <w:r w:rsidRPr="003F1C6C">
        <w:rPr>
          <w:rFonts w:ascii="Book Antiqua" w:hAnsi="Book Antiqua"/>
          <w:noProof/>
          <w:sz w:val="24"/>
          <w:szCs w:val="24"/>
        </w:rPr>
        <w:t xml:space="preserve"> for</w:t>
      </w:r>
      <w:r w:rsidRPr="003F1C6C">
        <w:rPr>
          <w:rFonts w:ascii="Book Antiqua" w:hAnsi="Book Antiqua"/>
          <w:sz w:val="24"/>
          <w:szCs w:val="24"/>
        </w:rPr>
        <w:t xml:space="preserve"> female donors. However, the lack of adequate blood supply to the blood banks often accounts for the reluctance of blood banks in rejecting donors with low packed red blood cell volume. Doing ET with low PCV donor blood is sub-optimum, leading invariably to additional transfusion with packed red cells. </w:t>
      </w:r>
    </w:p>
    <w:p w:rsidR="0092149B" w:rsidRPr="003F1C6C" w:rsidRDefault="0092149B" w:rsidP="003A50A3">
      <w:pPr>
        <w:spacing w:line="360" w:lineRule="auto"/>
        <w:rPr>
          <w:rFonts w:ascii="Book Antiqua" w:hAnsi="Book Antiqua"/>
          <w:sz w:val="24"/>
          <w:szCs w:val="24"/>
          <w:lang w:eastAsia="zh-CN"/>
        </w:rPr>
      </w:pPr>
    </w:p>
    <w:p w:rsidR="0092149B" w:rsidRPr="003F1C6C" w:rsidRDefault="0092149B" w:rsidP="003A50A3">
      <w:pPr>
        <w:shd w:val="clear" w:color="auto" w:fill="FFFFFF"/>
        <w:spacing w:line="360" w:lineRule="auto"/>
        <w:rPr>
          <w:rFonts w:ascii="Book Antiqua" w:hAnsi="Book Antiqua"/>
          <w:b/>
          <w:i/>
          <w:sz w:val="24"/>
          <w:szCs w:val="24"/>
          <w:lang w:eastAsia="en-GB"/>
        </w:rPr>
      </w:pPr>
      <w:r w:rsidRPr="003F1C6C">
        <w:rPr>
          <w:rFonts w:ascii="Book Antiqua" w:hAnsi="Book Antiqua"/>
          <w:b/>
          <w:i/>
          <w:sz w:val="24"/>
          <w:szCs w:val="24"/>
          <w:lang w:eastAsia="en-GB"/>
        </w:rPr>
        <w:t xml:space="preserve">TSB monitoring and re-confirming need for ET </w:t>
      </w:r>
    </w:p>
    <w:p w:rsidR="0092149B" w:rsidRPr="003F1C6C" w:rsidRDefault="0092149B" w:rsidP="003A50A3">
      <w:pPr>
        <w:shd w:val="clear" w:color="auto" w:fill="FFFFFF"/>
        <w:spacing w:line="360" w:lineRule="auto"/>
        <w:rPr>
          <w:rFonts w:ascii="Book Antiqua" w:hAnsi="Book Antiqua" w:cs="Lucida Sans Unicode"/>
          <w:sz w:val="24"/>
          <w:szCs w:val="24"/>
          <w:lang w:val="en-US"/>
        </w:rPr>
      </w:pPr>
      <w:r w:rsidRPr="003F1C6C">
        <w:rPr>
          <w:rFonts w:ascii="Book Antiqua" w:hAnsi="Book Antiqua"/>
          <w:sz w:val="24"/>
          <w:szCs w:val="24"/>
          <w:lang w:eastAsia="en-GB"/>
        </w:rPr>
        <w:t xml:space="preserve">Availability of real-time TSB measurement is imperative but seldom achieved because of the lack of a functional side laboratory with bilirubinometer in many NICUs. As a result, TSB monitoring still has to rely on sending blood samples to the main designated hospital laboratory for analysis. </w:t>
      </w:r>
      <w:r w:rsidRPr="003F1C6C">
        <w:rPr>
          <w:rFonts w:ascii="Book Antiqua" w:hAnsi="Book Antiqua"/>
          <w:snapToGrid w:val="0"/>
          <w:sz w:val="24"/>
          <w:szCs w:val="24"/>
        </w:rPr>
        <w:t xml:space="preserve">Even when intensive phototherapy </w:t>
      </w:r>
      <w:r w:rsidRPr="003F1C6C">
        <w:rPr>
          <w:rFonts w:ascii="Book Antiqua" w:hAnsi="Book Antiqua"/>
          <w:noProof/>
          <w:snapToGrid w:val="0"/>
          <w:sz w:val="24"/>
          <w:szCs w:val="24"/>
        </w:rPr>
        <w:t>is provided</w:t>
      </w:r>
      <w:r w:rsidRPr="003F1C6C">
        <w:rPr>
          <w:rFonts w:ascii="Book Antiqua" w:hAnsi="Book Antiqua"/>
          <w:snapToGrid w:val="0"/>
          <w:sz w:val="24"/>
          <w:szCs w:val="24"/>
        </w:rPr>
        <w:t xml:space="preserve">, the need for ET may be contingent on several factors including accurate knowledge of the risk status of the infant and presence of hemolytic disease. Where ET </w:t>
      </w:r>
      <w:r w:rsidRPr="003F1C6C">
        <w:rPr>
          <w:rFonts w:ascii="Book Antiqua" w:hAnsi="Book Antiqua"/>
          <w:noProof/>
          <w:snapToGrid w:val="0"/>
          <w:sz w:val="24"/>
          <w:szCs w:val="24"/>
        </w:rPr>
        <w:t>is successfully avoided</w:t>
      </w:r>
      <w:r w:rsidRPr="003F1C6C">
        <w:rPr>
          <w:rFonts w:ascii="Book Antiqua" w:hAnsi="Book Antiqua"/>
          <w:snapToGrid w:val="0"/>
          <w:sz w:val="24"/>
          <w:szCs w:val="24"/>
        </w:rPr>
        <w:t xml:space="preserve"> as a result of the provision of effective phototherapy this often results in u</w:t>
      </w:r>
      <w:r w:rsidRPr="003F1C6C">
        <w:rPr>
          <w:rFonts w:ascii="Book Antiqua" w:hAnsi="Book Antiqua"/>
          <w:sz w:val="24"/>
          <w:szCs w:val="24"/>
        </w:rPr>
        <w:t xml:space="preserve">nutilised blood from the blood bank. While this pattern is desirable and unavoidable, it has the impact of depleting the blood bank and causing unnecessary delay in meeting future requirements for ET. It is important to be alert to the likelihood of a TSB rebound after an otherwise successful intensive phototherapy especially in infants with hemolytic jaundice. Lack of close monitoring of the affected infants may result in withholding ET initially only to </w:t>
      </w:r>
      <w:r w:rsidRPr="003F1C6C">
        <w:rPr>
          <w:rFonts w:ascii="Book Antiqua" w:hAnsi="Book Antiqua"/>
          <w:noProof/>
          <w:sz w:val="24"/>
          <w:szCs w:val="24"/>
        </w:rPr>
        <w:t>be required</w:t>
      </w:r>
      <w:r w:rsidRPr="003F1C6C">
        <w:rPr>
          <w:rFonts w:ascii="Book Antiqua" w:hAnsi="Book Antiqua"/>
          <w:sz w:val="24"/>
          <w:szCs w:val="24"/>
        </w:rPr>
        <w:t xml:space="preserve"> later.</w:t>
      </w:r>
      <w:r w:rsidRPr="003F1C6C">
        <w:rPr>
          <w:rFonts w:ascii="Book Antiqua" w:hAnsi="Book Antiqua"/>
          <w:sz w:val="24"/>
          <w:szCs w:val="24"/>
          <w:lang w:eastAsia="en-GB"/>
        </w:rPr>
        <w:t xml:space="preserve"> </w:t>
      </w:r>
      <w:r w:rsidRPr="003F1C6C">
        <w:rPr>
          <w:rFonts w:ascii="Book Antiqua" w:hAnsi="Book Antiqua" w:cs="Lucida Sans Unicode"/>
          <w:sz w:val="24"/>
          <w:szCs w:val="24"/>
        </w:rPr>
        <w:t xml:space="preserve">Failure to recognize the possibility of a declining TSB level following intensive phototherapy coincident with </w:t>
      </w:r>
      <w:r w:rsidRPr="003F1C6C">
        <w:rPr>
          <w:rFonts w:ascii="Book Antiqua" w:hAnsi="Book Antiqua" w:cs="Lucida Sans Unicode"/>
          <w:sz w:val="24"/>
          <w:szCs w:val="24"/>
          <w:lang w:val="en-US"/>
        </w:rPr>
        <w:t>the clinical onset of kernicterus, could also be a source of potential delay</w:t>
      </w:r>
      <w:r w:rsidRPr="003F1C6C">
        <w:rPr>
          <w:rFonts w:ascii="Book Antiqua" w:hAnsi="Book Antiqua" w:cs="Lucida Sans Unicode"/>
          <w:sz w:val="24"/>
          <w:szCs w:val="24"/>
          <w:vertAlign w:val="superscript"/>
          <w:lang w:val="en-US"/>
        </w:rPr>
        <w:t>[43]</w:t>
      </w:r>
      <w:r w:rsidRPr="003F1C6C">
        <w:rPr>
          <w:rFonts w:ascii="Book Antiqua" w:hAnsi="Book Antiqua" w:cs="Lucida Sans Unicode"/>
          <w:sz w:val="24"/>
          <w:szCs w:val="24"/>
          <w:lang w:val="en-US"/>
        </w:rPr>
        <w:t>. It is important to view such a decline as a prognostic sign for neurologic dysfunction rather than a sign of clinical improvement, before or after phototherapy.</w:t>
      </w:r>
    </w:p>
    <w:p w:rsidR="0092149B" w:rsidRPr="003F1C6C" w:rsidRDefault="0092149B" w:rsidP="007070FA">
      <w:pPr>
        <w:shd w:val="clear" w:color="auto" w:fill="FFFFFF"/>
        <w:spacing w:line="360" w:lineRule="auto"/>
        <w:ind w:firstLineChars="100" w:firstLine="31680"/>
        <w:rPr>
          <w:rFonts w:ascii="Book Antiqua" w:hAnsi="Book Antiqua"/>
          <w:sz w:val="24"/>
          <w:szCs w:val="24"/>
          <w:lang w:eastAsia="en-GB"/>
        </w:rPr>
      </w:pPr>
      <w:r w:rsidRPr="003F1C6C">
        <w:rPr>
          <w:rFonts w:ascii="Book Antiqua" w:hAnsi="Book Antiqua"/>
          <w:sz w:val="24"/>
          <w:szCs w:val="24"/>
          <w:lang w:eastAsia="en-GB"/>
        </w:rPr>
        <w:t xml:space="preserve">The ET procedure itself seeks to </w:t>
      </w:r>
      <w:r w:rsidRPr="003F1C6C">
        <w:rPr>
          <w:rFonts w:ascii="Book Antiqua" w:hAnsi="Book Antiqua" w:cs="Berkeley-Book"/>
          <w:sz w:val="24"/>
          <w:szCs w:val="24"/>
        </w:rPr>
        <w:t xml:space="preserve">remove or reduce circulating antibody coated red blood cells and/or products of hemolysis in various immune or nonimmune hemolytic anemias and other red cell enzyme deficiencies. This is accomplished by </w:t>
      </w:r>
      <w:r w:rsidRPr="003F1C6C">
        <w:rPr>
          <w:rFonts w:ascii="Book Antiqua" w:hAnsi="Book Antiqua"/>
          <w:sz w:val="24"/>
          <w:szCs w:val="24"/>
          <w:lang w:eastAsia="en-GB"/>
        </w:rPr>
        <w:t xml:space="preserve">repeatedly exchanging small samples (5-10 mL/kg) of blood from an arterial catheter and replacing simultaneously with </w:t>
      </w:r>
      <w:r w:rsidRPr="003F1C6C">
        <w:rPr>
          <w:rFonts w:ascii="Book Antiqua" w:hAnsi="Book Antiqua" w:cs="Berkeley-Book"/>
          <w:sz w:val="24"/>
          <w:szCs w:val="24"/>
        </w:rPr>
        <w:t>fresh donor blood providing fresh albumin with binding sites for bilirubin</w:t>
      </w:r>
      <w:r w:rsidRPr="003F1C6C">
        <w:rPr>
          <w:rFonts w:ascii="Book Antiqua" w:hAnsi="Book Antiqua"/>
          <w:sz w:val="24"/>
          <w:szCs w:val="24"/>
          <w:lang w:eastAsia="en-GB"/>
        </w:rPr>
        <w:t xml:space="preserve"> by continuous infusion into a peripheral or central vein. Typically, the procedure can last between 2 to 4 h depending on the choice between single or double volume ET. </w:t>
      </w:r>
    </w:p>
    <w:p w:rsidR="0092149B" w:rsidRPr="003F1C6C" w:rsidRDefault="0092149B" w:rsidP="007070FA">
      <w:pPr>
        <w:shd w:val="clear" w:color="auto" w:fill="FFFFFF"/>
        <w:spacing w:line="360" w:lineRule="auto"/>
        <w:ind w:firstLineChars="100" w:firstLine="31680"/>
        <w:rPr>
          <w:rFonts w:ascii="Book Antiqua" w:hAnsi="Book Antiqua"/>
          <w:sz w:val="24"/>
          <w:szCs w:val="24"/>
          <w:lang w:eastAsia="zh-CN"/>
        </w:rPr>
      </w:pPr>
      <w:r w:rsidRPr="003F1C6C">
        <w:rPr>
          <w:rFonts w:ascii="Book Antiqua" w:hAnsi="Book Antiqua"/>
          <w:sz w:val="24"/>
          <w:szCs w:val="24"/>
          <w:lang w:eastAsia="en-GB"/>
        </w:rPr>
        <w:t>Limited skill by clinicians can results is some further delays. For example, inability cannulate the umbilical vein and leakage of blood between the catheter and umbilical vein may unduly prolong the procedure. Difficulties may also be encountered in withdrawing blood in spite of apparently successful introduction of umbilical catheter</w:t>
      </w:r>
      <w:r w:rsidRPr="003F1C6C">
        <w:rPr>
          <w:rFonts w:ascii="Book Antiqua" w:hAnsi="Book Antiqua"/>
          <w:sz w:val="24"/>
          <w:szCs w:val="24"/>
          <w:vertAlign w:val="superscript"/>
          <w:lang w:eastAsia="en-GB"/>
        </w:rPr>
        <w:t>[44]</w:t>
      </w:r>
      <w:r w:rsidRPr="003F1C6C">
        <w:rPr>
          <w:rFonts w:ascii="Book Antiqua" w:hAnsi="Book Antiqua"/>
          <w:sz w:val="24"/>
          <w:szCs w:val="24"/>
          <w:lang w:eastAsia="en-GB"/>
        </w:rPr>
        <w:t>.</w:t>
      </w:r>
    </w:p>
    <w:p w:rsidR="0092149B" w:rsidRPr="003F1C6C" w:rsidRDefault="0092149B" w:rsidP="003A50A3">
      <w:pPr>
        <w:shd w:val="clear" w:color="auto" w:fill="FFFFFF"/>
        <w:spacing w:line="360" w:lineRule="auto"/>
        <w:ind w:firstLine="720"/>
        <w:rPr>
          <w:rFonts w:ascii="Book Antiqua" w:hAnsi="Book Antiqua"/>
          <w:sz w:val="24"/>
          <w:szCs w:val="24"/>
          <w:lang w:eastAsia="zh-CN"/>
        </w:rPr>
      </w:pPr>
    </w:p>
    <w:p w:rsidR="0092149B" w:rsidRPr="003F1C6C" w:rsidRDefault="0092149B" w:rsidP="003A50A3">
      <w:pPr>
        <w:spacing w:line="360" w:lineRule="auto"/>
        <w:rPr>
          <w:rFonts w:ascii="Book Antiqua" w:hAnsi="Book Antiqua"/>
          <w:b/>
          <w:sz w:val="24"/>
          <w:szCs w:val="24"/>
        </w:rPr>
      </w:pPr>
      <w:r w:rsidRPr="003F1C6C">
        <w:rPr>
          <w:rFonts w:ascii="Book Antiqua" w:hAnsi="Book Antiqua"/>
          <w:b/>
          <w:sz w:val="24"/>
          <w:szCs w:val="24"/>
        </w:rPr>
        <w:t>OTHER CONSIDERATIONS AND WAY FORWARD</w:t>
      </w:r>
    </w:p>
    <w:p w:rsidR="0092149B" w:rsidRPr="003F1C6C" w:rsidRDefault="0092149B" w:rsidP="003A50A3">
      <w:pPr>
        <w:shd w:val="clear" w:color="auto" w:fill="FFFFFF"/>
        <w:spacing w:line="360" w:lineRule="auto"/>
        <w:rPr>
          <w:rFonts w:ascii="Book Antiqua" w:hAnsi="Book Antiqua"/>
          <w:sz w:val="24"/>
          <w:szCs w:val="24"/>
          <w:lang w:eastAsia="en-GB"/>
        </w:rPr>
      </w:pPr>
      <w:r w:rsidRPr="003F1C6C">
        <w:rPr>
          <w:rFonts w:ascii="Book Antiqua" w:hAnsi="Book Antiqua"/>
          <w:sz w:val="24"/>
          <w:szCs w:val="24"/>
          <w:lang w:eastAsia="en-GB"/>
        </w:rPr>
        <w:t>Post-ET monitoring is necessary because of the likelihood of repeat ET after a rebound of high TSB level due to unrecognized haemolytic disease, with potential secondary delays</w:t>
      </w:r>
      <w:r w:rsidRPr="003F1C6C">
        <w:rPr>
          <w:rFonts w:ascii="Book Antiqua" w:hAnsi="Book Antiqua"/>
          <w:sz w:val="24"/>
          <w:szCs w:val="24"/>
          <w:vertAlign w:val="superscript"/>
          <w:lang w:eastAsia="en-GB"/>
        </w:rPr>
        <w:t>[28,45]</w:t>
      </w:r>
      <w:r w:rsidRPr="003F1C6C">
        <w:rPr>
          <w:rFonts w:ascii="Book Antiqua" w:hAnsi="Book Antiqua"/>
          <w:sz w:val="24"/>
          <w:szCs w:val="24"/>
          <w:lang w:eastAsia="en-GB"/>
        </w:rPr>
        <w:t xml:space="preserve">. Not all attending clinicians in emergency situations are skilful in providing ET even where facilities are available and this may also result in some delays in getting the right person when all preparations have </w:t>
      </w:r>
      <w:r w:rsidRPr="003F1C6C">
        <w:rPr>
          <w:rFonts w:ascii="Book Antiqua" w:hAnsi="Book Antiqua"/>
          <w:noProof/>
          <w:sz w:val="24"/>
          <w:szCs w:val="24"/>
          <w:lang w:eastAsia="en-GB"/>
        </w:rPr>
        <w:t>been made</w:t>
      </w:r>
      <w:r w:rsidRPr="003F1C6C">
        <w:rPr>
          <w:rFonts w:ascii="Book Antiqua" w:hAnsi="Book Antiqua"/>
          <w:sz w:val="24"/>
          <w:szCs w:val="24"/>
          <w:lang w:eastAsia="en-GB"/>
        </w:rPr>
        <w:t>. In settings where ET is infrequent, lack of expertise may be a source of delay, especially where referral to another hospital becomes imperative</w:t>
      </w:r>
      <w:r w:rsidRPr="003F1C6C">
        <w:rPr>
          <w:rFonts w:ascii="Book Antiqua" w:hAnsi="Book Antiqua"/>
          <w:sz w:val="24"/>
          <w:szCs w:val="24"/>
          <w:vertAlign w:val="superscript"/>
          <w:lang w:eastAsia="en-GB"/>
        </w:rPr>
        <w:t>[14]</w:t>
      </w:r>
      <w:r w:rsidRPr="003F1C6C">
        <w:rPr>
          <w:rFonts w:ascii="Book Antiqua" w:hAnsi="Book Antiqua"/>
          <w:sz w:val="24"/>
          <w:szCs w:val="24"/>
          <w:lang w:eastAsia="en-GB"/>
        </w:rPr>
        <w:t xml:space="preserve">. Lack of a clearly defined protocol and adherence to same is likely to cause delay as a result of communication gaps among team members. Where ET protocol requires the express approval of a consultant before execution by attending junior physicians, this may also result in some delay. When more than one infant require urgent ET and resources </w:t>
      </w:r>
      <w:r w:rsidRPr="003F1C6C">
        <w:rPr>
          <w:rFonts w:ascii="Book Antiqua" w:hAnsi="Book Antiqua"/>
          <w:noProof/>
          <w:sz w:val="24"/>
          <w:szCs w:val="24"/>
          <w:lang w:eastAsia="en-GB"/>
        </w:rPr>
        <w:t>be limited</w:t>
      </w:r>
      <w:r w:rsidRPr="003F1C6C">
        <w:rPr>
          <w:rFonts w:ascii="Book Antiqua" w:hAnsi="Book Antiqua"/>
          <w:sz w:val="24"/>
          <w:szCs w:val="24"/>
          <w:lang w:eastAsia="en-GB"/>
        </w:rPr>
        <w:t>, identifying and prioritising the infant(s) most at-risk of kernicterus may also inevitably result in delay for some infants. Additionally, inadequate support staff may be a source of delay in providing seamless communication with the laboratory as well as a skilled assistant for the procedure. In some settings, patients may be required to bear the costs of the laboratory investigations requested by the attending physicians, especially in private hospitals</w:t>
      </w:r>
      <w:r w:rsidRPr="003F1C6C">
        <w:rPr>
          <w:rFonts w:ascii="Book Antiqua" w:hAnsi="Book Antiqua"/>
          <w:sz w:val="24"/>
          <w:szCs w:val="24"/>
          <w:vertAlign w:val="superscript"/>
          <w:lang w:eastAsia="en-GB"/>
        </w:rPr>
        <w:t>[46,47]</w:t>
      </w:r>
      <w:r w:rsidRPr="003F1C6C">
        <w:rPr>
          <w:rFonts w:ascii="Book Antiqua" w:hAnsi="Book Antiqua"/>
          <w:sz w:val="24"/>
          <w:szCs w:val="24"/>
          <w:lang w:eastAsia="en-GB"/>
        </w:rPr>
        <w:t>. The inability to meet such expenses is also a potential source of delay in providing timely ET</w:t>
      </w:r>
      <w:r w:rsidRPr="003F1C6C">
        <w:rPr>
          <w:rFonts w:ascii="Book Antiqua" w:hAnsi="Book Antiqua"/>
          <w:sz w:val="24"/>
          <w:szCs w:val="24"/>
          <w:vertAlign w:val="superscript"/>
          <w:lang w:eastAsia="en-GB"/>
        </w:rPr>
        <w:t>[48]</w:t>
      </w:r>
      <w:r w:rsidRPr="003F1C6C">
        <w:rPr>
          <w:rFonts w:ascii="Book Antiqua" w:hAnsi="Book Antiqua"/>
          <w:sz w:val="24"/>
          <w:szCs w:val="24"/>
          <w:lang w:eastAsia="en-GB"/>
        </w:rPr>
        <w:t xml:space="preserve">. </w:t>
      </w:r>
    </w:p>
    <w:p w:rsidR="0092149B" w:rsidRPr="003F1C6C" w:rsidRDefault="0092149B" w:rsidP="007070FA">
      <w:pPr>
        <w:shd w:val="clear" w:color="auto" w:fill="FFFFFF"/>
        <w:spacing w:line="360" w:lineRule="auto"/>
        <w:ind w:firstLineChars="100" w:firstLine="31680"/>
        <w:rPr>
          <w:rFonts w:ascii="Book Antiqua" w:hAnsi="Book Antiqua"/>
          <w:sz w:val="24"/>
          <w:szCs w:val="24"/>
        </w:rPr>
      </w:pPr>
      <w:r w:rsidRPr="003F1C6C">
        <w:rPr>
          <w:rFonts w:ascii="Book Antiqua" w:hAnsi="Book Antiqua"/>
          <w:sz w:val="24"/>
          <w:szCs w:val="24"/>
        </w:rPr>
        <w:t xml:space="preserve">The nature and scope of these delays are likely to vary within and across LMICs. </w:t>
      </w:r>
      <w:r w:rsidRPr="003F1C6C">
        <w:rPr>
          <w:rFonts w:ascii="Book Antiqua" w:hAnsi="Book Antiqua"/>
          <w:noProof/>
          <w:sz w:val="24"/>
          <w:szCs w:val="24"/>
        </w:rPr>
        <w:t>Perhaps, the overarching implication of these challenges is the impetus to avoid ET as much as possible by facilitating early presentation and timely provision of effective/intensive phototherapy, investment in functional, readily accessible and appropriately staffed laboratory in all hospitals that offer emergency care for newborns.</w:t>
      </w:r>
      <w:r w:rsidRPr="003F1C6C">
        <w:rPr>
          <w:rFonts w:ascii="Book Antiqua" w:hAnsi="Book Antiqua"/>
          <w:sz w:val="24"/>
          <w:szCs w:val="24"/>
        </w:rPr>
        <w:t xml:space="preserve"> Side laboratory with facilities for real-time bilirubin measurements should be made available in all neonatal units. Education of mothers and care-givers on the value of timely presentation and intervention in preventing bilirubin-induced mortality and long-term neuro-developmental disorders should </w:t>
      </w:r>
      <w:r w:rsidRPr="003F1C6C">
        <w:rPr>
          <w:rFonts w:ascii="Book Antiqua" w:hAnsi="Book Antiqua"/>
          <w:noProof/>
          <w:sz w:val="24"/>
          <w:szCs w:val="24"/>
        </w:rPr>
        <w:t>be routinely offered</w:t>
      </w:r>
      <w:r w:rsidRPr="003F1C6C">
        <w:rPr>
          <w:rFonts w:ascii="Book Antiqua" w:hAnsi="Book Antiqua"/>
          <w:sz w:val="24"/>
          <w:szCs w:val="24"/>
        </w:rPr>
        <w:t xml:space="preserve"> during antenatal visits. There is also a need for better communication and understanding between clinicians and the laboratory personnel, especially on the challenge of minimizing wastage of blood due to over-ordering</w:t>
      </w:r>
      <w:r w:rsidRPr="003F1C6C">
        <w:rPr>
          <w:rFonts w:ascii="Book Antiqua" w:hAnsi="Book Antiqua"/>
          <w:sz w:val="24"/>
          <w:szCs w:val="24"/>
          <w:vertAlign w:val="superscript"/>
        </w:rPr>
        <w:t>[41]</w:t>
      </w:r>
      <w:r w:rsidRPr="003F1C6C">
        <w:rPr>
          <w:rFonts w:ascii="Book Antiqua" w:hAnsi="Book Antiqua"/>
          <w:sz w:val="24"/>
          <w:szCs w:val="24"/>
        </w:rPr>
        <w:t>.</w:t>
      </w:r>
    </w:p>
    <w:p w:rsidR="0092149B" w:rsidRPr="003F1C6C" w:rsidRDefault="0092149B" w:rsidP="007070FA">
      <w:pPr>
        <w:shd w:val="clear" w:color="auto" w:fill="FFFFFF"/>
        <w:spacing w:line="360" w:lineRule="auto"/>
        <w:ind w:firstLineChars="100" w:firstLine="31680"/>
        <w:rPr>
          <w:rFonts w:ascii="Book Antiqua" w:hAnsi="Book Antiqua"/>
          <w:sz w:val="24"/>
          <w:szCs w:val="24"/>
          <w:lang w:eastAsia="zh-CN"/>
        </w:rPr>
      </w:pPr>
      <w:r w:rsidRPr="003F1C6C">
        <w:rPr>
          <w:rFonts w:ascii="Book Antiqua" w:hAnsi="Book Antiqua"/>
          <w:sz w:val="24"/>
          <w:szCs w:val="24"/>
        </w:rPr>
        <w:t>While the focus of this review is primarily to serve the needs of clinicians in LMICs, the emerging and rising profile of global child health makes the topic relevant also to clinicians in the developed world.</w:t>
      </w:r>
    </w:p>
    <w:p w:rsidR="0092149B" w:rsidRPr="003F1C6C" w:rsidRDefault="0092149B" w:rsidP="003A50A3">
      <w:pPr>
        <w:shd w:val="clear" w:color="auto" w:fill="FFFFFF"/>
        <w:spacing w:line="360" w:lineRule="auto"/>
        <w:ind w:firstLine="720"/>
        <w:rPr>
          <w:rFonts w:ascii="Book Antiqua" w:hAnsi="Book Antiqua"/>
          <w:sz w:val="24"/>
          <w:szCs w:val="24"/>
          <w:lang w:eastAsia="zh-CN"/>
        </w:rPr>
      </w:pPr>
    </w:p>
    <w:p w:rsidR="0092149B" w:rsidRPr="003F1C6C" w:rsidRDefault="0092149B" w:rsidP="003A50A3">
      <w:pPr>
        <w:spacing w:line="360" w:lineRule="auto"/>
        <w:rPr>
          <w:rFonts w:ascii="Book Antiqua" w:hAnsi="Book Antiqua"/>
          <w:b/>
          <w:sz w:val="24"/>
          <w:szCs w:val="24"/>
        </w:rPr>
      </w:pPr>
      <w:r w:rsidRPr="003F1C6C">
        <w:rPr>
          <w:rFonts w:ascii="Book Antiqua" w:hAnsi="Book Antiqua"/>
          <w:b/>
          <w:sz w:val="24"/>
          <w:szCs w:val="24"/>
        </w:rPr>
        <w:t>CONCLUSION</w:t>
      </w:r>
    </w:p>
    <w:p w:rsidR="0092149B" w:rsidRPr="003F1C6C" w:rsidRDefault="0092149B" w:rsidP="003A50A3">
      <w:pPr>
        <w:spacing w:line="360" w:lineRule="auto"/>
        <w:rPr>
          <w:rFonts w:ascii="Book Antiqua" w:hAnsi="Book Antiqua"/>
          <w:noProof/>
          <w:sz w:val="24"/>
          <w:szCs w:val="24"/>
          <w:lang w:val="en-US"/>
        </w:rPr>
      </w:pPr>
      <w:r w:rsidRPr="003F1C6C">
        <w:rPr>
          <w:rFonts w:ascii="Book Antiqua" w:hAnsi="Book Antiqua"/>
          <w:sz w:val="24"/>
          <w:szCs w:val="24"/>
          <w:lang w:val="en-US"/>
        </w:rPr>
        <w:t xml:space="preserve">ET </w:t>
      </w:r>
      <w:r w:rsidRPr="003F1C6C">
        <w:rPr>
          <w:rFonts w:ascii="Book Antiqua" w:hAnsi="Book Antiqua"/>
          <w:noProof/>
          <w:sz w:val="24"/>
          <w:szCs w:val="24"/>
          <w:lang w:val="en-US"/>
        </w:rPr>
        <w:t>is widely embraced</w:t>
      </w:r>
      <w:r w:rsidRPr="003F1C6C">
        <w:rPr>
          <w:rFonts w:ascii="Book Antiqua" w:hAnsi="Book Antiqua"/>
          <w:sz w:val="24"/>
          <w:szCs w:val="24"/>
          <w:lang w:val="en-US"/>
        </w:rPr>
        <w:t xml:space="preserve"> as an effective treatment for infants with or at risk of bilirubin induced neurologic dysfunctions (ABE and kernicterus) in LMICs. However, several potential delays are associated with the various critical steps prior to the initiation of ET when the need for this emergency procedure has </w:t>
      </w:r>
      <w:r w:rsidRPr="003F1C6C">
        <w:rPr>
          <w:rFonts w:ascii="Book Antiqua" w:hAnsi="Book Antiqua"/>
          <w:noProof/>
          <w:sz w:val="24"/>
          <w:szCs w:val="24"/>
          <w:lang w:val="en-US"/>
        </w:rPr>
        <w:t>been established</w:t>
      </w:r>
      <w:r w:rsidRPr="003F1C6C">
        <w:rPr>
          <w:rFonts w:ascii="Book Antiqua" w:hAnsi="Book Antiqua"/>
          <w:sz w:val="24"/>
          <w:szCs w:val="24"/>
          <w:lang w:val="en-US"/>
        </w:rPr>
        <w:t xml:space="preserve">. </w:t>
      </w:r>
      <w:r w:rsidRPr="003F1C6C">
        <w:rPr>
          <w:rFonts w:ascii="Book Antiqua" w:hAnsi="Book Antiqua"/>
          <w:noProof/>
          <w:sz w:val="24"/>
          <w:szCs w:val="24"/>
          <w:lang w:val="en-US"/>
        </w:rPr>
        <w:t>Efforts to minimize these delays including the provision efficient laboratory and logistical support are imperative in ensuring timely and efficiacious ET. Timely, effective and intensive phototherapy should be routinely provided also to curtail the prevailing high rates of avoidable ET in LMICs.</w:t>
      </w:r>
    </w:p>
    <w:p w:rsidR="0092149B" w:rsidRPr="003F1C6C" w:rsidRDefault="0092149B" w:rsidP="003A50A3">
      <w:pPr>
        <w:spacing w:line="360" w:lineRule="auto"/>
        <w:rPr>
          <w:rFonts w:ascii="Book Antiqua" w:hAnsi="Book Antiqua"/>
          <w:noProof/>
          <w:sz w:val="24"/>
          <w:szCs w:val="24"/>
          <w:lang w:val="en-US"/>
        </w:rPr>
      </w:pPr>
    </w:p>
    <w:p w:rsidR="0092149B" w:rsidRPr="003F1C6C" w:rsidRDefault="0092149B" w:rsidP="003A50A3">
      <w:pPr>
        <w:spacing w:line="360" w:lineRule="auto"/>
        <w:rPr>
          <w:rFonts w:ascii="Book Antiqua" w:hAnsi="Book Antiqua"/>
          <w:noProof/>
          <w:sz w:val="24"/>
          <w:szCs w:val="24"/>
          <w:lang w:val="en-US"/>
        </w:rPr>
      </w:pPr>
    </w:p>
    <w:p w:rsidR="0092149B" w:rsidRPr="003F1C6C" w:rsidRDefault="0092149B" w:rsidP="003A50A3">
      <w:pPr>
        <w:spacing w:line="360" w:lineRule="auto"/>
        <w:rPr>
          <w:rFonts w:ascii="Book Antiqua" w:hAnsi="Book Antiqua"/>
          <w:noProof/>
          <w:sz w:val="24"/>
          <w:szCs w:val="24"/>
          <w:lang w:val="en-US"/>
        </w:rPr>
      </w:pPr>
    </w:p>
    <w:p w:rsidR="0092149B" w:rsidRPr="003F1C6C" w:rsidRDefault="0092149B" w:rsidP="003A50A3">
      <w:pPr>
        <w:spacing w:line="360" w:lineRule="auto"/>
        <w:rPr>
          <w:rFonts w:ascii="Book Antiqua" w:hAnsi="Book Antiqua"/>
          <w:noProof/>
          <w:sz w:val="24"/>
          <w:szCs w:val="24"/>
          <w:lang w:val="en-US"/>
        </w:rPr>
      </w:pPr>
    </w:p>
    <w:p w:rsidR="0092149B" w:rsidRPr="003F1C6C" w:rsidRDefault="0092149B" w:rsidP="003A50A3">
      <w:pPr>
        <w:spacing w:line="360" w:lineRule="auto"/>
        <w:rPr>
          <w:rFonts w:ascii="Book Antiqua" w:hAnsi="Book Antiqua"/>
          <w:noProof/>
          <w:sz w:val="24"/>
          <w:szCs w:val="24"/>
          <w:lang w:val="en-US"/>
        </w:rPr>
      </w:pPr>
    </w:p>
    <w:p w:rsidR="0092149B" w:rsidRPr="003F1C6C" w:rsidRDefault="0092149B" w:rsidP="003A50A3">
      <w:pPr>
        <w:spacing w:line="360" w:lineRule="auto"/>
        <w:rPr>
          <w:rFonts w:ascii="Book Antiqua" w:hAnsi="Book Antiqua"/>
          <w:noProof/>
          <w:sz w:val="24"/>
          <w:szCs w:val="24"/>
          <w:lang w:val="en-US" w:eastAsia="zh-CN"/>
        </w:rPr>
      </w:pPr>
    </w:p>
    <w:p w:rsidR="0092149B" w:rsidRPr="003F1C6C" w:rsidRDefault="0092149B" w:rsidP="003A50A3">
      <w:pPr>
        <w:spacing w:line="360" w:lineRule="auto"/>
        <w:rPr>
          <w:rFonts w:ascii="Book Antiqua" w:hAnsi="Book Antiqua"/>
          <w:noProof/>
          <w:sz w:val="24"/>
          <w:szCs w:val="24"/>
          <w:lang w:val="en-US" w:eastAsia="zh-CN"/>
        </w:rPr>
      </w:pPr>
    </w:p>
    <w:p w:rsidR="0092149B" w:rsidRPr="003F1C6C" w:rsidRDefault="0092149B" w:rsidP="003A50A3">
      <w:pPr>
        <w:spacing w:line="360" w:lineRule="auto"/>
        <w:rPr>
          <w:rFonts w:ascii="Book Antiqua" w:hAnsi="Book Antiqua"/>
          <w:noProof/>
          <w:sz w:val="24"/>
          <w:szCs w:val="24"/>
          <w:lang w:val="en-US" w:eastAsia="zh-CN"/>
        </w:rPr>
      </w:pPr>
    </w:p>
    <w:p w:rsidR="0092149B" w:rsidRPr="003F1C6C" w:rsidRDefault="0092149B" w:rsidP="003A50A3">
      <w:pPr>
        <w:spacing w:line="360" w:lineRule="auto"/>
        <w:rPr>
          <w:rFonts w:ascii="Book Antiqua" w:hAnsi="Book Antiqua"/>
          <w:b/>
          <w:sz w:val="24"/>
          <w:szCs w:val="24"/>
          <w:lang w:val="en-US"/>
        </w:rPr>
      </w:pPr>
      <w:r w:rsidRPr="003F1C6C">
        <w:rPr>
          <w:rFonts w:ascii="Book Antiqua" w:hAnsi="Book Antiqua"/>
          <w:b/>
          <w:sz w:val="24"/>
          <w:szCs w:val="24"/>
          <w:lang w:val="en-US"/>
        </w:rPr>
        <w:t>REFERENCES</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1 </w:t>
      </w:r>
      <w:r w:rsidRPr="003F1C6C">
        <w:rPr>
          <w:rFonts w:ascii="Book Antiqua" w:hAnsi="Book Antiqua" w:cs="宋体"/>
          <w:b/>
          <w:bCs/>
          <w:sz w:val="24"/>
        </w:rPr>
        <w:t>Ip S</w:t>
      </w:r>
      <w:r w:rsidRPr="003F1C6C">
        <w:rPr>
          <w:rFonts w:ascii="Book Antiqua" w:hAnsi="Book Antiqua" w:cs="宋体"/>
          <w:sz w:val="24"/>
        </w:rPr>
        <w:t xml:space="preserve">, Chung M, Kulig J, O'Brien R, Sege R, Glicken S, Maisels MJ, Lau J; </w:t>
      </w:r>
      <w:hyperlink r:id="rId7" w:history="1">
        <w:r w:rsidRPr="003F1C6C">
          <w:rPr>
            <w:rFonts w:ascii="Book Antiqua" w:hAnsi="Book Antiqua" w:cs="宋体"/>
            <w:sz w:val="24"/>
          </w:rPr>
          <w:t>American Academy of Pediatrics Subcommittee on Hyperbilirubinemia</w:t>
        </w:r>
      </w:hyperlink>
      <w:r w:rsidRPr="003F1C6C">
        <w:rPr>
          <w:rFonts w:ascii="Book Antiqua" w:hAnsi="Book Antiqua" w:cs="宋体"/>
          <w:sz w:val="24"/>
        </w:rPr>
        <w:t>. An evidence-based review of important issues concerning neonatal hyperbilirubinemia. </w:t>
      </w:r>
      <w:r w:rsidRPr="003F1C6C">
        <w:rPr>
          <w:rFonts w:ascii="Book Antiqua" w:hAnsi="Book Antiqua" w:cs="宋体"/>
          <w:i/>
          <w:iCs/>
          <w:sz w:val="24"/>
        </w:rPr>
        <w:t>Pediatrics</w:t>
      </w:r>
      <w:r w:rsidRPr="003F1C6C">
        <w:rPr>
          <w:rFonts w:ascii="Book Antiqua" w:hAnsi="Book Antiqua" w:cs="宋体"/>
          <w:sz w:val="24"/>
        </w:rPr>
        <w:t> 2004; </w:t>
      </w:r>
      <w:r w:rsidRPr="003F1C6C">
        <w:rPr>
          <w:rFonts w:ascii="Book Antiqua" w:hAnsi="Book Antiqua" w:cs="宋体"/>
          <w:b/>
          <w:bCs/>
          <w:sz w:val="24"/>
        </w:rPr>
        <w:t>114</w:t>
      </w:r>
      <w:r w:rsidRPr="003F1C6C">
        <w:rPr>
          <w:rFonts w:ascii="Book Antiqua" w:hAnsi="Book Antiqua" w:cs="宋体"/>
          <w:sz w:val="24"/>
        </w:rPr>
        <w:t xml:space="preserve">: e130-e153 [PMID: 15231986 DOI: </w:t>
      </w:r>
      <w:hyperlink r:id="rId8" w:tgtFrame="_blank" w:history="1">
        <w:r w:rsidRPr="003F1C6C">
          <w:rPr>
            <w:rStyle w:val="Hyperlink"/>
            <w:rFonts w:ascii="Book Antiqua" w:hAnsi="Book Antiqua"/>
            <w:color w:val="auto"/>
            <w:sz w:val="24"/>
            <w:u w:val="none"/>
            <w:shd w:val="clear" w:color="auto" w:fill="FFFFFF"/>
          </w:rPr>
          <w:t>10.1542/peds.114.1.e130</w:t>
        </w:r>
      </w:hyperlink>
      <w:r w:rsidRPr="003F1C6C">
        <w:rPr>
          <w:rFonts w:ascii="Book Antiqua" w:hAnsi="Book Antiqua" w:cs="宋体"/>
          <w:sz w:val="24"/>
        </w:rPr>
        <w:t>]</w:t>
      </w:r>
    </w:p>
    <w:p w:rsidR="0092149B" w:rsidRPr="003F1C6C" w:rsidRDefault="0092149B" w:rsidP="007070FA">
      <w:pPr>
        <w:spacing w:line="360" w:lineRule="auto"/>
        <w:ind w:rightChars="50" w:right="31680"/>
        <w:rPr>
          <w:rFonts w:ascii="Book Antiqua" w:hAnsi="Book Antiqua"/>
          <w:sz w:val="24"/>
        </w:rPr>
      </w:pPr>
      <w:r w:rsidRPr="003F1C6C">
        <w:rPr>
          <w:rFonts w:ascii="Book Antiqua" w:hAnsi="Book Antiqua" w:cs="宋体"/>
          <w:sz w:val="24"/>
        </w:rPr>
        <w:t xml:space="preserve">2 </w:t>
      </w:r>
      <w:r w:rsidRPr="003F1C6C">
        <w:rPr>
          <w:rFonts w:ascii="Book Antiqua" w:hAnsi="Book Antiqua" w:cs="宋体"/>
          <w:b/>
          <w:sz w:val="24"/>
        </w:rPr>
        <w:t>National Institute for Health and Clinical Excellence (NICE), UK</w:t>
      </w:r>
      <w:r w:rsidRPr="003F1C6C">
        <w:rPr>
          <w:rFonts w:ascii="Book Antiqua" w:hAnsi="Book Antiqua" w:cs="宋体"/>
          <w:sz w:val="24"/>
        </w:rPr>
        <w:t>. Neonatal jaundice. (Clinical guideline 98) 2010. [</w:t>
      </w:r>
      <w:r>
        <w:rPr>
          <w:rFonts w:ascii="Book Antiqua" w:hAnsi="Book Antiqua" w:cs="宋体"/>
          <w:sz w:val="24"/>
        </w:rPr>
        <w:t>accessed</w:t>
      </w:r>
      <w:r w:rsidRPr="003F1C6C">
        <w:rPr>
          <w:rFonts w:ascii="Book Antiqua" w:hAnsi="Book Antiqua" w:cs="宋体"/>
          <w:sz w:val="24"/>
        </w:rPr>
        <w:t xml:space="preserve"> 2015</w:t>
      </w:r>
      <w:r w:rsidRPr="00666ED8">
        <w:rPr>
          <w:rFonts w:ascii="Book Antiqua" w:hAnsi="Book Antiqua" w:cs="宋体"/>
          <w:sz w:val="24"/>
        </w:rPr>
        <w:t xml:space="preserve"> </w:t>
      </w:r>
      <w:r>
        <w:rPr>
          <w:rFonts w:ascii="Book Antiqua" w:hAnsi="Book Antiqua" w:cs="宋体"/>
          <w:sz w:val="24"/>
        </w:rPr>
        <w:t>Jul</w:t>
      </w:r>
      <w:r w:rsidRPr="003F1C6C">
        <w:rPr>
          <w:rFonts w:ascii="Book Antiqua" w:hAnsi="Book Antiqua" w:cs="宋体"/>
          <w:sz w:val="24"/>
        </w:rPr>
        <w:t xml:space="preserve"> 14]. Available from: URL:</w:t>
      </w:r>
      <w:r w:rsidRPr="003F1C6C">
        <w:rPr>
          <w:rFonts w:ascii="Book Antiqua" w:hAnsi="Book Antiqua"/>
          <w:sz w:val="24"/>
        </w:rPr>
        <w:t xml:space="preserve"> </w:t>
      </w:r>
      <w:r w:rsidRPr="003F1C6C">
        <w:rPr>
          <w:rFonts w:ascii="Book Antiqua" w:hAnsi="Book Antiqua" w:cs="宋体"/>
          <w:sz w:val="24"/>
        </w:rPr>
        <w:t>www.nice.org.uk/CG98</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3 </w:t>
      </w:r>
      <w:r w:rsidRPr="003F1C6C">
        <w:rPr>
          <w:rFonts w:ascii="Book Antiqua" w:hAnsi="Book Antiqua" w:cs="宋体"/>
          <w:b/>
          <w:bCs/>
          <w:sz w:val="24"/>
        </w:rPr>
        <w:t>Jackson JC</w:t>
      </w:r>
      <w:r w:rsidRPr="003F1C6C">
        <w:rPr>
          <w:rFonts w:ascii="Book Antiqua" w:hAnsi="Book Antiqua" w:cs="宋体"/>
          <w:sz w:val="24"/>
        </w:rPr>
        <w:t>. Adverse events associated with exchange transfusion in healthy and ill newborns. </w:t>
      </w:r>
      <w:r w:rsidRPr="003F1C6C">
        <w:rPr>
          <w:rFonts w:ascii="Book Antiqua" w:hAnsi="Book Antiqua" w:cs="宋体"/>
          <w:i/>
          <w:iCs/>
          <w:sz w:val="24"/>
        </w:rPr>
        <w:t>Pediatrics</w:t>
      </w:r>
      <w:r w:rsidRPr="003F1C6C">
        <w:rPr>
          <w:rFonts w:ascii="Book Antiqua" w:hAnsi="Book Antiqua" w:cs="宋体"/>
          <w:sz w:val="24"/>
        </w:rPr>
        <w:t> 1997; </w:t>
      </w:r>
      <w:r w:rsidRPr="003F1C6C">
        <w:rPr>
          <w:rFonts w:ascii="Book Antiqua" w:hAnsi="Book Antiqua" w:cs="宋体"/>
          <w:b/>
          <w:bCs/>
          <w:sz w:val="24"/>
        </w:rPr>
        <w:t>99</w:t>
      </w:r>
      <w:r w:rsidRPr="003F1C6C">
        <w:rPr>
          <w:rFonts w:ascii="Book Antiqua" w:hAnsi="Book Antiqua" w:cs="宋体"/>
          <w:sz w:val="24"/>
        </w:rPr>
        <w:t>: E7 [PMID: 9113964 DO</w:t>
      </w:r>
      <w:bookmarkStart w:id="6" w:name="_GoBack"/>
      <w:bookmarkEnd w:id="6"/>
      <w:r w:rsidRPr="003F1C6C">
        <w:rPr>
          <w:rFonts w:ascii="Book Antiqua" w:hAnsi="Book Antiqua" w:cs="宋体"/>
          <w:sz w:val="24"/>
        </w:rPr>
        <w:t xml:space="preserve">I: </w:t>
      </w:r>
      <w:hyperlink r:id="rId9" w:tgtFrame="_blank" w:history="1">
        <w:r w:rsidRPr="003F1C6C">
          <w:rPr>
            <w:rStyle w:val="Hyperlink"/>
            <w:rFonts w:ascii="Book Antiqua" w:hAnsi="Book Antiqua"/>
            <w:color w:val="auto"/>
            <w:sz w:val="24"/>
            <w:u w:val="none"/>
            <w:shd w:val="clear" w:color="auto" w:fill="FFFFFF"/>
          </w:rPr>
          <w:t>10.1542/peds.99.5.e7</w:t>
        </w:r>
      </w:hyperlink>
      <w:r w:rsidRPr="003F1C6C">
        <w:rPr>
          <w:rFonts w:ascii="Book Antiqua" w:hAnsi="Book Antiqua" w:cs="宋体"/>
          <w:sz w:val="24"/>
        </w:rPr>
        <w:t>]</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4 </w:t>
      </w:r>
      <w:r w:rsidRPr="003F1C6C">
        <w:rPr>
          <w:rFonts w:ascii="Book Antiqua" w:hAnsi="Book Antiqua" w:cs="宋体"/>
          <w:b/>
          <w:bCs/>
          <w:sz w:val="24"/>
        </w:rPr>
        <w:t>Murki S</w:t>
      </w:r>
      <w:r w:rsidRPr="003F1C6C">
        <w:rPr>
          <w:rFonts w:ascii="Book Antiqua" w:hAnsi="Book Antiqua" w:cs="宋体"/>
          <w:sz w:val="24"/>
        </w:rPr>
        <w:t>, Kumar P. Blood exchange transfusion for infants with severe neonatal hyperbilirubinemia. </w:t>
      </w:r>
      <w:r w:rsidRPr="003F1C6C">
        <w:rPr>
          <w:rFonts w:ascii="Book Antiqua" w:hAnsi="Book Antiqua" w:cs="宋体"/>
          <w:i/>
          <w:iCs/>
          <w:sz w:val="24"/>
        </w:rPr>
        <w:t>Semin Perinatol</w:t>
      </w:r>
      <w:r w:rsidRPr="003F1C6C">
        <w:rPr>
          <w:rFonts w:ascii="Book Antiqua" w:hAnsi="Book Antiqua" w:cs="宋体"/>
          <w:sz w:val="24"/>
        </w:rPr>
        <w:t> 2011; </w:t>
      </w:r>
      <w:r w:rsidRPr="003F1C6C">
        <w:rPr>
          <w:rFonts w:ascii="Book Antiqua" w:hAnsi="Book Antiqua" w:cs="宋体"/>
          <w:b/>
          <w:bCs/>
          <w:sz w:val="24"/>
        </w:rPr>
        <w:t>35</w:t>
      </w:r>
      <w:r w:rsidRPr="003F1C6C">
        <w:rPr>
          <w:rFonts w:ascii="Book Antiqua" w:hAnsi="Book Antiqua" w:cs="宋体"/>
          <w:sz w:val="24"/>
        </w:rPr>
        <w:t>: 175-184 [PMID: 21641492 DOI: 10.1053/j.semperi.2011.02.013]</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5 </w:t>
      </w:r>
      <w:r w:rsidRPr="003F1C6C">
        <w:rPr>
          <w:rFonts w:ascii="Book Antiqua" w:hAnsi="Book Antiqua" w:cs="宋体"/>
          <w:b/>
          <w:bCs/>
          <w:sz w:val="24"/>
        </w:rPr>
        <w:t>Sanpavat S</w:t>
      </w:r>
      <w:r w:rsidRPr="003F1C6C">
        <w:rPr>
          <w:rFonts w:ascii="Book Antiqua" w:hAnsi="Book Antiqua" w:cs="宋体"/>
          <w:sz w:val="24"/>
        </w:rPr>
        <w:t>. Exchange transfusion and its morbidity in ten-year period at King Chulalongkorn Hospital. </w:t>
      </w:r>
      <w:r w:rsidRPr="003F1C6C">
        <w:rPr>
          <w:rFonts w:ascii="Book Antiqua" w:hAnsi="Book Antiqua" w:cs="宋体"/>
          <w:i/>
          <w:iCs/>
          <w:sz w:val="24"/>
        </w:rPr>
        <w:t>J Med Assoc Thai</w:t>
      </w:r>
      <w:r w:rsidRPr="003F1C6C">
        <w:rPr>
          <w:rFonts w:ascii="Book Antiqua" w:hAnsi="Book Antiqua" w:cs="宋体"/>
          <w:sz w:val="24"/>
        </w:rPr>
        <w:t> 2005; </w:t>
      </w:r>
      <w:r w:rsidRPr="003F1C6C">
        <w:rPr>
          <w:rFonts w:ascii="Book Antiqua" w:hAnsi="Book Antiqua" w:cs="宋体"/>
          <w:b/>
          <w:bCs/>
          <w:sz w:val="24"/>
        </w:rPr>
        <w:t>88</w:t>
      </w:r>
      <w:r w:rsidRPr="003F1C6C">
        <w:rPr>
          <w:rFonts w:ascii="Book Antiqua" w:hAnsi="Book Antiqua" w:cs="宋体"/>
          <w:sz w:val="24"/>
        </w:rPr>
        <w:t>: 588-592 [PMID: 16149673]</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6 </w:t>
      </w:r>
      <w:r w:rsidRPr="003F1C6C">
        <w:rPr>
          <w:rFonts w:ascii="Book Antiqua" w:hAnsi="Book Antiqua" w:cs="宋体"/>
          <w:b/>
          <w:bCs/>
          <w:sz w:val="24"/>
        </w:rPr>
        <w:t>Salas AA</w:t>
      </w:r>
      <w:r w:rsidRPr="003F1C6C">
        <w:rPr>
          <w:rFonts w:ascii="Book Antiqua" w:hAnsi="Book Antiqua" w:cs="宋体"/>
          <w:sz w:val="24"/>
        </w:rPr>
        <w:t>, Mazzi E. Exchange transfusion in infants with extreme hyperbilirubinemia: an experience from a developing country. </w:t>
      </w:r>
      <w:r w:rsidRPr="003F1C6C">
        <w:rPr>
          <w:rFonts w:ascii="Book Antiqua" w:hAnsi="Book Antiqua" w:cs="宋体"/>
          <w:i/>
          <w:iCs/>
          <w:sz w:val="24"/>
        </w:rPr>
        <w:t>Acta Paediatr</w:t>
      </w:r>
      <w:r w:rsidRPr="003F1C6C">
        <w:rPr>
          <w:rFonts w:ascii="Book Antiqua" w:hAnsi="Book Antiqua" w:cs="宋体"/>
          <w:sz w:val="24"/>
        </w:rPr>
        <w:t> 2008; </w:t>
      </w:r>
      <w:r w:rsidRPr="003F1C6C">
        <w:rPr>
          <w:rFonts w:ascii="Book Antiqua" w:hAnsi="Book Antiqua" w:cs="宋体"/>
          <w:b/>
          <w:bCs/>
          <w:sz w:val="24"/>
        </w:rPr>
        <w:t>97</w:t>
      </w:r>
      <w:r w:rsidRPr="003F1C6C">
        <w:rPr>
          <w:rFonts w:ascii="Book Antiqua" w:hAnsi="Book Antiqua" w:cs="宋体"/>
          <w:sz w:val="24"/>
        </w:rPr>
        <w:t>: 754-758 [PMID: 18422806 DOI: 10.1111/j.1651-2227.2008.00743.x]</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 xml:space="preserve">7 </w:t>
      </w:r>
      <w:hyperlink r:id="rId10" w:history="1">
        <w:r w:rsidRPr="003F1C6C">
          <w:rPr>
            <w:rFonts w:ascii="Book Antiqua" w:hAnsi="Book Antiqua" w:cs="宋体"/>
            <w:b/>
            <w:bCs/>
            <w:sz w:val="24"/>
          </w:rPr>
          <w:t>American Academy of Pediatrics Subcommittee on Hyperbilirubinemia</w:t>
        </w:r>
      </w:hyperlink>
      <w:r w:rsidRPr="003F1C6C">
        <w:rPr>
          <w:rFonts w:ascii="Book Antiqua" w:hAnsi="Book Antiqua" w:cs="宋体"/>
          <w:sz w:val="24"/>
        </w:rPr>
        <w:t>. Management of hyperbilirubinemia in the newborn infant 35 or more weeks of gestation. </w:t>
      </w:r>
      <w:r w:rsidRPr="003F1C6C">
        <w:rPr>
          <w:rFonts w:ascii="Book Antiqua" w:hAnsi="Book Antiqua" w:cs="宋体"/>
          <w:i/>
          <w:iCs/>
          <w:sz w:val="24"/>
        </w:rPr>
        <w:t>Pediatrics</w:t>
      </w:r>
      <w:r w:rsidRPr="003F1C6C">
        <w:rPr>
          <w:rFonts w:ascii="Book Antiqua" w:hAnsi="Book Antiqua" w:cs="宋体"/>
          <w:sz w:val="24"/>
        </w:rPr>
        <w:t> 2004; </w:t>
      </w:r>
      <w:r w:rsidRPr="003F1C6C">
        <w:rPr>
          <w:rFonts w:ascii="Book Antiqua" w:hAnsi="Book Antiqua" w:cs="宋体"/>
          <w:b/>
          <w:bCs/>
          <w:sz w:val="24"/>
        </w:rPr>
        <w:t>114</w:t>
      </w:r>
      <w:r w:rsidRPr="003F1C6C">
        <w:rPr>
          <w:rFonts w:ascii="Book Antiqua" w:hAnsi="Book Antiqua" w:cs="宋体"/>
          <w:sz w:val="24"/>
        </w:rPr>
        <w:t>: 297-316 [PMID: 15231951]</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8 </w:t>
      </w:r>
      <w:r w:rsidRPr="003F1C6C">
        <w:rPr>
          <w:rFonts w:ascii="Book Antiqua" w:hAnsi="Book Antiqua" w:cs="宋体"/>
          <w:b/>
          <w:bCs/>
          <w:sz w:val="24"/>
        </w:rPr>
        <w:t>Olusanya BO</w:t>
      </w:r>
      <w:r w:rsidRPr="003F1C6C">
        <w:rPr>
          <w:rFonts w:ascii="Book Antiqua" w:hAnsi="Book Antiqua" w:cs="宋体"/>
          <w:sz w:val="24"/>
        </w:rPr>
        <w:t>, Ogunlesi TA, Kumar P, Boo NY, Iskander IF, de Almeida MF, Vaucher YE, Slusher TM. Management of late-preterm and term infants with hyperbilirubinaemia in resource-constrained settings. </w:t>
      </w:r>
      <w:r w:rsidRPr="003F1C6C">
        <w:rPr>
          <w:rFonts w:ascii="Book Antiqua" w:hAnsi="Book Antiqua" w:cs="宋体"/>
          <w:i/>
          <w:iCs/>
          <w:sz w:val="24"/>
        </w:rPr>
        <w:t>BMC Pediatr</w:t>
      </w:r>
      <w:r w:rsidRPr="003F1C6C">
        <w:rPr>
          <w:rFonts w:ascii="Book Antiqua" w:hAnsi="Book Antiqua" w:cs="宋体"/>
          <w:sz w:val="24"/>
        </w:rPr>
        <w:t> 2015; </w:t>
      </w:r>
      <w:r w:rsidRPr="003F1C6C">
        <w:rPr>
          <w:rFonts w:ascii="Book Antiqua" w:hAnsi="Book Antiqua" w:cs="宋体"/>
          <w:b/>
          <w:bCs/>
          <w:sz w:val="24"/>
        </w:rPr>
        <w:t>15</w:t>
      </w:r>
      <w:r w:rsidRPr="003F1C6C">
        <w:rPr>
          <w:rFonts w:ascii="Book Antiqua" w:hAnsi="Book Antiqua" w:cs="宋体"/>
          <w:sz w:val="24"/>
        </w:rPr>
        <w:t>: 39 [PMID: 25884679]</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 xml:space="preserve">9 </w:t>
      </w:r>
      <w:r w:rsidRPr="003F1C6C">
        <w:rPr>
          <w:rFonts w:ascii="Book Antiqua" w:hAnsi="Book Antiqua" w:cs="宋体"/>
          <w:b/>
          <w:sz w:val="24"/>
        </w:rPr>
        <w:t>Bhutani VK</w:t>
      </w:r>
      <w:r w:rsidRPr="003F1C6C">
        <w:rPr>
          <w:rFonts w:ascii="Book Antiqua" w:hAnsi="Book Antiqua" w:cs="宋体"/>
          <w:sz w:val="24"/>
        </w:rPr>
        <w:t xml:space="preserve">, Johnson L. The jaundiced newborn in the emergency department: Prevention of kernicterus. </w:t>
      </w:r>
      <w:r w:rsidRPr="003F1C6C">
        <w:rPr>
          <w:rFonts w:ascii="Book Antiqua" w:hAnsi="Book Antiqua" w:cs="宋体"/>
          <w:i/>
          <w:sz w:val="24"/>
        </w:rPr>
        <w:t>Clin Ped Emerg Med</w:t>
      </w:r>
      <w:r w:rsidRPr="003F1C6C">
        <w:rPr>
          <w:rFonts w:ascii="Book Antiqua" w:hAnsi="Book Antiqua" w:cs="宋体"/>
          <w:sz w:val="24"/>
        </w:rPr>
        <w:t xml:space="preserve"> 2008; </w:t>
      </w:r>
      <w:r w:rsidRPr="003F1C6C">
        <w:rPr>
          <w:rFonts w:ascii="Book Antiqua" w:hAnsi="Book Antiqua" w:cs="宋体"/>
          <w:b/>
          <w:sz w:val="24"/>
        </w:rPr>
        <w:t>9</w:t>
      </w:r>
      <w:r w:rsidRPr="003F1C6C">
        <w:rPr>
          <w:rFonts w:ascii="Book Antiqua" w:hAnsi="Book Antiqua" w:cs="宋体"/>
          <w:sz w:val="24"/>
        </w:rPr>
        <w:t>: 149-159 [DOI: 10.1016/j.cpem.2008.06.004]</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10 </w:t>
      </w:r>
      <w:r w:rsidRPr="003F1C6C">
        <w:rPr>
          <w:rFonts w:ascii="Book Antiqua" w:hAnsi="Book Antiqua" w:cs="宋体"/>
          <w:b/>
          <w:bCs/>
          <w:sz w:val="24"/>
        </w:rPr>
        <w:t>Abu-Ekteish F</w:t>
      </w:r>
      <w:r w:rsidRPr="003F1C6C">
        <w:rPr>
          <w:rFonts w:ascii="Book Antiqua" w:hAnsi="Book Antiqua" w:cs="宋体"/>
          <w:sz w:val="24"/>
        </w:rPr>
        <w:t>, Daoud A, Rimawi H, Kakish K, Abu-Heija A. Neonatal exchange transfusion: a Jordanian experience. </w:t>
      </w:r>
      <w:r w:rsidRPr="003F1C6C">
        <w:rPr>
          <w:rFonts w:ascii="Book Antiqua" w:hAnsi="Book Antiqua" w:cs="宋体"/>
          <w:i/>
          <w:iCs/>
          <w:sz w:val="24"/>
        </w:rPr>
        <w:t>Ann Trop Paediatr</w:t>
      </w:r>
      <w:r w:rsidRPr="003F1C6C">
        <w:rPr>
          <w:rFonts w:ascii="Book Antiqua" w:hAnsi="Book Antiqua" w:cs="宋体"/>
          <w:sz w:val="24"/>
        </w:rPr>
        <w:t> 2000; </w:t>
      </w:r>
      <w:r w:rsidRPr="003F1C6C">
        <w:rPr>
          <w:rFonts w:ascii="Book Antiqua" w:hAnsi="Book Antiqua" w:cs="宋体"/>
          <w:b/>
          <w:bCs/>
          <w:sz w:val="24"/>
        </w:rPr>
        <w:t>20</w:t>
      </w:r>
      <w:r w:rsidRPr="003F1C6C">
        <w:rPr>
          <w:rFonts w:ascii="Book Antiqua" w:hAnsi="Book Antiqua" w:cs="宋体"/>
          <w:sz w:val="24"/>
        </w:rPr>
        <w:t>: 57-60 [PMID: 10824215]</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11 </w:t>
      </w:r>
      <w:r w:rsidRPr="003F1C6C">
        <w:rPr>
          <w:rFonts w:ascii="Book Antiqua" w:hAnsi="Book Antiqua" w:cs="宋体"/>
          <w:b/>
          <w:bCs/>
          <w:sz w:val="24"/>
        </w:rPr>
        <w:t>Owa JA</w:t>
      </w:r>
      <w:r w:rsidRPr="003F1C6C">
        <w:rPr>
          <w:rFonts w:ascii="Book Antiqua" w:hAnsi="Book Antiqua" w:cs="宋体"/>
          <w:sz w:val="24"/>
        </w:rPr>
        <w:t>, Ogunlesi TA. Why we are still doing so many exchange blood transfusion for neonatal jaundice in Nigeria. </w:t>
      </w:r>
      <w:r w:rsidRPr="003F1C6C">
        <w:rPr>
          <w:rFonts w:ascii="Book Antiqua" w:hAnsi="Book Antiqua" w:cs="宋体"/>
          <w:i/>
          <w:iCs/>
          <w:sz w:val="24"/>
        </w:rPr>
        <w:t>World J Pediatr</w:t>
      </w:r>
      <w:r w:rsidRPr="003F1C6C">
        <w:rPr>
          <w:rFonts w:ascii="Book Antiqua" w:hAnsi="Book Antiqua" w:cs="宋体"/>
          <w:sz w:val="24"/>
        </w:rPr>
        <w:t> 2009; </w:t>
      </w:r>
      <w:r w:rsidRPr="003F1C6C">
        <w:rPr>
          <w:rFonts w:ascii="Book Antiqua" w:hAnsi="Book Antiqua" w:cs="宋体"/>
          <w:b/>
          <w:bCs/>
          <w:sz w:val="24"/>
        </w:rPr>
        <w:t>5</w:t>
      </w:r>
      <w:r w:rsidRPr="003F1C6C">
        <w:rPr>
          <w:rFonts w:ascii="Book Antiqua" w:hAnsi="Book Antiqua" w:cs="宋体"/>
          <w:sz w:val="24"/>
        </w:rPr>
        <w:t>: 51-55 [PMID: 19172333 DOI: 10.1007/s12519-009-0009-2]</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12 </w:t>
      </w:r>
      <w:r w:rsidRPr="003F1C6C">
        <w:rPr>
          <w:rFonts w:ascii="Book Antiqua" w:hAnsi="Book Antiqua" w:cs="宋体"/>
          <w:b/>
          <w:bCs/>
          <w:sz w:val="24"/>
        </w:rPr>
        <w:t>Hameed NN</w:t>
      </w:r>
      <w:r w:rsidRPr="003F1C6C">
        <w:rPr>
          <w:rFonts w:ascii="Book Antiqua" w:hAnsi="Book Antiqua" w:cs="宋体"/>
          <w:sz w:val="24"/>
        </w:rPr>
        <w:t>, Na' Ma AM, Vilms R, Bhutani VK. Severe neonatal hyperbilirubinemia and adverse short-term consequences in Baghdad, Iraq. </w:t>
      </w:r>
      <w:r w:rsidRPr="003F1C6C">
        <w:rPr>
          <w:rFonts w:ascii="Book Antiqua" w:hAnsi="Book Antiqua" w:cs="宋体"/>
          <w:i/>
          <w:iCs/>
          <w:sz w:val="24"/>
        </w:rPr>
        <w:t>Neonatology</w:t>
      </w:r>
      <w:r w:rsidRPr="003F1C6C">
        <w:rPr>
          <w:rFonts w:ascii="Book Antiqua" w:hAnsi="Book Antiqua" w:cs="宋体"/>
          <w:sz w:val="24"/>
        </w:rPr>
        <w:t> 2011; </w:t>
      </w:r>
      <w:r w:rsidRPr="003F1C6C">
        <w:rPr>
          <w:rFonts w:ascii="Book Antiqua" w:hAnsi="Book Antiqua" w:cs="宋体"/>
          <w:b/>
          <w:bCs/>
          <w:sz w:val="24"/>
        </w:rPr>
        <w:t>100</w:t>
      </w:r>
      <w:r w:rsidRPr="003F1C6C">
        <w:rPr>
          <w:rFonts w:ascii="Book Antiqua" w:hAnsi="Book Antiqua" w:cs="宋体"/>
          <w:sz w:val="24"/>
        </w:rPr>
        <w:t>: 57-63 [PMID: 21212697 DOI: 10.1159/000321990]</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13 </w:t>
      </w:r>
      <w:r w:rsidRPr="003F1C6C">
        <w:rPr>
          <w:rFonts w:ascii="Book Antiqua" w:hAnsi="Book Antiqua" w:cs="宋体"/>
          <w:b/>
          <w:bCs/>
          <w:sz w:val="24"/>
        </w:rPr>
        <w:t>Rasul CH</w:t>
      </w:r>
      <w:r w:rsidRPr="003F1C6C">
        <w:rPr>
          <w:rFonts w:ascii="Book Antiqua" w:hAnsi="Book Antiqua" w:cs="宋体"/>
          <w:sz w:val="24"/>
        </w:rPr>
        <w:t>, Hasan MA, Yasmin F. Outcome of neonatal hyperbilirubinemia in a tertiary care hospital in bangladesh. </w:t>
      </w:r>
      <w:r w:rsidRPr="003F1C6C">
        <w:rPr>
          <w:rFonts w:ascii="Book Antiqua" w:hAnsi="Book Antiqua" w:cs="宋体"/>
          <w:i/>
          <w:iCs/>
          <w:sz w:val="24"/>
        </w:rPr>
        <w:t>Malays J Med Sci</w:t>
      </w:r>
      <w:r w:rsidRPr="003F1C6C">
        <w:rPr>
          <w:rFonts w:ascii="Book Antiqua" w:hAnsi="Book Antiqua" w:cs="宋体"/>
          <w:sz w:val="24"/>
        </w:rPr>
        <w:t> 2010; </w:t>
      </w:r>
      <w:r w:rsidRPr="003F1C6C">
        <w:rPr>
          <w:rFonts w:ascii="Book Antiqua" w:hAnsi="Book Antiqua" w:cs="宋体"/>
          <w:b/>
          <w:bCs/>
          <w:sz w:val="24"/>
        </w:rPr>
        <w:t>17</w:t>
      </w:r>
      <w:r w:rsidRPr="003F1C6C">
        <w:rPr>
          <w:rFonts w:ascii="Book Antiqua" w:hAnsi="Book Antiqua" w:cs="宋体"/>
          <w:sz w:val="24"/>
        </w:rPr>
        <w:t>: 40-44 [PMID: 22135536]</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14 </w:t>
      </w:r>
      <w:r w:rsidRPr="003F1C6C">
        <w:rPr>
          <w:rFonts w:ascii="Book Antiqua" w:hAnsi="Book Antiqua" w:cs="宋体"/>
          <w:b/>
          <w:bCs/>
          <w:sz w:val="24"/>
        </w:rPr>
        <w:t>Iskander I</w:t>
      </w:r>
      <w:r w:rsidRPr="003F1C6C">
        <w:rPr>
          <w:rFonts w:ascii="Book Antiqua" w:hAnsi="Book Antiqua" w:cs="宋体"/>
          <w:sz w:val="24"/>
        </w:rPr>
        <w:t>, Gamaleldin R, Kabbani M. Root causes for late presentation of severe neonatal hyperbilirubinaemia in Egypt. </w:t>
      </w:r>
      <w:r w:rsidRPr="003F1C6C">
        <w:rPr>
          <w:rFonts w:ascii="Book Antiqua" w:hAnsi="Book Antiqua" w:cs="宋体"/>
          <w:i/>
          <w:iCs/>
          <w:sz w:val="24"/>
        </w:rPr>
        <w:t>East Mediterr Health J</w:t>
      </w:r>
      <w:r w:rsidRPr="003F1C6C">
        <w:rPr>
          <w:rFonts w:ascii="Book Antiqua" w:hAnsi="Book Antiqua" w:cs="宋体"/>
          <w:sz w:val="24"/>
        </w:rPr>
        <w:t> 2012; </w:t>
      </w:r>
      <w:r w:rsidRPr="003F1C6C">
        <w:rPr>
          <w:rFonts w:ascii="Book Antiqua" w:hAnsi="Book Antiqua" w:cs="宋体"/>
          <w:b/>
          <w:bCs/>
          <w:sz w:val="24"/>
        </w:rPr>
        <w:t>18</w:t>
      </w:r>
      <w:r w:rsidRPr="003F1C6C">
        <w:rPr>
          <w:rFonts w:ascii="Book Antiqua" w:hAnsi="Book Antiqua" w:cs="宋体"/>
          <w:sz w:val="24"/>
        </w:rPr>
        <w:t>: 882-887 [PMID: 23057379]</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15 </w:t>
      </w:r>
      <w:r w:rsidRPr="003F1C6C">
        <w:rPr>
          <w:rFonts w:ascii="Book Antiqua" w:hAnsi="Book Antiqua" w:cs="宋体"/>
          <w:b/>
          <w:bCs/>
          <w:sz w:val="24"/>
        </w:rPr>
        <w:t>Olusanya BO</w:t>
      </w:r>
      <w:r w:rsidRPr="003F1C6C">
        <w:rPr>
          <w:rFonts w:ascii="Book Antiqua" w:hAnsi="Book Antiqua" w:cs="宋体"/>
          <w:sz w:val="24"/>
        </w:rPr>
        <w:t>, Ogunlesi TA, Slusher TM. Why is kernicterus still a major cause of death and disability in low-income and middle-income countries? </w:t>
      </w:r>
      <w:r w:rsidRPr="003F1C6C">
        <w:rPr>
          <w:rFonts w:ascii="Book Antiqua" w:hAnsi="Book Antiqua" w:cs="宋体"/>
          <w:i/>
          <w:iCs/>
          <w:sz w:val="24"/>
        </w:rPr>
        <w:t>Arch Dis Child</w:t>
      </w:r>
      <w:r w:rsidRPr="003F1C6C">
        <w:rPr>
          <w:rFonts w:ascii="Book Antiqua" w:hAnsi="Book Antiqua" w:cs="宋体"/>
          <w:sz w:val="24"/>
        </w:rPr>
        <w:t> 2014; </w:t>
      </w:r>
      <w:r w:rsidRPr="003F1C6C">
        <w:rPr>
          <w:rFonts w:ascii="Book Antiqua" w:hAnsi="Book Antiqua" w:cs="宋体"/>
          <w:b/>
          <w:bCs/>
          <w:sz w:val="24"/>
        </w:rPr>
        <w:t>99</w:t>
      </w:r>
      <w:r w:rsidRPr="003F1C6C">
        <w:rPr>
          <w:rFonts w:ascii="Book Antiqua" w:hAnsi="Book Antiqua" w:cs="宋体"/>
          <w:sz w:val="24"/>
        </w:rPr>
        <w:t>: 1117-1121 [PMID: 25123403 DOI: 10.1136/archdischild-2013-305506]</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16 </w:t>
      </w:r>
      <w:r w:rsidRPr="003F1C6C">
        <w:rPr>
          <w:rFonts w:ascii="Book Antiqua" w:hAnsi="Book Antiqua" w:cs="宋体"/>
          <w:b/>
          <w:bCs/>
          <w:sz w:val="24"/>
        </w:rPr>
        <w:t>Murray NA</w:t>
      </w:r>
      <w:r w:rsidRPr="003F1C6C">
        <w:rPr>
          <w:rFonts w:ascii="Book Antiqua" w:hAnsi="Book Antiqua" w:cs="宋体"/>
          <w:sz w:val="24"/>
        </w:rPr>
        <w:t>, Roberts IA. Haemolytic disease of the newborn. </w:t>
      </w:r>
      <w:r w:rsidRPr="003F1C6C">
        <w:rPr>
          <w:rFonts w:ascii="Book Antiqua" w:hAnsi="Book Antiqua" w:cs="宋体"/>
          <w:i/>
          <w:iCs/>
          <w:sz w:val="24"/>
        </w:rPr>
        <w:t>Arch Dis Child Fetal Neonatal Ed</w:t>
      </w:r>
      <w:r w:rsidRPr="003F1C6C">
        <w:rPr>
          <w:rFonts w:ascii="Book Antiqua" w:hAnsi="Book Antiqua" w:cs="宋体"/>
          <w:sz w:val="24"/>
        </w:rPr>
        <w:t> 2007; </w:t>
      </w:r>
      <w:r w:rsidRPr="003F1C6C">
        <w:rPr>
          <w:rFonts w:ascii="Book Antiqua" w:hAnsi="Book Antiqua" w:cs="宋体"/>
          <w:b/>
          <w:bCs/>
          <w:sz w:val="24"/>
        </w:rPr>
        <w:t>92</w:t>
      </w:r>
      <w:r w:rsidRPr="003F1C6C">
        <w:rPr>
          <w:rFonts w:ascii="Book Antiqua" w:hAnsi="Book Antiqua" w:cs="宋体"/>
          <w:sz w:val="24"/>
        </w:rPr>
        <w:t>: F83-F88 [PMID: 17337672 DOI: 10.1136/adc.2005.076794]</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17 </w:t>
      </w:r>
      <w:r w:rsidRPr="003F1C6C">
        <w:rPr>
          <w:rFonts w:ascii="Book Antiqua" w:hAnsi="Book Antiqua" w:cs="宋体"/>
          <w:b/>
          <w:bCs/>
          <w:sz w:val="24"/>
        </w:rPr>
        <w:t>Martínez-Cruz CF</w:t>
      </w:r>
      <w:r w:rsidRPr="003F1C6C">
        <w:rPr>
          <w:rFonts w:ascii="Book Antiqua" w:hAnsi="Book Antiqua" w:cs="宋体"/>
          <w:sz w:val="24"/>
        </w:rPr>
        <w:t>, García Alonso-Themann P, Poblano A, Cedillo-Rodríguez IA. Hearing and neurological impairment in children with history of exchange transfusion for neonatal hyperbilirubinemia. </w:t>
      </w:r>
      <w:r w:rsidRPr="003F1C6C">
        <w:rPr>
          <w:rFonts w:ascii="Book Antiqua" w:hAnsi="Book Antiqua" w:cs="宋体"/>
          <w:i/>
          <w:iCs/>
          <w:sz w:val="24"/>
        </w:rPr>
        <w:t>Int J Pediatr</w:t>
      </w:r>
      <w:r w:rsidRPr="003F1C6C">
        <w:rPr>
          <w:rFonts w:ascii="Book Antiqua" w:hAnsi="Book Antiqua" w:cs="宋体"/>
          <w:sz w:val="24"/>
        </w:rPr>
        <w:t> 2014; </w:t>
      </w:r>
      <w:r w:rsidRPr="003F1C6C">
        <w:rPr>
          <w:rFonts w:ascii="Book Antiqua" w:hAnsi="Book Antiqua" w:cs="宋体"/>
          <w:b/>
          <w:bCs/>
          <w:sz w:val="24"/>
        </w:rPr>
        <w:t>2014</w:t>
      </w:r>
      <w:r w:rsidRPr="003F1C6C">
        <w:rPr>
          <w:rFonts w:ascii="Book Antiqua" w:hAnsi="Book Antiqua" w:cs="宋体"/>
          <w:sz w:val="24"/>
        </w:rPr>
        <w:t>: 605828 [PMID: 24678325 DOI: 10.1155/2014/605828]</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18 </w:t>
      </w:r>
      <w:r w:rsidRPr="003F1C6C">
        <w:rPr>
          <w:rFonts w:ascii="Book Antiqua" w:hAnsi="Book Antiqua" w:cs="宋体"/>
          <w:b/>
          <w:bCs/>
          <w:sz w:val="24"/>
        </w:rPr>
        <w:t>Mukhopadhyay K</w:t>
      </w:r>
      <w:r w:rsidRPr="003F1C6C">
        <w:rPr>
          <w:rFonts w:ascii="Book Antiqua" w:hAnsi="Book Antiqua" w:cs="宋体"/>
          <w:sz w:val="24"/>
        </w:rPr>
        <w:t>, Chowdhary G, Singh P, Kumar P, Narang A. Neurodevelopmental outcome of acute bilirubin encephalopathy. </w:t>
      </w:r>
      <w:r w:rsidRPr="003F1C6C">
        <w:rPr>
          <w:rFonts w:ascii="Book Antiqua" w:hAnsi="Book Antiqua" w:cs="宋体"/>
          <w:i/>
          <w:iCs/>
          <w:sz w:val="24"/>
        </w:rPr>
        <w:t>J Trop Pediatr</w:t>
      </w:r>
      <w:r w:rsidRPr="003F1C6C">
        <w:rPr>
          <w:rFonts w:ascii="Book Antiqua" w:hAnsi="Book Antiqua" w:cs="宋体"/>
          <w:sz w:val="24"/>
        </w:rPr>
        <w:t> 2010; </w:t>
      </w:r>
      <w:r w:rsidRPr="003F1C6C">
        <w:rPr>
          <w:rFonts w:ascii="Book Antiqua" w:hAnsi="Book Antiqua" w:cs="宋体"/>
          <w:b/>
          <w:bCs/>
          <w:sz w:val="24"/>
        </w:rPr>
        <w:t>56</w:t>
      </w:r>
      <w:r w:rsidRPr="003F1C6C">
        <w:rPr>
          <w:rFonts w:ascii="Book Antiqua" w:hAnsi="Book Antiqua" w:cs="宋体"/>
          <w:sz w:val="24"/>
        </w:rPr>
        <w:t>: 333-336 [PMID: 20123952 DOI: 10.1093/tropej/fmp142]</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19 </w:t>
      </w:r>
      <w:r w:rsidRPr="003F1C6C">
        <w:rPr>
          <w:rFonts w:ascii="Book Antiqua" w:hAnsi="Book Antiqua" w:cs="宋体"/>
          <w:b/>
          <w:bCs/>
          <w:sz w:val="24"/>
        </w:rPr>
        <w:t>Dennery PA</w:t>
      </w:r>
      <w:r w:rsidRPr="003F1C6C">
        <w:rPr>
          <w:rFonts w:ascii="Book Antiqua" w:hAnsi="Book Antiqua" w:cs="宋体"/>
          <w:sz w:val="24"/>
        </w:rPr>
        <w:t>, Seidman DS, Stevenson DK. Neonatal hyperbilirubinemia. </w:t>
      </w:r>
      <w:r w:rsidRPr="003F1C6C">
        <w:rPr>
          <w:rFonts w:ascii="Book Antiqua" w:hAnsi="Book Antiqua" w:cs="宋体"/>
          <w:i/>
          <w:iCs/>
          <w:sz w:val="24"/>
        </w:rPr>
        <w:t>N Engl J Med</w:t>
      </w:r>
      <w:r w:rsidRPr="003F1C6C">
        <w:rPr>
          <w:rFonts w:ascii="Book Antiqua" w:hAnsi="Book Antiqua" w:cs="宋体"/>
          <w:sz w:val="24"/>
        </w:rPr>
        <w:t> 2001; </w:t>
      </w:r>
      <w:r w:rsidRPr="003F1C6C">
        <w:rPr>
          <w:rFonts w:ascii="Book Antiqua" w:hAnsi="Book Antiqua" w:cs="宋体"/>
          <w:b/>
          <w:bCs/>
          <w:sz w:val="24"/>
        </w:rPr>
        <w:t>344</w:t>
      </w:r>
      <w:r w:rsidRPr="003F1C6C">
        <w:rPr>
          <w:rFonts w:ascii="Book Antiqua" w:hAnsi="Book Antiqua" w:cs="宋体"/>
          <w:sz w:val="24"/>
        </w:rPr>
        <w:t>: 581-590 [PMID: 11207355]</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20 </w:t>
      </w:r>
      <w:r w:rsidRPr="003F1C6C">
        <w:rPr>
          <w:rFonts w:ascii="Book Antiqua" w:hAnsi="Book Antiqua" w:cs="宋体"/>
          <w:b/>
          <w:bCs/>
          <w:sz w:val="24"/>
        </w:rPr>
        <w:t>Stevenson DK</w:t>
      </w:r>
      <w:r w:rsidRPr="003F1C6C">
        <w:rPr>
          <w:rFonts w:ascii="Book Antiqua" w:hAnsi="Book Antiqua" w:cs="宋体"/>
          <w:sz w:val="24"/>
        </w:rPr>
        <w:t>, Vreman HJ, Wong RJ. Bilirubin production and the risk of bilirubin neurotoxicity. </w:t>
      </w:r>
      <w:r w:rsidRPr="003F1C6C">
        <w:rPr>
          <w:rFonts w:ascii="Book Antiqua" w:hAnsi="Book Antiqua" w:cs="宋体"/>
          <w:i/>
          <w:iCs/>
          <w:sz w:val="24"/>
        </w:rPr>
        <w:t>Semin Perinatol</w:t>
      </w:r>
      <w:r w:rsidRPr="003F1C6C">
        <w:rPr>
          <w:rFonts w:ascii="Book Antiqua" w:hAnsi="Book Antiqua" w:cs="宋体"/>
          <w:sz w:val="24"/>
        </w:rPr>
        <w:t> 2011; </w:t>
      </w:r>
      <w:r w:rsidRPr="003F1C6C">
        <w:rPr>
          <w:rFonts w:ascii="Book Antiqua" w:hAnsi="Book Antiqua" w:cs="宋体"/>
          <w:b/>
          <w:bCs/>
          <w:sz w:val="24"/>
        </w:rPr>
        <w:t>35</w:t>
      </w:r>
      <w:r w:rsidRPr="003F1C6C">
        <w:rPr>
          <w:rFonts w:ascii="Book Antiqua" w:hAnsi="Book Antiqua" w:cs="宋体"/>
          <w:sz w:val="24"/>
        </w:rPr>
        <w:t>: 121-126 [PMID: 21641484 DOI: 10.1053/j.semperi.2011.02.005]</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21 </w:t>
      </w:r>
      <w:r w:rsidRPr="003F1C6C">
        <w:rPr>
          <w:rFonts w:ascii="Book Antiqua" w:hAnsi="Book Antiqua" w:cs="宋体"/>
          <w:b/>
          <w:bCs/>
          <w:sz w:val="24"/>
        </w:rPr>
        <w:t>Kaplan M</w:t>
      </w:r>
      <w:r w:rsidRPr="003F1C6C">
        <w:rPr>
          <w:rFonts w:ascii="Book Antiqua" w:hAnsi="Book Antiqua" w:cs="宋体"/>
          <w:sz w:val="24"/>
        </w:rPr>
        <w:t>, Bromiker R, Hammerman C. Hyperbilirubinemia, hemolysis, and increased bilirubin neurotoxicity. </w:t>
      </w:r>
      <w:r w:rsidRPr="003F1C6C">
        <w:rPr>
          <w:rFonts w:ascii="Book Antiqua" w:hAnsi="Book Antiqua" w:cs="宋体"/>
          <w:i/>
          <w:iCs/>
          <w:sz w:val="24"/>
        </w:rPr>
        <w:t>Semin Perinatol</w:t>
      </w:r>
      <w:r w:rsidRPr="003F1C6C">
        <w:rPr>
          <w:rFonts w:ascii="Book Antiqua" w:hAnsi="Book Antiqua" w:cs="宋体"/>
          <w:sz w:val="24"/>
        </w:rPr>
        <w:t> 2014; </w:t>
      </w:r>
      <w:r w:rsidRPr="003F1C6C">
        <w:rPr>
          <w:rFonts w:ascii="Book Antiqua" w:hAnsi="Book Antiqua" w:cs="宋体"/>
          <w:b/>
          <w:bCs/>
          <w:sz w:val="24"/>
        </w:rPr>
        <w:t>38</w:t>
      </w:r>
      <w:r w:rsidRPr="003F1C6C">
        <w:rPr>
          <w:rFonts w:ascii="Book Antiqua" w:hAnsi="Book Antiqua" w:cs="宋体"/>
          <w:sz w:val="24"/>
        </w:rPr>
        <w:t>: 429-437 [PMID: 25284470 DOI: 10.1053/j.semperi.2014.08.006]</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 xml:space="preserve">22 </w:t>
      </w:r>
      <w:hyperlink r:id="rId11" w:history="1">
        <w:r w:rsidRPr="003F1C6C">
          <w:rPr>
            <w:rFonts w:ascii="Book Antiqua" w:hAnsi="Book Antiqua" w:cs="宋体"/>
            <w:b/>
            <w:sz w:val="24"/>
          </w:rPr>
          <w:t>Olusanya BO</w:t>
        </w:r>
      </w:hyperlink>
      <w:r w:rsidRPr="003F1C6C">
        <w:rPr>
          <w:rFonts w:ascii="Book Antiqua" w:hAnsi="Book Antiqua" w:cs="宋体"/>
          <w:sz w:val="24"/>
        </w:rPr>
        <w:t>, </w:t>
      </w:r>
      <w:hyperlink r:id="rId12" w:history="1">
        <w:r w:rsidRPr="003F1C6C">
          <w:rPr>
            <w:rFonts w:ascii="Book Antiqua" w:hAnsi="Book Antiqua" w:cs="宋体"/>
            <w:sz w:val="24"/>
          </w:rPr>
          <w:t>Imam ZO</w:t>
        </w:r>
      </w:hyperlink>
      <w:r w:rsidRPr="003F1C6C">
        <w:rPr>
          <w:rFonts w:ascii="Book Antiqua" w:hAnsi="Book Antiqua" w:cs="宋体"/>
          <w:sz w:val="24"/>
        </w:rPr>
        <w:t>, </w:t>
      </w:r>
      <w:hyperlink r:id="rId13" w:history="1">
        <w:r w:rsidRPr="003F1C6C">
          <w:rPr>
            <w:rFonts w:ascii="Book Antiqua" w:hAnsi="Book Antiqua" w:cs="宋体"/>
            <w:sz w:val="24"/>
          </w:rPr>
          <w:t>Emokpae AA</w:t>
        </w:r>
      </w:hyperlink>
      <w:r w:rsidRPr="003F1C6C">
        <w:rPr>
          <w:rFonts w:ascii="Book Antiqua" w:hAnsi="Book Antiqua" w:cs="宋体"/>
          <w:sz w:val="24"/>
        </w:rPr>
        <w:t>, </w:t>
      </w:r>
      <w:hyperlink r:id="rId14" w:history="1">
        <w:r w:rsidRPr="003F1C6C">
          <w:rPr>
            <w:rFonts w:ascii="Book Antiqua" w:hAnsi="Book Antiqua" w:cs="宋体"/>
            <w:sz w:val="24"/>
          </w:rPr>
          <w:t>Iskander IF</w:t>
        </w:r>
      </w:hyperlink>
      <w:r w:rsidRPr="003F1C6C">
        <w:rPr>
          <w:rFonts w:ascii="Book Antiqua" w:hAnsi="Book Antiqua" w:cs="宋体"/>
          <w:sz w:val="24"/>
        </w:rPr>
        <w:t>. Revisiting the Criteria for Exchange Transfusion for Severe Neonatal Hyperbilirubinemia in Resource-Limited Settings. </w:t>
      </w:r>
      <w:r w:rsidRPr="003F1C6C">
        <w:rPr>
          <w:rFonts w:ascii="Book Antiqua" w:hAnsi="Book Antiqua" w:cs="宋体"/>
          <w:i/>
          <w:iCs/>
          <w:sz w:val="24"/>
        </w:rPr>
        <w:t>Neonatology</w:t>
      </w:r>
      <w:r w:rsidRPr="003F1C6C">
        <w:rPr>
          <w:rFonts w:ascii="Book Antiqua" w:hAnsi="Book Antiqua" w:cs="宋体"/>
          <w:sz w:val="24"/>
        </w:rPr>
        <w:t> 2015; </w:t>
      </w:r>
      <w:r w:rsidRPr="003F1C6C">
        <w:rPr>
          <w:rFonts w:ascii="Book Antiqua" w:hAnsi="Book Antiqua" w:cs="宋体"/>
          <w:b/>
          <w:bCs/>
          <w:sz w:val="24"/>
        </w:rPr>
        <w:t>109</w:t>
      </w:r>
      <w:r w:rsidRPr="003F1C6C">
        <w:rPr>
          <w:rFonts w:ascii="Book Antiqua" w:hAnsi="Book Antiqua" w:cs="宋体"/>
          <w:sz w:val="24"/>
        </w:rPr>
        <w:t>: 97-104 [PMID: 26594786]</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23 </w:t>
      </w:r>
      <w:r w:rsidRPr="003F1C6C">
        <w:rPr>
          <w:rFonts w:ascii="Book Antiqua" w:hAnsi="Book Antiqua" w:cs="宋体"/>
          <w:b/>
          <w:bCs/>
          <w:sz w:val="24"/>
        </w:rPr>
        <w:t>Christensen RD</w:t>
      </w:r>
      <w:r w:rsidRPr="003F1C6C">
        <w:rPr>
          <w:rFonts w:ascii="Book Antiqua" w:hAnsi="Book Antiqua" w:cs="宋体"/>
          <w:sz w:val="24"/>
        </w:rPr>
        <w:t>, Yaish HM. Hemolytic Disorders Causing Severe Neonatal Hyperbilirubinemia. </w:t>
      </w:r>
      <w:r w:rsidRPr="003F1C6C">
        <w:rPr>
          <w:rFonts w:ascii="Book Antiqua" w:hAnsi="Book Antiqua" w:cs="宋体"/>
          <w:i/>
          <w:iCs/>
          <w:sz w:val="24"/>
        </w:rPr>
        <w:t>Clin Perinatol</w:t>
      </w:r>
      <w:r w:rsidRPr="003F1C6C">
        <w:rPr>
          <w:rFonts w:ascii="Book Antiqua" w:hAnsi="Book Antiqua" w:cs="宋体"/>
          <w:sz w:val="24"/>
        </w:rPr>
        <w:t> 2015; </w:t>
      </w:r>
      <w:r w:rsidRPr="003F1C6C">
        <w:rPr>
          <w:rFonts w:ascii="Book Antiqua" w:hAnsi="Book Antiqua" w:cs="宋体"/>
          <w:b/>
          <w:bCs/>
          <w:sz w:val="24"/>
        </w:rPr>
        <w:t>42</w:t>
      </w:r>
      <w:r w:rsidRPr="003F1C6C">
        <w:rPr>
          <w:rFonts w:ascii="Book Antiqua" w:hAnsi="Book Antiqua" w:cs="宋体"/>
          <w:sz w:val="24"/>
        </w:rPr>
        <w:t>: 515-527 [PMID: 26250914 DOI: 10.1016/j.clp.2015.04.007]</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24 </w:t>
      </w:r>
      <w:r w:rsidRPr="003F1C6C">
        <w:rPr>
          <w:rFonts w:ascii="Book Antiqua" w:hAnsi="Book Antiqua" w:cs="宋体"/>
          <w:b/>
          <w:bCs/>
          <w:sz w:val="24"/>
        </w:rPr>
        <w:t>Pam S</w:t>
      </w:r>
      <w:r w:rsidRPr="003F1C6C">
        <w:rPr>
          <w:rFonts w:ascii="Book Antiqua" w:hAnsi="Book Antiqua" w:cs="宋体"/>
          <w:sz w:val="24"/>
        </w:rPr>
        <w:t>, Bode-Thomas F, Joseph DE, Akor F, Ejeliogu E. Which babies get blood in Jos, Nigeria? </w:t>
      </w:r>
      <w:r w:rsidRPr="003F1C6C">
        <w:rPr>
          <w:rFonts w:ascii="Book Antiqua" w:hAnsi="Book Antiqua" w:cs="宋体"/>
          <w:i/>
          <w:iCs/>
          <w:sz w:val="24"/>
        </w:rPr>
        <w:t>Pediatr Hematol Oncol</w:t>
      </w:r>
      <w:r w:rsidRPr="003F1C6C">
        <w:rPr>
          <w:rFonts w:ascii="Book Antiqua" w:hAnsi="Book Antiqua" w:cs="宋体"/>
          <w:sz w:val="24"/>
        </w:rPr>
        <w:t> 2004; </w:t>
      </w:r>
      <w:r w:rsidRPr="003F1C6C">
        <w:rPr>
          <w:rFonts w:ascii="Book Antiqua" w:hAnsi="Book Antiqua" w:cs="宋体"/>
          <w:b/>
          <w:bCs/>
          <w:sz w:val="24"/>
        </w:rPr>
        <w:t>21</w:t>
      </w:r>
      <w:r w:rsidRPr="003F1C6C">
        <w:rPr>
          <w:rFonts w:ascii="Book Antiqua" w:hAnsi="Book Antiqua" w:cs="宋体"/>
          <w:sz w:val="24"/>
        </w:rPr>
        <w:t xml:space="preserve">: 669-676 [PMID: 15626023 DOI: </w:t>
      </w:r>
      <w:hyperlink r:id="rId15" w:tgtFrame="_blank" w:history="1">
        <w:r w:rsidRPr="003F1C6C">
          <w:rPr>
            <w:rStyle w:val="Hyperlink"/>
            <w:rFonts w:ascii="Book Antiqua" w:hAnsi="Book Antiqua"/>
            <w:color w:val="auto"/>
            <w:sz w:val="24"/>
            <w:u w:val="none"/>
            <w:shd w:val="clear" w:color="auto" w:fill="FFFFFF"/>
          </w:rPr>
          <w:t>10.1080/08880010490501097</w:t>
        </w:r>
      </w:hyperlink>
      <w:r w:rsidRPr="003F1C6C">
        <w:rPr>
          <w:rFonts w:ascii="Book Antiqua" w:hAnsi="Book Antiqua" w:cs="宋体"/>
          <w:sz w:val="24"/>
        </w:rPr>
        <w:t>]</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25 </w:t>
      </w:r>
      <w:r w:rsidRPr="003F1C6C">
        <w:rPr>
          <w:rFonts w:ascii="Book Antiqua" w:hAnsi="Book Antiqua" w:cs="宋体"/>
          <w:b/>
          <w:bCs/>
          <w:sz w:val="24"/>
        </w:rPr>
        <w:t>Malla T</w:t>
      </w:r>
      <w:r w:rsidRPr="003F1C6C">
        <w:rPr>
          <w:rFonts w:ascii="Book Antiqua" w:hAnsi="Book Antiqua" w:cs="宋体"/>
          <w:sz w:val="24"/>
        </w:rPr>
        <w:t>, Singh S, Poudyal P, Sathian B, Bk G, Malla KK. A Prospective Study on Exchange Transfusion in Neonatal Unconjugated Hyperbilirubinemia - in a Tertiary Care Hospital, Nepal. </w:t>
      </w:r>
      <w:r w:rsidRPr="003F1C6C">
        <w:rPr>
          <w:rFonts w:ascii="Book Antiqua" w:hAnsi="Book Antiqua" w:cs="宋体"/>
          <w:i/>
          <w:iCs/>
          <w:sz w:val="24"/>
        </w:rPr>
        <w:t>Kathmandu Univ Med J (KUMJ)</w:t>
      </w:r>
      <w:r w:rsidRPr="003F1C6C">
        <w:rPr>
          <w:rFonts w:ascii="Book Antiqua" w:hAnsi="Book Antiqua" w:cs="宋体"/>
          <w:sz w:val="24"/>
        </w:rPr>
        <w:t> 2015; </w:t>
      </w:r>
      <w:r w:rsidRPr="003F1C6C">
        <w:rPr>
          <w:rFonts w:ascii="Book Antiqua" w:hAnsi="Book Antiqua" w:cs="宋体"/>
          <w:b/>
          <w:bCs/>
          <w:sz w:val="24"/>
        </w:rPr>
        <w:t>13</w:t>
      </w:r>
      <w:r w:rsidRPr="003F1C6C">
        <w:rPr>
          <w:rFonts w:ascii="Book Antiqua" w:hAnsi="Book Antiqua" w:cs="宋体"/>
          <w:sz w:val="24"/>
        </w:rPr>
        <w:t>: 102-108 [PMID: 26643826]</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26 </w:t>
      </w:r>
      <w:r w:rsidRPr="003F1C6C">
        <w:rPr>
          <w:rFonts w:ascii="Book Antiqua" w:hAnsi="Book Antiqua" w:cs="宋体"/>
          <w:b/>
          <w:bCs/>
          <w:sz w:val="24"/>
        </w:rPr>
        <w:t>Edris AA</w:t>
      </w:r>
      <w:r w:rsidRPr="003F1C6C">
        <w:rPr>
          <w:rFonts w:ascii="Book Antiqua" w:hAnsi="Book Antiqua" w:cs="宋体"/>
          <w:sz w:val="24"/>
        </w:rPr>
        <w:t>, Ghany EA, Razek AR, Zahran AM. The role of intensive phototherapy in decreasing the need for exchange transfusion in neonatal jaundice. </w:t>
      </w:r>
      <w:r w:rsidRPr="003F1C6C">
        <w:rPr>
          <w:rFonts w:ascii="Book Antiqua" w:hAnsi="Book Antiqua" w:cs="宋体"/>
          <w:i/>
          <w:iCs/>
          <w:sz w:val="24"/>
        </w:rPr>
        <w:t>J Pak Med Assoc</w:t>
      </w:r>
      <w:r w:rsidRPr="003F1C6C">
        <w:rPr>
          <w:rFonts w:ascii="Book Antiqua" w:hAnsi="Book Antiqua" w:cs="宋体"/>
          <w:sz w:val="24"/>
        </w:rPr>
        <w:t> 2014; </w:t>
      </w:r>
      <w:r w:rsidRPr="003F1C6C">
        <w:rPr>
          <w:rFonts w:ascii="Book Antiqua" w:hAnsi="Book Antiqua" w:cs="宋体"/>
          <w:b/>
          <w:bCs/>
          <w:sz w:val="24"/>
        </w:rPr>
        <w:t>64</w:t>
      </w:r>
      <w:r w:rsidRPr="003F1C6C">
        <w:rPr>
          <w:rFonts w:ascii="Book Antiqua" w:hAnsi="Book Antiqua" w:cs="宋体"/>
          <w:sz w:val="24"/>
        </w:rPr>
        <w:t>: 5-8 [PMID: 24605703]</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27 </w:t>
      </w:r>
      <w:r w:rsidRPr="003F1C6C">
        <w:rPr>
          <w:rFonts w:ascii="Book Antiqua" w:hAnsi="Book Antiqua" w:cs="宋体"/>
          <w:b/>
          <w:bCs/>
          <w:sz w:val="24"/>
        </w:rPr>
        <w:t>Abd-Ellatif MA</w:t>
      </w:r>
      <w:r w:rsidRPr="003F1C6C">
        <w:rPr>
          <w:rFonts w:ascii="Book Antiqua" w:hAnsi="Book Antiqua" w:cs="宋体"/>
          <w:sz w:val="24"/>
        </w:rPr>
        <w:t>, Abd-Ellatif DA. The use of intensive phototherapy in severe neonatal hyperbilirubinemia. </w:t>
      </w:r>
      <w:r w:rsidRPr="003F1C6C">
        <w:rPr>
          <w:rFonts w:ascii="Book Antiqua" w:hAnsi="Book Antiqua" w:cs="宋体"/>
          <w:i/>
          <w:iCs/>
          <w:sz w:val="24"/>
        </w:rPr>
        <w:t>J Egypt Soc Parasitol</w:t>
      </w:r>
      <w:r w:rsidRPr="003F1C6C">
        <w:rPr>
          <w:rFonts w:ascii="Book Antiqua" w:hAnsi="Book Antiqua" w:cs="宋体"/>
          <w:sz w:val="24"/>
        </w:rPr>
        <w:t> 2012; </w:t>
      </w:r>
      <w:r w:rsidRPr="003F1C6C">
        <w:rPr>
          <w:rFonts w:ascii="Book Antiqua" w:hAnsi="Book Antiqua" w:cs="宋体"/>
          <w:b/>
          <w:bCs/>
          <w:sz w:val="24"/>
        </w:rPr>
        <w:t>42</w:t>
      </w:r>
      <w:r w:rsidRPr="003F1C6C">
        <w:rPr>
          <w:rFonts w:ascii="Book Antiqua" w:hAnsi="Book Antiqua" w:cs="宋体"/>
          <w:sz w:val="24"/>
        </w:rPr>
        <w:t xml:space="preserve">: 483-494 [PMID: 23214225 DOI: </w:t>
      </w:r>
      <w:hyperlink r:id="rId16" w:tgtFrame="_blank" w:history="1">
        <w:r w:rsidRPr="003F1C6C">
          <w:rPr>
            <w:rStyle w:val="Hyperlink"/>
            <w:rFonts w:ascii="Book Antiqua" w:hAnsi="Book Antiqua"/>
            <w:color w:val="auto"/>
            <w:sz w:val="24"/>
            <w:u w:val="none"/>
            <w:shd w:val="clear" w:color="auto" w:fill="FFFFFF"/>
          </w:rPr>
          <w:t>10.12816/0006334</w:t>
        </w:r>
      </w:hyperlink>
      <w:r w:rsidRPr="003F1C6C">
        <w:rPr>
          <w:rFonts w:ascii="Book Antiqua" w:hAnsi="Book Antiqua" w:cs="宋体"/>
          <w:sz w:val="24"/>
        </w:rPr>
        <w:t>]</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28 </w:t>
      </w:r>
      <w:r w:rsidRPr="003F1C6C">
        <w:rPr>
          <w:rFonts w:ascii="Book Antiqua" w:hAnsi="Book Antiqua" w:cs="宋体"/>
          <w:b/>
          <w:bCs/>
          <w:sz w:val="24"/>
        </w:rPr>
        <w:t>Lucas GN</w:t>
      </w:r>
      <w:r w:rsidRPr="003F1C6C">
        <w:rPr>
          <w:rFonts w:ascii="Book Antiqua" w:hAnsi="Book Antiqua" w:cs="宋体"/>
          <w:sz w:val="24"/>
        </w:rPr>
        <w:t>. Neonatal jaundice due to ABO incompatibility in Sri Lankan. </w:t>
      </w:r>
      <w:r w:rsidRPr="003F1C6C">
        <w:rPr>
          <w:rFonts w:ascii="Book Antiqua" w:hAnsi="Book Antiqua" w:cs="宋体"/>
          <w:i/>
          <w:iCs/>
          <w:sz w:val="24"/>
        </w:rPr>
        <w:t>Indian J Pediatr</w:t>
      </w:r>
      <w:r w:rsidRPr="003F1C6C">
        <w:rPr>
          <w:rFonts w:ascii="Book Antiqua" w:hAnsi="Book Antiqua" w:cs="宋体"/>
          <w:sz w:val="24"/>
        </w:rPr>
        <w:t> 1996; </w:t>
      </w:r>
      <w:r w:rsidRPr="003F1C6C">
        <w:rPr>
          <w:rFonts w:ascii="Book Antiqua" w:hAnsi="Book Antiqua" w:cs="宋体"/>
          <w:b/>
          <w:bCs/>
          <w:sz w:val="24"/>
        </w:rPr>
        <w:t>63</w:t>
      </w:r>
      <w:r w:rsidRPr="003F1C6C">
        <w:rPr>
          <w:rFonts w:ascii="Book Antiqua" w:hAnsi="Book Antiqua" w:cs="宋体"/>
          <w:sz w:val="24"/>
        </w:rPr>
        <w:t xml:space="preserve">: 381-384 [PMID: 10830015 DOI: </w:t>
      </w:r>
      <w:hyperlink r:id="rId17" w:tgtFrame="_blank" w:history="1">
        <w:r w:rsidRPr="003F1C6C">
          <w:rPr>
            <w:rStyle w:val="Hyperlink"/>
            <w:rFonts w:ascii="Book Antiqua" w:hAnsi="Book Antiqua"/>
            <w:color w:val="auto"/>
            <w:sz w:val="24"/>
            <w:u w:val="none"/>
            <w:shd w:val="clear" w:color="auto" w:fill="FFFFFF"/>
          </w:rPr>
          <w:t>10.1007/BF02751534</w:t>
        </w:r>
      </w:hyperlink>
      <w:r w:rsidRPr="003F1C6C">
        <w:rPr>
          <w:rFonts w:ascii="Book Antiqua" w:hAnsi="Book Antiqua" w:cs="宋体"/>
          <w:sz w:val="24"/>
        </w:rPr>
        <w:t>]</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 xml:space="preserve">29 </w:t>
      </w:r>
      <w:hyperlink r:id="rId18" w:history="1">
        <w:r w:rsidRPr="003F1C6C">
          <w:rPr>
            <w:rFonts w:ascii="Book Antiqua" w:hAnsi="Book Antiqua" w:cs="宋体"/>
            <w:b/>
            <w:sz w:val="24"/>
          </w:rPr>
          <w:t>Sherbiny HS</w:t>
        </w:r>
      </w:hyperlink>
      <w:r w:rsidRPr="003F1C6C">
        <w:rPr>
          <w:rFonts w:ascii="Book Antiqua" w:hAnsi="Book Antiqua" w:cs="宋体"/>
          <w:sz w:val="24"/>
        </w:rPr>
        <w:t>, </w:t>
      </w:r>
      <w:hyperlink r:id="rId19" w:history="1">
        <w:r w:rsidRPr="003F1C6C">
          <w:rPr>
            <w:rFonts w:ascii="Book Antiqua" w:hAnsi="Book Antiqua" w:cs="宋体"/>
            <w:sz w:val="24"/>
          </w:rPr>
          <w:t>Youssef DM</w:t>
        </w:r>
      </w:hyperlink>
      <w:r w:rsidRPr="003F1C6C">
        <w:rPr>
          <w:rFonts w:ascii="Book Antiqua" w:hAnsi="Book Antiqua" w:cs="宋体"/>
          <w:sz w:val="24"/>
        </w:rPr>
        <w:t>, </w:t>
      </w:r>
      <w:hyperlink r:id="rId20" w:history="1">
        <w:r w:rsidRPr="003F1C6C">
          <w:rPr>
            <w:rFonts w:ascii="Book Antiqua" w:hAnsi="Book Antiqua" w:cs="宋体"/>
            <w:sz w:val="24"/>
          </w:rPr>
          <w:t>Sherbini AS</w:t>
        </w:r>
      </w:hyperlink>
      <w:r w:rsidRPr="003F1C6C">
        <w:rPr>
          <w:rFonts w:ascii="Book Antiqua" w:hAnsi="Book Antiqua" w:cs="宋体"/>
          <w:sz w:val="24"/>
        </w:rPr>
        <w:t>, </w:t>
      </w:r>
      <w:hyperlink r:id="rId21" w:history="1">
        <w:r w:rsidRPr="003F1C6C">
          <w:rPr>
            <w:rFonts w:ascii="Book Antiqua" w:hAnsi="Book Antiqua" w:cs="宋体"/>
            <w:sz w:val="24"/>
          </w:rPr>
          <w:t>El-Behedy R</w:t>
        </w:r>
      </w:hyperlink>
      <w:r w:rsidRPr="003F1C6C">
        <w:rPr>
          <w:rFonts w:ascii="Book Antiqua" w:hAnsi="Book Antiqua" w:cs="宋体"/>
          <w:sz w:val="24"/>
        </w:rPr>
        <w:t>, </w:t>
      </w:r>
      <w:hyperlink r:id="rId22" w:history="1">
        <w:r w:rsidRPr="003F1C6C">
          <w:rPr>
            <w:rFonts w:ascii="Book Antiqua" w:hAnsi="Book Antiqua" w:cs="宋体"/>
            <w:sz w:val="24"/>
          </w:rPr>
          <w:t>Sherief LM</w:t>
        </w:r>
      </w:hyperlink>
      <w:r w:rsidRPr="003F1C6C">
        <w:rPr>
          <w:rFonts w:ascii="Book Antiqua" w:hAnsi="Book Antiqua" w:cs="宋体"/>
          <w:sz w:val="24"/>
        </w:rPr>
        <w:t>. High-intensity light-emitting diode vs fluorescent tubes for intensive phototherapy in neonates. </w:t>
      </w:r>
      <w:r w:rsidRPr="003F1C6C">
        <w:rPr>
          <w:rFonts w:ascii="Book Antiqua" w:hAnsi="Book Antiqua" w:cs="宋体"/>
          <w:i/>
          <w:iCs/>
          <w:sz w:val="24"/>
        </w:rPr>
        <w:t>Paediatr Int Child Health</w:t>
      </w:r>
      <w:r w:rsidRPr="003F1C6C">
        <w:rPr>
          <w:rFonts w:ascii="Book Antiqua" w:hAnsi="Book Antiqua" w:cs="宋体"/>
          <w:sz w:val="24"/>
        </w:rPr>
        <w:t xml:space="preserve"> 2015; Epub ahead of print [PMID: 25844870 DOI: </w:t>
      </w:r>
      <w:hyperlink r:id="rId23" w:tgtFrame="_blank" w:history="1">
        <w:r w:rsidRPr="003F1C6C">
          <w:rPr>
            <w:rStyle w:val="Hyperlink"/>
            <w:rFonts w:ascii="Book Antiqua" w:hAnsi="Book Antiqua"/>
            <w:color w:val="auto"/>
            <w:sz w:val="24"/>
            <w:u w:val="none"/>
            <w:shd w:val="clear" w:color="auto" w:fill="FFFFFF"/>
          </w:rPr>
          <w:t>10.1179/2046905515Y.0000000006</w:t>
        </w:r>
      </w:hyperlink>
      <w:r w:rsidRPr="003F1C6C">
        <w:rPr>
          <w:rFonts w:ascii="Book Antiqua" w:hAnsi="Book Antiqua" w:cs="宋体"/>
          <w:sz w:val="24"/>
        </w:rPr>
        <w:t>]</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30 </w:t>
      </w:r>
      <w:r w:rsidRPr="003F1C6C">
        <w:rPr>
          <w:rFonts w:ascii="Book Antiqua" w:hAnsi="Book Antiqua" w:cs="宋体"/>
          <w:b/>
          <w:bCs/>
          <w:sz w:val="24"/>
        </w:rPr>
        <w:t>Bansal A</w:t>
      </w:r>
      <w:r w:rsidRPr="003F1C6C">
        <w:rPr>
          <w:rFonts w:ascii="Book Antiqua" w:hAnsi="Book Antiqua" w:cs="宋体"/>
          <w:sz w:val="24"/>
        </w:rPr>
        <w:t>, Jain S, Parmar VR, Chawla D. Bilirubin rebound after intensive phototherapy for neonatal jaundice. </w:t>
      </w:r>
      <w:r w:rsidRPr="003F1C6C">
        <w:rPr>
          <w:rFonts w:ascii="Book Antiqua" w:hAnsi="Book Antiqua" w:cs="宋体"/>
          <w:i/>
          <w:iCs/>
          <w:sz w:val="24"/>
        </w:rPr>
        <w:t>Indian Pediatr</w:t>
      </w:r>
      <w:r w:rsidRPr="003F1C6C">
        <w:rPr>
          <w:rFonts w:ascii="Book Antiqua" w:hAnsi="Book Antiqua" w:cs="宋体"/>
          <w:sz w:val="24"/>
        </w:rPr>
        <w:t> 2010; </w:t>
      </w:r>
      <w:r w:rsidRPr="003F1C6C">
        <w:rPr>
          <w:rFonts w:ascii="Book Antiqua" w:hAnsi="Book Antiqua" w:cs="宋体"/>
          <w:b/>
          <w:bCs/>
          <w:sz w:val="24"/>
        </w:rPr>
        <w:t>47</w:t>
      </w:r>
      <w:r w:rsidRPr="003F1C6C">
        <w:rPr>
          <w:rFonts w:ascii="Book Antiqua" w:hAnsi="Book Antiqua" w:cs="宋体"/>
          <w:sz w:val="24"/>
        </w:rPr>
        <w:t xml:space="preserve">: 607-609 [PMID: 20019393 DOI: </w:t>
      </w:r>
      <w:hyperlink r:id="rId24" w:tgtFrame="_blank" w:history="1">
        <w:r w:rsidRPr="003F1C6C">
          <w:rPr>
            <w:rStyle w:val="Hyperlink"/>
            <w:rFonts w:ascii="Book Antiqua" w:hAnsi="Book Antiqua"/>
            <w:color w:val="auto"/>
            <w:sz w:val="24"/>
            <w:u w:val="none"/>
            <w:shd w:val="clear" w:color="auto" w:fill="FFFFFF"/>
          </w:rPr>
          <w:t>10.1007/s13312-010-0133-z</w:t>
        </w:r>
      </w:hyperlink>
      <w:r w:rsidRPr="003F1C6C">
        <w:rPr>
          <w:rFonts w:ascii="Book Antiqua" w:hAnsi="Book Antiqua" w:cs="宋体"/>
          <w:sz w:val="24"/>
        </w:rPr>
        <w:t>]</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31 </w:t>
      </w:r>
      <w:r w:rsidRPr="003F1C6C">
        <w:rPr>
          <w:rFonts w:ascii="Book Antiqua" w:hAnsi="Book Antiqua" w:cs="宋体"/>
          <w:b/>
          <w:bCs/>
          <w:sz w:val="24"/>
        </w:rPr>
        <w:t>Bhutani VK</w:t>
      </w:r>
      <w:r w:rsidRPr="003F1C6C">
        <w:rPr>
          <w:rFonts w:ascii="Book Antiqua" w:hAnsi="Book Antiqua" w:cs="宋体"/>
          <w:sz w:val="24"/>
        </w:rPr>
        <w:t>, Cline BK, Donaldson KM, Vreman HJ. The need to implement effective phototherapy in resource-constrained settings. </w:t>
      </w:r>
      <w:r w:rsidRPr="003F1C6C">
        <w:rPr>
          <w:rFonts w:ascii="Book Antiqua" w:hAnsi="Book Antiqua" w:cs="宋体"/>
          <w:i/>
          <w:iCs/>
          <w:sz w:val="24"/>
        </w:rPr>
        <w:t>Semin Perinatol</w:t>
      </w:r>
      <w:r w:rsidRPr="003F1C6C">
        <w:rPr>
          <w:rFonts w:ascii="Book Antiqua" w:hAnsi="Book Antiqua" w:cs="宋体"/>
          <w:sz w:val="24"/>
        </w:rPr>
        <w:t> 2011; </w:t>
      </w:r>
      <w:r w:rsidRPr="003F1C6C">
        <w:rPr>
          <w:rFonts w:ascii="Book Antiqua" w:hAnsi="Book Antiqua" w:cs="宋体"/>
          <w:b/>
          <w:bCs/>
          <w:sz w:val="24"/>
        </w:rPr>
        <w:t>35</w:t>
      </w:r>
      <w:r w:rsidRPr="003F1C6C">
        <w:rPr>
          <w:rFonts w:ascii="Book Antiqua" w:hAnsi="Book Antiqua" w:cs="宋体"/>
          <w:sz w:val="24"/>
        </w:rPr>
        <w:t>: 192-197 [PMID: 21641494 DOI: 10.1053/j.semperi.2011.02.015]</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32 </w:t>
      </w:r>
      <w:r w:rsidRPr="003F1C6C">
        <w:rPr>
          <w:rFonts w:ascii="Book Antiqua" w:hAnsi="Book Antiqua" w:cs="宋体"/>
          <w:b/>
          <w:bCs/>
          <w:sz w:val="24"/>
        </w:rPr>
        <w:t>Pejaver RK</w:t>
      </w:r>
      <w:r w:rsidRPr="003F1C6C">
        <w:rPr>
          <w:rFonts w:ascii="Book Antiqua" w:hAnsi="Book Antiqua" w:cs="宋体"/>
          <w:sz w:val="24"/>
        </w:rPr>
        <w:t>, Vishwanath J. An audit of phototherapy units. </w:t>
      </w:r>
      <w:r w:rsidRPr="003F1C6C">
        <w:rPr>
          <w:rFonts w:ascii="Book Antiqua" w:hAnsi="Book Antiqua" w:cs="宋体"/>
          <w:i/>
          <w:iCs/>
          <w:sz w:val="24"/>
        </w:rPr>
        <w:t>Indian J Pediatr</w:t>
      </w:r>
      <w:r w:rsidRPr="003F1C6C">
        <w:rPr>
          <w:rFonts w:ascii="Book Antiqua" w:hAnsi="Book Antiqua" w:cs="宋体"/>
          <w:sz w:val="24"/>
        </w:rPr>
        <w:t> 2000; </w:t>
      </w:r>
      <w:r w:rsidRPr="003F1C6C">
        <w:rPr>
          <w:rFonts w:ascii="Book Antiqua" w:hAnsi="Book Antiqua" w:cs="宋体"/>
          <w:b/>
          <w:bCs/>
          <w:sz w:val="24"/>
        </w:rPr>
        <w:t>67</w:t>
      </w:r>
      <w:r w:rsidRPr="003F1C6C">
        <w:rPr>
          <w:rFonts w:ascii="Book Antiqua" w:hAnsi="Book Antiqua" w:cs="宋体"/>
          <w:sz w:val="24"/>
        </w:rPr>
        <w:t>: 883-884 [PMID: 11262986]</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33 </w:t>
      </w:r>
      <w:r w:rsidRPr="003F1C6C">
        <w:rPr>
          <w:rFonts w:ascii="Book Antiqua" w:hAnsi="Book Antiqua" w:cs="宋体"/>
          <w:b/>
          <w:bCs/>
          <w:sz w:val="24"/>
        </w:rPr>
        <w:t>Cline BK</w:t>
      </w:r>
      <w:r w:rsidRPr="003F1C6C">
        <w:rPr>
          <w:rFonts w:ascii="Book Antiqua" w:hAnsi="Book Antiqua" w:cs="宋体"/>
          <w:sz w:val="24"/>
        </w:rPr>
        <w:t>, Vreman HJ, Faber K, Lou H, Donaldson KM, Amuabunosi E, Ofovwe G, Bhutani VK, Olusanya BO, Slusher TM. Phototherapy device effectiveness in Nigeria: irradiance assessment and potential for improvement. </w:t>
      </w:r>
      <w:r w:rsidRPr="003F1C6C">
        <w:rPr>
          <w:rFonts w:ascii="Book Antiqua" w:hAnsi="Book Antiqua" w:cs="宋体"/>
          <w:i/>
          <w:iCs/>
          <w:sz w:val="24"/>
        </w:rPr>
        <w:t>J Trop Pediatr</w:t>
      </w:r>
      <w:r w:rsidRPr="003F1C6C">
        <w:rPr>
          <w:rFonts w:ascii="Book Antiqua" w:hAnsi="Book Antiqua" w:cs="宋体"/>
          <w:sz w:val="24"/>
        </w:rPr>
        <w:t> 2013; </w:t>
      </w:r>
      <w:r w:rsidRPr="003F1C6C">
        <w:rPr>
          <w:rFonts w:ascii="Book Antiqua" w:hAnsi="Book Antiqua" w:cs="宋体"/>
          <w:b/>
          <w:bCs/>
          <w:sz w:val="24"/>
        </w:rPr>
        <w:t>59</w:t>
      </w:r>
      <w:r w:rsidRPr="003F1C6C">
        <w:rPr>
          <w:rFonts w:ascii="Book Antiqua" w:hAnsi="Book Antiqua" w:cs="宋体"/>
          <w:sz w:val="24"/>
        </w:rPr>
        <w:t>: 321-325 [PMID: 23666953 DOI: 10.1093/tropej/fmt027]</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34 </w:t>
      </w:r>
      <w:r w:rsidRPr="003F1C6C">
        <w:rPr>
          <w:rFonts w:ascii="Book Antiqua" w:hAnsi="Book Antiqua" w:cs="宋体"/>
          <w:b/>
          <w:bCs/>
          <w:sz w:val="24"/>
        </w:rPr>
        <w:t>Owa JA</w:t>
      </w:r>
      <w:r w:rsidRPr="003F1C6C">
        <w:rPr>
          <w:rFonts w:ascii="Book Antiqua" w:hAnsi="Book Antiqua" w:cs="宋体"/>
          <w:sz w:val="24"/>
        </w:rPr>
        <w:t>, Adebami OJ, Fadero FF, Slusher TM. Irradiance readings of phototherapy equipment: Nigeria. </w:t>
      </w:r>
      <w:r w:rsidRPr="003F1C6C">
        <w:rPr>
          <w:rFonts w:ascii="Book Antiqua" w:hAnsi="Book Antiqua" w:cs="宋体"/>
          <w:i/>
          <w:iCs/>
          <w:sz w:val="24"/>
        </w:rPr>
        <w:t>Indian J Pediatr</w:t>
      </w:r>
      <w:r w:rsidRPr="003F1C6C">
        <w:rPr>
          <w:rFonts w:ascii="Book Antiqua" w:hAnsi="Book Antiqua" w:cs="宋体"/>
          <w:sz w:val="24"/>
        </w:rPr>
        <w:t> 2011; </w:t>
      </w:r>
      <w:r w:rsidRPr="003F1C6C">
        <w:rPr>
          <w:rFonts w:ascii="Book Antiqua" w:hAnsi="Book Antiqua" w:cs="宋体"/>
          <w:b/>
          <w:bCs/>
          <w:sz w:val="24"/>
        </w:rPr>
        <w:t>78</w:t>
      </w:r>
      <w:r w:rsidRPr="003F1C6C">
        <w:rPr>
          <w:rFonts w:ascii="Book Antiqua" w:hAnsi="Book Antiqua" w:cs="宋体"/>
          <w:sz w:val="24"/>
        </w:rPr>
        <w:t>: 996-998 [PMID: 21340724 DOI: 10.1007/s12098-011-0382-4]</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35 </w:t>
      </w:r>
      <w:r w:rsidRPr="003F1C6C">
        <w:rPr>
          <w:rFonts w:ascii="Book Antiqua" w:hAnsi="Book Antiqua" w:cs="宋体"/>
          <w:b/>
          <w:bCs/>
          <w:sz w:val="24"/>
        </w:rPr>
        <w:t>Satrom K</w:t>
      </w:r>
      <w:r w:rsidRPr="003F1C6C">
        <w:rPr>
          <w:rFonts w:ascii="Book Antiqua" w:hAnsi="Book Antiqua" w:cs="宋体"/>
          <w:sz w:val="24"/>
        </w:rPr>
        <w:t>, Slusher T, Satrom J. Effectiveness of phototherapy units in Cameroon. </w:t>
      </w:r>
      <w:r w:rsidRPr="003F1C6C">
        <w:rPr>
          <w:rFonts w:ascii="Book Antiqua" w:hAnsi="Book Antiqua" w:cs="宋体"/>
          <w:i/>
          <w:iCs/>
          <w:sz w:val="24"/>
        </w:rPr>
        <w:t>J Trop Pediatr</w:t>
      </w:r>
      <w:r w:rsidRPr="003F1C6C">
        <w:rPr>
          <w:rFonts w:ascii="Book Antiqua" w:hAnsi="Book Antiqua" w:cs="宋体"/>
          <w:sz w:val="24"/>
        </w:rPr>
        <w:t> 2014; </w:t>
      </w:r>
      <w:r w:rsidRPr="003F1C6C">
        <w:rPr>
          <w:rFonts w:ascii="Book Antiqua" w:hAnsi="Book Antiqua" w:cs="宋体"/>
          <w:b/>
          <w:bCs/>
          <w:sz w:val="24"/>
        </w:rPr>
        <w:t>60</w:t>
      </w:r>
      <w:r w:rsidRPr="003F1C6C">
        <w:rPr>
          <w:rFonts w:ascii="Book Antiqua" w:hAnsi="Book Antiqua" w:cs="宋体"/>
          <w:sz w:val="24"/>
        </w:rPr>
        <w:t>: 264-266 [PMID: 24415750 DOI: 10.1093/tropej/fmt110]</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36 </w:t>
      </w:r>
      <w:r w:rsidRPr="003F1C6C">
        <w:rPr>
          <w:rFonts w:ascii="Book Antiqua" w:hAnsi="Book Antiqua" w:cs="宋体"/>
          <w:b/>
          <w:bCs/>
          <w:sz w:val="24"/>
        </w:rPr>
        <w:t>Mittal R</w:t>
      </w:r>
      <w:r w:rsidRPr="003F1C6C">
        <w:rPr>
          <w:rFonts w:ascii="Book Antiqua" w:hAnsi="Book Antiqua" w:cs="宋体"/>
          <w:sz w:val="24"/>
        </w:rPr>
        <w:t>, Ramesh AV, Panwar SS, Nilkanthan A, Nair S, Mehra PR. Auditory neuropathy spectrum disorder: its prevalence and audiological characteristics in an Indian tertiary care hospital. </w:t>
      </w:r>
      <w:r w:rsidRPr="003F1C6C">
        <w:rPr>
          <w:rFonts w:ascii="Book Antiqua" w:hAnsi="Book Antiqua" w:cs="宋体"/>
          <w:i/>
          <w:iCs/>
          <w:sz w:val="24"/>
        </w:rPr>
        <w:t>Int J Pediatr Otorhinolaryngol</w:t>
      </w:r>
      <w:r w:rsidRPr="003F1C6C">
        <w:rPr>
          <w:rFonts w:ascii="Book Antiqua" w:hAnsi="Book Antiqua" w:cs="宋体"/>
          <w:sz w:val="24"/>
        </w:rPr>
        <w:t> 2012; </w:t>
      </w:r>
      <w:r w:rsidRPr="003F1C6C">
        <w:rPr>
          <w:rFonts w:ascii="Book Antiqua" w:hAnsi="Book Antiqua" w:cs="宋体"/>
          <w:b/>
          <w:bCs/>
          <w:sz w:val="24"/>
        </w:rPr>
        <w:t>76</w:t>
      </w:r>
      <w:r w:rsidRPr="003F1C6C">
        <w:rPr>
          <w:rFonts w:ascii="Book Antiqua" w:hAnsi="Book Antiqua" w:cs="宋体"/>
          <w:sz w:val="24"/>
        </w:rPr>
        <w:t>: 1351-1354 [PMID: 22795739 DOI: 10.1016/j.ijporl.2012.06.005]</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37 </w:t>
      </w:r>
      <w:r w:rsidRPr="003F1C6C">
        <w:rPr>
          <w:rFonts w:ascii="Book Antiqua" w:hAnsi="Book Antiqua" w:cs="宋体"/>
          <w:b/>
          <w:bCs/>
          <w:sz w:val="24"/>
        </w:rPr>
        <w:t>Olusanya BO</w:t>
      </w:r>
      <w:r w:rsidRPr="003F1C6C">
        <w:rPr>
          <w:rFonts w:ascii="Book Antiqua" w:hAnsi="Book Antiqua" w:cs="宋体"/>
          <w:sz w:val="24"/>
        </w:rPr>
        <w:t>, Akande AA, Emokpae A, Olowe SA. Infants with severe neonatal jaundice in Lagos, Nigeria: incidence, correlates and hearing screening outcomes. </w:t>
      </w:r>
      <w:r w:rsidRPr="003F1C6C">
        <w:rPr>
          <w:rFonts w:ascii="Book Antiqua" w:hAnsi="Book Antiqua" w:cs="宋体"/>
          <w:i/>
          <w:iCs/>
          <w:sz w:val="24"/>
        </w:rPr>
        <w:t>Trop Med Int Health</w:t>
      </w:r>
      <w:r w:rsidRPr="003F1C6C">
        <w:rPr>
          <w:rFonts w:ascii="Book Antiqua" w:hAnsi="Book Antiqua" w:cs="宋体"/>
          <w:sz w:val="24"/>
        </w:rPr>
        <w:t> 2009; </w:t>
      </w:r>
      <w:r w:rsidRPr="003F1C6C">
        <w:rPr>
          <w:rFonts w:ascii="Book Antiqua" w:hAnsi="Book Antiqua" w:cs="宋体"/>
          <w:b/>
          <w:bCs/>
          <w:sz w:val="24"/>
        </w:rPr>
        <w:t>14</w:t>
      </w:r>
      <w:r w:rsidRPr="003F1C6C">
        <w:rPr>
          <w:rFonts w:ascii="Book Antiqua" w:hAnsi="Book Antiqua" w:cs="宋体"/>
          <w:sz w:val="24"/>
        </w:rPr>
        <w:t>: 301-310 [PMID: 19187520 DOI: 10.1111/j.1365-3156.2009.02223.x]</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38 </w:t>
      </w:r>
      <w:r w:rsidRPr="003F1C6C">
        <w:rPr>
          <w:rFonts w:ascii="Book Antiqua" w:hAnsi="Book Antiqua" w:cs="宋体"/>
          <w:b/>
          <w:bCs/>
          <w:sz w:val="24"/>
        </w:rPr>
        <w:t>Slusher TM</w:t>
      </w:r>
      <w:r w:rsidRPr="003F1C6C">
        <w:rPr>
          <w:rFonts w:ascii="Book Antiqua" w:hAnsi="Book Antiqua" w:cs="宋体"/>
          <w:sz w:val="24"/>
        </w:rPr>
        <w:t>, Vreman HJ, Olusanya BO, Wong RJ, Brearley AM, Vaucher YE, Stevenson DK. Safety and efficacy of filtered sunlight in treatment of jaundice in African neonates. </w:t>
      </w:r>
      <w:r w:rsidRPr="003F1C6C">
        <w:rPr>
          <w:rFonts w:ascii="Book Antiqua" w:hAnsi="Book Antiqua" w:cs="宋体"/>
          <w:i/>
          <w:iCs/>
          <w:sz w:val="24"/>
        </w:rPr>
        <w:t>Pediatrics</w:t>
      </w:r>
      <w:r w:rsidRPr="003F1C6C">
        <w:rPr>
          <w:rFonts w:ascii="Book Antiqua" w:hAnsi="Book Antiqua" w:cs="宋体"/>
          <w:sz w:val="24"/>
        </w:rPr>
        <w:t> 2014; </w:t>
      </w:r>
      <w:r w:rsidRPr="003F1C6C">
        <w:rPr>
          <w:rFonts w:ascii="Book Antiqua" w:hAnsi="Book Antiqua" w:cs="宋体"/>
          <w:b/>
          <w:bCs/>
          <w:sz w:val="24"/>
        </w:rPr>
        <w:t>133</w:t>
      </w:r>
      <w:r w:rsidRPr="003F1C6C">
        <w:rPr>
          <w:rFonts w:ascii="Book Antiqua" w:hAnsi="Book Antiqua" w:cs="宋体"/>
          <w:sz w:val="24"/>
        </w:rPr>
        <w:t>: e1568-e1574 [PMID: 24864170 DOI: 10.1542/peds.2013-3500]</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39 </w:t>
      </w:r>
      <w:r w:rsidRPr="003F1C6C">
        <w:rPr>
          <w:rFonts w:ascii="Book Antiqua" w:hAnsi="Book Antiqua" w:cs="宋体"/>
          <w:b/>
          <w:bCs/>
          <w:sz w:val="24"/>
        </w:rPr>
        <w:t>Slusher TM</w:t>
      </w:r>
      <w:r w:rsidRPr="003F1C6C">
        <w:rPr>
          <w:rFonts w:ascii="Book Antiqua" w:hAnsi="Book Antiqua" w:cs="宋体"/>
          <w:sz w:val="24"/>
        </w:rPr>
        <w:t>, Olusanya BO, Vreman HJ, Brearley AM, Vaucher YE, Lund TC, Wong RJ, Emokpae AA, Stevenson DK. A Randomized Trial of Phototherapy with Filtered Sunlight in African Neonates. </w:t>
      </w:r>
      <w:r w:rsidRPr="003F1C6C">
        <w:rPr>
          <w:rFonts w:ascii="Book Antiqua" w:hAnsi="Book Antiqua" w:cs="宋体"/>
          <w:i/>
          <w:iCs/>
          <w:sz w:val="24"/>
        </w:rPr>
        <w:t>N Engl J Med</w:t>
      </w:r>
      <w:r w:rsidRPr="003F1C6C">
        <w:rPr>
          <w:rFonts w:ascii="Book Antiqua" w:hAnsi="Book Antiqua" w:cs="宋体"/>
          <w:sz w:val="24"/>
        </w:rPr>
        <w:t> 2015; </w:t>
      </w:r>
      <w:r w:rsidRPr="003F1C6C">
        <w:rPr>
          <w:rFonts w:ascii="Book Antiqua" w:hAnsi="Book Antiqua" w:cs="宋体"/>
          <w:b/>
          <w:bCs/>
          <w:sz w:val="24"/>
        </w:rPr>
        <w:t>373</w:t>
      </w:r>
      <w:r w:rsidRPr="003F1C6C">
        <w:rPr>
          <w:rFonts w:ascii="Book Antiqua" w:hAnsi="Book Antiqua" w:cs="宋体"/>
          <w:sz w:val="24"/>
        </w:rPr>
        <w:t>: 1115-1124 [PMID: 26376136 DOI: 10.1056/NEJMoa1501074]</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40 </w:t>
      </w:r>
      <w:r w:rsidRPr="003F1C6C">
        <w:rPr>
          <w:rFonts w:ascii="Book Antiqua" w:hAnsi="Book Antiqua" w:cs="宋体"/>
          <w:b/>
          <w:bCs/>
          <w:sz w:val="24"/>
        </w:rPr>
        <w:t>Mehta S</w:t>
      </w:r>
      <w:r w:rsidRPr="003F1C6C">
        <w:rPr>
          <w:rFonts w:ascii="Book Antiqua" w:hAnsi="Book Antiqua" w:cs="宋体"/>
          <w:sz w:val="24"/>
        </w:rPr>
        <w:t>, Kumar P, Narang A. A randomized controlled trial of fluid supplementation in term neonates with severe hyperbilirubinemia. </w:t>
      </w:r>
      <w:r w:rsidRPr="003F1C6C">
        <w:rPr>
          <w:rFonts w:ascii="Book Antiqua" w:hAnsi="Book Antiqua" w:cs="宋体"/>
          <w:i/>
          <w:iCs/>
          <w:sz w:val="24"/>
        </w:rPr>
        <w:t>J Pediatr</w:t>
      </w:r>
      <w:r w:rsidRPr="003F1C6C">
        <w:rPr>
          <w:rFonts w:ascii="Book Antiqua" w:hAnsi="Book Antiqua" w:cs="宋体"/>
          <w:sz w:val="24"/>
        </w:rPr>
        <w:t> 2005; </w:t>
      </w:r>
      <w:r w:rsidRPr="003F1C6C">
        <w:rPr>
          <w:rFonts w:ascii="Book Antiqua" w:hAnsi="Book Antiqua" w:cs="宋体"/>
          <w:b/>
          <w:bCs/>
          <w:sz w:val="24"/>
        </w:rPr>
        <w:t>147</w:t>
      </w:r>
      <w:r w:rsidRPr="003F1C6C">
        <w:rPr>
          <w:rFonts w:ascii="Book Antiqua" w:hAnsi="Book Antiqua" w:cs="宋体"/>
          <w:sz w:val="24"/>
        </w:rPr>
        <w:t xml:space="preserve">: 781-785 [PMID: 16356431 DOI: </w:t>
      </w:r>
      <w:hyperlink r:id="rId25" w:tgtFrame="_blank" w:history="1">
        <w:r w:rsidRPr="003F1C6C">
          <w:rPr>
            <w:rStyle w:val="Hyperlink"/>
            <w:rFonts w:ascii="Book Antiqua" w:hAnsi="Book Antiqua"/>
            <w:color w:val="auto"/>
            <w:sz w:val="24"/>
            <w:u w:val="none"/>
            <w:shd w:val="clear" w:color="auto" w:fill="FFFFFF"/>
          </w:rPr>
          <w:t>10.1016/j.jpeds.2005.07.026</w:t>
        </w:r>
      </w:hyperlink>
      <w:r w:rsidRPr="003F1C6C">
        <w:rPr>
          <w:rFonts w:ascii="Book Antiqua" w:hAnsi="Book Antiqua" w:cs="宋体"/>
          <w:sz w:val="24"/>
        </w:rPr>
        <w:t>]</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41 </w:t>
      </w:r>
      <w:r w:rsidRPr="003F1C6C">
        <w:rPr>
          <w:rFonts w:ascii="Book Antiqua" w:hAnsi="Book Antiqua" w:cs="宋体"/>
          <w:b/>
          <w:bCs/>
          <w:sz w:val="24"/>
        </w:rPr>
        <w:t>Alcock GS</w:t>
      </w:r>
      <w:r w:rsidRPr="003F1C6C">
        <w:rPr>
          <w:rFonts w:ascii="Book Antiqua" w:hAnsi="Book Antiqua" w:cs="宋体"/>
          <w:sz w:val="24"/>
        </w:rPr>
        <w:t>, Liley H. Immunoglobulin infusion for isoimmune haemolytic jaundice in neonates. </w:t>
      </w:r>
      <w:r w:rsidRPr="003F1C6C">
        <w:rPr>
          <w:rFonts w:ascii="Book Antiqua" w:hAnsi="Book Antiqua" w:cs="宋体"/>
          <w:i/>
          <w:iCs/>
          <w:sz w:val="24"/>
        </w:rPr>
        <w:t>Cochrane Database Syst Rev</w:t>
      </w:r>
      <w:r w:rsidRPr="003F1C6C">
        <w:rPr>
          <w:rFonts w:ascii="Book Antiqua" w:hAnsi="Book Antiqua" w:cs="宋体"/>
          <w:sz w:val="24"/>
        </w:rPr>
        <w:t> 2002; </w:t>
      </w:r>
      <w:r w:rsidRPr="003F1C6C">
        <w:rPr>
          <w:rFonts w:ascii="Book Antiqua" w:hAnsi="Book Antiqua" w:cs="宋体"/>
          <w:b/>
          <w:bCs/>
          <w:sz w:val="24"/>
        </w:rPr>
        <w:t>(3)</w:t>
      </w:r>
      <w:r w:rsidRPr="003F1C6C">
        <w:rPr>
          <w:rFonts w:ascii="Book Antiqua" w:hAnsi="Book Antiqua" w:cs="宋体"/>
          <w:bCs/>
          <w:sz w:val="24"/>
        </w:rPr>
        <w:t>:</w:t>
      </w:r>
      <w:r w:rsidRPr="003F1C6C">
        <w:rPr>
          <w:rFonts w:ascii="Book Antiqua" w:hAnsi="Book Antiqua" w:cs="宋体"/>
          <w:sz w:val="24"/>
        </w:rPr>
        <w:t xml:space="preserve"> CD003313 [PMID: 12137687 DOI: </w:t>
      </w:r>
      <w:hyperlink r:id="rId26" w:tgtFrame="_blank" w:history="1">
        <w:r w:rsidRPr="003F1C6C">
          <w:rPr>
            <w:rStyle w:val="Hyperlink"/>
            <w:rFonts w:ascii="Book Antiqua" w:hAnsi="Book Antiqua"/>
            <w:color w:val="auto"/>
            <w:sz w:val="24"/>
            <w:u w:val="none"/>
            <w:shd w:val="clear" w:color="auto" w:fill="FFFFFF"/>
          </w:rPr>
          <w:t>10.1002/14651858.cd003313</w:t>
        </w:r>
      </w:hyperlink>
      <w:r w:rsidRPr="003F1C6C">
        <w:rPr>
          <w:rFonts w:ascii="Book Antiqua" w:hAnsi="Book Antiqua" w:cs="宋体"/>
          <w:sz w:val="24"/>
        </w:rPr>
        <w:t>]</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42 </w:t>
      </w:r>
      <w:r w:rsidRPr="003F1C6C">
        <w:rPr>
          <w:rFonts w:ascii="Book Antiqua" w:hAnsi="Book Antiqua" w:cs="宋体"/>
          <w:b/>
          <w:bCs/>
          <w:sz w:val="24"/>
        </w:rPr>
        <w:t>Stern SC</w:t>
      </w:r>
      <w:r w:rsidRPr="003F1C6C">
        <w:rPr>
          <w:rFonts w:ascii="Book Antiqua" w:hAnsi="Book Antiqua" w:cs="宋体"/>
          <w:sz w:val="24"/>
        </w:rPr>
        <w:t>, Cockburn H, de Silva PM. Current practice in neonatal exchange transfusions: a retrospective audit based at one transfusion centre. </w:t>
      </w:r>
      <w:r w:rsidRPr="003F1C6C">
        <w:rPr>
          <w:rFonts w:ascii="Book Antiqua" w:hAnsi="Book Antiqua" w:cs="宋体"/>
          <w:i/>
          <w:iCs/>
          <w:sz w:val="24"/>
        </w:rPr>
        <w:t>Transfus Med</w:t>
      </w:r>
      <w:r w:rsidRPr="003F1C6C">
        <w:rPr>
          <w:rFonts w:ascii="Book Antiqua" w:hAnsi="Book Antiqua" w:cs="宋体"/>
          <w:sz w:val="24"/>
        </w:rPr>
        <w:t> 1998; </w:t>
      </w:r>
      <w:r w:rsidRPr="003F1C6C">
        <w:rPr>
          <w:rFonts w:ascii="Book Antiqua" w:hAnsi="Book Antiqua" w:cs="宋体"/>
          <w:b/>
          <w:bCs/>
          <w:sz w:val="24"/>
        </w:rPr>
        <w:t>8</w:t>
      </w:r>
      <w:r w:rsidRPr="003F1C6C">
        <w:rPr>
          <w:rFonts w:ascii="Book Antiqua" w:hAnsi="Book Antiqua" w:cs="宋体"/>
          <w:sz w:val="24"/>
        </w:rPr>
        <w:t xml:space="preserve">: 97-101 [PMID: 9675785 DOI: </w:t>
      </w:r>
      <w:hyperlink r:id="rId27" w:tgtFrame="_blank" w:history="1">
        <w:r w:rsidRPr="003F1C6C">
          <w:rPr>
            <w:rStyle w:val="Hyperlink"/>
            <w:rFonts w:ascii="Book Antiqua" w:hAnsi="Book Antiqua"/>
            <w:color w:val="auto"/>
            <w:sz w:val="24"/>
            <w:u w:val="none"/>
            <w:shd w:val="clear" w:color="auto" w:fill="FFFFFF"/>
          </w:rPr>
          <w:t>10.1046/j.1365-3148.1998.00133.x</w:t>
        </w:r>
      </w:hyperlink>
      <w:r w:rsidRPr="003F1C6C">
        <w:rPr>
          <w:rFonts w:ascii="Book Antiqua" w:hAnsi="Book Antiqua" w:cs="宋体"/>
          <w:sz w:val="24"/>
        </w:rPr>
        <w:t>]</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43 </w:t>
      </w:r>
      <w:r w:rsidRPr="003F1C6C">
        <w:rPr>
          <w:rFonts w:ascii="Book Antiqua" w:hAnsi="Book Antiqua" w:cs="宋体"/>
          <w:b/>
          <w:bCs/>
          <w:sz w:val="24"/>
        </w:rPr>
        <w:t>Ackerman BD</w:t>
      </w:r>
      <w:r w:rsidRPr="003F1C6C">
        <w:rPr>
          <w:rFonts w:ascii="Book Antiqua" w:hAnsi="Book Antiqua" w:cs="宋体"/>
          <w:sz w:val="24"/>
        </w:rPr>
        <w:t>, Dyer GY, Taylor PM. Decline in serum bilirubin concentration coincident with clinical onset of kernicterus. </w:t>
      </w:r>
      <w:r w:rsidRPr="003F1C6C">
        <w:rPr>
          <w:rFonts w:ascii="Book Antiqua" w:hAnsi="Book Antiqua" w:cs="宋体"/>
          <w:i/>
          <w:iCs/>
          <w:sz w:val="24"/>
        </w:rPr>
        <w:t>Pediatrics</w:t>
      </w:r>
      <w:r w:rsidRPr="003F1C6C">
        <w:rPr>
          <w:rFonts w:ascii="Book Antiqua" w:hAnsi="Book Antiqua" w:cs="宋体"/>
          <w:sz w:val="24"/>
        </w:rPr>
        <w:t> 1971; </w:t>
      </w:r>
      <w:r w:rsidRPr="003F1C6C">
        <w:rPr>
          <w:rFonts w:ascii="Book Antiqua" w:hAnsi="Book Antiqua" w:cs="宋体"/>
          <w:b/>
          <w:bCs/>
          <w:sz w:val="24"/>
        </w:rPr>
        <w:t>48</w:t>
      </w:r>
      <w:r w:rsidRPr="003F1C6C">
        <w:rPr>
          <w:rFonts w:ascii="Book Antiqua" w:hAnsi="Book Antiqua" w:cs="宋体"/>
          <w:sz w:val="24"/>
        </w:rPr>
        <w:t>: 647-650 [PMID: 5114751]</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 xml:space="preserve">44 </w:t>
      </w:r>
      <w:r w:rsidRPr="003F1C6C">
        <w:rPr>
          <w:rFonts w:ascii="Book Antiqua" w:hAnsi="Book Antiqua" w:cs="宋体"/>
          <w:b/>
          <w:sz w:val="24"/>
        </w:rPr>
        <w:t>Laditan AAO</w:t>
      </w:r>
      <w:r w:rsidRPr="003F1C6C">
        <w:rPr>
          <w:rFonts w:ascii="Book Antiqua" w:hAnsi="Book Antiqua" w:cs="宋体"/>
          <w:sz w:val="24"/>
        </w:rPr>
        <w:t xml:space="preserve">, Effiong CE, Antia AU. Morbidity and Mortality from Exchange Blood Transfusion in Neonatal Jaundice. </w:t>
      </w:r>
      <w:r w:rsidRPr="003F1C6C">
        <w:rPr>
          <w:rFonts w:ascii="Book Antiqua" w:hAnsi="Book Antiqua" w:cs="宋体"/>
          <w:i/>
          <w:sz w:val="24"/>
        </w:rPr>
        <w:t>Niger J Paediatr</w:t>
      </w:r>
      <w:r w:rsidRPr="003F1C6C">
        <w:rPr>
          <w:rFonts w:ascii="Book Antiqua" w:hAnsi="Book Antiqua" w:cs="宋体"/>
          <w:sz w:val="24"/>
        </w:rPr>
        <w:t xml:space="preserve"> 1975; </w:t>
      </w:r>
      <w:r w:rsidRPr="003F1C6C">
        <w:rPr>
          <w:rFonts w:ascii="Book Antiqua" w:hAnsi="Book Antiqua" w:cs="宋体"/>
          <w:b/>
          <w:sz w:val="24"/>
        </w:rPr>
        <w:t>2</w:t>
      </w:r>
      <w:r w:rsidRPr="003F1C6C">
        <w:rPr>
          <w:rFonts w:ascii="Book Antiqua" w:hAnsi="Book Antiqua" w:cs="宋体"/>
          <w:sz w:val="24"/>
        </w:rPr>
        <w:t>: 42-46</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45 </w:t>
      </w:r>
      <w:r w:rsidRPr="003F1C6C">
        <w:rPr>
          <w:rFonts w:ascii="Book Antiqua" w:hAnsi="Book Antiqua" w:cs="宋体"/>
          <w:b/>
          <w:bCs/>
          <w:sz w:val="24"/>
        </w:rPr>
        <w:t>Samanta S</w:t>
      </w:r>
      <w:r w:rsidRPr="003F1C6C">
        <w:rPr>
          <w:rFonts w:ascii="Book Antiqua" w:hAnsi="Book Antiqua" w:cs="宋体"/>
          <w:sz w:val="24"/>
        </w:rPr>
        <w:t>, Kumar P, Kishore SS, Garewal G, Narang A. Donor blood glucose 6-phosphate dehydrogenase deficiency reduces the efficacy of exchange transfusion in neonatal hyperbilirubinemia. </w:t>
      </w:r>
      <w:r w:rsidRPr="003F1C6C">
        <w:rPr>
          <w:rFonts w:ascii="Book Antiqua" w:hAnsi="Book Antiqua" w:cs="宋体"/>
          <w:i/>
          <w:iCs/>
          <w:sz w:val="24"/>
        </w:rPr>
        <w:t>Pediatrics</w:t>
      </w:r>
      <w:r w:rsidRPr="003F1C6C">
        <w:rPr>
          <w:rFonts w:ascii="Book Antiqua" w:hAnsi="Book Antiqua" w:cs="宋体"/>
          <w:sz w:val="24"/>
        </w:rPr>
        <w:t> 2009; </w:t>
      </w:r>
      <w:r w:rsidRPr="003F1C6C">
        <w:rPr>
          <w:rFonts w:ascii="Book Antiqua" w:hAnsi="Book Antiqua" w:cs="宋体"/>
          <w:b/>
          <w:bCs/>
          <w:sz w:val="24"/>
        </w:rPr>
        <w:t>123</w:t>
      </w:r>
      <w:r w:rsidRPr="003F1C6C">
        <w:rPr>
          <w:rFonts w:ascii="Book Antiqua" w:hAnsi="Book Antiqua" w:cs="宋体"/>
          <w:sz w:val="24"/>
        </w:rPr>
        <w:t>: e96-e100 [PMID: 19103674 DOI: 10.1542/peds.2008-2021]</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46 </w:t>
      </w:r>
      <w:r w:rsidRPr="003F1C6C">
        <w:rPr>
          <w:rFonts w:ascii="Book Antiqua" w:hAnsi="Book Antiqua" w:cs="宋体"/>
          <w:b/>
          <w:bCs/>
          <w:sz w:val="24"/>
        </w:rPr>
        <w:t>Saksena P</w:t>
      </w:r>
      <w:r w:rsidRPr="003F1C6C">
        <w:rPr>
          <w:rFonts w:ascii="Book Antiqua" w:hAnsi="Book Antiqua" w:cs="宋体"/>
          <w:sz w:val="24"/>
        </w:rPr>
        <w:t>, Reyburn H, Njau B, Chonya S, Mbakilwa H, Mills A. Patient costs for paediatric hospital admissions in Tanzania: a neglected burden? </w:t>
      </w:r>
      <w:r w:rsidRPr="003F1C6C">
        <w:rPr>
          <w:rFonts w:ascii="Book Antiqua" w:hAnsi="Book Antiqua" w:cs="宋体"/>
          <w:i/>
          <w:iCs/>
          <w:sz w:val="24"/>
        </w:rPr>
        <w:t>Health Policy Plan</w:t>
      </w:r>
      <w:r w:rsidRPr="003F1C6C">
        <w:rPr>
          <w:rFonts w:ascii="Book Antiqua" w:hAnsi="Book Antiqua" w:cs="宋体"/>
          <w:sz w:val="24"/>
        </w:rPr>
        <w:t> 2010; </w:t>
      </w:r>
      <w:r w:rsidRPr="003F1C6C">
        <w:rPr>
          <w:rFonts w:ascii="Book Antiqua" w:hAnsi="Book Antiqua" w:cs="宋体"/>
          <w:b/>
          <w:bCs/>
          <w:sz w:val="24"/>
        </w:rPr>
        <w:t>25</w:t>
      </w:r>
      <w:r w:rsidRPr="003F1C6C">
        <w:rPr>
          <w:rFonts w:ascii="Book Antiqua" w:hAnsi="Book Antiqua" w:cs="宋体"/>
          <w:sz w:val="24"/>
        </w:rPr>
        <w:t>: 328-333 [PMID: 20129938 DOI: 10.1093/heapol/czq003]</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47 </w:t>
      </w:r>
      <w:r w:rsidRPr="003F1C6C">
        <w:rPr>
          <w:rFonts w:ascii="Book Antiqua" w:hAnsi="Book Antiqua" w:cs="宋体"/>
          <w:b/>
          <w:bCs/>
          <w:sz w:val="24"/>
        </w:rPr>
        <w:t>Ekwochi U</w:t>
      </w:r>
      <w:r w:rsidRPr="003F1C6C">
        <w:rPr>
          <w:rFonts w:ascii="Book Antiqua" w:hAnsi="Book Antiqua" w:cs="宋体"/>
          <w:sz w:val="24"/>
        </w:rPr>
        <w:t>, Osuorah DC, Ndu IK, Ezenwosu OU, Amadi OF, Nwokoye IC, Odetunde OI. Out-of-pocket cost of managing sick newborns in Enugu, southeast Nigeria. </w:t>
      </w:r>
      <w:r w:rsidRPr="003F1C6C">
        <w:rPr>
          <w:rFonts w:ascii="Book Antiqua" w:hAnsi="Book Antiqua" w:cs="宋体"/>
          <w:i/>
          <w:iCs/>
          <w:sz w:val="24"/>
        </w:rPr>
        <w:t>Clinicoecon Outcomes Res</w:t>
      </w:r>
      <w:r w:rsidRPr="003F1C6C">
        <w:rPr>
          <w:rFonts w:ascii="Book Antiqua" w:hAnsi="Book Antiqua" w:cs="宋体"/>
          <w:sz w:val="24"/>
        </w:rPr>
        <w:t> 2014; </w:t>
      </w:r>
      <w:r w:rsidRPr="003F1C6C">
        <w:rPr>
          <w:rFonts w:ascii="Book Antiqua" w:hAnsi="Book Antiqua" w:cs="宋体"/>
          <w:b/>
          <w:bCs/>
          <w:sz w:val="24"/>
        </w:rPr>
        <w:t>6</w:t>
      </w:r>
      <w:r w:rsidRPr="003F1C6C">
        <w:rPr>
          <w:rFonts w:ascii="Book Antiqua" w:hAnsi="Book Antiqua" w:cs="宋体"/>
          <w:sz w:val="24"/>
        </w:rPr>
        <w:t>: 29-35 [PMID: 24470764 DOI: 10.2147/CEOR.S54674]</w:t>
      </w:r>
    </w:p>
    <w:p w:rsidR="0092149B" w:rsidRPr="003F1C6C" w:rsidRDefault="0092149B" w:rsidP="00D235D9">
      <w:pPr>
        <w:spacing w:line="360" w:lineRule="auto"/>
        <w:rPr>
          <w:rFonts w:ascii="Book Antiqua" w:hAnsi="Book Antiqua" w:cs="宋体"/>
          <w:sz w:val="24"/>
        </w:rPr>
      </w:pPr>
      <w:r w:rsidRPr="003F1C6C">
        <w:rPr>
          <w:rFonts w:ascii="Book Antiqua" w:hAnsi="Book Antiqua" w:cs="宋体"/>
          <w:sz w:val="24"/>
        </w:rPr>
        <w:t>48 </w:t>
      </w:r>
      <w:r w:rsidRPr="003F1C6C">
        <w:rPr>
          <w:rFonts w:ascii="Book Antiqua" w:hAnsi="Book Antiqua" w:cs="宋体"/>
          <w:b/>
          <w:bCs/>
          <w:sz w:val="24"/>
        </w:rPr>
        <w:t>Ibekwe RC</w:t>
      </w:r>
      <w:r w:rsidRPr="003F1C6C">
        <w:rPr>
          <w:rFonts w:ascii="Book Antiqua" w:hAnsi="Book Antiqua" w:cs="宋体"/>
          <w:sz w:val="24"/>
        </w:rPr>
        <w:t>, Ibekwe MU, Muoneke VU. Outcome of exchange blood transfusions done for neonatal jaundice in abakaliki, South eastern Nigeria. </w:t>
      </w:r>
      <w:r w:rsidRPr="003F1C6C">
        <w:rPr>
          <w:rFonts w:ascii="Book Antiqua" w:hAnsi="Book Antiqua" w:cs="宋体"/>
          <w:i/>
          <w:iCs/>
          <w:sz w:val="24"/>
        </w:rPr>
        <w:t>J Clin Neonatol</w:t>
      </w:r>
      <w:r w:rsidRPr="003F1C6C">
        <w:rPr>
          <w:rFonts w:ascii="Book Antiqua" w:hAnsi="Book Antiqua" w:cs="宋体"/>
          <w:sz w:val="24"/>
        </w:rPr>
        <w:t> 2012; </w:t>
      </w:r>
      <w:r w:rsidRPr="003F1C6C">
        <w:rPr>
          <w:rFonts w:ascii="Book Antiqua" w:hAnsi="Book Antiqua" w:cs="宋体"/>
          <w:b/>
          <w:bCs/>
          <w:sz w:val="24"/>
        </w:rPr>
        <w:t>1</w:t>
      </w:r>
      <w:r w:rsidRPr="003F1C6C">
        <w:rPr>
          <w:rFonts w:ascii="Book Antiqua" w:hAnsi="Book Antiqua" w:cs="宋体"/>
          <w:sz w:val="24"/>
        </w:rPr>
        <w:t>: 34-37 [PMID: 24027683 DOI: 10.4103/2249-4847.92239]</w:t>
      </w:r>
    </w:p>
    <w:p w:rsidR="0092149B" w:rsidRPr="003F1C6C" w:rsidRDefault="0092149B" w:rsidP="00D235D9">
      <w:pPr>
        <w:spacing w:line="360" w:lineRule="auto"/>
        <w:rPr>
          <w:rFonts w:ascii="Book Antiqua" w:hAnsi="Book Antiqua"/>
          <w:sz w:val="24"/>
        </w:rPr>
      </w:pPr>
    </w:p>
    <w:p w:rsidR="0092149B" w:rsidRPr="003F1C6C" w:rsidRDefault="0092149B" w:rsidP="00F07260">
      <w:pPr>
        <w:wordWrap w:val="0"/>
        <w:spacing w:line="360" w:lineRule="auto"/>
        <w:ind w:left="31680" w:hangingChars="200" w:firstLine="31680"/>
        <w:jc w:val="right"/>
        <w:rPr>
          <w:rFonts w:ascii="Book Antiqua" w:hAnsi="Book Antiqua"/>
          <w:color w:val="000000"/>
          <w:sz w:val="24"/>
        </w:rPr>
      </w:pPr>
      <w:bookmarkStart w:id="7" w:name="OLE_LINK22"/>
      <w:bookmarkStart w:id="8" w:name="OLE_LINK23"/>
      <w:r w:rsidRPr="003F1C6C">
        <w:rPr>
          <w:rFonts w:ascii="Book Antiqua" w:hAnsi="Book Antiqua"/>
          <w:b/>
          <w:sz w:val="24"/>
        </w:rPr>
        <w:t>P- Reviewer:</w:t>
      </w:r>
      <w:r w:rsidRPr="003F1C6C">
        <w:rPr>
          <w:rFonts w:ascii="Book Antiqua" w:hAnsi="Book Antiqua"/>
          <w:color w:val="000000"/>
          <w:sz w:val="24"/>
        </w:rPr>
        <w:t xml:space="preserve"> </w:t>
      </w:r>
      <w:r w:rsidRPr="003F1C6C">
        <w:rPr>
          <w:rFonts w:ascii="Book Antiqua" w:hAnsi="Book Antiqua" w:cs="宋体"/>
          <w:sz w:val="24"/>
        </w:rPr>
        <w:t xml:space="preserve">Mostafa BE, Sergi CM, Sangkhathat S, Teng RJ </w:t>
      </w:r>
      <w:r w:rsidRPr="003F1C6C">
        <w:rPr>
          <w:rFonts w:ascii="Book Antiqua" w:hAnsi="Book Antiqua"/>
          <w:color w:val="000000"/>
          <w:sz w:val="24"/>
        </w:rPr>
        <w:t xml:space="preserve">    </w:t>
      </w:r>
      <w:r w:rsidRPr="003F1C6C">
        <w:rPr>
          <w:rFonts w:ascii="Book Antiqua" w:hAnsi="Book Antiqua"/>
          <w:b/>
          <w:sz w:val="24"/>
        </w:rPr>
        <w:t>S- Editor:</w:t>
      </w:r>
      <w:r w:rsidRPr="003F1C6C">
        <w:rPr>
          <w:rFonts w:ascii="Book Antiqua" w:hAnsi="Book Antiqua"/>
          <w:sz w:val="24"/>
        </w:rPr>
        <w:t xml:space="preserve"> Gong XM</w:t>
      </w:r>
    </w:p>
    <w:p w:rsidR="0092149B" w:rsidRPr="003F1C6C" w:rsidRDefault="0092149B" w:rsidP="007070FA">
      <w:pPr>
        <w:spacing w:line="360" w:lineRule="auto"/>
        <w:ind w:left="31680" w:hangingChars="200" w:firstLine="31680"/>
        <w:jc w:val="right"/>
        <w:rPr>
          <w:rFonts w:ascii="Book Antiqua" w:hAnsi="Book Antiqua"/>
          <w:b/>
          <w:sz w:val="24"/>
          <w:lang w:eastAsia="zh-CN"/>
        </w:rPr>
      </w:pPr>
      <w:r w:rsidRPr="003F1C6C">
        <w:rPr>
          <w:rFonts w:ascii="Book Antiqua" w:hAnsi="Book Antiqua"/>
          <w:b/>
          <w:sz w:val="24"/>
        </w:rPr>
        <w:t xml:space="preserve"> L- Editor:</w:t>
      </w:r>
      <w:r w:rsidRPr="003F1C6C">
        <w:rPr>
          <w:rFonts w:ascii="Book Antiqua" w:hAnsi="Book Antiqua"/>
          <w:sz w:val="24"/>
        </w:rPr>
        <w:t xml:space="preserve"> </w:t>
      </w:r>
      <w:r w:rsidRPr="003F1C6C">
        <w:rPr>
          <w:rFonts w:ascii="Book Antiqua" w:hAnsi="Book Antiqua"/>
          <w:b/>
          <w:sz w:val="24"/>
        </w:rPr>
        <w:t>E- Editor:</w:t>
      </w:r>
      <w:bookmarkEnd w:id="7"/>
      <w:bookmarkEnd w:id="8"/>
    </w:p>
    <w:p w:rsidR="0092149B" w:rsidRPr="003F1C6C" w:rsidRDefault="0092149B" w:rsidP="003A50A3">
      <w:pPr>
        <w:spacing w:line="360" w:lineRule="auto"/>
        <w:rPr>
          <w:rFonts w:ascii="Book Antiqua" w:hAnsi="Book Antiqua"/>
          <w:noProof/>
          <w:sz w:val="24"/>
          <w:szCs w:val="24"/>
          <w:lang w:eastAsia="en-GB"/>
        </w:rPr>
      </w:pPr>
      <w:r w:rsidRPr="003F1C6C">
        <w:rPr>
          <w:rFonts w:ascii="Book Antiqua" w:hAnsi="Book Antiqua"/>
          <w:noProof/>
          <w:sz w:val="24"/>
          <w:szCs w:val="24"/>
          <w:lang w:eastAsia="en-GB"/>
        </w:rPr>
        <w:br w:type="page"/>
      </w:r>
      <w:r w:rsidRPr="009C39E9">
        <w:rPr>
          <w:rFonts w:ascii="Book Antiqua" w:hAnsi="Book Antiqua"/>
          <w:noProof/>
          <w:sz w:val="24"/>
          <w:szCs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20pt;height:564.75pt;visibility:visible">
            <v:imagedata r:id="rId28" o:title=""/>
          </v:shape>
        </w:pict>
      </w:r>
    </w:p>
    <w:p w:rsidR="0092149B" w:rsidRPr="003F1C6C" w:rsidRDefault="0092149B" w:rsidP="003A50A3">
      <w:pPr>
        <w:tabs>
          <w:tab w:val="left" w:pos="4222"/>
        </w:tabs>
        <w:spacing w:line="360" w:lineRule="auto"/>
        <w:rPr>
          <w:rFonts w:ascii="Book Antiqua" w:hAnsi="Book Antiqua" w:cs="Times New Roman"/>
          <w:sz w:val="24"/>
          <w:szCs w:val="24"/>
        </w:rPr>
      </w:pPr>
    </w:p>
    <w:p w:rsidR="0092149B" w:rsidRPr="003F1C6C" w:rsidRDefault="0092149B" w:rsidP="003A50A3">
      <w:pPr>
        <w:tabs>
          <w:tab w:val="left" w:pos="4222"/>
        </w:tabs>
        <w:spacing w:line="360" w:lineRule="auto"/>
        <w:rPr>
          <w:rFonts w:ascii="Book Antiqua" w:hAnsi="Book Antiqua" w:cs="Times New Roman"/>
          <w:b/>
          <w:sz w:val="24"/>
          <w:szCs w:val="24"/>
          <w:lang w:eastAsia="zh-CN"/>
        </w:rPr>
      </w:pPr>
      <w:r w:rsidRPr="003F1C6C">
        <w:rPr>
          <w:rFonts w:ascii="Book Antiqua" w:hAnsi="Book Antiqua" w:cs="Times New Roman"/>
          <w:b/>
          <w:sz w:val="24"/>
          <w:szCs w:val="24"/>
        </w:rPr>
        <w:t>Figure 1 Metabolic pathway of bilirubin neurotoxicity</w:t>
      </w:r>
      <w:r w:rsidRPr="003F1C6C">
        <w:rPr>
          <w:rFonts w:ascii="Book Antiqua" w:hAnsi="Book Antiqua" w:cs="Times New Roman"/>
          <w:b/>
          <w:sz w:val="24"/>
          <w:szCs w:val="24"/>
          <w:lang w:eastAsia="zh-CN"/>
        </w:rPr>
        <w:t xml:space="preserve">. </w:t>
      </w:r>
      <w:r w:rsidRPr="003F1C6C">
        <w:rPr>
          <w:rFonts w:ascii="Book Antiqua" w:hAnsi="Book Antiqua" w:cs="Times New Roman"/>
          <w:sz w:val="24"/>
          <w:szCs w:val="24"/>
          <w:lang w:eastAsia="zh-CN"/>
        </w:rPr>
        <w:t xml:space="preserve">ABE: </w:t>
      </w:r>
      <w:r w:rsidRPr="003F1C6C">
        <w:rPr>
          <w:rFonts w:ascii="Book Antiqua" w:hAnsi="Book Antiqua" w:cs="Times New Roman"/>
          <w:noProof/>
          <w:sz w:val="24"/>
          <w:szCs w:val="24"/>
          <w:lang w:val="en-US" w:eastAsia="en-GB"/>
        </w:rPr>
        <w:t>Acute bilirubin encephalopathy</w:t>
      </w:r>
      <w:r w:rsidRPr="003F1C6C">
        <w:rPr>
          <w:rFonts w:ascii="Book Antiqua" w:hAnsi="Book Antiqua" w:cs="Times New Roman"/>
          <w:noProof/>
          <w:sz w:val="24"/>
          <w:szCs w:val="24"/>
          <w:lang w:val="en-US" w:eastAsia="zh-CN"/>
        </w:rPr>
        <w:t xml:space="preserve">. </w:t>
      </w:r>
    </w:p>
    <w:p w:rsidR="0092149B" w:rsidRPr="003F1C6C" w:rsidRDefault="0092149B" w:rsidP="003A50A3">
      <w:pPr>
        <w:spacing w:line="360" w:lineRule="auto"/>
        <w:rPr>
          <w:rFonts w:ascii="Book Antiqua" w:hAnsi="Book Antiqua"/>
          <w:noProof/>
          <w:sz w:val="24"/>
          <w:szCs w:val="24"/>
          <w:lang w:eastAsia="en-GB"/>
        </w:rPr>
      </w:pPr>
    </w:p>
    <w:p w:rsidR="0092149B" w:rsidRPr="003F1C6C" w:rsidRDefault="0092149B" w:rsidP="003A50A3">
      <w:pPr>
        <w:spacing w:line="360" w:lineRule="auto"/>
        <w:rPr>
          <w:rFonts w:ascii="Book Antiqua" w:hAnsi="Book Antiqua"/>
          <w:noProof/>
          <w:sz w:val="24"/>
          <w:szCs w:val="24"/>
          <w:lang w:eastAsia="en-GB"/>
        </w:rPr>
      </w:pPr>
    </w:p>
    <w:p w:rsidR="0092149B" w:rsidRPr="003F1C6C" w:rsidRDefault="0092149B" w:rsidP="003A50A3">
      <w:pPr>
        <w:spacing w:line="360" w:lineRule="auto"/>
        <w:rPr>
          <w:rFonts w:ascii="Book Antiqua" w:hAnsi="Book Antiqua"/>
          <w:sz w:val="24"/>
          <w:szCs w:val="24"/>
        </w:rPr>
      </w:pPr>
      <w:r w:rsidRPr="009C39E9">
        <w:rPr>
          <w:rFonts w:ascii="Book Antiqua" w:hAnsi="Book Antiqua"/>
          <w:noProof/>
          <w:sz w:val="24"/>
          <w:szCs w:val="24"/>
          <w:lang w:val="en-US" w:eastAsia="zh-CN"/>
        </w:rPr>
        <w:pict>
          <v:shape id="Diagram 1" o:spid="_x0000_i1026" type="#_x0000_t75" style="width:440.25pt;height:339.75pt;visibility:visible">
            <v:imagedata r:id="rId29" o:title=""/>
          </v:shape>
        </w:pict>
      </w:r>
    </w:p>
    <w:p w:rsidR="0092149B" w:rsidRPr="003F1C6C" w:rsidRDefault="0092149B" w:rsidP="003A50A3">
      <w:pPr>
        <w:spacing w:line="360" w:lineRule="auto"/>
        <w:rPr>
          <w:rFonts w:ascii="Book Antiqua" w:hAnsi="Book Antiqua"/>
          <w:sz w:val="24"/>
          <w:szCs w:val="24"/>
        </w:rPr>
      </w:pPr>
      <w:r w:rsidRPr="003F1C6C">
        <w:rPr>
          <w:rFonts w:ascii="Book Antiqua" w:hAnsi="Book Antiqua"/>
          <w:b/>
          <w:sz w:val="24"/>
          <w:szCs w:val="24"/>
        </w:rPr>
        <w:t>Figure 2 Sequence of events and potential delays following the decision to initiate exchange transfusion</w:t>
      </w:r>
      <w:r w:rsidRPr="003F1C6C">
        <w:rPr>
          <w:rFonts w:ascii="Book Antiqua" w:hAnsi="Book Antiqua"/>
          <w:b/>
          <w:sz w:val="24"/>
          <w:szCs w:val="24"/>
          <w:lang w:eastAsia="zh-CN"/>
        </w:rPr>
        <w:t>.</w:t>
      </w:r>
      <w:r w:rsidRPr="003F1C6C">
        <w:rPr>
          <w:rFonts w:ascii="Book Antiqua" w:hAnsi="Book Antiqua"/>
          <w:b/>
          <w:sz w:val="24"/>
          <w:szCs w:val="24"/>
        </w:rPr>
        <w:t xml:space="preserve"> </w:t>
      </w:r>
    </w:p>
    <w:p w:rsidR="0092149B" w:rsidRPr="003F1C6C" w:rsidRDefault="0092149B" w:rsidP="003A50A3">
      <w:pPr>
        <w:spacing w:line="360" w:lineRule="auto"/>
        <w:rPr>
          <w:rFonts w:ascii="Book Antiqua" w:hAnsi="Book Antiqua"/>
          <w:sz w:val="24"/>
          <w:szCs w:val="24"/>
        </w:rPr>
      </w:pPr>
    </w:p>
    <w:p w:rsidR="0092149B" w:rsidRPr="003F1C6C" w:rsidRDefault="0092149B" w:rsidP="003A50A3">
      <w:pPr>
        <w:spacing w:line="360" w:lineRule="auto"/>
        <w:rPr>
          <w:rFonts w:ascii="Book Antiqua" w:hAnsi="Book Antiqua"/>
          <w:sz w:val="24"/>
          <w:szCs w:val="24"/>
          <w:lang w:eastAsia="en-GB"/>
        </w:rPr>
      </w:pPr>
    </w:p>
    <w:p w:rsidR="0092149B" w:rsidRPr="003F1C6C" w:rsidRDefault="0092149B" w:rsidP="003A50A3">
      <w:pPr>
        <w:spacing w:line="360" w:lineRule="auto"/>
        <w:rPr>
          <w:rFonts w:ascii="Book Antiqua" w:hAnsi="Book Antiqua"/>
          <w:sz w:val="24"/>
          <w:szCs w:val="24"/>
          <w:lang w:eastAsia="en-GB"/>
        </w:rPr>
      </w:pPr>
    </w:p>
    <w:p w:rsidR="0092149B" w:rsidRPr="003F1C6C" w:rsidRDefault="0092149B" w:rsidP="003A50A3">
      <w:pPr>
        <w:spacing w:line="360" w:lineRule="auto"/>
        <w:rPr>
          <w:rFonts w:ascii="Book Antiqua" w:hAnsi="Book Antiqua"/>
          <w:sz w:val="24"/>
          <w:szCs w:val="24"/>
          <w:lang w:eastAsia="en-GB"/>
        </w:rPr>
      </w:pPr>
    </w:p>
    <w:p w:rsidR="0092149B" w:rsidRPr="003F1C6C" w:rsidRDefault="0092149B" w:rsidP="003A50A3">
      <w:pPr>
        <w:spacing w:line="360" w:lineRule="auto"/>
        <w:rPr>
          <w:rFonts w:ascii="Book Antiqua" w:hAnsi="Book Antiqua"/>
          <w:sz w:val="24"/>
          <w:szCs w:val="24"/>
          <w:lang w:eastAsia="en-GB"/>
        </w:rPr>
      </w:pPr>
    </w:p>
    <w:p w:rsidR="0092149B" w:rsidRPr="003F1C6C" w:rsidRDefault="0092149B" w:rsidP="003A50A3">
      <w:pPr>
        <w:spacing w:line="360" w:lineRule="auto"/>
        <w:rPr>
          <w:rFonts w:ascii="Book Antiqua" w:hAnsi="Book Antiqua"/>
          <w:sz w:val="24"/>
          <w:szCs w:val="24"/>
          <w:lang w:eastAsia="en-GB"/>
        </w:rPr>
      </w:pPr>
    </w:p>
    <w:p w:rsidR="0092149B" w:rsidRPr="003F1C6C" w:rsidRDefault="0092149B" w:rsidP="003A50A3">
      <w:pPr>
        <w:spacing w:line="360" w:lineRule="auto"/>
        <w:rPr>
          <w:rFonts w:ascii="Book Antiqua" w:hAnsi="Book Antiqua"/>
          <w:sz w:val="24"/>
          <w:szCs w:val="24"/>
          <w:lang w:eastAsia="en-GB"/>
        </w:rPr>
      </w:pPr>
    </w:p>
    <w:p w:rsidR="0092149B" w:rsidRPr="003F1C6C" w:rsidRDefault="0092149B" w:rsidP="003A50A3">
      <w:pPr>
        <w:spacing w:line="360" w:lineRule="auto"/>
        <w:rPr>
          <w:rFonts w:ascii="Book Antiqua" w:hAnsi="Book Antiqua"/>
          <w:sz w:val="24"/>
          <w:szCs w:val="24"/>
          <w:lang w:eastAsia="en-GB"/>
        </w:rPr>
      </w:pPr>
    </w:p>
    <w:p w:rsidR="0092149B" w:rsidRPr="003F1C6C" w:rsidRDefault="0092149B" w:rsidP="003A50A3">
      <w:pPr>
        <w:spacing w:line="360" w:lineRule="auto"/>
        <w:rPr>
          <w:rFonts w:ascii="Book Antiqua" w:hAnsi="Book Antiqua"/>
          <w:sz w:val="24"/>
          <w:szCs w:val="24"/>
          <w:lang w:eastAsia="en-GB"/>
        </w:rPr>
      </w:pPr>
    </w:p>
    <w:p w:rsidR="0092149B" w:rsidRPr="003F1C6C" w:rsidRDefault="0092149B" w:rsidP="003A50A3">
      <w:pPr>
        <w:spacing w:line="360" w:lineRule="auto"/>
        <w:rPr>
          <w:rFonts w:ascii="Book Antiqua" w:hAnsi="Book Antiqua"/>
          <w:sz w:val="24"/>
          <w:szCs w:val="24"/>
          <w:lang w:eastAsia="en-GB"/>
        </w:rPr>
      </w:pPr>
    </w:p>
    <w:p w:rsidR="0092149B" w:rsidRPr="003F1C6C" w:rsidRDefault="0092149B" w:rsidP="003A50A3">
      <w:pPr>
        <w:spacing w:line="360" w:lineRule="auto"/>
        <w:rPr>
          <w:rFonts w:ascii="Book Antiqua" w:hAnsi="Book Antiqua"/>
          <w:sz w:val="24"/>
          <w:szCs w:val="24"/>
          <w:lang w:eastAsia="en-GB"/>
        </w:rPr>
      </w:pPr>
    </w:p>
    <w:p w:rsidR="0092149B" w:rsidRPr="003F1C6C" w:rsidRDefault="0092149B" w:rsidP="003A50A3">
      <w:pPr>
        <w:spacing w:line="360" w:lineRule="auto"/>
        <w:rPr>
          <w:rFonts w:ascii="Book Antiqua" w:hAnsi="Book Antiqua"/>
          <w:sz w:val="24"/>
          <w:szCs w:val="24"/>
          <w:lang w:eastAsia="zh-CN"/>
        </w:rPr>
      </w:pPr>
    </w:p>
    <w:p w:rsidR="0092149B" w:rsidRPr="003F1C6C" w:rsidRDefault="0092149B" w:rsidP="003A50A3">
      <w:pPr>
        <w:spacing w:line="360" w:lineRule="auto"/>
        <w:rPr>
          <w:rFonts w:ascii="Book Antiqua" w:hAnsi="Book Antiqua"/>
          <w:sz w:val="24"/>
          <w:szCs w:val="24"/>
          <w:lang w:eastAsia="zh-CN"/>
        </w:rPr>
      </w:pPr>
    </w:p>
    <w:p w:rsidR="0092149B" w:rsidRPr="003F1C6C" w:rsidRDefault="0092149B" w:rsidP="003A50A3">
      <w:pPr>
        <w:spacing w:line="360" w:lineRule="auto"/>
        <w:rPr>
          <w:rFonts w:ascii="Book Antiqua" w:hAnsi="Book Antiqua"/>
          <w:sz w:val="24"/>
          <w:szCs w:val="24"/>
          <w:lang w:eastAsia="zh-CN"/>
        </w:rPr>
      </w:pPr>
    </w:p>
    <w:p w:rsidR="0092149B" w:rsidRPr="003F1C6C" w:rsidRDefault="0092149B" w:rsidP="003A50A3">
      <w:pPr>
        <w:pStyle w:val="NormalWeb"/>
        <w:spacing w:before="0" w:beforeAutospacing="0" w:after="0" w:afterAutospacing="0" w:line="360" w:lineRule="auto"/>
        <w:jc w:val="both"/>
        <w:rPr>
          <w:rFonts w:ascii="Book Antiqua" w:hAnsi="Book Antiqua"/>
          <w:b/>
          <w:noProof/>
          <w:lang w:eastAsia="zh-CN"/>
        </w:rPr>
      </w:pPr>
      <w:r w:rsidRPr="003F1C6C">
        <w:rPr>
          <w:rFonts w:ascii="Book Antiqua" w:hAnsi="Book Antiqua"/>
          <w:b/>
          <w:noProof/>
          <w:lang w:eastAsia="zh-CN"/>
        </w:rPr>
        <w:t xml:space="preserve">Table 1 </w:t>
      </w:r>
      <w:r w:rsidRPr="003F1C6C">
        <w:rPr>
          <w:rFonts w:ascii="Book Antiqua" w:hAnsi="Book Antiqua"/>
          <w:b/>
          <w:noProof/>
        </w:rPr>
        <w:t>Low and middle-income countries with g</w:t>
      </w:r>
      <w:r w:rsidRPr="003F1C6C">
        <w:rPr>
          <w:rFonts w:ascii="Book Antiqua" w:hAnsi="Book Antiqua" w:cs="Arial"/>
          <w:b/>
          <w:noProof/>
        </w:rPr>
        <w:t>ross national income</w:t>
      </w:r>
      <w:r w:rsidRPr="003F1C6C">
        <w:rPr>
          <w:rFonts w:ascii="Book Antiqua" w:hAnsi="Book Antiqua"/>
          <w:b/>
          <w:noProof/>
        </w:rPr>
        <w:t xml:space="preserve"> per ≤</w:t>
      </w:r>
      <w:r w:rsidRPr="003F1C6C">
        <w:rPr>
          <w:rFonts w:ascii="Book Antiqua" w:hAnsi="Book Antiqua"/>
          <w:b/>
          <w:noProof/>
          <w:lang w:eastAsia="zh-CN"/>
        </w:rPr>
        <w:t xml:space="preserve"> </w:t>
      </w:r>
      <w:r w:rsidRPr="003F1C6C">
        <w:rPr>
          <w:rFonts w:ascii="Book Antiqua" w:hAnsi="Book Antiqua"/>
          <w:b/>
          <w:noProof/>
        </w:rPr>
        <w:t>$6000</w:t>
      </w:r>
    </w:p>
    <w:p w:rsidR="0092149B" w:rsidRPr="003F1C6C" w:rsidRDefault="0092149B" w:rsidP="003A50A3">
      <w:pPr>
        <w:pStyle w:val="NormalWeb"/>
        <w:spacing w:before="0" w:beforeAutospacing="0" w:after="0" w:afterAutospacing="0" w:line="360" w:lineRule="auto"/>
        <w:jc w:val="both"/>
        <w:rPr>
          <w:rFonts w:ascii="Book Antiqua" w:hAnsi="Book Antiqua"/>
          <w:b/>
          <w:noProof/>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
        <w:gridCol w:w="1683"/>
        <w:gridCol w:w="1053"/>
        <w:gridCol w:w="1416"/>
        <w:gridCol w:w="962"/>
        <w:gridCol w:w="1283"/>
        <w:gridCol w:w="1163"/>
        <w:gridCol w:w="972"/>
      </w:tblGrid>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b/>
                <w:bCs/>
                <w:color w:val="000000"/>
                <w:sz w:val="24"/>
                <w:szCs w:val="24"/>
                <w:lang w:eastAsia="en-GB"/>
              </w:rPr>
            </w:pPr>
            <w:r w:rsidRPr="009C39E9">
              <w:rPr>
                <w:rFonts w:ascii="Book Antiqua" w:hAnsi="Book Antiqua" w:cs="Calibri"/>
                <w:b/>
                <w:bCs/>
                <w:color w:val="000000"/>
                <w:sz w:val="24"/>
                <w:szCs w:val="24"/>
                <w:lang w:eastAsia="en-GB"/>
              </w:rPr>
              <w:t>SN</w:t>
            </w:r>
          </w:p>
        </w:tc>
        <w:tc>
          <w:tcPr>
            <w:tcW w:w="1160" w:type="dxa"/>
            <w:vAlign w:val="center"/>
          </w:tcPr>
          <w:p w:rsidR="0092149B" w:rsidRPr="009C39E9" w:rsidRDefault="0092149B" w:rsidP="00BF52BA">
            <w:pPr>
              <w:spacing w:line="360" w:lineRule="auto"/>
              <w:jc w:val="left"/>
              <w:rPr>
                <w:rFonts w:ascii="Book Antiqua" w:hAnsi="Book Antiqua" w:cs="Calibri"/>
                <w:b/>
                <w:bCs/>
                <w:color w:val="000000"/>
                <w:sz w:val="24"/>
                <w:szCs w:val="24"/>
                <w:lang w:eastAsia="en-GB"/>
              </w:rPr>
            </w:pPr>
            <w:r w:rsidRPr="009C39E9">
              <w:rPr>
                <w:rFonts w:ascii="Book Antiqua" w:hAnsi="Book Antiqua" w:cs="Calibri"/>
                <w:b/>
                <w:bCs/>
                <w:color w:val="000000"/>
                <w:sz w:val="24"/>
                <w:szCs w:val="24"/>
                <w:lang w:eastAsia="en-GB"/>
              </w:rPr>
              <w:t>Country</w:t>
            </w:r>
          </w:p>
        </w:tc>
        <w:tc>
          <w:tcPr>
            <w:tcW w:w="1161" w:type="dxa"/>
            <w:vAlign w:val="center"/>
          </w:tcPr>
          <w:p w:rsidR="0092149B" w:rsidRPr="009C39E9" w:rsidRDefault="0092149B" w:rsidP="00BF52BA">
            <w:pPr>
              <w:spacing w:line="360" w:lineRule="auto"/>
              <w:jc w:val="center"/>
              <w:rPr>
                <w:rFonts w:ascii="Book Antiqua" w:hAnsi="Book Antiqua" w:cs="Calibri"/>
                <w:b/>
                <w:bCs/>
                <w:color w:val="000000"/>
                <w:sz w:val="24"/>
                <w:szCs w:val="24"/>
                <w:lang w:eastAsia="en-GB"/>
              </w:rPr>
            </w:pPr>
            <w:r w:rsidRPr="009C39E9">
              <w:rPr>
                <w:rFonts w:ascii="Book Antiqua" w:hAnsi="Book Antiqua" w:cs="Calibri"/>
                <w:b/>
                <w:bCs/>
                <w:color w:val="000000"/>
                <w:sz w:val="24"/>
                <w:szCs w:val="24"/>
                <w:lang w:eastAsia="en-GB"/>
              </w:rPr>
              <w:t>Region</w:t>
            </w:r>
          </w:p>
        </w:tc>
        <w:tc>
          <w:tcPr>
            <w:tcW w:w="1161" w:type="dxa"/>
            <w:vAlign w:val="center"/>
          </w:tcPr>
          <w:p w:rsidR="0092149B" w:rsidRPr="009C39E9" w:rsidRDefault="0092149B" w:rsidP="00BF52BA">
            <w:pPr>
              <w:spacing w:line="360" w:lineRule="auto"/>
              <w:jc w:val="center"/>
              <w:rPr>
                <w:rFonts w:ascii="Book Antiqua" w:hAnsi="Book Antiqua" w:cs="Calibri"/>
                <w:b/>
                <w:bCs/>
                <w:color w:val="000000"/>
                <w:sz w:val="24"/>
                <w:szCs w:val="24"/>
                <w:lang w:eastAsia="en-GB"/>
              </w:rPr>
            </w:pPr>
            <w:r w:rsidRPr="009C39E9">
              <w:rPr>
                <w:rFonts w:ascii="Book Antiqua" w:hAnsi="Book Antiqua" w:cs="Calibri"/>
                <w:b/>
                <w:bCs/>
                <w:color w:val="000000"/>
                <w:sz w:val="24"/>
                <w:szCs w:val="24"/>
                <w:lang w:eastAsia="en-GB"/>
              </w:rPr>
              <w:t>Life expectancy (yr)</w:t>
            </w:r>
          </w:p>
        </w:tc>
        <w:tc>
          <w:tcPr>
            <w:tcW w:w="1161" w:type="dxa"/>
            <w:vAlign w:val="center"/>
          </w:tcPr>
          <w:p w:rsidR="0092149B" w:rsidRPr="009C39E9" w:rsidRDefault="0092149B" w:rsidP="00BF52BA">
            <w:pPr>
              <w:spacing w:line="360" w:lineRule="auto"/>
              <w:jc w:val="center"/>
              <w:rPr>
                <w:rFonts w:ascii="Book Antiqua" w:hAnsi="Book Antiqua" w:cs="Calibri"/>
                <w:b/>
                <w:bCs/>
                <w:color w:val="000000"/>
                <w:sz w:val="24"/>
                <w:szCs w:val="24"/>
                <w:lang w:eastAsia="en-GB"/>
              </w:rPr>
            </w:pPr>
            <w:r w:rsidRPr="009C39E9">
              <w:rPr>
                <w:rFonts w:ascii="Book Antiqua" w:hAnsi="Book Antiqua" w:cs="Calibri"/>
                <w:b/>
                <w:bCs/>
                <w:color w:val="000000"/>
                <w:sz w:val="24"/>
                <w:szCs w:val="24"/>
                <w:lang w:eastAsia="en-GB"/>
              </w:rPr>
              <w:t>GNI per capita ($)</w:t>
            </w:r>
          </w:p>
        </w:tc>
        <w:tc>
          <w:tcPr>
            <w:tcW w:w="1161" w:type="dxa"/>
            <w:vAlign w:val="center"/>
          </w:tcPr>
          <w:p w:rsidR="0092149B" w:rsidRPr="009C39E9" w:rsidRDefault="0092149B" w:rsidP="00BF52BA">
            <w:pPr>
              <w:spacing w:line="360" w:lineRule="auto"/>
              <w:jc w:val="center"/>
              <w:rPr>
                <w:rFonts w:ascii="Book Antiqua" w:hAnsi="Book Antiqua" w:cs="Calibri"/>
                <w:b/>
                <w:bCs/>
                <w:color w:val="000000"/>
                <w:sz w:val="24"/>
                <w:szCs w:val="24"/>
                <w:lang w:eastAsia="en-GB"/>
              </w:rPr>
            </w:pPr>
            <w:r w:rsidRPr="009C39E9">
              <w:rPr>
                <w:rFonts w:ascii="Book Antiqua" w:hAnsi="Book Antiqua" w:cs="Calibri"/>
                <w:b/>
                <w:bCs/>
                <w:color w:val="000000"/>
                <w:sz w:val="24"/>
                <w:szCs w:val="24"/>
                <w:lang w:eastAsia="en-GB"/>
              </w:rPr>
              <w:t>Annual livebirths ('000)</w:t>
            </w:r>
          </w:p>
        </w:tc>
        <w:tc>
          <w:tcPr>
            <w:tcW w:w="1161" w:type="dxa"/>
            <w:vAlign w:val="center"/>
          </w:tcPr>
          <w:p w:rsidR="0092149B" w:rsidRPr="009C39E9" w:rsidRDefault="0092149B" w:rsidP="00BF52BA">
            <w:pPr>
              <w:spacing w:line="360" w:lineRule="auto"/>
              <w:jc w:val="center"/>
              <w:rPr>
                <w:rFonts w:ascii="Book Antiqua" w:hAnsi="Book Antiqua" w:cs="Calibri"/>
                <w:b/>
                <w:bCs/>
                <w:color w:val="000000"/>
                <w:sz w:val="24"/>
                <w:szCs w:val="24"/>
                <w:lang w:eastAsia="en-GB"/>
              </w:rPr>
            </w:pPr>
            <w:r w:rsidRPr="009C39E9">
              <w:rPr>
                <w:rFonts w:ascii="Book Antiqua" w:hAnsi="Book Antiqua" w:cs="Calibri"/>
                <w:b/>
                <w:bCs/>
                <w:color w:val="000000"/>
                <w:sz w:val="24"/>
                <w:szCs w:val="24"/>
                <w:lang w:eastAsia="en-GB"/>
              </w:rPr>
              <w:t>Hospital delivery (%)</w:t>
            </w:r>
          </w:p>
        </w:tc>
        <w:tc>
          <w:tcPr>
            <w:tcW w:w="1161" w:type="dxa"/>
            <w:vAlign w:val="center"/>
          </w:tcPr>
          <w:p w:rsidR="0092149B" w:rsidRPr="009C39E9" w:rsidRDefault="0092149B" w:rsidP="00BF52BA">
            <w:pPr>
              <w:spacing w:line="360" w:lineRule="auto"/>
              <w:jc w:val="center"/>
              <w:rPr>
                <w:rFonts w:ascii="Book Antiqua" w:hAnsi="Book Antiqua" w:cs="Calibri"/>
                <w:b/>
                <w:bCs/>
                <w:color w:val="000000"/>
                <w:sz w:val="24"/>
                <w:szCs w:val="24"/>
                <w:lang w:eastAsia="en-GB"/>
              </w:rPr>
            </w:pPr>
            <w:r w:rsidRPr="009C39E9">
              <w:rPr>
                <w:rFonts w:ascii="Book Antiqua" w:hAnsi="Book Antiqua" w:cs="Calibri"/>
                <w:b/>
                <w:bCs/>
                <w:color w:val="000000"/>
                <w:sz w:val="24"/>
                <w:szCs w:val="24"/>
                <w:lang w:eastAsia="en-GB"/>
              </w:rPr>
              <w:t>G6PD Freq</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Afghanistan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SOA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49.1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1000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1408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33</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7.4</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Angola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51.5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4812</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803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46</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15.3</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Armenia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ECA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74.4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5540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99</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Bangladesh</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SOA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69.2</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1785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3016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29</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3.8</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Belize</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LAC</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76.3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5327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89</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2.2</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Benin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56.5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1439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356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87</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23</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Bhutan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SOA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67.6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5246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63</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5.9</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Bolivia, Plurinational State of</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LAC</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66.9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4444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264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68</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0.2</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Burkina Faso</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55.9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1202</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730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66</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9.4</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10</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Burundi</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50.9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544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288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60</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7.2</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11</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Cambodia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EAP</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63.6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2095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317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54</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14.3</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12</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Cameroon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52.1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2114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716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61</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12.5</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13</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Cape Verde</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74.3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3609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76</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0.1</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14</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Central African Republic</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49.1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722</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156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53</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9.2</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15</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Chad</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49.9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1258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511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16</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13.4</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16</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Comoros</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61.5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986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 </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14</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17</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Congo</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57.8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2934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145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92</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22.5</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18</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Congo, Democratic Republic of the</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48.7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319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2,912</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75</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19.2</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19</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Côte d’Ivoire</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1593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679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57</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15</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20</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Cuba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LAC</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79.3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5539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110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100</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21</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Djibouti</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MEN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58.3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2350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87</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0.8</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22</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Egypt</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MEN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73.5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5401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1886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72</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23</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El Salvador</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LAC</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72.4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5915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126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85</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3.3</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24</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Eritrea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62</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531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193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26</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4</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25</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Ethiopia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59.7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1017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2613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10</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26</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Fiji</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EAP</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69.4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4087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 </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27</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Gambia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58.8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1731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56</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11.5</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28</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Georgia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ECA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73.9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5005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98</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1.1</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29</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Ghana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64.6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1684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776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67</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19.6</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30</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Guatemala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LAC</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71.4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4235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473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51</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2.7</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31</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Guinea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54.5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941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394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39</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11.7</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32</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Guinea-Bissau</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48.6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1042</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42</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8.4</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33</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Guyana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LAC</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70.2</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3387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89</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3</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34</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Haiti</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LAC</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62.4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1070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266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25</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5.2</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35</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Honduras</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LAC</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73.4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3426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205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67</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2.9</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36</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India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SOA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65.8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3285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27098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47</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8</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37</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Indonesia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EAP</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69.8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4154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4331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55</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7.1</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38</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Iraq</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MEN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69.6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3557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1144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65</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10.6</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39</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Jordan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MEN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73.5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5272</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154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99</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10</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40</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Kenya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57.7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1541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1560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43</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11.3</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41</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Kiribati</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EAP</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68.4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3079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22</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66</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42</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Kyrgyzstan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ECA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2009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131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97</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0.3</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43</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Lao People’s Democratic Republic</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EAP</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67.8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2435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140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17</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15.6</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44</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Lesotho</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48.7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1879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59</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45</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Liberia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57.3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480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157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37</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9.5</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46</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Madagascar</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66.9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828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747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35</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19.4</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47</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Malawi</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54.8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774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686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73</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20.8</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48</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Mali</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51.9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853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728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45</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12.2</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49</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Marshall Islands</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EAP</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72.3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4040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85</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50</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Mauritania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58.9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2174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118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48</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9.6</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51</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Micronesia, Federated States of</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EAP</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69.2</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3,352</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 </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52</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Moldova, Republic of</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ECA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69.6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3319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99</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53</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Mongolia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EAP</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68.8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4245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99</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54</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Morocco</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MEN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72.4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4384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620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73</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55</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Mozambique</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50.7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906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889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58</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12.1</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56</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Myanmar</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EAP</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65.7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1817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824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36</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6.1</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57</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Namibia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62.6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5973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81</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2.8</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58</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Nepal</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SOA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69.1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1137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722</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35</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5.3</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59</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Nicaragua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LAC</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74.3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2551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138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74</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1.5</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60</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Niger</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55.1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701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777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17</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5.3</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61</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Nigeria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52.3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2102</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6458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35</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16.9</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62</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Pakistan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SOA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65.7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2566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4764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41</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15</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63</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Palestine, State of</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MEN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3359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 </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64</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Papua New Guinea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EAP</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63.1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2386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208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52</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7.4</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65</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Paraguay</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LAC</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72.7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4497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158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82</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3.2</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66</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Philippines</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EAP</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3752</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2358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44</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2.5</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67</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Rwanda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55.7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1147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449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69</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5.8</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68</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Samoa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EAP</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72.7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3928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81</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69</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Sao Tome and Principe</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64.9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1864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79</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7.4</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70</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Senegal</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59.6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1653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471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73</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15.1</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71</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Sierra Leone</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48.1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881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227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50</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7.9</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72</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Solomon Islands</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EAP</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68.2</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2172</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85</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22.3</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73</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Somalia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51.5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150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416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3.1</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74</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South Sudan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 </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 </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75</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Sri Lanka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SOA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75.1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5170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373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98</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2.9</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76</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Sudan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61.8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1848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1447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21</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15.3</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77</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Swaziland</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48.9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5104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80</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8.7</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78</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Syrian Arab Republic</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MEN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4674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466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78</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79</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Tajikistan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ECA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67.8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2119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194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88</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0.8</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80</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Tanzania, United Republic of</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58.9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1383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1913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50</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16.4</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81</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Timor-Leste</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EAP</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62.9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5446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22</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5</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82</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Togo</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57.5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928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195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67</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21.2</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83</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Tonga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EAP</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72.5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4153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98</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84</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Tuvalu</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EAP</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67.5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5650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 </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93</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85</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Uganda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54.5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1168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1545</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57</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14.5</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86</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Uzbekistan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ECA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68.6</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3201</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589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97</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87</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Vanuatu</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EAP</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71.3</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3960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80</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8</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88</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Vietnam</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EAP</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75.4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2970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1458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92</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8.9</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89</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Yemen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MEN</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65.9</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1820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940</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24</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4.6</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90</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Zambia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49.4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1358</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622</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48</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21</w:t>
            </w:r>
          </w:p>
        </w:tc>
      </w:tr>
      <w:tr w:rsidR="0092149B" w:rsidRPr="009C39E9" w:rsidTr="00BF52BA">
        <w:tc>
          <w:tcPr>
            <w:tcW w:w="1160"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91</w:t>
            </w:r>
          </w:p>
        </w:tc>
        <w:tc>
          <w:tcPr>
            <w:tcW w:w="1160" w:type="dxa"/>
            <w:vAlign w:val="center"/>
          </w:tcPr>
          <w:p w:rsidR="0092149B" w:rsidRPr="009C39E9" w:rsidRDefault="0092149B" w:rsidP="00BF52BA">
            <w:pPr>
              <w:spacing w:line="360" w:lineRule="auto"/>
              <w:jc w:val="left"/>
              <w:rPr>
                <w:rFonts w:ascii="Book Antiqua" w:hAnsi="Book Antiqua" w:cs="Calibri"/>
                <w:b/>
                <w:bCs/>
                <w:sz w:val="24"/>
                <w:szCs w:val="24"/>
                <w:lang w:eastAsia="en-GB"/>
              </w:rPr>
            </w:pPr>
            <w:r w:rsidRPr="009C39E9">
              <w:rPr>
                <w:rFonts w:ascii="Book Antiqua" w:hAnsi="Book Antiqua" w:cs="Calibri"/>
                <w:b/>
                <w:bCs/>
                <w:sz w:val="24"/>
                <w:szCs w:val="24"/>
                <w:lang w:eastAsia="en-GB"/>
              </w:rPr>
              <w:t>Zimbabwe</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SSA</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52.7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424</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377</w:t>
            </w:r>
          </w:p>
        </w:tc>
        <w:tc>
          <w:tcPr>
            <w:tcW w:w="1161" w:type="dxa"/>
            <w:vAlign w:val="center"/>
          </w:tcPr>
          <w:p w:rsidR="0092149B" w:rsidRPr="009C39E9" w:rsidRDefault="0092149B" w:rsidP="00BF52BA">
            <w:pPr>
              <w:spacing w:line="360" w:lineRule="auto"/>
              <w:jc w:val="center"/>
              <w:rPr>
                <w:rFonts w:ascii="Book Antiqua" w:hAnsi="Book Antiqua" w:cs="Calibri"/>
                <w:color w:val="000000"/>
                <w:sz w:val="24"/>
                <w:szCs w:val="24"/>
                <w:lang w:eastAsia="en-GB"/>
              </w:rPr>
            </w:pPr>
            <w:r w:rsidRPr="009C39E9">
              <w:rPr>
                <w:rFonts w:ascii="Book Antiqua" w:hAnsi="Book Antiqua" w:cs="Calibri"/>
                <w:color w:val="000000"/>
                <w:sz w:val="24"/>
                <w:szCs w:val="24"/>
                <w:lang w:eastAsia="en-GB"/>
              </w:rPr>
              <w:t>65</w:t>
            </w:r>
          </w:p>
        </w:tc>
        <w:tc>
          <w:tcPr>
            <w:tcW w:w="1161" w:type="dxa"/>
            <w:vAlign w:val="center"/>
          </w:tcPr>
          <w:p w:rsidR="0092149B" w:rsidRPr="009C39E9" w:rsidRDefault="0092149B" w:rsidP="00BF52BA">
            <w:pPr>
              <w:spacing w:line="360" w:lineRule="auto"/>
              <w:jc w:val="center"/>
              <w:rPr>
                <w:rFonts w:ascii="Book Antiqua" w:hAnsi="Book Antiqua" w:cs="Calibri"/>
                <w:bCs/>
                <w:sz w:val="24"/>
                <w:szCs w:val="24"/>
                <w:lang w:eastAsia="en-GB"/>
              </w:rPr>
            </w:pPr>
            <w:r w:rsidRPr="009C39E9">
              <w:rPr>
                <w:rFonts w:ascii="Book Antiqua" w:hAnsi="Book Antiqua" w:cs="Calibri"/>
                <w:bCs/>
                <w:sz w:val="24"/>
                <w:szCs w:val="24"/>
                <w:lang w:eastAsia="en-GB"/>
              </w:rPr>
              <w:t>14.8</w:t>
            </w:r>
          </w:p>
        </w:tc>
      </w:tr>
      <w:tr w:rsidR="0092149B" w:rsidRPr="009C39E9" w:rsidTr="00BF52BA">
        <w:tc>
          <w:tcPr>
            <w:tcW w:w="1160" w:type="dxa"/>
          </w:tcPr>
          <w:p w:rsidR="0092149B" w:rsidRPr="009C39E9" w:rsidRDefault="0092149B" w:rsidP="00BF52BA">
            <w:pPr>
              <w:pStyle w:val="NormalWeb"/>
              <w:spacing w:before="0" w:beforeAutospacing="0" w:after="0" w:afterAutospacing="0" w:line="360" w:lineRule="auto"/>
              <w:jc w:val="both"/>
              <w:rPr>
                <w:rFonts w:ascii="Book Antiqua" w:hAnsi="Book Antiqua"/>
                <w:b/>
                <w:noProof/>
                <w:lang w:eastAsia="zh-CN"/>
              </w:rPr>
            </w:pPr>
          </w:p>
        </w:tc>
        <w:tc>
          <w:tcPr>
            <w:tcW w:w="1160" w:type="dxa"/>
          </w:tcPr>
          <w:p w:rsidR="0092149B" w:rsidRPr="009C39E9" w:rsidRDefault="0092149B" w:rsidP="00BF52BA">
            <w:pPr>
              <w:pStyle w:val="NormalWeb"/>
              <w:spacing w:before="0" w:beforeAutospacing="0" w:after="0" w:afterAutospacing="0" w:line="360" w:lineRule="auto"/>
              <w:jc w:val="both"/>
              <w:rPr>
                <w:rFonts w:ascii="Book Antiqua" w:hAnsi="Book Antiqua"/>
                <w:b/>
                <w:noProof/>
                <w:lang w:eastAsia="zh-CN"/>
              </w:rPr>
            </w:pPr>
          </w:p>
        </w:tc>
        <w:tc>
          <w:tcPr>
            <w:tcW w:w="1161" w:type="dxa"/>
          </w:tcPr>
          <w:p w:rsidR="0092149B" w:rsidRPr="009C39E9" w:rsidRDefault="0092149B" w:rsidP="00BF52BA">
            <w:pPr>
              <w:pStyle w:val="NormalWeb"/>
              <w:spacing w:before="0" w:beforeAutospacing="0" w:after="0" w:afterAutospacing="0" w:line="360" w:lineRule="auto"/>
              <w:jc w:val="both"/>
              <w:rPr>
                <w:rFonts w:ascii="Book Antiqua" w:hAnsi="Book Antiqua"/>
                <w:b/>
                <w:noProof/>
                <w:lang w:eastAsia="zh-CN"/>
              </w:rPr>
            </w:pPr>
          </w:p>
        </w:tc>
        <w:tc>
          <w:tcPr>
            <w:tcW w:w="1161" w:type="dxa"/>
          </w:tcPr>
          <w:p w:rsidR="0092149B" w:rsidRPr="009C39E9" w:rsidRDefault="0092149B" w:rsidP="00BF52BA">
            <w:pPr>
              <w:pStyle w:val="NormalWeb"/>
              <w:spacing w:before="0" w:beforeAutospacing="0" w:after="0" w:afterAutospacing="0" w:line="360" w:lineRule="auto"/>
              <w:jc w:val="both"/>
              <w:rPr>
                <w:rFonts w:ascii="Book Antiqua" w:hAnsi="Book Antiqua"/>
                <w:b/>
                <w:noProof/>
                <w:lang w:eastAsia="zh-CN"/>
              </w:rPr>
            </w:pPr>
          </w:p>
        </w:tc>
        <w:tc>
          <w:tcPr>
            <w:tcW w:w="1161" w:type="dxa"/>
          </w:tcPr>
          <w:p w:rsidR="0092149B" w:rsidRPr="009C39E9" w:rsidRDefault="0092149B" w:rsidP="00BF52BA">
            <w:pPr>
              <w:pStyle w:val="NormalWeb"/>
              <w:spacing w:before="0" w:beforeAutospacing="0" w:after="0" w:afterAutospacing="0" w:line="360" w:lineRule="auto"/>
              <w:jc w:val="both"/>
              <w:rPr>
                <w:rFonts w:ascii="Book Antiqua" w:hAnsi="Book Antiqua"/>
                <w:b/>
                <w:noProof/>
                <w:lang w:eastAsia="zh-CN"/>
              </w:rPr>
            </w:pPr>
          </w:p>
        </w:tc>
        <w:tc>
          <w:tcPr>
            <w:tcW w:w="1161" w:type="dxa"/>
          </w:tcPr>
          <w:p w:rsidR="0092149B" w:rsidRPr="009C39E9" w:rsidRDefault="0092149B" w:rsidP="00BF52BA">
            <w:pPr>
              <w:pStyle w:val="NormalWeb"/>
              <w:spacing w:before="0" w:beforeAutospacing="0" w:after="0" w:afterAutospacing="0" w:line="360" w:lineRule="auto"/>
              <w:jc w:val="both"/>
              <w:rPr>
                <w:rFonts w:ascii="Book Antiqua" w:hAnsi="Book Antiqua"/>
                <w:b/>
                <w:noProof/>
                <w:lang w:eastAsia="zh-CN"/>
              </w:rPr>
            </w:pPr>
          </w:p>
        </w:tc>
        <w:tc>
          <w:tcPr>
            <w:tcW w:w="1161" w:type="dxa"/>
          </w:tcPr>
          <w:p w:rsidR="0092149B" w:rsidRPr="009C39E9" w:rsidRDefault="0092149B" w:rsidP="00BF52BA">
            <w:pPr>
              <w:pStyle w:val="NormalWeb"/>
              <w:spacing w:before="0" w:beforeAutospacing="0" w:after="0" w:afterAutospacing="0" w:line="360" w:lineRule="auto"/>
              <w:jc w:val="both"/>
              <w:rPr>
                <w:rFonts w:ascii="Book Antiqua" w:hAnsi="Book Antiqua"/>
                <w:b/>
                <w:noProof/>
                <w:lang w:eastAsia="zh-CN"/>
              </w:rPr>
            </w:pPr>
          </w:p>
        </w:tc>
        <w:tc>
          <w:tcPr>
            <w:tcW w:w="1161" w:type="dxa"/>
          </w:tcPr>
          <w:p w:rsidR="0092149B" w:rsidRPr="009C39E9" w:rsidRDefault="0092149B" w:rsidP="00BF52BA">
            <w:pPr>
              <w:pStyle w:val="NormalWeb"/>
              <w:spacing w:before="0" w:beforeAutospacing="0" w:after="0" w:afterAutospacing="0" w:line="360" w:lineRule="auto"/>
              <w:jc w:val="both"/>
              <w:rPr>
                <w:rFonts w:ascii="Book Antiqua" w:hAnsi="Book Antiqua"/>
                <w:b/>
                <w:noProof/>
                <w:lang w:eastAsia="zh-CN"/>
              </w:rPr>
            </w:pPr>
          </w:p>
        </w:tc>
      </w:tr>
    </w:tbl>
    <w:p w:rsidR="0092149B" w:rsidRPr="003F1C6C" w:rsidRDefault="0092149B" w:rsidP="003A50A3">
      <w:pPr>
        <w:pStyle w:val="NormalWeb"/>
        <w:spacing w:before="0" w:beforeAutospacing="0" w:after="0" w:afterAutospacing="0" w:line="360" w:lineRule="auto"/>
        <w:jc w:val="both"/>
        <w:rPr>
          <w:rFonts w:ascii="Book Antiqua" w:hAnsi="Book Antiqua"/>
          <w:b/>
          <w:noProof/>
          <w:lang w:eastAsia="zh-CN"/>
        </w:rPr>
      </w:pPr>
    </w:p>
    <w:p w:rsidR="0092149B" w:rsidRPr="006723F9" w:rsidRDefault="0092149B" w:rsidP="003A50A3">
      <w:pPr>
        <w:pStyle w:val="NormalWeb"/>
        <w:spacing w:before="0" w:beforeAutospacing="0" w:after="0" w:afterAutospacing="0" w:line="360" w:lineRule="auto"/>
        <w:jc w:val="both"/>
        <w:rPr>
          <w:rFonts w:ascii="Book Antiqua" w:hAnsi="Book Antiqua"/>
          <w:lang w:eastAsia="zh-CN"/>
        </w:rPr>
      </w:pPr>
      <w:r w:rsidRPr="003F1C6C">
        <w:rPr>
          <w:rFonts w:ascii="Book Antiqua" w:hAnsi="Book Antiqua" w:cs="Arial"/>
          <w:color w:val="000000"/>
        </w:rPr>
        <w:t xml:space="preserve">By world regions, 42 (46%) of these countries are from Sub-Saharan Africa, 18 (20%) from East Asia </w:t>
      </w:r>
      <w:r w:rsidRPr="003F1C6C">
        <w:rPr>
          <w:rFonts w:ascii="Book Antiqua" w:hAnsi="Book Antiqua" w:cs="Arial"/>
          <w:color w:val="000000"/>
          <w:lang w:eastAsia="zh-CN"/>
        </w:rPr>
        <w:t>and</w:t>
      </w:r>
      <w:r w:rsidRPr="003F1C6C">
        <w:rPr>
          <w:rFonts w:ascii="Book Antiqua" w:hAnsi="Book Antiqua" w:cs="Arial"/>
          <w:color w:val="000000"/>
        </w:rPr>
        <w:t xml:space="preserve"> Pacific, 10 (11%) from Latin America </w:t>
      </w:r>
      <w:r w:rsidRPr="003F1C6C">
        <w:rPr>
          <w:rFonts w:ascii="Book Antiqua" w:hAnsi="Book Antiqua" w:cs="Arial"/>
          <w:color w:val="000000"/>
          <w:lang w:eastAsia="zh-CN"/>
        </w:rPr>
        <w:t>and</w:t>
      </w:r>
      <w:r w:rsidRPr="003F1C6C">
        <w:rPr>
          <w:rFonts w:ascii="Book Antiqua" w:hAnsi="Book Antiqua" w:cs="Arial"/>
          <w:color w:val="000000"/>
        </w:rPr>
        <w:t xml:space="preserve"> Caribbean, 8 (9%) from Middle East </w:t>
      </w:r>
      <w:r w:rsidRPr="003F1C6C">
        <w:rPr>
          <w:rFonts w:ascii="Book Antiqua" w:hAnsi="Book Antiqua" w:cs="Arial"/>
          <w:color w:val="000000"/>
          <w:lang w:eastAsia="zh-CN"/>
        </w:rPr>
        <w:t>and</w:t>
      </w:r>
      <w:r w:rsidRPr="003F1C6C">
        <w:rPr>
          <w:rFonts w:ascii="Book Antiqua" w:hAnsi="Book Antiqua" w:cs="Arial"/>
          <w:color w:val="000000"/>
        </w:rPr>
        <w:t xml:space="preserve"> North Africa, 7 (8%) from South Asia and 6 (6%) from Europe </w:t>
      </w:r>
      <w:r w:rsidRPr="003F1C6C">
        <w:rPr>
          <w:rFonts w:ascii="Book Antiqua" w:hAnsi="Book Antiqua" w:cs="Arial"/>
          <w:color w:val="000000"/>
          <w:lang w:eastAsia="zh-CN"/>
        </w:rPr>
        <w:t>and</w:t>
      </w:r>
      <w:r w:rsidRPr="003F1C6C">
        <w:rPr>
          <w:rFonts w:ascii="Book Antiqua" w:hAnsi="Book Antiqua" w:cs="Arial"/>
          <w:color w:val="000000"/>
        </w:rPr>
        <w:t xml:space="preserve"> Central Asia. These 91 countries have an average life expectancy of 63.3 years, account for 64.2% of the total annual live births of roughly 135 million globally, and have a median institutionalized delivery of 65% (IQR: 43.8</w:t>
      </w:r>
      <w:r w:rsidRPr="003F1C6C">
        <w:rPr>
          <w:rFonts w:ascii="Book Antiqua" w:hAnsi="Book Antiqua" w:cs="Arial"/>
          <w:color w:val="000000"/>
          <w:lang w:eastAsia="zh-CN"/>
        </w:rPr>
        <w:t>%</w:t>
      </w:r>
      <w:r w:rsidRPr="003F1C6C">
        <w:rPr>
          <w:rFonts w:ascii="Book Antiqua" w:hAnsi="Book Antiqua" w:cs="Arial"/>
          <w:color w:val="000000"/>
        </w:rPr>
        <w:t>-82.8%). The countries also have a median G6PD deficiency national frequency of 8.2% (IQR: 3.3</w:t>
      </w:r>
      <w:r w:rsidRPr="003F1C6C">
        <w:rPr>
          <w:rFonts w:ascii="Book Antiqua" w:hAnsi="Book Antiqua" w:cs="Arial"/>
          <w:color w:val="000000"/>
          <w:lang w:eastAsia="zh-CN"/>
        </w:rPr>
        <w:t>%</w:t>
      </w:r>
      <w:r w:rsidRPr="003F1C6C">
        <w:rPr>
          <w:rFonts w:ascii="Book Antiqua" w:hAnsi="Book Antiqua" w:cs="Arial"/>
          <w:color w:val="000000"/>
        </w:rPr>
        <w:t>-14.6%).</w:t>
      </w:r>
      <w:r w:rsidRPr="003F1C6C">
        <w:rPr>
          <w:rFonts w:ascii="Book Antiqua" w:hAnsi="Book Antiqua" w:cs="Arial"/>
          <w:color w:val="000000"/>
          <w:lang w:eastAsia="zh-CN"/>
        </w:rPr>
        <w:t xml:space="preserve"> </w:t>
      </w:r>
      <w:r w:rsidRPr="003F1C6C">
        <w:rPr>
          <w:rFonts w:ascii="Book Antiqua" w:hAnsi="Book Antiqua" w:cs="Arial"/>
          <w:color w:val="000000"/>
        </w:rPr>
        <w:t>GNI: Gross national income;</w:t>
      </w:r>
      <w:r w:rsidRPr="003F1C6C">
        <w:rPr>
          <w:rFonts w:ascii="Book Antiqua" w:hAnsi="Book Antiqua" w:cs="Arial"/>
          <w:color w:val="000000"/>
          <w:lang w:eastAsia="zh-CN"/>
        </w:rPr>
        <w:t xml:space="preserve"> </w:t>
      </w:r>
      <w:r w:rsidRPr="003F1C6C">
        <w:rPr>
          <w:rFonts w:ascii="Book Antiqua" w:hAnsi="Book Antiqua" w:cs="Arial"/>
          <w:color w:val="000000"/>
        </w:rPr>
        <w:t>EAP</w:t>
      </w:r>
      <w:r w:rsidRPr="003F1C6C">
        <w:rPr>
          <w:rFonts w:ascii="Book Antiqua" w:hAnsi="Book Antiqua" w:cs="Arial"/>
          <w:color w:val="000000"/>
          <w:lang w:eastAsia="zh-CN"/>
        </w:rPr>
        <w:t xml:space="preserve">: </w:t>
      </w:r>
      <w:r w:rsidRPr="003F1C6C">
        <w:rPr>
          <w:rFonts w:ascii="Book Antiqua" w:hAnsi="Book Antiqua" w:cs="Arial"/>
          <w:color w:val="000000"/>
        </w:rPr>
        <w:t xml:space="preserve">East Asia </w:t>
      </w:r>
      <w:r w:rsidRPr="003F1C6C">
        <w:rPr>
          <w:rFonts w:ascii="Book Antiqua" w:hAnsi="Book Antiqua" w:cs="Arial"/>
          <w:color w:val="000000"/>
          <w:lang w:eastAsia="zh-CN"/>
        </w:rPr>
        <w:t>and</w:t>
      </w:r>
      <w:r w:rsidRPr="003F1C6C">
        <w:rPr>
          <w:rFonts w:ascii="Book Antiqua" w:hAnsi="Book Antiqua" w:cs="Arial"/>
          <w:color w:val="000000"/>
        </w:rPr>
        <w:t xml:space="preserve"> Pacific</w:t>
      </w:r>
      <w:r w:rsidRPr="003F1C6C">
        <w:rPr>
          <w:rFonts w:ascii="Book Antiqua" w:hAnsi="Book Antiqua" w:cs="Arial"/>
          <w:color w:val="000000"/>
          <w:lang w:eastAsia="zh-CN"/>
        </w:rPr>
        <w:t xml:space="preserve">; </w:t>
      </w:r>
      <w:r w:rsidRPr="003F1C6C">
        <w:rPr>
          <w:rFonts w:ascii="Book Antiqua" w:hAnsi="Book Antiqua" w:cs="Arial"/>
          <w:color w:val="000000"/>
        </w:rPr>
        <w:t>ECA</w:t>
      </w:r>
      <w:r w:rsidRPr="003F1C6C">
        <w:rPr>
          <w:rFonts w:ascii="Book Antiqua" w:hAnsi="Book Antiqua" w:cs="Arial"/>
          <w:color w:val="000000"/>
          <w:lang w:eastAsia="zh-CN"/>
        </w:rPr>
        <w:t xml:space="preserve">: </w:t>
      </w:r>
      <w:r w:rsidRPr="003F1C6C">
        <w:rPr>
          <w:rFonts w:ascii="Book Antiqua" w:hAnsi="Book Antiqua" w:cs="Arial"/>
          <w:color w:val="000000"/>
        </w:rPr>
        <w:t xml:space="preserve">Europe </w:t>
      </w:r>
      <w:r w:rsidRPr="003F1C6C">
        <w:rPr>
          <w:rFonts w:ascii="Book Antiqua" w:hAnsi="Book Antiqua" w:cs="Arial"/>
          <w:color w:val="000000"/>
          <w:lang w:eastAsia="zh-CN"/>
        </w:rPr>
        <w:t>and</w:t>
      </w:r>
      <w:r w:rsidRPr="003F1C6C">
        <w:rPr>
          <w:rFonts w:ascii="Book Antiqua" w:hAnsi="Book Antiqua" w:cs="Arial"/>
          <w:color w:val="000000"/>
        </w:rPr>
        <w:t xml:space="preserve"> Central Asia</w:t>
      </w:r>
      <w:r w:rsidRPr="003F1C6C">
        <w:rPr>
          <w:rFonts w:ascii="Book Antiqua" w:hAnsi="Book Antiqua" w:cs="Arial"/>
          <w:color w:val="000000"/>
          <w:lang w:eastAsia="zh-CN"/>
        </w:rPr>
        <w:t xml:space="preserve">; </w:t>
      </w:r>
      <w:r w:rsidRPr="003F1C6C">
        <w:rPr>
          <w:rFonts w:ascii="Book Antiqua" w:hAnsi="Book Antiqua" w:cs="Arial"/>
          <w:color w:val="000000"/>
        </w:rPr>
        <w:t>LAC</w:t>
      </w:r>
      <w:r w:rsidRPr="003F1C6C">
        <w:rPr>
          <w:rFonts w:ascii="Book Antiqua" w:hAnsi="Book Antiqua" w:cs="Arial"/>
          <w:color w:val="000000"/>
          <w:lang w:eastAsia="zh-CN"/>
        </w:rPr>
        <w:t xml:space="preserve">: </w:t>
      </w:r>
      <w:r w:rsidRPr="003F1C6C">
        <w:rPr>
          <w:rFonts w:ascii="Book Antiqua" w:hAnsi="Book Antiqua" w:cs="Arial"/>
          <w:color w:val="000000"/>
        </w:rPr>
        <w:t xml:space="preserve">Latin America </w:t>
      </w:r>
      <w:r w:rsidRPr="003F1C6C">
        <w:rPr>
          <w:rFonts w:ascii="Book Antiqua" w:hAnsi="Book Antiqua" w:cs="Arial"/>
          <w:color w:val="000000"/>
          <w:lang w:eastAsia="zh-CN"/>
        </w:rPr>
        <w:t>and</w:t>
      </w:r>
      <w:r w:rsidRPr="003F1C6C">
        <w:rPr>
          <w:rFonts w:ascii="Book Antiqua" w:hAnsi="Book Antiqua" w:cs="Arial"/>
          <w:color w:val="000000"/>
        </w:rPr>
        <w:t xml:space="preserve"> Caribbean</w:t>
      </w:r>
      <w:r w:rsidRPr="003F1C6C">
        <w:rPr>
          <w:rFonts w:ascii="Book Antiqua" w:hAnsi="Book Antiqua" w:cs="Arial"/>
          <w:color w:val="000000"/>
          <w:lang w:eastAsia="zh-CN"/>
        </w:rPr>
        <w:t xml:space="preserve">; </w:t>
      </w:r>
      <w:r w:rsidRPr="003F1C6C">
        <w:rPr>
          <w:rFonts w:ascii="Book Antiqua" w:hAnsi="Book Antiqua" w:cs="Arial"/>
          <w:color w:val="000000"/>
        </w:rPr>
        <w:t>MEN</w:t>
      </w:r>
      <w:r w:rsidRPr="003F1C6C">
        <w:rPr>
          <w:rFonts w:ascii="Book Antiqua" w:hAnsi="Book Antiqua" w:cs="Arial"/>
          <w:color w:val="000000"/>
          <w:lang w:eastAsia="zh-CN"/>
        </w:rPr>
        <w:t xml:space="preserve">: </w:t>
      </w:r>
      <w:r w:rsidRPr="003F1C6C">
        <w:rPr>
          <w:rFonts w:ascii="Book Antiqua" w:hAnsi="Book Antiqua" w:cs="Arial"/>
          <w:color w:val="000000"/>
        </w:rPr>
        <w:t xml:space="preserve">Middle East </w:t>
      </w:r>
      <w:r w:rsidRPr="003F1C6C">
        <w:rPr>
          <w:rFonts w:ascii="Book Antiqua" w:hAnsi="Book Antiqua" w:cs="Arial"/>
          <w:color w:val="000000"/>
          <w:lang w:eastAsia="zh-CN"/>
        </w:rPr>
        <w:t>and</w:t>
      </w:r>
      <w:r w:rsidRPr="003F1C6C">
        <w:rPr>
          <w:rFonts w:ascii="Book Antiqua" w:hAnsi="Book Antiqua" w:cs="Arial"/>
          <w:color w:val="000000"/>
        </w:rPr>
        <w:t xml:space="preserve"> North Africa</w:t>
      </w:r>
      <w:r w:rsidRPr="003F1C6C">
        <w:rPr>
          <w:rFonts w:ascii="Book Antiqua" w:hAnsi="Book Antiqua" w:cs="Arial"/>
          <w:color w:val="000000"/>
          <w:lang w:eastAsia="zh-CN"/>
        </w:rPr>
        <w:t xml:space="preserve">; </w:t>
      </w:r>
      <w:r w:rsidRPr="003F1C6C">
        <w:rPr>
          <w:rFonts w:ascii="Book Antiqua" w:hAnsi="Book Antiqua" w:cs="Arial"/>
          <w:color w:val="000000"/>
        </w:rPr>
        <w:t>SOA</w:t>
      </w:r>
      <w:r w:rsidRPr="003F1C6C">
        <w:rPr>
          <w:rFonts w:ascii="Book Antiqua" w:hAnsi="Book Antiqua" w:cs="Arial"/>
          <w:color w:val="000000"/>
          <w:lang w:eastAsia="zh-CN"/>
        </w:rPr>
        <w:t xml:space="preserve">: </w:t>
      </w:r>
      <w:r w:rsidRPr="003F1C6C">
        <w:rPr>
          <w:rFonts w:ascii="Book Antiqua" w:hAnsi="Book Antiqua" w:cs="Arial"/>
          <w:color w:val="000000"/>
        </w:rPr>
        <w:t>South of Asia</w:t>
      </w:r>
      <w:r w:rsidRPr="003F1C6C">
        <w:rPr>
          <w:rFonts w:ascii="Book Antiqua" w:hAnsi="Book Antiqua" w:cs="Arial"/>
          <w:color w:val="000000"/>
          <w:lang w:eastAsia="zh-CN"/>
        </w:rPr>
        <w:t xml:space="preserve">; </w:t>
      </w:r>
      <w:r w:rsidRPr="003F1C6C">
        <w:rPr>
          <w:rFonts w:ascii="Book Antiqua" w:hAnsi="Book Antiqua" w:cs="Arial"/>
          <w:color w:val="000000"/>
        </w:rPr>
        <w:t>SSA</w:t>
      </w:r>
      <w:r w:rsidRPr="003F1C6C">
        <w:rPr>
          <w:rFonts w:ascii="Book Antiqua" w:hAnsi="Book Antiqua" w:cs="Arial"/>
          <w:color w:val="000000"/>
          <w:lang w:eastAsia="zh-CN"/>
        </w:rPr>
        <w:t xml:space="preserve">: </w:t>
      </w:r>
      <w:r w:rsidRPr="003F1C6C">
        <w:rPr>
          <w:rFonts w:ascii="Book Antiqua" w:hAnsi="Book Antiqua" w:cs="Arial"/>
          <w:color w:val="000000"/>
        </w:rPr>
        <w:t>Sub-Saharan Africa</w:t>
      </w:r>
      <w:r w:rsidRPr="003F1C6C">
        <w:rPr>
          <w:rFonts w:ascii="Book Antiqua" w:hAnsi="Book Antiqua" w:cs="Arial"/>
          <w:color w:val="000000"/>
          <w:lang w:eastAsia="zh-CN"/>
        </w:rPr>
        <w:t>.</w:t>
      </w:r>
    </w:p>
    <w:p w:rsidR="0092149B" w:rsidRPr="006723F9" w:rsidRDefault="0092149B" w:rsidP="003A50A3">
      <w:pPr>
        <w:spacing w:line="360" w:lineRule="auto"/>
        <w:rPr>
          <w:rFonts w:ascii="Book Antiqua" w:hAnsi="Book Antiqua"/>
          <w:noProof/>
          <w:sz w:val="24"/>
          <w:szCs w:val="24"/>
          <w:lang w:eastAsia="zh-CN"/>
        </w:rPr>
        <w:sectPr w:rsidR="0092149B" w:rsidRPr="006723F9" w:rsidSect="00E75A1A">
          <w:footerReference w:type="even" r:id="rId30"/>
          <w:footerReference w:type="default" r:id="rId31"/>
          <w:pgSz w:w="11906" w:h="16838" w:code="9"/>
          <w:pgMar w:top="1400" w:right="1418" w:bottom="1440" w:left="1418" w:header="227" w:footer="0" w:gutter="0"/>
          <w:cols w:space="708"/>
          <w:docGrid w:linePitch="360"/>
        </w:sectPr>
      </w:pPr>
    </w:p>
    <w:p w:rsidR="0092149B" w:rsidRPr="006723F9" w:rsidRDefault="0092149B" w:rsidP="003F1C6C">
      <w:pPr>
        <w:spacing w:line="360" w:lineRule="auto"/>
        <w:rPr>
          <w:lang w:eastAsia="zh-CN"/>
        </w:rPr>
      </w:pPr>
    </w:p>
    <w:sectPr w:rsidR="0092149B" w:rsidRPr="006723F9" w:rsidSect="005344F7">
      <w:pgSz w:w="11906" w:h="16838" w:code="9"/>
      <w:pgMar w:top="851" w:right="1418" w:bottom="851" w:left="284"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49B" w:rsidRDefault="0092149B" w:rsidP="00617B15">
      <w:pPr>
        <w:spacing w:line="240" w:lineRule="auto"/>
      </w:pPr>
      <w:r>
        <w:separator/>
      </w:r>
    </w:p>
  </w:endnote>
  <w:endnote w:type="continuationSeparator" w:id="0">
    <w:p w:rsidR="0092149B" w:rsidRDefault="0092149B" w:rsidP="00617B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MS Gothic">
    <w:altName w:val="昒? 嫛???"/>
    <w:panose1 w:val="020B06090702050802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3" w:usb1="00000000" w:usb2="00000000" w:usb3="00000000" w:csb0="00010001" w:csb1="00000000"/>
  </w:font>
  <w:font w:name="Segoe UI">
    <w:altName w:val="Arial"/>
    <w:panose1 w:val="00000000000000000000"/>
    <w:charset w:val="00"/>
    <w:family w:val="swiss"/>
    <w:notTrueType/>
    <w:pitch w:val="variable"/>
    <w:sig w:usb0="00000003" w:usb1="00000000" w:usb2="00000000" w:usb3="00000000" w:csb0="00000001" w:csb1="00000000"/>
  </w:font>
  <w:font w:name="MS Mincho">
    <w:altName w:val="昒? 瀡?"/>
    <w:panose1 w:val="02020609040205080304"/>
    <w:charset w:val="80"/>
    <w:family w:val="roman"/>
    <w:notTrueType/>
    <w:pitch w:val="fixed"/>
    <w:sig w:usb0="00000001" w:usb1="08070000" w:usb2="00000010" w:usb3="00000000" w:csb0="00020000" w:csb1="00000000"/>
  </w:font>
  <w:font w:name="Book Antiqua">
    <w:altName w:val="Palatino Linotype"/>
    <w:panose1 w:val="02040602050305030304"/>
    <w:charset w:val="00"/>
    <w:family w:val="roman"/>
    <w:pitch w:val="variable"/>
    <w:sig w:usb0="00000287" w:usb1="00000000" w:usb2="00000000" w:usb3="00000000" w:csb0="0000009F" w:csb1="00000000"/>
  </w:font>
  <w:font w:name="NewGalliard-Roman">
    <w:panose1 w:val="00000000000000000000"/>
    <w:charset w:val="00"/>
    <w:family w:val="auto"/>
    <w:notTrueType/>
    <w:pitch w:val="default"/>
    <w:sig w:usb0="00000003" w:usb1="00000000" w:usb2="00000000" w:usb3="00000000" w:csb0="00000001" w:csb1="00000000"/>
  </w:font>
  <w:font w:name="Galliard-Roman">
    <w:panose1 w:val="00000000000000000000"/>
    <w:charset w:val="00"/>
    <w:family w:val="roman"/>
    <w:notTrueType/>
    <w:pitch w:val="default"/>
    <w:sig w:usb0="00000003" w:usb1="00000000" w:usb2="00000000" w:usb3="00000000" w:csb0="00000001" w:csb1="00000000"/>
  </w:font>
  <w:font w:name="GoudyOldStyleT-Regular">
    <w:panose1 w:val="00000000000000000000"/>
    <w:charset w:val="00"/>
    <w:family w:val="swiss"/>
    <w:notTrueType/>
    <w:pitch w:val="default"/>
    <w:sig w:usb0="00000003" w:usb1="00000000" w:usb2="00000000" w:usb3="00000000" w:csb0="00000001" w:csb1="00000000"/>
  </w:font>
  <w:font w:name="Trebuchet">
    <w:altName w:val="Times New Roman"/>
    <w:panose1 w:val="00000000000000000000"/>
    <w:charset w:val="A1"/>
    <w:family w:val="auto"/>
    <w:notTrueType/>
    <w:pitch w:val="default"/>
    <w:sig w:usb0="00000081" w:usb1="00000000" w:usb2="00000000" w:usb3="00000000" w:csb0="00000008" w:csb1="00000000"/>
  </w:font>
  <w:font w:name="MinionPro-Regular">
    <w:panose1 w:val="00000000000000000000"/>
    <w:charset w:val="00"/>
    <w:family w:val="auto"/>
    <w:notTrueType/>
    <w:pitch w:val="default"/>
    <w:sig w:usb0="00000003" w:usb1="00000000" w:usb2="00000000" w:usb3="00000000" w:csb0="00000001" w:csb1="00000000"/>
  </w:font>
  <w:font w:name="AdvPSA183">
    <w:panose1 w:val="00000000000000000000"/>
    <w:charset w:val="00"/>
    <w:family w:val="swiss"/>
    <w:notTrueType/>
    <w:pitch w:val="default"/>
    <w:sig w:usb0="00000003" w:usb1="00000000" w:usb2="00000000" w:usb3="00000000" w:csb0="00000001" w:csb1="00000000"/>
  </w:font>
  <w:font w:name="AdvTT2acb703b+22">
    <w:altName w:val="MS Mincho"/>
    <w:panose1 w:val="00000000000000000000"/>
    <w:charset w:val="80"/>
    <w:family w:val="auto"/>
    <w:notTrueType/>
    <w:pitch w:val="default"/>
    <w:sig w:usb0="00000001" w:usb1="08070000" w:usb2="00000010" w:usb3="00000000" w:csb0="00020000" w:csb1="00000000"/>
  </w:font>
  <w:font w:name="Berkeley-Book">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49B" w:rsidRDefault="0092149B" w:rsidP="00893D1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2149B" w:rsidRDefault="009214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49B" w:rsidRDefault="0092149B" w:rsidP="00893D1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92149B" w:rsidRDefault="00921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49B" w:rsidRDefault="0092149B" w:rsidP="00617B15">
      <w:pPr>
        <w:spacing w:line="240" w:lineRule="auto"/>
      </w:pPr>
      <w:r>
        <w:separator/>
      </w:r>
    </w:p>
  </w:footnote>
  <w:footnote w:type="continuationSeparator" w:id="0">
    <w:p w:rsidR="0092149B" w:rsidRDefault="0092149B" w:rsidP="00617B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78F"/>
    <w:multiLevelType w:val="hybridMultilevel"/>
    <w:tmpl w:val="5B786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E52D0"/>
    <w:multiLevelType w:val="hybridMultilevel"/>
    <w:tmpl w:val="9B4C47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DE6F94"/>
    <w:multiLevelType w:val="hybridMultilevel"/>
    <w:tmpl w:val="9ECA4A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9D4298C"/>
    <w:multiLevelType w:val="hybridMultilevel"/>
    <w:tmpl w:val="22B6E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70474D"/>
    <w:multiLevelType w:val="hybridMultilevel"/>
    <w:tmpl w:val="16EEE6D8"/>
    <w:lvl w:ilvl="0" w:tplc="CFC66310">
      <w:start w:val="1"/>
      <w:numFmt w:val="decimal"/>
      <w:lvlText w:val="%1."/>
      <w:lvlJc w:val="left"/>
      <w:pPr>
        <w:ind w:left="720" w:hanging="360"/>
      </w:pPr>
      <w:rPr>
        <w:rFonts w:cs="Times New Roman" w:hint="default"/>
        <w:b w:val="0"/>
        <w:i w:val="0"/>
        <w:color w:val="auto"/>
        <w:sz w:val="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D456C0"/>
    <w:multiLevelType w:val="hybridMultilevel"/>
    <w:tmpl w:val="9B4C47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FE7537"/>
    <w:multiLevelType w:val="hybridMultilevel"/>
    <w:tmpl w:val="836AD7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B553A5A"/>
    <w:multiLevelType w:val="hybridMultilevel"/>
    <w:tmpl w:val="AAD07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E342FE"/>
    <w:multiLevelType w:val="hybridMultilevel"/>
    <w:tmpl w:val="8BD86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E441E4"/>
    <w:multiLevelType w:val="hybridMultilevel"/>
    <w:tmpl w:val="1C30B008"/>
    <w:lvl w:ilvl="0" w:tplc="CFC66310">
      <w:start w:val="1"/>
      <w:numFmt w:val="decimal"/>
      <w:lvlText w:val="%1."/>
      <w:lvlJc w:val="left"/>
      <w:pPr>
        <w:ind w:left="720" w:hanging="360"/>
      </w:pPr>
      <w:rPr>
        <w:rFonts w:cs="Times New Roman" w:hint="default"/>
        <w:b w:val="0"/>
        <w:i w:val="0"/>
        <w:color w:val="auto"/>
        <w:sz w:val="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216066"/>
    <w:multiLevelType w:val="hybridMultilevel"/>
    <w:tmpl w:val="D0968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A9745A"/>
    <w:multiLevelType w:val="hybridMultilevel"/>
    <w:tmpl w:val="16EEE6D8"/>
    <w:lvl w:ilvl="0" w:tplc="CFC66310">
      <w:start w:val="1"/>
      <w:numFmt w:val="decimal"/>
      <w:lvlText w:val="%1."/>
      <w:lvlJc w:val="left"/>
      <w:pPr>
        <w:ind w:left="720" w:hanging="360"/>
      </w:pPr>
      <w:rPr>
        <w:rFonts w:cs="Times New Roman" w:hint="default"/>
        <w:b w:val="0"/>
        <w:i w:val="0"/>
        <w:color w:val="auto"/>
        <w:sz w:val="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9D601D4"/>
    <w:multiLevelType w:val="hybridMultilevel"/>
    <w:tmpl w:val="AB101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6F1880"/>
    <w:multiLevelType w:val="hybridMultilevel"/>
    <w:tmpl w:val="4642E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1725007"/>
    <w:multiLevelType w:val="hybridMultilevel"/>
    <w:tmpl w:val="9B4C47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1DE74F0"/>
    <w:multiLevelType w:val="hybridMultilevel"/>
    <w:tmpl w:val="1C30B008"/>
    <w:lvl w:ilvl="0" w:tplc="CFC66310">
      <w:start w:val="1"/>
      <w:numFmt w:val="decimal"/>
      <w:lvlText w:val="%1."/>
      <w:lvlJc w:val="left"/>
      <w:pPr>
        <w:ind w:left="720" w:hanging="360"/>
      </w:pPr>
      <w:rPr>
        <w:rFonts w:cs="Times New Roman" w:hint="default"/>
        <w:b w:val="0"/>
        <w:i w:val="0"/>
        <w:color w:val="auto"/>
        <w:sz w:val="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25664F1"/>
    <w:multiLevelType w:val="hybridMultilevel"/>
    <w:tmpl w:val="26E8124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2803236"/>
    <w:multiLevelType w:val="hybridMultilevel"/>
    <w:tmpl w:val="FDCE8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65E0FF9"/>
    <w:multiLevelType w:val="hybridMultilevel"/>
    <w:tmpl w:val="16EEE6D8"/>
    <w:lvl w:ilvl="0" w:tplc="CFC66310">
      <w:start w:val="1"/>
      <w:numFmt w:val="decimal"/>
      <w:lvlText w:val="%1."/>
      <w:lvlJc w:val="left"/>
      <w:pPr>
        <w:ind w:left="720" w:hanging="360"/>
      </w:pPr>
      <w:rPr>
        <w:rFonts w:cs="Times New Roman" w:hint="default"/>
        <w:b w:val="0"/>
        <w:i w:val="0"/>
        <w:color w:val="auto"/>
        <w:sz w:val="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97F1B37"/>
    <w:multiLevelType w:val="hybridMultilevel"/>
    <w:tmpl w:val="7A42CC3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nsid w:val="5DF43532"/>
    <w:multiLevelType w:val="hybridMultilevel"/>
    <w:tmpl w:val="02DAA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1657705"/>
    <w:multiLevelType w:val="hybridMultilevel"/>
    <w:tmpl w:val="16EEE6D8"/>
    <w:lvl w:ilvl="0" w:tplc="CFC66310">
      <w:start w:val="1"/>
      <w:numFmt w:val="decimal"/>
      <w:lvlText w:val="%1."/>
      <w:lvlJc w:val="left"/>
      <w:pPr>
        <w:ind w:left="720" w:hanging="360"/>
      </w:pPr>
      <w:rPr>
        <w:rFonts w:cs="Times New Roman" w:hint="default"/>
        <w:b w:val="0"/>
        <w:i w:val="0"/>
        <w:color w:val="auto"/>
        <w:sz w:val="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67A7840"/>
    <w:multiLevelType w:val="hybridMultilevel"/>
    <w:tmpl w:val="9B4C47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746139F"/>
    <w:multiLevelType w:val="hybridMultilevel"/>
    <w:tmpl w:val="C8A63A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8DE29DC"/>
    <w:multiLevelType w:val="hybridMultilevel"/>
    <w:tmpl w:val="B4444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98A6A27"/>
    <w:multiLevelType w:val="hybridMultilevel"/>
    <w:tmpl w:val="45A8A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A740158"/>
    <w:multiLevelType w:val="hybridMultilevel"/>
    <w:tmpl w:val="D0528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D767965"/>
    <w:multiLevelType w:val="hybridMultilevel"/>
    <w:tmpl w:val="9808E4EE"/>
    <w:lvl w:ilvl="0" w:tplc="CFC66310">
      <w:start w:val="1"/>
      <w:numFmt w:val="decimal"/>
      <w:lvlText w:val="%1."/>
      <w:lvlJc w:val="left"/>
      <w:pPr>
        <w:ind w:left="720" w:hanging="360"/>
      </w:pPr>
      <w:rPr>
        <w:rFonts w:cs="Times New Roman" w:hint="default"/>
        <w:b w:val="0"/>
        <w:i w:val="0"/>
        <w:color w:val="auto"/>
        <w:sz w:val="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D82427A"/>
    <w:multiLevelType w:val="hybridMultilevel"/>
    <w:tmpl w:val="EC9CA4F4"/>
    <w:lvl w:ilvl="0" w:tplc="B4EAEB8A">
      <w:start w:val="1"/>
      <w:numFmt w:val="decimal"/>
      <w:lvlText w:val="%1."/>
      <w:lvlJc w:val="left"/>
      <w:pPr>
        <w:ind w:left="720" w:hanging="360"/>
      </w:pPr>
      <w:rPr>
        <w:rFonts w:cs="Times New Roman"/>
        <w:b w:val="0"/>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E6070B4"/>
    <w:multiLevelType w:val="hybridMultilevel"/>
    <w:tmpl w:val="93780DE8"/>
    <w:lvl w:ilvl="0" w:tplc="DC88CCB8">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F936C11"/>
    <w:multiLevelType w:val="hybridMultilevel"/>
    <w:tmpl w:val="1786D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6"/>
  </w:num>
  <w:num w:numId="3">
    <w:abstractNumId w:val="3"/>
  </w:num>
  <w:num w:numId="4">
    <w:abstractNumId w:val="20"/>
  </w:num>
  <w:num w:numId="5">
    <w:abstractNumId w:val="25"/>
  </w:num>
  <w:num w:numId="6">
    <w:abstractNumId w:val="13"/>
  </w:num>
  <w:num w:numId="7">
    <w:abstractNumId w:val="7"/>
  </w:num>
  <w:num w:numId="8">
    <w:abstractNumId w:val="12"/>
  </w:num>
  <w:num w:numId="9">
    <w:abstractNumId w:val="17"/>
  </w:num>
  <w:num w:numId="10">
    <w:abstractNumId w:val="0"/>
  </w:num>
  <w:num w:numId="11">
    <w:abstractNumId w:val="10"/>
  </w:num>
  <w:num w:numId="12">
    <w:abstractNumId w:val="24"/>
  </w:num>
  <w:num w:numId="13">
    <w:abstractNumId w:val="8"/>
  </w:num>
  <w:num w:numId="14">
    <w:abstractNumId w:val="30"/>
  </w:num>
  <w:num w:numId="15">
    <w:abstractNumId w:val="29"/>
  </w:num>
  <w:num w:numId="16">
    <w:abstractNumId w:val="19"/>
  </w:num>
  <w:num w:numId="17">
    <w:abstractNumId w:val="11"/>
  </w:num>
  <w:num w:numId="18">
    <w:abstractNumId w:val="28"/>
  </w:num>
  <w:num w:numId="19">
    <w:abstractNumId w:val="16"/>
  </w:num>
  <w:num w:numId="20">
    <w:abstractNumId w:val="6"/>
  </w:num>
  <w:num w:numId="21">
    <w:abstractNumId w:val="2"/>
  </w:num>
  <w:num w:numId="22">
    <w:abstractNumId w:val="22"/>
  </w:num>
  <w:num w:numId="23">
    <w:abstractNumId w:val="1"/>
  </w:num>
  <w:num w:numId="24">
    <w:abstractNumId w:val="14"/>
  </w:num>
  <w:num w:numId="25">
    <w:abstractNumId w:val="21"/>
  </w:num>
  <w:num w:numId="26">
    <w:abstractNumId w:val="18"/>
  </w:num>
  <w:num w:numId="27">
    <w:abstractNumId w:val="4"/>
  </w:num>
  <w:num w:numId="28">
    <w:abstractNumId w:val="9"/>
  </w:num>
  <w:num w:numId="29">
    <w:abstractNumId w:val="15"/>
  </w:num>
  <w:num w:numId="30">
    <w:abstractNumId w:val="5"/>
  </w:num>
  <w:num w:numId="31">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jZ2T84eLC7s3/v0we7Dz4affQ6b5qiWqLBp3u/5P8JAAD//9I/BUotAAAA"/>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o9eDD79NPZwfbu/fv3tvfvn+9uT/Y/3d9+ONnZO7h/nu9mD/Y+Gn30Om+aolrilb2Hv+T/CQAA//8Ya7HQRAAAAA=="/>
  </w:docVars>
  <w:rsids>
    <w:rsidRoot w:val="00D96FFD"/>
    <w:rsid w:val="00001FEB"/>
    <w:rsid w:val="00004F88"/>
    <w:rsid w:val="0000547E"/>
    <w:rsid w:val="000065D0"/>
    <w:rsid w:val="00007681"/>
    <w:rsid w:val="00007840"/>
    <w:rsid w:val="00007C9A"/>
    <w:rsid w:val="00010233"/>
    <w:rsid w:val="0001135C"/>
    <w:rsid w:val="00011E6F"/>
    <w:rsid w:val="000131FA"/>
    <w:rsid w:val="00013540"/>
    <w:rsid w:val="00013B19"/>
    <w:rsid w:val="000152B6"/>
    <w:rsid w:val="0001607E"/>
    <w:rsid w:val="00017108"/>
    <w:rsid w:val="000179F1"/>
    <w:rsid w:val="00020C9F"/>
    <w:rsid w:val="00020E37"/>
    <w:rsid w:val="00021090"/>
    <w:rsid w:val="00022972"/>
    <w:rsid w:val="00023DD6"/>
    <w:rsid w:val="00024C3F"/>
    <w:rsid w:val="00025B79"/>
    <w:rsid w:val="00025DB3"/>
    <w:rsid w:val="00025E37"/>
    <w:rsid w:val="00026779"/>
    <w:rsid w:val="000278F9"/>
    <w:rsid w:val="00030CB0"/>
    <w:rsid w:val="000316CF"/>
    <w:rsid w:val="00031880"/>
    <w:rsid w:val="00031AE7"/>
    <w:rsid w:val="00031F99"/>
    <w:rsid w:val="00033B52"/>
    <w:rsid w:val="00034F81"/>
    <w:rsid w:val="00036B80"/>
    <w:rsid w:val="00037184"/>
    <w:rsid w:val="0003756C"/>
    <w:rsid w:val="00037799"/>
    <w:rsid w:val="000447FB"/>
    <w:rsid w:val="000456ED"/>
    <w:rsid w:val="00045D3B"/>
    <w:rsid w:val="00045DE5"/>
    <w:rsid w:val="00046EFA"/>
    <w:rsid w:val="00047A1A"/>
    <w:rsid w:val="000511EC"/>
    <w:rsid w:val="000514E4"/>
    <w:rsid w:val="00051E37"/>
    <w:rsid w:val="000522F1"/>
    <w:rsid w:val="00053BD5"/>
    <w:rsid w:val="00054428"/>
    <w:rsid w:val="0005465A"/>
    <w:rsid w:val="000556FC"/>
    <w:rsid w:val="00057069"/>
    <w:rsid w:val="000608D7"/>
    <w:rsid w:val="00061885"/>
    <w:rsid w:val="00062A34"/>
    <w:rsid w:val="00065C66"/>
    <w:rsid w:val="00066EBB"/>
    <w:rsid w:val="00067FA4"/>
    <w:rsid w:val="000711CE"/>
    <w:rsid w:val="00072734"/>
    <w:rsid w:val="00072BEA"/>
    <w:rsid w:val="00074D11"/>
    <w:rsid w:val="00075E0A"/>
    <w:rsid w:val="0007670C"/>
    <w:rsid w:val="0007781F"/>
    <w:rsid w:val="00080B4E"/>
    <w:rsid w:val="0008138D"/>
    <w:rsid w:val="00082A30"/>
    <w:rsid w:val="00084546"/>
    <w:rsid w:val="00084660"/>
    <w:rsid w:val="000854E1"/>
    <w:rsid w:val="000857BF"/>
    <w:rsid w:val="00087523"/>
    <w:rsid w:val="0009061A"/>
    <w:rsid w:val="0009113F"/>
    <w:rsid w:val="00091827"/>
    <w:rsid w:val="00091D6E"/>
    <w:rsid w:val="0009424C"/>
    <w:rsid w:val="0009514E"/>
    <w:rsid w:val="00095E07"/>
    <w:rsid w:val="000964BD"/>
    <w:rsid w:val="00096876"/>
    <w:rsid w:val="00096D45"/>
    <w:rsid w:val="00097D01"/>
    <w:rsid w:val="000A0561"/>
    <w:rsid w:val="000A2B23"/>
    <w:rsid w:val="000A3BCF"/>
    <w:rsid w:val="000A44D2"/>
    <w:rsid w:val="000A4C67"/>
    <w:rsid w:val="000A4F65"/>
    <w:rsid w:val="000A5255"/>
    <w:rsid w:val="000A5563"/>
    <w:rsid w:val="000A5BC1"/>
    <w:rsid w:val="000B3340"/>
    <w:rsid w:val="000B344C"/>
    <w:rsid w:val="000B4158"/>
    <w:rsid w:val="000B65A2"/>
    <w:rsid w:val="000B74BA"/>
    <w:rsid w:val="000C049E"/>
    <w:rsid w:val="000C0886"/>
    <w:rsid w:val="000C0A96"/>
    <w:rsid w:val="000C0B4B"/>
    <w:rsid w:val="000C0BF6"/>
    <w:rsid w:val="000C0C28"/>
    <w:rsid w:val="000C0CAF"/>
    <w:rsid w:val="000C22D9"/>
    <w:rsid w:val="000C3425"/>
    <w:rsid w:val="000C3742"/>
    <w:rsid w:val="000C3AB2"/>
    <w:rsid w:val="000C4DDC"/>
    <w:rsid w:val="000C4E2D"/>
    <w:rsid w:val="000C5500"/>
    <w:rsid w:val="000C6631"/>
    <w:rsid w:val="000C705F"/>
    <w:rsid w:val="000C7E7E"/>
    <w:rsid w:val="000D0401"/>
    <w:rsid w:val="000D122E"/>
    <w:rsid w:val="000D2250"/>
    <w:rsid w:val="000D2568"/>
    <w:rsid w:val="000D30EF"/>
    <w:rsid w:val="000D316B"/>
    <w:rsid w:val="000D32A8"/>
    <w:rsid w:val="000D4C1E"/>
    <w:rsid w:val="000D6BB3"/>
    <w:rsid w:val="000D767E"/>
    <w:rsid w:val="000D777D"/>
    <w:rsid w:val="000D7BAC"/>
    <w:rsid w:val="000E0B6F"/>
    <w:rsid w:val="000E0D2C"/>
    <w:rsid w:val="000E1C16"/>
    <w:rsid w:val="000E218F"/>
    <w:rsid w:val="000E2B3D"/>
    <w:rsid w:val="000E372A"/>
    <w:rsid w:val="000E38BF"/>
    <w:rsid w:val="000E4791"/>
    <w:rsid w:val="000E4C91"/>
    <w:rsid w:val="000E7220"/>
    <w:rsid w:val="000E75F1"/>
    <w:rsid w:val="000E7F2D"/>
    <w:rsid w:val="000F02EC"/>
    <w:rsid w:val="000F0E92"/>
    <w:rsid w:val="000F16C0"/>
    <w:rsid w:val="000F17E8"/>
    <w:rsid w:val="000F2541"/>
    <w:rsid w:val="000F29D9"/>
    <w:rsid w:val="000F36E3"/>
    <w:rsid w:val="000F4129"/>
    <w:rsid w:val="000F4943"/>
    <w:rsid w:val="000F4ED6"/>
    <w:rsid w:val="000F5814"/>
    <w:rsid w:val="000F5E0C"/>
    <w:rsid w:val="000F7AC6"/>
    <w:rsid w:val="00100ACE"/>
    <w:rsid w:val="001020D5"/>
    <w:rsid w:val="00102349"/>
    <w:rsid w:val="001027AE"/>
    <w:rsid w:val="00103590"/>
    <w:rsid w:val="00104BE7"/>
    <w:rsid w:val="00104E11"/>
    <w:rsid w:val="001058FD"/>
    <w:rsid w:val="0010669D"/>
    <w:rsid w:val="00106F82"/>
    <w:rsid w:val="00107032"/>
    <w:rsid w:val="001109E8"/>
    <w:rsid w:val="00111D28"/>
    <w:rsid w:val="00112C87"/>
    <w:rsid w:val="0011318D"/>
    <w:rsid w:val="00113FB9"/>
    <w:rsid w:val="001152F6"/>
    <w:rsid w:val="0011543E"/>
    <w:rsid w:val="00116DF4"/>
    <w:rsid w:val="001170FF"/>
    <w:rsid w:val="00117723"/>
    <w:rsid w:val="00120B09"/>
    <w:rsid w:val="00121E4D"/>
    <w:rsid w:val="0012284C"/>
    <w:rsid w:val="001231F8"/>
    <w:rsid w:val="001245BC"/>
    <w:rsid w:val="0012619C"/>
    <w:rsid w:val="001270BE"/>
    <w:rsid w:val="00127146"/>
    <w:rsid w:val="00130716"/>
    <w:rsid w:val="00131434"/>
    <w:rsid w:val="00133A88"/>
    <w:rsid w:val="001353C2"/>
    <w:rsid w:val="0013587C"/>
    <w:rsid w:val="00135FBC"/>
    <w:rsid w:val="00137670"/>
    <w:rsid w:val="00140AE5"/>
    <w:rsid w:val="0014141B"/>
    <w:rsid w:val="001414A9"/>
    <w:rsid w:val="00143190"/>
    <w:rsid w:val="0014381E"/>
    <w:rsid w:val="00144BB0"/>
    <w:rsid w:val="00145DAF"/>
    <w:rsid w:val="00147707"/>
    <w:rsid w:val="0014776A"/>
    <w:rsid w:val="00150891"/>
    <w:rsid w:val="00150C31"/>
    <w:rsid w:val="0015193C"/>
    <w:rsid w:val="00152994"/>
    <w:rsid w:val="00152FB1"/>
    <w:rsid w:val="0015519D"/>
    <w:rsid w:val="001573D9"/>
    <w:rsid w:val="0016041C"/>
    <w:rsid w:val="0016309B"/>
    <w:rsid w:val="001631FA"/>
    <w:rsid w:val="00164755"/>
    <w:rsid w:val="0016565C"/>
    <w:rsid w:val="001657D3"/>
    <w:rsid w:val="00167595"/>
    <w:rsid w:val="00167F15"/>
    <w:rsid w:val="00170888"/>
    <w:rsid w:val="0017135A"/>
    <w:rsid w:val="0017140F"/>
    <w:rsid w:val="001718A4"/>
    <w:rsid w:val="0017316E"/>
    <w:rsid w:val="001731A0"/>
    <w:rsid w:val="00173603"/>
    <w:rsid w:val="00174984"/>
    <w:rsid w:val="00180AA4"/>
    <w:rsid w:val="00180E0F"/>
    <w:rsid w:val="00181720"/>
    <w:rsid w:val="00183DC1"/>
    <w:rsid w:val="00183DC2"/>
    <w:rsid w:val="001841BF"/>
    <w:rsid w:val="001852DB"/>
    <w:rsid w:val="001905A5"/>
    <w:rsid w:val="00191015"/>
    <w:rsid w:val="00191CE1"/>
    <w:rsid w:val="00192048"/>
    <w:rsid w:val="00192E6B"/>
    <w:rsid w:val="00192F1A"/>
    <w:rsid w:val="00193239"/>
    <w:rsid w:val="001932FE"/>
    <w:rsid w:val="001935CD"/>
    <w:rsid w:val="001938CA"/>
    <w:rsid w:val="00193AC3"/>
    <w:rsid w:val="00193B08"/>
    <w:rsid w:val="0019470C"/>
    <w:rsid w:val="00194AD7"/>
    <w:rsid w:val="00195201"/>
    <w:rsid w:val="00195388"/>
    <w:rsid w:val="00195AB4"/>
    <w:rsid w:val="001962D7"/>
    <w:rsid w:val="00196998"/>
    <w:rsid w:val="001969F8"/>
    <w:rsid w:val="00197A9C"/>
    <w:rsid w:val="001A0334"/>
    <w:rsid w:val="001A0B27"/>
    <w:rsid w:val="001A125C"/>
    <w:rsid w:val="001A14E2"/>
    <w:rsid w:val="001A1AC3"/>
    <w:rsid w:val="001A30F6"/>
    <w:rsid w:val="001A3AA3"/>
    <w:rsid w:val="001A3C66"/>
    <w:rsid w:val="001A4283"/>
    <w:rsid w:val="001A4442"/>
    <w:rsid w:val="001A4809"/>
    <w:rsid w:val="001A576E"/>
    <w:rsid w:val="001A59C6"/>
    <w:rsid w:val="001A6AFC"/>
    <w:rsid w:val="001A71F3"/>
    <w:rsid w:val="001A7926"/>
    <w:rsid w:val="001B0BA6"/>
    <w:rsid w:val="001B1716"/>
    <w:rsid w:val="001B1953"/>
    <w:rsid w:val="001B35B8"/>
    <w:rsid w:val="001B40BF"/>
    <w:rsid w:val="001B49A0"/>
    <w:rsid w:val="001B4DD5"/>
    <w:rsid w:val="001B5633"/>
    <w:rsid w:val="001B6050"/>
    <w:rsid w:val="001B733C"/>
    <w:rsid w:val="001C29C8"/>
    <w:rsid w:val="001C2D5F"/>
    <w:rsid w:val="001C3C5E"/>
    <w:rsid w:val="001C554B"/>
    <w:rsid w:val="001C661D"/>
    <w:rsid w:val="001C73A0"/>
    <w:rsid w:val="001C7F08"/>
    <w:rsid w:val="001C7F4A"/>
    <w:rsid w:val="001D0E6D"/>
    <w:rsid w:val="001D2974"/>
    <w:rsid w:val="001D4C12"/>
    <w:rsid w:val="001D521B"/>
    <w:rsid w:val="001D5EB6"/>
    <w:rsid w:val="001D65A7"/>
    <w:rsid w:val="001D7661"/>
    <w:rsid w:val="001D7C69"/>
    <w:rsid w:val="001E1371"/>
    <w:rsid w:val="001E1471"/>
    <w:rsid w:val="001E1A27"/>
    <w:rsid w:val="001E1C26"/>
    <w:rsid w:val="001E3E41"/>
    <w:rsid w:val="001E5B58"/>
    <w:rsid w:val="001F1D96"/>
    <w:rsid w:val="001F20D7"/>
    <w:rsid w:val="001F210A"/>
    <w:rsid w:val="001F24F3"/>
    <w:rsid w:val="001F29E4"/>
    <w:rsid w:val="001F2B3E"/>
    <w:rsid w:val="001F2DCC"/>
    <w:rsid w:val="001F2ED8"/>
    <w:rsid w:val="001F3D3D"/>
    <w:rsid w:val="001F4A80"/>
    <w:rsid w:val="001F4A95"/>
    <w:rsid w:val="001F5522"/>
    <w:rsid w:val="001F5BD7"/>
    <w:rsid w:val="001F5FB5"/>
    <w:rsid w:val="001F6250"/>
    <w:rsid w:val="001F7681"/>
    <w:rsid w:val="001F7695"/>
    <w:rsid w:val="001F79F0"/>
    <w:rsid w:val="001F7AD0"/>
    <w:rsid w:val="00201363"/>
    <w:rsid w:val="00201934"/>
    <w:rsid w:val="00202112"/>
    <w:rsid w:val="002028E6"/>
    <w:rsid w:val="002029E5"/>
    <w:rsid w:val="00203477"/>
    <w:rsid w:val="002038E8"/>
    <w:rsid w:val="00204422"/>
    <w:rsid w:val="00205185"/>
    <w:rsid w:val="00205D25"/>
    <w:rsid w:val="00205D87"/>
    <w:rsid w:val="00205E1D"/>
    <w:rsid w:val="00206928"/>
    <w:rsid w:val="002104BA"/>
    <w:rsid w:val="00210A17"/>
    <w:rsid w:val="00211AFE"/>
    <w:rsid w:val="00212130"/>
    <w:rsid w:val="00212CF9"/>
    <w:rsid w:val="00212FF5"/>
    <w:rsid w:val="00213029"/>
    <w:rsid w:val="00213F76"/>
    <w:rsid w:val="00214138"/>
    <w:rsid w:val="00215CB6"/>
    <w:rsid w:val="00215D07"/>
    <w:rsid w:val="00216A2F"/>
    <w:rsid w:val="00216DFF"/>
    <w:rsid w:val="00220ED0"/>
    <w:rsid w:val="0022144B"/>
    <w:rsid w:val="002224EF"/>
    <w:rsid w:val="00222CCC"/>
    <w:rsid w:val="002240B8"/>
    <w:rsid w:val="0022648A"/>
    <w:rsid w:val="00226E71"/>
    <w:rsid w:val="00230180"/>
    <w:rsid w:val="00230D33"/>
    <w:rsid w:val="00231836"/>
    <w:rsid w:val="00231BE4"/>
    <w:rsid w:val="00234107"/>
    <w:rsid w:val="00234767"/>
    <w:rsid w:val="00235A1C"/>
    <w:rsid w:val="0023607A"/>
    <w:rsid w:val="0023645B"/>
    <w:rsid w:val="0023701D"/>
    <w:rsid w:val="00237D51"/>
    <w:rsid w:val="00237E6A"/>
    <w:rsid w:val="002400DA"/>
    <w:rsid w:val="00243790"/>
    <w:rsid w:val="002438ED"/>
    <w:rsid w:val="00244F13"/>
    <w:rsid w:val="0024502D"/>
    <w:rsid w:val="0024512E"/>
    <w:rsid w:val="00245337"/>
    <w:rsid w:val="0024552F"/>
    <w:rsid w:val="00245B57"/>
    <w:rsid w:val="0024660B"/>
    <w:rsid w:val="002467F6"/>
    <w:rsid w:val="00247514"/>
    <w:rsid w:val="002475D1"/>
    <w:rsid w:val="0025044F"/>
    <w:rsid w:val="0025063F"/>
    <w:rsid w:val="0025112C"/>
    <w:rsid w:val="00251AAB"/>
    <w:rsid w:val="0025334B"/>
    <w:rsid w:val="00255D2E"/>
    <w:rsid w:val="0025755C"/>
    <w:rsid w:val="00257D17"/>
    <w:rsid w:val="002610AC"/>
    <w:rsid w:val="00261699"/>
    <w:rsid w:val="00264733"/>
    <w:rsid w:val="002666C4"/>
    <w:rsid w:val="002669FC"/>
    <w:rsid w:val="00267955"/>
    <w:rsid w:val="00267AAC"/>
    <w:rsid w:val="00267EB3"/>
    <w:rsid w:val="00270430"/>
    <w:rsid w:val="002721C1"/>
    <w:rsid w:val="0027245B"/>
    <w:rsid w:val="00272526"/>
    <w:rsid w:val="002728D8"/>
    <w:rsid w:val="00274193"/>
    <w:rsid w:val="00274235"/>
    <w:rsid w:val="002744DE"/>
    <w:rsid w:val="0027736E"/>
    <w:rsid w:val="0028022F"/>
    <w:rsid w:val="00280EDD"/>
    <w:rsid w:val="00283D16"/>
    <w:rsid w:val="00285C40"/>
    <w:rsid w:val="00285ECC"/>
    <w:rsid w:val="00286007"/>
    <w:rsid w:val="00287D79"/>
    <w:rsid w:val="00287E9C"/>
    <w:rsid w:val="00290954"/>
    <w:rsid w:val="00290D62"/>
    <w:rsid w:val="00291B50"/>
    <w:rsid w:val="00293ABA"/>
    <w:rsid w:val="00295285"/>
    <w:rsid w:val="00295961"/>
    <w:rsid w:val="00295D75"/>
    <w:rsid w:val="00297574"/>
    <w:rsid w:val="00297A63"/>
    <w:rsid w:val="00297AE0"/>
    <w:rsid w:val="00297BD4"/>
    <w:rsid w:val="002A0696"/>
    <w:rsid w:val="002A0A73"/>
    <w:rsid w:val="002A1022"/>
    <w:rsid w:val="002A13E6"/>
    <w:rsid w:val="002A167A"/>
    <w:rsid w:val="002A1E11"/>
    <w:rsid w:val="002A349D"/>
    <w:rsid w:val="002A3574"/>
    <w:rsid w:val="002A4CDB"/>
    <w:rsid w:val="002B14FF"/>
    <w:rsid w:val="002B21EA"/>
    <w:rsid w:val="002B327F"/>
    <w:rsid w:val="002B3BC1"/>
    <w:rsid w:val="002B5344"/>
    <w:rsid w:val="002B5C1B"/>
    <w:rsid w:val="002B6A90"/>
    <w:rsid w:val="002B6B98"/>
    <w:rsid w:val="002B7A4D"/>
    <w:rsid w:val="002B7CAE"/>
    <w:rsid w:val="002B7D36"/>
    <w:rsid w:val="002C02E5"/>
    <w:rsid w:val="002C03C9"/>
    <w:rsid w:val="002C20BD"/>
    <w:rsid w:val="002C3B22"/>
    <w:rsid w:val="002C3BC8"/>
    <w:rsid w:val="002C3D5E"/>
    <w:rsid w:val="002C40C9"/>
    <w:rsid w:val="002C4E9F"/>
    <w:rsid w:val="002C5567"/>
    <w:rsid w:val="002C7242"/>
    <w:rsid w:val="002C7871"/>
    <w:rsid w:val="002C7B23"/>
    <w:rsid w:val="002D063C"/>
    <w:rsid w:val="002D09D1"/>
    <w:rsid w:val="002D14DA"/>
    <w:rsid w:val="002D19D0"/>
    <w:rsid w:val="002D1C92"/>
    <w:rsid w:val="002D28C5"/>
    <w:rsid w:val="002D32AE"/>
    <w:rsid w:val="002D33A3"/>
    <w:rsid w:val="002D430F"/>
    <w:rsid w:val="002D5A0F"/>
    <w:rsid w:val="002D6A56"/>
    <w:rsid w:val="002D79B0"/>
    <w:rsid w:val="002D7AAF"/>
    <w:rsid w:val="002D7F88"/>
    <w:rsid w:val="002E0480"/>
    <w:rsid w:val="002E06CE"/>
    <w:rsid w:val="002E245D"/>
    <w:rsid w:val="002E3396"/>
    <w:rsid w:val="002E3D79"/>
    <w:rsid w:val="002E5B76"/>
    <w:rsid w:val="002E6976"/>
    <w:rsid w:val="002E7C78"/>
    <w:rsid w:val="002F12F2"/>
    <w:rsid w:val="002F5CFA"/>
    <w:rsid w:val="002F69FA"/>
    <w:rsid w:val="002F78AD"/>
    <w:rsid w:val="002F7B5C"/>
    <w:rsid w:val="00300210"/>
    <w:rsid w:val="003008C2"/>
    <w:rsid w:val="003010B0"/>
    <w:rsid w:val="00302A1B"/>
    <w:rsid w:val="00303A73"/>
    <w:rsid w:val="00303AC6"/>
    <w:rsid w:val="00304858"/>
    <w:rsid w:val="00304DE8"/>
    <w:rsid w:val="003067C4"/>
    <w:rsid w:val="0030742E"/>
    <w:rsid w:val="00307FD8"/>
    <w:rsid w:val="00310E16"/>
    <w:rsid w:val="00311844"/>
    <w:rsid w:val="00312E53"/>
    <w:rsid w:val="00321755"/>
    <w:rsid w:val="00322398"/>
    <w:rsid w:val="00323D8F"/>
    <w:rsid w:val="00325375"/>
    <w:rsid w:val="00325722"/>
    <w:rsid w:val="00325C95"/>
    <w:rsid w:val="00325FD2"/>
    <w:rsid w:val="00326902"/>
    <w:rsid w:val="00326E78"/>
    <w:rsid w:val="00327997"/>
    <w:rsid w:val="00327E8D"/>
    <w:rsid w:val="00331D81"/>
    <w:rsid w:val="00331E55"/>
    <w:rsid w:val="00332795"/>
    <w:rsid w:val="003340D8"/>
    <w:rsid w:val="0033588F"/>
    <w:rsid w:val="00335D19"/>
    <w:rsid w:val="00337140"/>
    <w:rsid w:val="00337397"/>
    <w:rsid w:val="00337B6D"/>
    <w:rsid w:val="00337C03"/>
    <w:rsid w:val="00340EE8"/>
    <w:rsid w:val="00340F9F"/>
    <w:rsid w:val="0034104C"/>
    <w:rsid w:val="00342A77"/>
    <w:rsid w:val="0034368A"/>
    <w:rsid w:val="003438E0"/>
    <w:rsid w:val="00343FF5"/>
    <w:rsid w:val="0034555C"/>
    <w:rsid w:val="00345DE5"/>
    <w:rsid w:val="0034627C"/>
    <w:rsid w:val="003468FB"/>
    <w:rsid w:val="00346B93"/>
    <w:rsid w:val="00346E7C"/>
    <w:rsid w:val="0034747F"/>
    <w:rsid w:val="003476E3"/>
    <w:rsid w:val="00347EDE"/>
    <w:rsid w:val="00347F77"/>
    <w:rsid w:val="00350AA5"/>
    <w:rsid w:val="00350BFB"/>
    <w:rsid w:val="00351C5D"/>
    <w:rsid w:val="00352CC8"/>
    <w:rsid w:val="00352F8E"/>
    <w:rsid w:val="00353BB1"/>
    <w:rsid w:val="003551C7"/>
    <w:rsid w:val="00356077"/>
    <w:rsid w:val="003563B3"/>
    <w:rsid w:val="0035670A"/>
    <w:rsid w:val="00356BA2"/>
    <w:rsid w:val="00356F65"/>
    <w:rsid w:val="0035786F"/>
    <w:rsid w:val="00357D99"/>
    <w:rsid w:val="00357FC7"/>
    <w:rsid w:val="00360B7B"/>
    <w:rsid w:val="003612D1"/>
    <w:rsid w:val="003615D2"/>
    <w:rsid w:val="003624AE"/>
    <w:rsid w:val="0036342B"/>
    <w:rsid w:val="00363717"/>
    <w:rsid w:val="0036463B"/>
    <w:rsid w:val="00365525"/>
    <w:rsid w:val="00367AD1"/>
    <w:rsid w:val="003706B4"/>
    <w:rsid w:val="00370F8D"/>
    <w:rsid w:val="00372DF1"/>
    <w:rsid w:val="00372E38"/>
    <w:rsid w:val="003744D7"/>
    <w:rsid w:val="003751C4"/>
    <w:rsid w:val="00375251"/>
    <w:rsid w:val="003766A6"/>
    <w:rsid w:val="00376DB8"/>
    <w:rsid w:val="0037735A"/>
    <w:rsid w:val="00377FB5"/>
    <w:rsid w:val="0038039B"/>
    <w:rsid w:val="003822D8"/>
    <w:rsid w:val="00384333"/>
    <w:rsid w:val="00384D20"/>
    <w:rsid w:val="003851D2"/>
    <w:rsid w:val="00385F2B"/>
    <w:rsid w:val="00386135"/>
    <w:rsid w:val="00387432"/>
    <w:rsid w:val="003911B0"/>
    <w:rsid w:val="003916CD"/>
    <w:rsid w:val="00392884"/>
    <w:rsid w:val="00393B6F"/>
    <w:rsid w:val="00394A2D"/>
    <w:rsid w:val="003956BA"/>
    <w:rsid w:val="00395859"/>
    <w:rsid w:val="003959DC"/>
    <w:rsid w:val="003961EC"/>
    <w:rsid w:val="00396B04"/>
    <w:rsid w:val="00396CB2"/>
    <w:rsid w:val="00397532"/>
    <w:rsid w:val="003976DD"/>
    <w:rsid w:val="003A31A2"/>
    <w:rsid w:val="003A34BD"/>
    <w:rsid w:val="003A350E"/>
    <w:rsid w:val="003A4882"/>
    <w:rsid w:val="003A4CDB"/>
    <w:rsid w:val="003A509E"/>
    <w:rsid w:val="003A50A3"/>
    <w:rsid w:val="003A54DC"/>
    <w:rsid w:val="003A55ED"/>
    <w:rsid w:val="003A5D37"/>
    <w:rsid w:val="003A6D80"/>
    <w:rsid w:val="003B134F"/>
    <w:rsid w:val="003B1D05"/>
    <w:rsid w:val="003B212C"/>
    <w:rsid w:val="003B63D9"/>
    <w:rsid w:val="003C016F"/>
    <w:rsid w:val="003C0815"/>
    <w:rsid w:val="003C0D65"/>
    <w:rsid w:val="003C1606"/>
    <w:rsid w:val="003C3A43"/>
    <w:rsid w:val="003C3ED4"/>
    <w:rsid w:val="003C618D"/>
    <w:rsid w:val="003C6A90"/>
    <w:rsid w:val="003C79A7"/>
    <w:rsid w:val="003C7B29"/>
    <w:rsid w:val="003D12F2"/>
    <w:rsid w:val="003D1B8F"/>
    <w:rsid w:val="003D366A"/>
    <w:rsid w:val="003D3DD6"/>
    <w:rsid w:val="003D5F42"/>
    <w:rsid w:val="003D6A0E"/>
    <w:rsid w:val="003E217C"/>
    <w:rsid w:val="003E2D6C"/>
    <w:rsid w:val="003E4132"/>
    <w:rsid w:val="003E4B60"/>
    <w:rsid w:val="003E5C2A"/>
    <w:rsid w:val="003E5F4E"/>
    <w:rsid w:val="003E64AB"/>
    <w:rsid w:val="003E67C8"/>
    <w:rsid w:val="003F05D6"/>
    <w:rsid w:val="003F092C"/>
    <w:rsid w:val="003F1C6C"/>
    <w:rsid w:val="003F337F"/>
    <w:rsid w:val="003F36F8"/>
    <w:rsid w:val="003F5821"/>
    <w:rsid w:val="003F5D27"/>
    <w:rsid w:val="003F6625"/>
    <w:rsid w:val="003F7DAE"/>
    <w:rsid w:val="00401A42"/>
    <w:rsid w:val="004033AC"/>
    <w:rsid w:val="00403694"/>
    <w:rsid w:val="00403D2B"/>
    <w:rsid w:val="00406C21"/>
    <w:rsid w:val="00406E51"/>
    <w:rsid w:val="00406E7E"/>
    <w:rsid w:val="00407451"/>
    <w:rsid w:val="00410B8A"/>
    <w:rsid w:val="00410BDF"/>
    <w:rsid w:val="00414973"/>
    <w:rsid w:val="00415518"/>
    <w:rsid w:val="0041574B"/>
    <w:rsid w:val="00416768"/>
    <w:rsid w:val="00416EAC"/>
    <w:rsid w:val="00421179"/>
    <w:rsid w:val="004228CD"/>
    <w:rsid w:val="004236BA"/>
    <w:rsid w:val="00426602"/>
    <w:rsid w:val="00426EB6"/>
    <w:rsid w:val="00427955"/>
    <w:rsid w:val="004279A2"/>
    <w:rsid w:val="00427F31"/>
    <w:rsid w:val="00427F4D"/>
    <w:rsid w:val="00431D6A"/>
    <w:rsid w:val="00431E24"/>
    <w:rsid w:val="004330EA"/>
    <w:rsid w:val="0043375F"/>
    <w:rsid w:val="004340AD"/>
    <w:rsid w:val="00437814"/>
    <w:rsid w:val="00437CEF"/>
    <w:rsid w:val="00437D18"/>
    <w:rsid w:val="0044074F"/>
    <w:rsid w:val="00441B03"/>
    <w:rsid w:val="00442F38"/>
    <w:rsid w:val="0044329F"/>
    <w:rsid w:val="00443B52"/>
    <w:rsid w:val="0044471A"/>
    <w:rsid w:val="00444AAB"/>
    <w:rsid w:val="0044544F"/>
    <w:rsid w:val="004467E9"/>
    <w:rsid w:val="00446B56"/>
    <w:rsid w:val="004477D3"/>
    <w:rsid w:val="00447AA7"/>
    <w:rsid w:val="004502EE"/>
    <w:rsid w:val="004512ED"/>
    <w:rsid w:val="00451F0B"/>
    <w:rsid w:val="00451F71"/>
    <w:rsid w:val="004522FC"/>
    <w:rsid w:val="00453678"/>
    <w:rsid w:val="004540C2"/>
    <w:rsid w:val="004541AA"/>
    <w:rsid w:val="00454417"/>
    <w:rsid w:val="00454F7B"/>
    <w:rsid w:val="004557BF"/>
    <w:rsid w:val="004567C8"/>
    <w:rsid w:val="00456C0B"/>
    <w:rsid w:val="00457F25"/>
    <w:rsid w:val="0046051B"/>
    <w:rsid w:val="00460A10"/>
    <w:rsid w:val="00461053"/>
    <w:rsid w:val="00461DF2"/>
    <w:rsid w:val="0046217C"/>
    <w:rsid w:val="00462D46"/>
    <w:rsid w:val="0046354D"/>
    <w:rsid w:val="00463BE3"/>
    <w:rsid w:val="00464ADA"/>
    <w:rsid w:val="00464E38"/>
    <w:rsid w:val="004651A4"/>
    <w:rsid w:val="004663DB"/>
    <w:rsid w:val="00466FF1"/>
    <w:rsid w:val="0047094F"/>
    <w:rsid w:val="00470E87"/>
    <w:rsid w:val="004711AE"/>
    <w:rsid w:val="0047192D"/>
    <w:rsid w:val="004726C5"/>
    <w:rsid w:val="0047271B"/>
    <w:rsid w:val="0047331F"/>
    <w:rsid w:val="00473756"/>
    <w:rsid w:val="0047383F"/>
    <w:rsid w:val="004742EA"/>
    <w:rsid w:val="0047430C"/>
    <w:rsid w:val="00474F21"/>
    <w:rsid w:val="00475F55"/>
    <w:rsid w:val="00477350"/>
    <w:rsid w:val="004778D1"/>
    <w:rsid w:val="00480213"/>
    <w:rsid w:val="00480B5B"/>
    <w:rsid w:val="00480B76"/>
    <w:rsid w:val="0048198F"/>
    <w:rsid w:val="004829F8"/>
    <w:rsid w:val="00482EA9"/>
    <w:rsid w:val="0048436A"/>
    <w:rsid w:val="00484C22"/>
    <w:rsid w:val="00484F7D"/>
    <w:rsid w:val="00485C4A"/>
    <w:rsid w:val="004872B9"/>
    <w:rsid w:val="004903A1"/>
    <w:rsid w:val="00490984"/>
    <w:rsid w:val="0049099D"/>
    <w:rsid w:val="00491585"/>
    <w:rsid w:val="00492BAF"/>
    <w:rsid w:val="004949AD"/>
    <w:rsid w:val="004955AC"/>
    <w:rsid w:val="00495A81"/>
    <w:rsid w:val="004969D0"/>
    <w:rsid w:val="00496B55"/>
    <w:rsid w:val="00496C15"/>
    <w:rsid w:val="00497CC8"/>
    <w:rsid w:val="004A053A"/>
    <w:rsid w:val="004A0E1D"/>
    <w:rsid w:val="004A10DA"/>
    <w:rsid w:val="004A19B2"/>
    <w:rsid w:val="004A2646"/>
    <w:rsid w:val="004A312C"/>
    <w:rsid w:val="004A32E1"/>
    <w:rsid w:val="004A53B9"/>
    <w:rsid w:val="004A571A"/>
    <w:rsid w:val="004A5CCE"/>
    <w:rsid w:val="004A6D8B"/>
    <w:rsid w:val="004A6E3E"/>
    <w:rsid w:val="004A6EE9"/>
    <w:rsid w:val="004A6F61"/>
    <w:rsid w:val="004B1321"/>
    <w:rsid w:val="004B19D9"/>
    <w:rsid w:val="004B47A4"/>
    <w:rsid w:val="004B5550"/>
    <w:rsid w:val="004B59B4"/>
    <w:rsid w:val="004B5B6E"/>
    <w:rsid w:val="004B5BCE"/>
    <w:rsid w:val="004B6A50"/>
    <w:rsid w:val="004B6D26"/>
    <w:rsid w:val="004B76E9"/>
    <w:rsid w:val="004C01BC"/>
    <w:rsid w:val="004C09CF"/>
    <w:rsid w:val="004C0D9B"/>
    <w:rsid w:val="004C0EFD"/>
    <w:rsid w:val="004C1199"/>
    <w:rsid w:val="004C17F7"/>
    <w:rsid w:val="004C20BB"/>
    <w:rsid w:val="004C33CC"/>
    <w:rsid w:val="004C3585"/>
    <w:rsid w:val="004C4D14"/>
    <w:rsid w:val="004C6472"/>
    <w:rsid w:val="004C6688"/>
    <w:rsid w:val="004C674D"/>
    <w:rsid w:val="004C7030"/>
    <w:rsid w:val="004D0DC6"/>
    <w:rsid w:val="004D1B8A"/>
    <w:rsid w:val="004D649C"/>
    <w:rsid w:val="004D657F"/>
    <w:rsid w:val="004D68B7"/>
    <w:rsid w:val="004D6AAC"/>
    <w:rsid w:val="004D6AE8"/>
    <w:rsid w:val="004E0D35"/>
    <w:rsid w:val="004E30B4"/>
    <w:rsid w:val="004E47B3"/>
    <w:rsid w:val="004E48E6"/>
    <w:rsid w:val="004E4D78"/>
    <w:rsid w:val="004E5124"/>
    <w:rsid w:val="004E6671"/>
    <w:rsid w:val="004E66F2"/>
    <w:rsid w:val="004E73F9"/>
    <w:rsid w:val="004E7E4C"/>
    <w:rsid w:val="004F0851"/>
    <w:rsid w:val="004F17E1"/>
    <w:rsid w:val="004F1DD4"/>
    <w:rsid w:val="004F2BD6"/>
    <w:rsid w:val="004F2E00"/>
    <w:rsid w:val="004F35A2"/>
    <w:rsid w:val="004F48A9"/>
    <w:rsid w:val="004F48B3"/>
    <w:rsid w:val="004F4A57"/>
    <w:rsid w:val="004F53A2"/>
    <w:rsid w:val="004F5D14"/>
    <w:rsid w:val="004F5F86"/>
    <w:rsid w:val="004F6172"/>
    <w:rsid w:val="00500276"/>
    <w:rsid w:val="0050075D"/>
    <w:rsid w:val="00500E88"/>
    <w:rsid w:val="00501926"/>
    <w:rsid w:val="005044F1"/>
    <w:rsid w:val="00504AF8"/>
    <w:rsid w:val="0050725C"/>
    <w:rsid w:val="00507CBF"/>
    <w:rsid w:val="00510DE0"/>
    <w:rsid w:val="005110F9"/>
    <w:rsid w:val="005112BB"/>
    <w:rsid w:val="00511B29"/>
    <w:rsid w:val="00512E33"/>
    <w:rsid w:val="0051330A"/>
    <w:rsid w:val="00513E6E"/>
    <w:rsid w:val="00515184"/>
    <w:rsid w:val="00515CFD"/>
    <w:rsid w:val="005174ED"/>
    <w:rsid w:val="005179B9"/>
    <w:rsid w:val="00517B29"/>
    <w:rsid w:val="00517D39"/>
    <w:rsid w:val="00517EF2"/>
    <w:rsid w:val="00520B8F"/>
    <w:rsid w:val="005210AE"/>
    <w:rsid w:val="0052110A"/>
    <w:rsid w:val="00522849"/>
    <w:rsid w:val="00522FD9"/>
    <w:rsid w:val="005252DA"/>
    <w:rsid w:val="005265FB"/>
    <w:rsid w:val="00526750"/>
    <w:rsid w:val="0052692A"/>
    <w:rsid w:val="00526D5F"/>
    <w:rsid w:val="005279F5"/>
    <w:rsid w:val="00530144"/>
    <w:rsid w:val="00533942"/>
    <w:rsid w:val="00533E95"/>
    <w:rsid w:val="005343F4"/>
    <w:rsid w:val="005344CE"/>
    <w:rsid w:val="005344F7"/>
    <w:rsid w:val="005361D8"/>
    <w:rsid w:val="00540511"/>
    <w:rsid w:val="005419B5"/>
    <w:rsid w:val="00541CE8"/>
    <w:rsid w:val="0054270A"/>
    <w:rsid w:val="00543AB2"/>
    <w:rsid w:val="0054431E"/>
    <w:rsid w:val="00544A3D"/>
    <w:rsid w:val="00544D2C"/>
    <w:rsid w:val="00546434"/>
    <w:rsid w:val="0054728C"/>
    <w:rsid w:val="00547A98"/>
    <w:rsid w:val="0055129B"/>
    <w:rsid w:val="00551737"/>
    <w:rsid w:val="0055183A"/>
    <w:rsid w:val="00551845"/>
    <w:rsid w:val="005545AC"/>
    <w:rsid w:val="0055520A"/>
    <w:rsid w:val="00557093"/>
    <w:rsid w:val="0056033A"/>
    <w:rsid w:val="00560C54"/>
    <w:rsid w:val="00560DD9"/>
    <w:rsid w:val="00561505"/>
    <w:rsid w:val="00561BB1"/>
    <w:rsid w:val="00562A6B"/>
    <w:rsid w:val="00562C18"/>
    <w:rsid w:val="00563818"/>
    <w:rsid w:val="005638AB"/>
    <w:rsid w:val="00563BF6"/>
    <w:rsid w:val="00564F16"/>
    <w:rsid w:val="00565D97"/>
    <w:rsid w:val="00566423"/>
    <w:rsid w:val="00566A80"/>
    <w:rsid w:val="0056731B"/>
    <w:rsid w:val="0056739B"/>
    <w:rsid w:val="005676E8"/>
    <w:rsid w:val="00570D97"/>
    <w:rsid w:val="00570DC2"/>
    <w:rsid w:val="005710E5"/>
    <w:rsid w:val="00573780"/>
    <w:rsid w:val="0057380C"/>
    <w:rsid w:val="00574C57"/>
    <w:rsid w:val="00580638"/>
    <w:rsid w:val="00581561"/>
    <w:rsid w:val="00581AE1"/>
    <w:rsid w:val="00581C81"/>
    <w:rsid w:val="00581D23"/>
    <w:rsid w:val="005831AC"/>
    <w:rsid w:val="005837AF"/>
    <w:rsid w:val="00583C0B"/>
    <w:rsid w:val="00584092"/>
    <w:rsid w:val="00584B0B"/>
    <w:rsid w:val="00585D00"/>
    <w:rsid w:val="0058628D"/>
    <w:rsid w:val="00586802"/>
    <w:rsid w:val="005870CD"/>
    <w:rsid w:val="00587498"/>
    <w:rsid w:val="00587A30"/>
    <w:rsid w:val="00591494"/>
    <w:rsid w:val="0059240A"/>
    <w:rsid w:val="005932EB"/>
    <w:rsid w:val="00595622"/>
    <w:rsid w:val="00595B1D"/>
    <w:rsid w:val="00596A96"/>
    <w:rsid w:val="00596E89"/>
    <w:rsid w:val="00597A0D"/>
    <w:rsid w:val="005A06A8"/>
    <w:rsid w:val="005A0C9E"/>
    <w:rsid w:val="005A0F56"/>
    <w:rsid w:val="005A13BA"/>
    <w:rsid w:val="005A144A"/>
    <w:rsid w:val="005A33AB"/>
    <w:rsid w:val="005A3450"/>
    <w:rsid w:val="005A39C9"/>
    <w:rsid w:val="005A4656"/>
    <w:rsid w:val="005A4C55"/>
    <w:rsid w:val="005A5459"/>
    <w:rsid w:val="005A57CF"/>
    <w:rsid w:val="005A583B"/>
    <w:rsid w:val="005A5CAC"/>
    <w:rsid w:val="005A66F8"/>
    <w:rsid w:val="005A7529"/>
    <w:rsid w:val="005B1ADA"/>
    <w:rsid w:val="005B2797"/>
    <w:rsid w:val="005B2F5E"/>
    <w:rsid w:val="005B3279"/>
    <w:rsid w:val="005B47B5"/>
    <w:rsid w:val="005B5BB3"/>
    <w:rsid w:val="005B6B8E"/>
    <w:rsid w:val="005B7CA1"/>
    <w:rsid w:val="005C0C40"/>
    <w:rsid w:val="005C157C"/>
    <w:rsid w:val="005C1E11"/>
    <w:rsid w:val="005C3317"/>
    <w:rsid w:val="005C42BB"/>
    <w:rsid w:val="005C545C"/>
    <w:rsid w:val="005C555C"/>
    <w:rsid w:val="005D0D75"/>
    <w:rsid w:val="005D0F38"/>
    <w:rsid w:val="005D185A"/>
    <w:rsid w:val="005D3E91"/>
    <w:rsid w:val="005D4BE2"/>
    <w:rsid w:val="005D4DDD"/>
    <w:rsid w:val="005D5448"/>
    <w:rsid w:val="005D55C2"/>
    <w:rsid w:val="005D5BEC"/>
    <w:rsid w:val="005D5DAC"/>
    <w:rsid w:val="005D6233"/>
    <w:rsid w:val="005D6438"/>
    <w:rsid w:val="005D6C95"/>
    <w:rsid w:val="005D76F5"/>
    <w:rsid w:val="005E14A6"/>
    <w:rsid w:val="005E1738"/>
    <w:rsid w:val="005E2F37"/>
    <w:rsid w:val="005E2FE8"/>
    <w:rsid w:val="005E4921"/>
    <w:rsid w:val="005E51AD"/>
    <w:rsid w:val="005E715D"/>
    <w:rsid w:val="005E7ABE"/>
    <w:rsid w:val="005F1C96"/>
    <w:rsid w:val="005F2EB5"/>
    <w:rsid w:val="005F4DAD"/>
    <w:rsid w:val="005F5D41"/>
    <w:rsid w:val="005F6A1F"/>
    <w:rsid w:val="005F78E7"/>
    <w:rsid w:val="00600009"/>
    <w:rsid w:val="00600089"/>
    <w:rsid w:val="00600CE9"/>
    <w:rsid w:val="0060102C"/>
    <w:rsid w:val="00601202"/>
    <w:rsid w:val="00601809"/>
    <w:rsid w:val="00602599"/>
    <w:rsid w:val="00602E9F"/>
    <w:rsid w:val="006059D7"/>
    <w:rsid w:val="00605A44"/>
    <w:rsid w:val="00611D36"/>
    <w:rsid w:val="00613618"/>
    <w:rsid w:val="00614153"/>
    <w:rsid w:val="006141EA"/>
    <w:rsid w:val="0061445C"/>
    <w:rsid w:val="006159AE"/>
    <w:rsid w:val="006159B9"/>
    <w:rsid w:val="00616A62"/>
    <w:rsid w:val="00617B15"/>
    <w:rsid w:val="00620385"/>
    <w:rsid w:val="00621F06"/>
    <w:rsid w:val="0062267C"/>
    <w:rsid w:val="0062349C"/>
    <w:rsid w:val="00623F92"/>
    <w:rsid w:val="006241D2"/>
    <w:rsid w:val="0062439E"/>
    <w:rsid w:val="00624762"/>
    <w:rsid w:val="00624DF7"/>
    <w:rsid w:val="00625110"/>
    <w:rsid w:val="0062633B"/>
    <w:rsid w:val="00626660"/>
    <w:rsid w:val="00626C83"/>
    <w:rsid w:val="00626D28"/>
    <w:rsid w:val="00627277"/>
    <w:rsid w:val="00630637"/>
    <w:rsid w:val="006310F2"/>
    <w:rsid w:val="0063110E"/>
    <w:rsid w:val="0063160E"/>
    <w:rsid w:val="00632551"/>
    <w:rsid w:val="006327F4"/>
    <w:rsid w:val="0063289F"/>
    <w:rsid w:val="006330D6"/>
    <w:rsid w:val="0063348B"/>
    <w:rsid w:val="00633723"/>
    <w:rsid w:val="00633FD7"/>
    <w:rsid w:val="006342F3"/>
    <w:rsid w:val="006343BE"/>
    <w:rsid w:val="00634419"/>
    <w:rsid w:val="0063512A"/>
    <w:rsid w:val="00635BA4"/>
    <w:rsid w:val="00635D47"/>
    <w:rsid w:val="00636191"/>
    <w:rsid w:val="00637617"/>
    <w:rsid w:val="00637EB3"/>
    <w:rsid w:val="00640419"/>
    <w:rsid w:val="00642334"/>
    <w:rsid w:val="006433E7"/>
    <w:rsid w:val="00644425"/>
    <w:rsid w:val="00644E4B"/>
    <w:rsid w:val="00645035"/>
    <w:rsid w:val="00647F31"/>
    <w:rsid w:val="00647FD7"/>
    <w:rsid w:val="00650198"/>
    <w:rsid w:val="00650F61"/>
    <w:rsid w:val="00651053"/>
    <w:rsid w:val="00651D05"/>
    <w:rsid w:val="00651E5F"/>
    <w:rsid w:val="00652347"/>
    <w:rsid w:val="00653012"/>
    <w:rsid w:val="00653054"/>
    <w:rsid w:val="006536D6"/>
    <w:rsid w:val="00656129"/>
    <w:rsid w:val="00656E4C"/>
    <w:rsid w:val="006570A6"/>
    <w:rsid w:val="00657459"/>
    <w:rsid w:val="006576FA"/>
    <w:rsid w:val="00657C1E"/>
    <w:rsid w:val="00657D92"/>
    <w:rsid w:val="00657ED7"/>
    <w:rsid w:val="00660215"/>
    <w:rsid w:val="0066032E"/>
    <w:rsid w:val="00660C9A"/>
    <w:rsid w:val="00661984"/>
    <w:rsid w:val="00662290"/>
    <w:rsid w:val="006629E5"/>
    <w:rsid w:val="00662B52"/>
    <w:rsid w:val="00663C9E"/>
    <w:rsid w:val="00665224"/>
    <w:rsid w:val="00665ED4"/>
    <w:rsid w:val="00666ED8"/>
    <w:rsid w:val="00670350"/>
    <w:rsid w:val="00671C92"/>
    <w:rsid w:val="00672142"/>
    <w:rsid w:val="006723F9"/>
    <w:rsid w:val="006725D2"/>
    <w:rsid w:val="0067337C"/>
    <w:rsid w:val="00673A8E"/>
    <w:rsid w:val="00674314"/>
    <w:rsid w:val="00674971"/>
    <w:rsid w:val="00674A9B"/>
    <w:rsid w:val="00674AC5"/>
    <w:rsid w:val="00674EB1"/>
    <w:rsid w:val="00676E32"/>
    <w:rsid w:val="00676FB2"/>
    <w:rsid w:val="00677AB0"/>
    <w:rsid w:val="006804E7"/>
    <w:rsid w:val="00680630"/>
    <w:rsid w:val="006810E1"/>
    <w:rsid w:val="006811E3"/>
    <w:rsid w:val="006820CA"/>
    <w:rsid w:val="006827F2"/>
    <w:rsid w:val="006848F3"/>
    <w:rsid w:val="00684981"/>
    <w:rsid w:val="00687765"/>
    <w:rsid w:val="00687E87"/>
    <w:rsid w:val="00690339"/>
    <w:rsid w:val="00690A6E"/>
    <w:rsid w:val="00690D8F"/>
    <w:rsid w:val="00691BC2"/>
    <w:rsid w:val="00691D71"/>
    <w:rsid w:val="0069296E"/>
    <w:rsid w:val="00692974"/>
    <w:rsid w:val="006929CC"/>
    <w:rsid w:val="00692FEE"/>
    <w:rsid w:val="006940DE"/>
    <w:rsid w:val="00695289"/>
    <w:rsid w:val="00697161"/>
    <w:rsid w:val="006A0CBB"/>
    <w:rsid w:val="006A2DFB"/>
    <w:rsid w:val="006A3EA8"/>
    <w:rsid w:val="006A3FE8"/>
    <w:rsid w:val="006A4013"/>
    <w:rsid w:val="006A4558"/>
    <w:rsid w:val="006A5334"/>
    <w:rsid w:val="006A65EE"/>
    <w:rsid w:val="006A6BE6"/>
    <w:rsid w:val="006A7858"/>
    <w:rsid w:val="006B02F6"/>
    <w:rsid w:val="006B0DDA"/>
    <w:rsid w:val="006B1B9E"/>
    <w:rsid w:val="006B37C9"/>
    <w:rsid w:val="006B38CC"/>
    <w:rsid w:val="006B3C6E"/>
    <w:rsid w:val="006B5973"/>
    <w:rsid w:val="006B5B38"/>
    <w:rsid w:val="006B7380"/>
    <w:rsid w:val="006C02CF"/>
    <w:rsid w:val="006C0B72"/>
    <w:rsid w:val="006C21D1"/>
    <w:rsid w:val="006C2385"/>
    <w:rsid w:val="006C2669"/>
    <w:rsid w:val="006C2891"/>
    <w:rsid w:val="006C2B71"/>
    <w:rsid w:val="006C3737"/>
    <w:rsid w:val="006C3B37"/>
    <w:rsid w:val="006C4B07"/>
    <w:rsid w:val="006C4DD3"/>
    <w:rsid w:val="006C4E95"/>
    <w:rsid w:val="006C60EB"/>
    <w:rsid w:val="006C66CE"/>
    <w:rsid w:val="006C68E2"/>
    <w:rsid w:val="006C6FD7"/>
    <w:rsid w:val="006D0743"/>
    <w:rsid w:val="006D0AB8"/>
    <w:rsid w:val="006D0BA8"/>
    <w:rsid w:val="006D2795"/>
    <w:rsid w:val="006D5A74"/>
    <w:rsid w:val="006E064F"/>
    <w:rsid w:val="006E1D9D"/>
    <w:rsid w:val="006E33E9"/>
    <w:rsid w:val="006E3FC9"/>
    <w:rsid w:val="006E4FA6"/>
    <w:rsid w:val="006E522B"/>
    <w:rsid w:val="006E5B1C"/>
    <w:rsid w:val="006E5CCC"/>
    <w:rsid w:val="006E6C23"/>
    <w:rsid w:val="006E6F1D"/>
    <w:rsid w:val="006F0303"/>
    <w:rsid w:val="006F06C8"/>
    <w:rsid w:val="006F198E"/>
    <w:rsid w:val="006F2A34"/>
    <w:rsid w:val="006F2BC7"/>
    <w:rsid w:val="006F2C66"/>
    <w:rsid w:val="006F4A35"/>
    <w:rsid w:val="006F5190"/>
    <w:rsid w:val="006F6828"/>
    <w:rsid w:val="006F7BD2"/>
    <w:rsid w:val="00700110"/>
    <w:rsid w:val="007014AE"/>
    <w:rsid w:val="007027BD"/>
    <w:rsid w:val="00703638"/>
    <w:rsid w:val="0070385D"/>
    <w:rsid w:val="00703DF5"/>
    <w:rsid w:val="00705E3D"/>
    <w:rsid w:val="00706B30"/>
    <w:rsid w:val="00706C13"/>
    <w:rsid w:val="007070FA"/>
    <w:rsid w:val="0070728D"/>
    <w:rsid w:val="00707B9E"/>
    <w:rsid w:val="00707E32"/>
    <w:rsid w:val="007101FC"/>
    <w:rsid w:val="00712023"/>
    <w:rsid w:val="00712462"/>
    <w:rsid w:val="00712F37"/>
    <w:rsid w:val="00713175"/>
    <w:rsid w:val="00713FAF"/>
    <w:rsid w:val="00714620"/>
    <w:rsid w:val="007147EF"/>
    <w:rsid w:val="0071499E"/>
    <w:rsid w:val="00715927"/>
    <w:rsid w:val="00716D09"/>
    <w:rsid w:val="00720F63"/>
    <w:rsid w:val="0072110D"/>
    <w:rsid w:val="007215F7"/>
    <w:rsid w:val="0072169F"/>
    <w:rsid w:val="0072295A"/>
    <w:rsid w:val="00722E80"/>
    <w:rsid w:val="00722F77"/>
    <w:rsid w:val="0072338E"/>
    <w:rsid w:val="0072386B"/>
    <w:rsid w:val="00723E55"/>
    <w:rsid w:val="0072476C"/>
    <w:rsid w:val="007247CA"/>
    <w:rsid w:val="007247E3"/>
    <w:rsid w:val="0072612F"/>
    <w:rsid w:val="007270EA"/>
    <w:rsid w:val="0072795E"/>
    <w:rsid w:val="00730E64"/>
    <w:rsid w:val="00730F28"/>
    <w:rsid w:val="0073110A"/>
    <w:rsid w:val="00731763"/>
    <w:rsid w:val="00733D79"/>
    <w:rsid w:val="00734BF6"/>
    <w:rsid w:val="00736302"/>
    <w:rsid w:val="00736ACC"/>
    <w:rsid w:val="00737AAD"/>
    <w:rsid w:val="00740F4D"/>
    <w:rsid w:val="00742810"/>
    <w:rsid w:val="00742D73"/>
    <w:rsid w:val="00743006"/>
    <w:rsid w:val="007439FD"/>
    <w:rsid w:val="00743AE5"/>
    <w:rsid w:val="00744434"/>
    <w:rsid w:val="0074550C"/>
    <w:rsid w:val="007457FE"/>
    <w:rsid w:val="0074680C"/>
    <w:rsid w:val="0074705F"/>
    <w:rsid w:val="00747265"/>
    <w:rsid w:val="00750377"/>
    <w:rsid w:val="00751279"/>
    <w:rsid w:val="00753139"/>
    <w:rsid w:val="007540D1"/>
    <w:rsid w:val="0075487E"/>
    <w:rsid w:val="00755048"/>
    <w:rsid w:val="007551C8"/>
    <w:rsid w:val="00755227"/>
    <w:rsid w:val="00755FC7"/>
    <w:rsid w:val="00757DA8"/>
    <w:rsid w:val="00760F61"/>
    <w:rsid w:val="00761225"/>
    <w:rsid w:val="0076165B"/>
    <w:rsid w:val="0076387C"/>
    <w:rsid w:val="00763E31"/>
    <w:rsid w:val="00764963"/>
    <w:rsid w:val="00764A90"/>
    <w:rsid w:val="00765B2A"/>
    <w:rsid w:val="00767DC7"/>
    <w:rsid w:val="007713C8"/>
    <w:rsid w:val="00771ED3"/>
    <w:rsid w:val="00772471"/>
    <w:rsid w:val="00773427"/>
    <w:rsid w:val="00774B19"/>
    <w:rsid w:val="00774D08"/>
    <w:rsid w:val="0077513E"/>
    <w:rsid w:val="00775907"/>
    <w:rsid w:val="00776056"/>
    <w:rsid w:val="00777024"/>
    <w:rsid w:val="007816BB"/>
    <w:rsid w:val="00781CD2"/>
    <w:rsid w:val="00784E58"/>
    <w:rsid w:val="007857CD"/>
    <w:rsid w:val="007862D2"/>
    <w:rsid w:val="007865BC"/>
    <w:rsid w:val="0078752F"/>
    <w:rsid w:val="00787D4C"/>
    <w:rsid w:val="007900B3"/>
    <w:rsid w:val="007905BE"/>
    <w:rsid w:val="00790822"/>
    <w:rsid w:val="0079151A"/>
    <w:rsid w:val="007930E1"/>
    <w:rsid w:val="00796962"/>
    <w:rsid w:val="00796C58"/>
    <w:rsid w:val="007A1E87"/>
    <w:rsid w:val="007A2D73"/>
    <w:rsid w:val="007A4736"/>
    <w:rsid w:val="007A4C43"/>
    <w:rsid w:val="007A57EE"/>
    <w:rsid w:val="007A6E90"/>
    <w:rsid w:val="007B0932"/>
    <w:rsid w:val="007B1DEE"/>
    <w:rsid w:val="007B2640"/>
    <w:rsid w:val="007B2952"/>
    <w:rsid w:val="007B32D2"/>
    <w:rsid w:val="007B3E33"/>
    <w:rsid w:val="007B51A3"/>
    <w:rsid w:val="007B5E13"/>
    <w:rsid w:val="007B79F5"/>
    <w:rsid w:val="007C0985"/>
    <w:rsid w:val="007C104B"/>
    <w:rsid w:val="007C17ED"/>
    <w:rsid w:val="007C3340"/>
    <w:rsid w:val="007C3416"/>
    <w:rsid w:val="007C4E33"/>
    <w:rsid w:val="007C51C0"/>
    <w:rsid w:val="007C55D3"/>
    <w:rsid w:val="007C6395"/>
    <w:rsid w:val="007C6BC3"/>
    <w:rsid w:val="007C71C9"/>
    <w:rsid w:val="007C7804"/>
    <w:rsid w:val="007D01AC"/>
    <w:rsid w:val="007D0ED6"/>
    <w:rsid w:val="007D2D22"/>
    <w:rsid w:val="007D3395"/>
    <w:rsid w:val="007D3D9A"/>
    <w:rsid w:val="007D4878"/>
    <w:rsid w:val="007D5444"/>
    <w:rsid w:val="007D5580"/>
    <w:rsid w:val="007D6FAB"/>
    <w:rsid w:val="007D7933"/>
    <w:rsid w:val="007E0738"/>
    <w:rsid w:val="007E17F2"/>
    <w:rsid w:val="007E25D8"/>
    <w:rsid w:val="007E287E"/>
    <w:rsid w:val="007E4D43"/>
    <w:rsid w:val="007E5B06"/>
    <w:rsid w:val="007E6CC0"/>
    <w:rsid w:val="007E6E75"/>
    <w:rsid w:val="007E7824"/>
    <w:rsid w:val="007E7A6F"/>
    <w:rsid w:val="007E7BCE"/>
    <w:rsid w:val="007F01DE"/>
    <w:rsid w:val="007F251B"/>
    <w:rsid w:val="007F2752"/>
    <w:rsid w:val="007F3749"/>
    <w:rsid w:val="007F5178"/>
    <w:rsid w:val="007F64F1"/>
    <w:rsid w:val="007F6AB5"/>
    <w:rsid w:val="007F72C0"/>
    <w:rsid w:val="007F7396"/>
    <w:rsid w:val="00801571"/>
    <w:rsid w:val="0080199D"/>
    <w:rsid w:val="008040D5"/>
    <w:rsid w:val="008045BD"/>
    <w:rsid w:val="00804918"/>
    <w:rsid w:val="0080556F"/>
    <w:rsid w:val="00805A7F"/>
    <w:rsid w:val="00806EBC"/>
    <w:rsid w:val="00810B7D"/>
    <w:rsid w:val="00810E46"/>
    <w:rsid w:val="00811E25"/>
    <w:rsid w:val="0081209A"/>
    <w:rsid w:val="008120E1"/>
    <w:rsid w:val="00812300"/>
    <w:rsid w:val="00812E31"/>
    <w:rsid w:val="008133F2"/>
    <w:rsid w:val="0081558E"/>
    <w:rsid w:val="00815879"/>
    <w:rsid w:val="008166E6"/>
    <w:rsid w:val="00816A35"/>
    <w:rsid w:val="00817F70"/>
    <w:rsid w:val="00820B09"/>
    <w:rsid w:val="008214AF"/>
    <w:rsid w:val="00821D0A"/>
    <w:rsid w:val="00822480"/>
    <w:rsid w:val="0082459E"/>
    <w:rsid w:val="008249A9"/>
    <w:rsid w:val="00826E3C"/>
    <w:rsid w:val="0082714F"/>
    <w:rsid w:val="00827977"/>
    <w:rsid w:val="0083013E"/>
    <w:rsid w:val="00830909"/>
    <w:rsid w:val="00830D4E"/>
    <w:rsid w:val="00831CE7"/>
    <w:rsid w:val="00832D00"/>
    <w:rsid w:val="00832E4C"/>
    <w:rsid w:val="008341E6"/>
    <w:rsid w:val="00835BB6"/>
    <w:rsid w:val="008366B6"/>
    <w:rsid w:val="00836A32"/>
    <w:rsid w:val="0083727D"/>
    <w:rsid w:val="00837F35"/>
    <w:rsid w:val="00840BAD"/>
    <w:rsid w:val="008416B3"/>
    <w:rsid w:val="008420D9"/>
    <w:rsid w:val="0084273E"/>
    <w:rsid w:val="00845160"/>
    <w:rsid w:val="00846A8E"/>
    <w:rsid w:val="00846E9A"/>
    <w:rsid w:val="0084770D"/>
    <w:rsid w:val="008506CC"/>
    <w:rsid w:val="0085101C"/>
    <w:rsid w:val="00853108"/>
    <w:rsid w:val="0085332A"/>
    <w:rsid w:val="008544C3"/>
    <w:rsid w:val="00854675"/>
    <w:rsid w:val="00854791"/>
    <w:rsid w:val="00857170"/>
    <w:rsid w:val="00857B2A"/>
    <w:rsid w:val="008607C2"/>
    <w:rsid w:val="00861ABF"/>
    <w:rsid w:val="008633A9"/>
    <w:rsid w:val="00863CB0"/>
    <w:rsid w:val="00864C04"/>
    <w:rsid w:val="00864CEB"/>
    <w:rsid w:val="008657D7"/>
    <w:rsid w:val="008658F8"/>
    <w:rsid w:val="00865DD3"/>
    <w:rsid w:val="00865EA8"/>
    <w:rsid w:val="00866E36"/>
    <w:rsid w:val="00867E3A"/>
    <w:rsid w:val="00867FC0"/>
    <w:rsid w:val="00867FD2"/>
    <w:rsid w:val="00873349"/>
    <w:rsid w:val="0087361B"/>
    <w:rsid w:val="00873975"/>
    <w:rsid w:val="00873DD9"/>
    <w:rsid w:val="00873F7D"/>
    <w:rsid w:val="008743C8"/>
    <w:rsid w:val="00875081"/>
    <w:rsid w:val="00875405"/>
    <w:rsid w:val="00877864"/>
    <w:rsid w:val="00880033"/>
    <w:rsid w:val="00880A69"/>
    <w:rsid w:val="00880C54"/>
    <w:rsid w:val="00880F88"/>
    <w:rsid w:val="008817B5"/>
    <w:rsid w:val="008842B9"/>
    <w:rsid w:val="00884A2F"/>
    <w:rsid w:val="00884B16"/>
    <w:rsid w:val="0088539B"/>
    <w:rsid w:val="00886686"/>
    <w:rsid w:val="00887147"/>
    <w:rsid w:val="00890A69"/>
    <w:rsid w:val="00891D4A"/>
    <w:rsid w:val="00893871"/>
    <w:rsid w:val="00893A5E"/>
    <w:rsid w:val="00893D10"/>
    <w:rsid w:val="0089507E"/>
    <w:rsid w:val="0089636C"/>
    <w:rsid w:val="00896B32"/>
    <w:rsid w:val="0089737D"/>
    <w:rsid w:val="00897627"/>
    <w:rsid w:val="008A0DCD"/>
    <w:rsid w:val="008A10B0"/>
    <w:rsid w:val="008A166C"/>
    <w:rsid w:val="008A1B26"/>
    <w:rsid w:val="008A23AE"/>
    <w:rsid w:val="008A2501"/>
    <w:rsid w:val="008A32EE"/>
    <w:rsid w:val="008A3418"/>
    <w:rsid w:val="008A3A4C"/>
    <w:rsid w:val="008A466D"/>
    <w:rsid w:val="008A4F0F"/>
    <w:rsid w:val="008A5386"/>
    <w:rsid w:val="008B027E"/>
    <w:rsid w:val="008B058D"/>
    <w:rsid w:val="008B0E92"/>
    <w:rsid w:val="008B0FE3"/>
    <w:rsid w:val="008B2800"/>
    <w:rsid w:val="008B2E59"/>
    <w:rsid w:val="008B361F"/>
    <w:rsid w:val="008B3943"/>
    <w:rsid w:val="008B59FE"/>
    <w:rsid w:val="008B72D1"/>
    <w:rsid w:val="008B7991"/>
    <w:rsid w:val="008B7BE6"/>
    <w:rsid w:val="008C0DC1"/>
    <w:rsid w:val="008C1B0B"/>
    <w:rsid w:val="008C24BA"/>
    <w:rsid w:val="008C2B7F"/>
    <w:rsid w:val="008C2D04"/>
    <w:rsid w:val="008C30B3"/>
    <w:rsid w:val="008C32B5"/>
    <w:rsid w:val="008C3C56"/>
    <w:rsid w:val="008C4116"/>
    <w:rsid w:val="008C49A5"/>
    <w:rsid w:val="008C4DF4"/>
    <w:rsid w:val="008C664B"/>
    <w:rsid w:val="008C68C0"/>
    <w:rsid w:val="008C6E44"/>
    <w:rsid w:val="008D06B0"/>
    <w:rsid w:val="008D34E7"/>
    <w:rsid w:val="008D4A3D"/>
    <w:rsid w:val="008D50A3"/>
    <w:rsid w:val="008D6559"/>
    <w:rsid w:val="008D7C1B"/>
    <w:rsid w:val="008E07AA"/>
    <w:rsid w:val="008E0A06"/>
    <w:rsid w:val="008E115E"/>
    <w:rsid w:val="008E1CEE"/>
    <w:rsid w:val="008E2090"/>
    <w:rsid w:val="008E4132"/>
    <w:rsid w:val="008E4395"/>
    <w:rsid w:val="008E50C4"/>
    <w:rsid w:val="008E523E"/>
    <w:rsid w:val="008E57BE"/>
    <w:rsid w:val="008E59CC"/>
    <w:rsid w:val="008F081F"/>
    <w:rsid w:val="008F1004"/>
    <w:rsid w:val="008F1E49"/>
    <w:rsid w:val="008F30E6"/>
    <w:rsid w:val="008F3939"/>
    <w:rsid w:val="008F3A15"/>
    <w:rsid w:val="008F3BC5"/>
    <w:rsid w:val="008F67EB"/>
    <w:rsid w:val="008F7853"/>
    <w:rsid w:val="00900431"/>
    <w:rsid w:val="0090051B"/>
    <w:rsid w:val="00900C27"/>
    <w:rsid w:val="00901374"/>
    <w:rsid w:val="00901949"/>
    <w:rsid w:val="00901EA6"/>
    <w:rsid w:val="0090211E"/>
    <w:rsid w:val="009024E8"/>
    <w:rsid w:val="00902708"/>
    <w:rsid w:val="00902D11"/>
    <w:rsid w:val="00903F91"/>
    <w:rsid w:val="009042F1"/>
    <w:rsid w:val="00904E26"/>
    <w:rsid w:val="00906126"/>
    <w:rsid w:val="00906778"/>
    <w:rsid w:val="00906EE4"/>
    <w:rsid w:val="009102FB"/>
    <w:rsid w:val="00910EAE"/>
    <w:rsid w:val="009134FB"/>
    <w:rsid w:val="009135FD"/>
    <w:rsid w:val="00913B37"/>
    <w:rsid w:val="0091482E"/>
    <w:rsid w:val="00915B57"/>
    <w:rsid w:val="00915E0D"/>
    <w:rsid w:val="00915E40"/>
    <w:rsid w:val="0091649C"/>
    <w:rsid w:val="0091684D"/>
    <w:rsid w:val="009169C8"/>
    <w:rsid w:val="00917720"/>
    <w:rsid w:val="00920234"/>
    <w:rsid w:val="009203A6"/>
    <w:rsid w:val="00920F18"/>
    <w:rsid w:val="00921245"/>
    <w:rsid w:val="00921475"/>
    <w:rsid w:val="0092149B"/>
    <w:rsid w:val="00921656"/>
    <w:rsid w:val="009218E8"/>
    <w:rsid w:val="00922218"/>
    <w:rsid w:val="00923F3C"/>
    <w:rsid w:val="00925100"/>
    <w:rsid w:val="00925558"/>
    <w:rsid w:val="009258F4"/>
    <w:rsid w:val="0092697A"/>
    <w:rsid w:val="00927A02"/>
    <w:rsid w:val="0093046A"/>
    <w:rsid w:val="00930553"/>
    <w:rsid w:val="00932A64"/>
    <w:rsid w:val="00932B86"/>
    <w:rsid w:val="009334DE"/>
    <w:rsid w:val="00933C79"/>
    <w:rsid w:val="0093444E"/>
    <w:rsid w:val="009346FC"/>
    <w:rsid w:val="00934AC9"/>
    <w:rsid w:val="00935CE6"/>
    <w:rsid w:val="009370B5"/>
    <w:rsid w:val="0094012E"/>
    <w:rsid w:val="00941C65"/>
    <w:rsid w:val="00942F17"/>
    <w:rsid w:val="009431A3"/>
    <w:rsid w:val="00943A06"/>
    <w:rsid w:val="00943A0D"/>
    <w:rsid w:val="00944043"/>
    <w:rsid w:val="00944173"/>
    <w:rsid w:val="00944306"/>
    <w:rsid w:val="00944C0D"/>
    <w:rsid w:val="0094591E"/>
    <w:rsid w:val="00946243"/>
    <w:rsid w:val="00946979"/>
    <w:rsid w:val="009507C2"/>
    <w:rsid w:val="009516BB"/>
    <w:rsid w:val="00951E97"/>
    <w:rsid w:val="00952E6C"/>
    <w:rsid w:val="00953788"/>
    <w:rsid w:val="00954C94"/>
    <w:rsid w:val="00955EE5"/>
    <w:rsid w:val="0095628B"/>
    <w:rsid w:val="00956B00"/>
    <w:rsid w:val="00957788"/>
    <w:rsid w:val="00957DA3"/>
    <w:rsid w:val="0096253E"/>
    <w:rsid w:val="00963584"/>
    <w:rsid w:val="0096396A"/>
    <w:rsid w:val="009643AE"/>
    <w:rsid w:val="0097008F"/>
    <w:rsid w:val="0097032C"/>
    <w:rsid w:val="00970592"/>
    <w:rsid w:val="00970916"/>
    <w:rsid w:val="00971681"/>
    <w:rsid w:val="009728C6"/>
    <w:rsid w:val="00972A67"/>
    <w:rsid w:val="009739E2"/>
    <w:rsid w:val="00974284"/>
    <w:rsid w:val="00974D8F"/>
    <w:rsid w:val="00974DF6"/>
    <w:rsid w:val="00975253"/>
    <w:rsid w:val="00976374"/>
    <w:rsid w:val="00980485"/>
    <w:rsid w:val="00980B3E"/>
    <w:rsid w:val="00980D88"/>
    <w:rsid w:val="00981FFD"/>
    <w:rsid w:val="009870CB"/>
    <w:rsid w:val="009900FE"/>
    <w:rsid w:val="0099032E"/>
    <w:rsid w:val="00991FC4"/>
    <w:rsid w:val="009920C8"/>
    <w:rsid w:val="009924D1"/>
    <w:rsid w:val="0099367F"/>
    <w:rsid w:val="00993A1A"/>
    <w:rsid w:val="00997231"/>
    <w:rsid w:val="00997C63"/>
    <w:rsid w:val="00997CD4"/>
    <w:rsid w:val="009A0365"/>
    <w:rsid w:val="009A1559"/>
    <w:rsid w:val="009A1D8B"/>
    <w:rsid w:val="009A31C4"/>
    <w:rsid w:val="009A44DD"/>
    <w:rsid w:val="009A4A48"/>
    <w:rsid w:val="009A6403"/>
    <w:rsid w:val="009A66CA"/>
    <w:rsid w:val="009A67AE"/>
    <w:rsid w:val="009A6E2F"/>
    <w:rsid w:val="009A748E"/>
    <w:rsid w:val="009B0337"/>
    <w:rsid w:val="009B175D"/>
    <w:rsid w:val="009B1D35"/>
    <w:rsid w:val="009B373C"/>
    <w:rsid w:val="009B3AB5"/>
    <w:rsid w:val="009B48F0"/>
    <w:rsid w:val="009B505C"/>
    <w:rsid w:val="009B584D"/>
    <w:rsid w:val="009B5898"/>
    <w:rsid w:val="009B6672"/>
    <w:rsid w:val="009B7D16"/>
    <w:rsid w:val="009C0AFA"/>
    <w:rsid w:val="009C0C3E"/>
    <w:rsid w:val="009C39E9"/>
    <w:rsid w:val="009C4CCD"/>
    <w:rsid w:val="009C5064"/>
    <w:rsid w:val="009C5742"/>
    <w:rsid w:val="009C629A"/>
    <w:rsid w:val="009C7051"/>
    <w:rsid w:val="009C71DF"/>
    <w:rsid w:val="009D1C19"/>
    <w:rsid w:val="009D3C4D"/>
    <w:rsid w:val="009D5C0E"/>
    <w:rsid w:val="009D693A"/>
    <w:rsid w:val="009D7218"/>
    <w:rsid w:val="009D7BD4"/>
    <w:rsid w:val="009E064F"/>
    <w:rsid w:val="009E0AF4"/>
    <w:rsid w:val="009E1E43"/>
    <w:rsid w:val="009E248B"/>
    <w:rsid w:val="009E2A8D"/>
    <w:rsid w:val="009E43A9"/>
    <w:rsid w:val="009E740F"/>
    <w:rsid w:val="009F1A49"/>
    <w:rsid w:val="009F2885"/>
    <w:rsid w:val="009F2EBA"/>
    <w:rsid w:val="009F32D1"/>
    <w:rsid w:val="009F4F53"/>
    <w:rsid w:val="009F53FD"/>
    <w:rsid w:val="009F5C4E"/>
    <w:rsid w:val="009F7173"/>
    <w:rsid w:val="009F7537"/>
    <w:rsid w:val="00A02530"/>
    <w:rsid w:val="00A026E0"/>
    <w:rsid w:val="00A02A7E"/>
    <w:rsid w:val="00A02CCD"/>
    <w:rsid w:val="00A07464"/>
    <w:rsid w:val="00A10DF7"/>
    <w:rsid w:val="00A11BBD"/>
    <w:rsid w:val="00A13176"/>
    <w:rsid w:val="00A133CB"/>
    <w:rsid w:val="00A13BC1"/>
    <w:rsid w:val="00A13E03"/>
    <w:rsid w:val="00A14A7E"/>
    <w:rsid w:val="00A157F5"/>
    <w:rsid w:val="00A161F8"/>
    <w:rsid w:val="00A16617"/>
    <w:rsid w:val="00A173FA"/>
    <w:rsid w:val="00A177EE"/>
    <w:rsid w:val="00A208A8"/>
    <w:rsid w:val="00A213BC"/>
    <w:rsid w:val="00A2151F"/>
    <w:rsid w:val="00A2176B"/>
    <w:rsid w:val="00A21AEB"/>
    <w:rsid w:val="00A22AAA"/>
    <w:rsid w:val="00A2454A"/>
    <w:rsid w:val="00A24BB3"/>
    <w:rsid w:val="00A267E8"/>
    <w:rsid w:val="00A26A20"/>
    <w:rsid w:val="00A26AC8"/>
    <w:rsid w:val="00A27D1E"/>
    <w:rsid w:val="00A27E31"/>
    <w:rsid w:val="00A301B9"/>
    <w:rsid w:val="00A30BCC"/>
    <w:rsid w:val="00A30FCD"/>
    <w:rsid w:val="00A31F08"/>
    <w:rsid w:val="00A32428"/>
    <w:rsid w:val="00A329AD"/>
    <w:rsid w:val="00A33508"/>
    <w:rsid w:val="00A339B5"/>
    <w:rsid w:val="00A353B5"/>
    <w:rsid w:val="00A35827"/>
    <w:rsid w:val="00A36E1E"/>
    <w:rsid w:val="00A3714E"/>
    <w:rsid w:val="00A37FF9"/>
    <w:rsid w:val="00A41039"/>
    <w:rsid w:val="00A41CBA"/>
    <w:rsid w:val="00A42015"/>
    <w:rsid w:val="00A42170"/>
    <w:rsid w:val="00A4309E"/>
    <w:rsid w:val="00A436A9"/>
    <w:rsid w:val="00A44F90"/>
    <w:rsid w:val="00A45478"/>
    <w:rsid w:val="00A4607D"/>
    <w:rsid w:val="00A46C20"/>
    <w:rsid w:val="00A476C4"/>
    <w:rsid w:val="00A51B91"/>
    <w:rsid w:val="00A53A74"/>
    <w:rsid w:val="00A546BF"/>
    <w:rsid w:val="00A54A33"/>
    <w:rsid w:val="00A55926"/>
    <w:rsid w:val="00A561F0"/>
    <w:rsid w:val="00A572CA"/>
    <w:rsid w:val="00A60218"/>
    <w:rsid w:val="00A60234"/>
    <w:rsid w:val="00A602B8"/>
    <w:rsid w:val="00A60B7D"/>
    <w:rsid w:val="00A61CC6"/>
    <w:rsid w:val="00A6228C"/>
    <w:rsid w:val="00A62415"/>
    <w:rsid w:val="00A6337F"/>
    <w:rsid w:val="00A71382"/>
    <w:rsid w:val="00A7152A"/>
    <w:rsid w:val="00A7174E"/>
    <w:rsid w:val="00A72180"/>
    <w:rsid w:val="00A72256"/>
    <w:rsid w:val="00A7315F"/>
    <w:rsid w:val="00A73728"/>
    <w:rsid w:val="00A741FC"/>
    <w:rsid w:val="00A74F1A"/>
    <w:rsid w:val="00A755E6"/>
    <w:rsid w:val="00A7586D"/>
    <w:rsid w:val="00A7609C"/>
    <w:rsid w:val="00A809A2"/>
    <w:rsid w:val="00A82C97"/>
    <w:rsid w:val="00A82CD7"/>
    <w:rsid w:val="00A83037"/>
    <w:rsid w:val="00A84070"/>
    <w:rsid w:val="00A84482"/>
    <w:rsid w:val="00A868BB"/>
    <w:rsid w:val="00A86B73"/>
    <w:rsid w:val="00A87ADC"/>
    <w:rsid w:val="00A90E47"/>
    <w:rsid w:val="00A91432"/>
    <w:rsid w:val="00A91538"/>
    <w:rsid w:val="00A91739"/>
    <w:rsid w:val="00A93188"/>
    <w:rsid w:val="00A9376B"/>
    <w:rsid w:val="00A93F5D"/>
    <w:rsid w:val="00A94E95"/>
    <w:rsid w:val="00A95190"/>
    <w:rsid w:val="00A95CC0"/>
    <w:rsid w:val="00A97C90"/>
    <w:rsid w:val="00AA0A69"/>
    <w:rsid w:val="00AA1656"/>
    <w:rsid w:val="00AA1A49"/>
    <w:rsid w:val="00AA3062"/>
    <w:rsid w:val="00AA396B"/>
    <w:rsid w:val="00AA3B20"/>
    <w:rsid w:val="00AA4338"/>
    <w:rsid w:val="00AA5BE5"/>
    <w:rsid w:val="00AA6285"/>
    <w:rsid w:val="00AA70DB"/>
    <w:rsid w:val="00AB0D27"/>
    <w:rsid w:val="00AB1811"/>
    <w:rsid w:val="00AB18B2"/>
    <w:rsid w:val="00AB231E"/>
    <w:rsid w:val="00AB2595"/>
    <w:rsid w:val="00AB2692"/>
    <w:rsid w:val="00AB36E8"/>
    <w:rsid w:val="00AB3AC2"/>
    <w:rsid w:val="00AB3D26"/>
    <w:rsid w:val="00AB3D5A"/>
    <w:rsid w:val="00AB43D8"/>
    <w:rsid w:val="00AB5178"/>
    <w:rsid w:val="00AB62A4"/>
    <w:rsid w:val="00AB6A1E"/>
    <w:rsid w:val="00AB6BE9"/>
    <w:rsid w:val="00AB6C19"/>
    <w:rsid w:val="00AC0EDB"/>
    <w:rsid w:val="00AC26D2"/>
    <w:rsid w:val="00AC2BC3"/>
    <w:rsid w:val="00AC455A"/>
    <w:rsid w:val="00AC6607"/>
    <w:rsid w:val="00AC6721"/>
    <w:rsid w:val="00AC68D9"/>
    <w:rsid w:val="00AC734D"/>
    <w:rsid w:val="00AD0993"/>
    <w:rsid w:val="00AD1836"/>
    <w:rsid w:val="00AD1AF8"/>
    <w:rsid w:val="00AD1B14"/>
    <w:rsid w:val="00AD4309"/>
    <w:rsid w:val="00AD454E"/>
    <w:rsid w:val="00AD4D8D"/>
    <w:rsid w:val="00AD58F5"/>
    <w:rsid w:val="00AE07B9"/>
    <w:rsid w:val="00AE0FBD"/>
    <w:rsid w:val="00AE297F"/>
    <w:rsid w:val="00AE2FE6"/>
    <w:rsid w:val="00AE3212"/>
    <w:rsid w:val="00AE5474"/>
    <w:rsid w:val="00AE55CB"/>
    <w:rsid w:val="00AE682C"/>
    <w:rsid w:val="00AE78AD"/>
    <w:rsid w:val="00AE7CB0"/>
    <w:rsid w:val="00AF02A9"/>
    <w:rsid w:val="00AF08A5"/>
    <w:rsid w:val="00AF0CF8"/>
    <w:rsid w:val="00AF187B"/>
    <w:rsid w:val="00AF20A2"/>
    <w:rsid w:val="00AF3CE0"/>
    <w:rsid w:val="00AF4B5A"/>
    <w:rsid w:val="00AF4E6E"/>
    <w:rsid w:val="00AF5579"/>
    <w:rsid w:val="00AF5C55"/>
    <w:rsid w:val="00B00911"/>
    <w:rsid w:val="00B0125F"/>
    <w:rsid w:val="00B012F4"/>
    <w:rsid w:val="00B02274"/>
    <w:rsid w:val="00B03A20"/>
    <w:rsid w:val="00B03DEA"/>
    <w:rsid w:val="00B064E0"/>
    <w:rsid w:val="00B06AF3"/>
    <w:rsid w:val="00B10D35"/>
    <w:rsid w:val="00B11543"/>
    <w:rsid w:val="00B12AD4"/>
    <w:rsid w:val="00B1777A"/>
    <w:rsid w:val="00B21113"/>
    <w:rsid w:val="00B2310A"/>
    <w:rsid w:val="00B23FF6"/>
    <w:rsid w:val="00B2514C"/>
    <w:rsid w:val="00B25792"/>
    <w:rsid w:val="00B266F5"/>
    <w:rsid w:val="00B27396"/>
    <w:rsid w:val="00B30B22"/>
    <w:rsid w:val="00B3113D"/>
    <w:rsid w:val="00B31564"/>
    <w:rsid w:val="00B321F7"/>
    <w:rsid w:val="00B32920"/>
    <w:rsid w:val="00B33368"/>
    <w:rsid w:val="00B33425"/>
    <w:rsid w:val="00B337F6"/>
    <w:rsid w:val="00B34A44"/>
    <w:rsid w:val="00B36A1C"/>
    <w:rsid w:val="00B36F9D"/>
    <w:rsid w:val="00B372DE"/>
    <w:rsid w:val="00B40DDE"/>
    <w:rsid w:val="00B41F58"/>
    <w:rsid w:val="00B42019"/>
    <w:rsid w:val="00B421EC"/>
    <w:rsid w:val="00B425FA"/>
    <w:rsid w:val="00B42764"/>
    <w:rsid w:val="00B42F04"/>
    <w:rsid w:val="00B438FE"/>
    <w:rsid w:val="00B44182"/>
    <w:rsid w:val="00B446CF"/>
    <w:rsid w:val="00B44BBB"/>
    <w:rsid w:val="00B454C4"/>
    <w:rsid w:val="00B5199B"/>
    <w:rsid w:val="00B5200F"/>
    <w:rsid w:val="00B522E1"/>
    <w:rsid w:val="00B52746"/>
    <w:rsid w:val="00B52802"/>
    <w:rsid w:val="00B54122"/>
    <w:rsid w:val="00B543B4"/>
    <w:rsid w:val="00B57DD5"/>
    <w:rsid w:val="00B61D3C"/>
    <w:rsid w:val="00B64C20"/>
    <w:rsid w:val="00B659CF"/>
    <w:rsid w:val="00B65D80"/>
    <w:rsid w:val="00B67305"/>
    <w:rsid w:val="00B67946"/>
    <w:rsid w:val="00B67AD1"/>
    <w:rsid w:val="00B67BEF"/>
    <w:rsid w:val="00B70444"/>
    <w:rsid w:val="00B72C88"/>
    <w:rsid w:val="00B764A6"/>
    <w:rsid w:val="00B76560"/>
    <w:rsid w:val="00B7725A"/>
    <w:rsid w:val="00B777A8"/>
    <w:rsid w:val="00B809F3"/>
    <w:rsid w:val="00B81307"/>
    <w:rsid w:val="00B8137A"/>
    <w:rsid w:val="00B814A8"/>
    <w:rsid w:val="00B817D5"/>
    <w:rsid w:val="00B817F6"/>
    <w:rsid w:val="00B81B3C"/>
    <w:rsid w:val="00B82195"/>
    <w:rsid w:val="00B825C3"/>
    <w:rsid w:val="00B82D3D"/>
    <w:rsid w:val="00B8354F"/>
    <w:rsid w:val="00B83551"/>
    <w:rsid w:val="00B84164"/>
    <w:rsid w:val="00B87E34"/>
    <w:rsid w:val="00B9036A"/>
    <w:rsid w:val="00B90485"/>
    <w:rsid w:val="00B906E6"/>
    <w:rsid w:val="00B92895"/>
    <w:rsid w:val="00B92F97"/>
    <w:rsid w:val="00B93EC6"/>
    <w:rsid w:val="00B9422F"/>
    <w:rsid w:val="00B9517C"/>
    <w:rsid w:val="00B95194"/>
    <w:rsid w:val="00B95BD2"/>
    <w:rsid w:val="00B967BA"/>
    <w:rsid w:val="00B97472"/>
    <w:rsid w:val="00BA01D3"/>
    <w:rsid w:val="00BA0350"/>
    <w:rsid w:val="00BA03DF"/>
    <w:rsid w:val="00BA190F"/>
    <w:rsid w:val="00BA1D94"/>
    <w:rsid w:val="00BA2386"/>
    <w:rsid w:val="00BA2FD7"/>
    <w:rsid w:val="00BA319E"/>
    <w:rsid w:val="00BA3921"/>
    <w:rsid w:val="00BA4A05"/>
    <w:rsid w:val="00BA5493"/>
    <w:rsid w:val="00BA5C2D"/>
    <w:rsid w:val="00BA6CB6"/>
    <w:rsid w:val="00BA78CC"/>
    <w:rsid w:val="00BB004D"/>
    <w:rsid w:val="00BB09C0"/>
    <w:rsid w:val="00BB1BE8"/>
    <w:rsid w:val="00BB2A16"/>
    <w:rsid w:val="00BB2C51"/>
    <w:rsid w:val="00BB33E1"/>
    <w:rsid w:val="00BB3BBD"/>
    <w:rsid w:val="00BB5947"/>
    <w:rsid w:val="00BB6C78"/>
    <w:rsid w:val="00BB6D09"/>
    <w:rsid w:val="00BB6D3E"/>
    <w:rsid w:val="00BB6F7B"/>
    <w:rsid w:val="00BB7E58"/>
    <w:rsid w:val="00BC0020"/>
    <w:rsid w:val="00BC0714"/>
    <w:rsid w:val="00BC091B"/>
    <w:rsid w:val="00BC2C4B"/>
    <w:rsid w:val="00BC625A"/>
    <w:rsid w:val="00BC6909"/>
    <w:rsid w:val="00BC70E1"/>
    <w:rsid w:val="00BC7DF5"/>
    <w:rsid w:val="00BC7F6C"/>
    <w:rsid w:val="00BD18C3"/>
    <w:rsid w:val="00BD23EE"/>
    <w:rsid w:val="00BD2A89"/>
    <w:rsid w:val="00BD4803"/>
    <w:rsid w:val="00BD4821"/>
    <w:rsid w:val="00BD5AF9"/>
    <w:rsid w:val="00BD5D35"/>
    <w:rsid w:val="00BE00D7"/>
    <w:rsid w:val="00BE04C3"/>
    <w:rsid w:val="00BE27EC"/>
    <w:rsid w:val="00BE2B12"/>
    <w:rsid w:val="00BE34F0"/>
    <w:rsid w:val="00BE3D52"/>
    <w:rsid w:val="00BE3DDD"/>
    <w:rsid w:val="00BE4E76"/>
    <w:rsid w:val="00BF0233"/>
    <w:rsid w:val="00BF25B1"/>
    <w:rsid w:val="00BF2FC7"/>
    <w:rsid w:val="00BF40C1"/>
    <w:rsid w:val="00BF4238"/>
    <w:rsid w:val="00BF52BA"/>
    <w:rsid w:val="00BF601C"/>
    <w:rsid w:val="00BF60DE"/>
    <w:rsid w:val="00BF7455"/>
    <w:rsid w:val="00BF7F0E"/>
    <w:rsid w:val="00C001BC"/>
    <w:rsid w:val="00C00F53"/>
    <w:rsid w:val="00C0186B"/>
    <w:rsid w:val="00C02D59"/>
    <w:rsid w:val="00C03DCC"/>
    <w:rsid w:val="00C04044"/>
    <w:rsid w:val="00C05068"/>
    <w:rsid w:val="00C05482"/>
    <w:rsid w:val="00C05D25"/>
    <w:rsid w:val="00C0615A"/>
    <w:rsid w:val="00C0776C"/>
    <w:rsid w:val="00C10216"/>
    <w:rsid w:val="00C10BD5"/>
    <w:rsid w:val="00C11072"/>
    <w:rsid w:val="00C1129B"/>
    <w:rsid w:val="00C124D4"/>
    <w:rsid w:val="00C126DF"/>
    <w:rsid w:val="00C130D9"/>
    <w:rsid w:val="00C134A7"/>
    <w:rsid w:val="00C139AE"/>
    <w:rsid w:val="00C1559D"/>
    <w:rsid w:val="00C171AC"/>
    <w:rsid w:val="00C1732E"/>
    <w:rsid w:val="00C206C5"/>
    <w:rsid w:val="00C21978"/>
    <w:rsid w:val="00C22751"/>
    <w:rsid w:val="00C24968"/>
    <w:rsid w:val="00C25BAE"/>
    <w:rsid w:val="00C25E08"/>
    <w:rsid w:val="00C265DE"/>
    <w:rsid w:val="00C27CEA"/>
    <w:rsid w:val="00C3129D"/>
    <w:rsid w:val="00C3148F"/>
    <w:rsid w:val="00C314F9"/>
    <w:rsid w:val="00C318A8"/>
    <w:rsid w:val="00C31978"/>
    <w:rsid w:val="00C31E25"/>
    <w:rsid w:val="00C32B19"/>
    <w:rsid w:val="00C33152"/>
    <w:rsid w:val="00C34F11"/>
    <w:rsid w:val="00C356A8"/>
    <w:rsid w:val="00C3591D"/>
    <w:rsid w:val="00C3652D"/>
    <w:rsid w:val="00C3684B"/>
    <w:rsid w:val="00C36EE7"/>
    <w:rsid w:val="00C37508"/>
    <w:rsid w:val="00C3791A"/>
    <w:rsid w:val="00C40470"/>
    <w:rsid w:val="00C40CE8"/>
    <w:rsid w:val="00C4114F"/>
    <w:rsid w:val="00C4124C"/>
    <w:rsid w:val="00C4124F"/>
    <w:rsid w:val="00C41606"/>
    <w:rsid w:val="00C42724"/>
    <w:rsid w:val="00C43E59"/>
    <w:rsid w:val="00C442B3"/>
    <w:rsid w:val="00C442F2"/>
    <w:rsid w:val="00C45A66"/>
    <w:rsid w:val="00C46000"/>
    <w:rsid w:val="00C46BB0"/>
    <w:rsid w:val="00C5057E"/>
    <w:rsid w:val="00C5249F"/>
    <w:rsid w:val="00C531AC"/>
    <w:rsid w:val="00C5338E"/>
    <w:rsid w:val="00C53DC1"/>
    <w:rsid w:val="00C540E7"/>
    <w:rsid w:val="00C54A1F"/>
    <w:rsid w:val="00C55496"/>
    <w:rsid w:val="00C55BD4"/>
    <w:rsid w:val="00C55C79"/>
    <w:rsid w:val="00C5621D"/>
    <w:rsid w:val="00C56965"/>
    <w:rsid w:val="00C57FA6"/>
    <w:rsid w:val="00C603DB"/>
    <w:rsid w:val="00C60915"/>
    <w:rsid w:val="00C61C5E"/>
    <w:rsid w:val="00C62C94"/>
    <w:rsid w:val="00C6471D"/>
    <w:rsid w:val="00C65BE2"/>
    <w:rsid w:val="00C65E5C"/>
    <w:rsid w:val="00C66428"/>
    <w:rsid w:val="00C6700C"/>
    <w:rsid w:val="00C672C0"/>
    <w:rsid w:val="00C71AE1"/>
    <w:rsid w:val="00C71F36"/>
    <w:rsid w:val="00C72F91"/>
    <w:rsid w:val="00C74B6C"/>
    <w:rsid w:val="00C752EE"/>
    <w:rsid w:val="00C75D63"/>
    <w:rsid w:val="00C76016"/>
    <w:rsid w:val="00C77BFC"/>
    <w:rsid w:val="00C82847"/>
    <w:rsid w:val="00C83C1C"/>
    <w:rsid w:val="00C83CAF"/>
    <w:rsid w:val="00C842F9"/>
    <w:rsid w:val="00C853D7"/>
    <w:rsid w:val="00C853DE"/>
    <w:rsid w:val="00C87C4C"/>
    <w:rsid w:val="00C906C2"/>
    <w:rsid w:val="00C90A43"/>
    <w:rsid w:val="00C90DD1"/>
    <w:rsid w:val="00C9108F"/>
    <w:rsid w:val="00C9165D"/>
    <w:rsid w:val="00C916FE"/>
    <w:rsid w:val="00C92B74"/>
    <w:rsid w:val="00C958CA"/>
    <w:rsid w:val="00C958CF"/>
    <w:rsid w:val="00C96CFF"/>
    <w:rsid w:val="00C96F10"/>
    <w:rsid w:val="00CA0074"/>
    <w:rsid w:val="00CA0F2D"/>
    <w:rsid w:val="00CA0F81"/>
    <w:rsid w:val="00CA0F8A"/>
    <w:rsid w:val="00CA2AF7"/>
    <w:rsid w:val="00CA3773"/>
    <w:rsid w:val="00CA3866"/>
    <w:rsid w:val="00CA4A5A"/>
    <w:rsid w:val="00CA4E58"/>
    <w:rsid w:val="00CA5B2B"/>
    <w:rsid w:val="00CB09E3"/>
    <w:rsid w:val="00CB13F2"/>
    <w:rsid w:val="00CB27E2"/>
    <w:rsid w:val="00CB2A40"/>
    <w:rsid w:val="00CB2E96"/>
    <w:rsid w:val="00CB34A2"/>
    <w:rsid w:val="00CB3CB2"/>
    <w:rsid w:val="00CB3E61"/>
    <w:rsid w:val="00CB53EF"/>
    <w:rsid w:val="00CB7550"/>
    <w:rsid w:val="00CC020D"/>
    <w:rsid w:val="00CC0A19"/>
    <w:rsid w:val="00CC1AB0"/>
    <w:rsid w:val="00CC23E4"/>
    <w:rsid w:val="00CC37D5"/>
    <w:rsid w:val="00CC3E7C"/>
    <w:rsid w:val="00CC431B"/>
    <w:rsid w:val="00CC58F2"/>
    <w:rsid w:val="00CC6C95"/>
    <w:rsid w:val="00CC7445"/>
    <w:rsid w:val="00CD16D6"/>
    <w:rsid w:val="00CD174E"/>
    <w:rsid w:val="00CD1BBC"/>
    <w:rsid w:val="00CD3218"/>
    <w:rsid w:val="00CD3F65"/>
    <w:rsid w:val="00CD452F"/>
    <w:rsid w:val="00CD47C1"/>
    <w:rsid w:val="00CD4868"/>
    <w:rsid w:val="00CD4D36"/>
    <w:rsid w:val="00CD6800"/>
    <w:rsid w:val="00CD6A92"/>
    <w:rsid w:val="00CD6C24"/>
    <w:rsid w:val="00CD6F2A"/>
    <w:rsid w:val="00CD7487"/>
    <w:rsid w:val="00CE0440"/>
    <w:rsid w:val="00CE0724"/>
    <w:rsid w:val="00CE0B71"/>
    <w:rsid w:val="00CE15CF"/>
    <w:rsid w:val="00CE1E50"/>
    <w:rsid w:val="00CE2773"/>
    <w:rsid w:val="00CE2B29"/>
    <w:rsid w:val="00CE335B"/>
    <w:rsid w:val="00CE3B8C"/>
    <w:rsid w:val="00CE3E99"/>
    <w:rsid w:val="00CE4058"/>
    <w:rsid w:val="00CE45A6"/>
    <w:rsid w:val="00CE6009"/>
    <w:rsid w:val="00CE7854"/>
    <w:rsid w:val="00CF10CE"/>
    <w:rsid w:val="00CF189A"/>
    <w:rsid w:val="00CF1905"/>
    <w:rsid w:val="00CF27CF"/>
    <w:rsid w:val="00CF336D"/>
    <w:rsid w:val="00CF3696"/>
    <w:rsid w:val="00CF3B4C"/>
    <w:rsid w:val="00CF3FC3"/>
    <w:rsid w:val="00CF4AB6"/>
    <w:rsid w:val="00CF50A8"/>
    <w:rsid w:val="00CF679D"/>
    <w:rsid w:val="00CF6FB0"/>
    <w:rsid w:val="00CF7742"/>
    <w:rsid w:val="00CF7D37"/>
    <w:rsid w:val="00D014E6"/>
    <w:rsid w:val="00D020A7"/>
    <w:rsid w:val="00D02F5B"/>
    <w:rsid w:val="00D03718"/>
    <w:rsid w:val="00D0380E"/>
    <w:rsid w:val="00D03FD4"/>
    <w:rsid w:val="00D05273"/>
    <w:rsid w:val="00D055FF"/>
    <w:rsid w:val="00D0785E"/>
    <w:rsid w:val="00D115B5"/>
    <w:rsid w:val="00D120F5"/>
    <w:rsid w:val="00D14737"/>
    <w:rsid w:val="00D15567"/>
    <w:rsid w:val="00D15760"/>
    <w:rsid w:val="00D15A39"/>
    <w:rsid w:val="00D15A76"/>
    <w:rsid w:val="00D16487"/>
    <w:rsid w:val="00D16A81"/>
    <w:rsid w:val="00D16BD6"/>
    <w:rsid w:val="00D1729D"/>
    <w:rsid w:val="00D20544"/>
    <w:rsid w:val="00D20FCA"/>
    <w:rsid w:val="00D21039"/>
    <w:rsid w:val="00D21B62"/>
    <w:rsid w:val="00D220D1"/>
    <w:rsid w:val="00D22340"/>
    <w:rsid w:val="00D22AF8"/>
    <w:rsid w:val="00D22D44"/>
    <w:rsid w:val="00D235D9"/>
    <w:rsid w:val="00D254E8"/>
    <w:rsid w:val="00D264BC"/>
    <w:rsid w:val="00D3213C"/>
    <w:rsid w:val="00D327F0"/>
    <w:rsid w:val="00D336F9"/>
    <w:rsid w:val="00D34B82"/>
    <w:rsid w:val="00D34EC8"/>
    <w:rsid w:val="00D3771F"/>
    <w:rsid w:val="00D40228"/>
    <w:rsid w:val="00D40589"/>
    <w:rsid w:val="00D4097E"/>
    <w:rsid w:val="00D40C78"/>
    <w:rsid w:val="00D40E87"/>
    <w:rsid w:val="00D40FE4"/>
    <w:rsid w:val="00D42126"/>
    <w:rsid w:val="00D42437"/>
    <w:rsid w:val="00D43D8F"/>
    <w:rsid w:val="00D443DC"/>
    <w:rsid w:val="00D462D6"/>
    <w:rsid w:val="00D4643C"/>
    <w:rsid w:val="00D47054"/>
    <w:rsid w:val="00D5060F"/>
    <w:rsid w:val="00D510A8"/>
    <w:rsid w:val="00D511FB"/>
    <w:rsid w:val="00D51708"/>
    <w:rsid w:val="00D51BF4"/>
    <w:rsid w:val="00D54150"/>
    <w:rsid w:val="00D5687D"/>
    <w:rsid w:val="00D573DD"/>
    <w:rsid w:val="00D629C3"/>
    <w:rsid w:val="00D62A4E"/>
    <w:rsid w:val="00D6311B"/>
    <w:rsid w:val="00D6345E"/>
    <w:rsid w:val="00D634D0"/>
    <w:rsid w:val="00D63A90"/>
    <w:rsid w:val="00D64B9E"/>
    <w:rsid w:val="00D65371"/>
    <w:rsid w:val="00D66BA2"/>
    <w:rsid w:val="00D70C95"/>
    <w:rsid w:val="00D71254"/>
    <w:rsid w:val="00D73703"/>
    <w:rsid w:val="00D7394A"/>
    <w:rsid w:val="00D73A81"/>
    <w:rsid w:val="00D74CA2"/>
    <w:rsid w:val="00D75A09"/>
    <w:rsid w:val="00D76D7B"/>
    <w:rsid w:val="00D76E45"/>
    <w:rsid w:val="00D77FC6"/>
    <w:rsid w:val="00D80631"/>
    <w:rsid w:val="00D812B5"/>
    <w:rsid w:val="00D8133B"/>
    <w:rsid w:val="00D81D6A"/>
    <w:rsid w:val="00D82302"/>
    <w:rsid w:val="00D82C5A"/>
    <w:rsid w:val="00D84D54"/>
    <w:rsid w:val="00D85E0B"/>
    <w:rsid w:val="00D85E11"/>
    <w:rsid w:val="00D862CA"/>
    <w:rsid w:val="00D87B3A"/>
    <w:rsid w:val="00D94673"/>
    <w:rsid w:val="00D959D3"/>
    <w:rsid w:val="00D95A2E"/>
    <w:rsid w:val="00D96FFD"/>
    <w:rsid w:val="00DA07AE"/>
    <w:rsid w:val="00DA0869"/>
    <w:rsid w:val="00DA15C3"/>
    <w:rsid w:val="00DA5035"/>
    <w:rsid w:val="00DA685E"/>
    <w:rsid w:val="00DA6B9C"/>
    <w:rsid w:val="00DB18AB"/>
    <w:rsid w:val="00DB1BE6"/>
    <w:rsid w:val="00DB3459"/>
    <w:rsid w:val="00DB4166"/>
    <w:rsid w:val="00DB4177"/>
    <w:rsid w:val="00DB4454"/>
    <w:rsid w:val="00DB4EE7"/>
    <w:rsid w:val="00DB5046"/>
    <w:rsid w:val="00DB5F32"/>
    <w:rsid w:val="00DB6098"/>
    <w:rsid w:val="00DB73A9"/>
    <w:rsid w:val="00DB78C3"/>
    <w:rsid w:val="00DC0898"/>
    <w:rsid w:val="00DC1490"/>
    <w:rsid w:val="00DC1747"/>
    <w:rsid w:val="00DC1AC6"/>
    <w:rsid w:val="00DC2221"/>
    <w:rsid w:val="00DC308B"/>
    <w:rsid w:val="00DC45BC"/>
    <w:rsid w:val="00DC535E"/>
    <w:rsid w:val="00DC7659"/>
    <w:rsid w:val="00DC77D5"/>
    <w:rsid w:val="00DC7AFB"/>
    <w:rsid w:val="00DD10DE"/>
    <w:rsid w:val="00DD13CE"/>
    <w:rsid w:val="00DD148D"/>
    <w:rsid w:val="00DD1D0C"/>
    <w:rsid w:val="00DD1F9E"/>
    <w:rsid w:val="00DD21A8"/>
    <w:rsid w:val="00DD2429"/>
    <w:rsid w:val="00DD24A9"/>
    <w:rsid w:val="00DD26D9"/>
    <w:rsid w:val="00DD315E"/>
    <w:rsid w:val="00DD375A"/>
    <w:rsid w:val="00DD4156"/>
    <w:rsid w:val="00DD4426"/>
    <w:rsid w:val="00DD47C0"/>
    <w:rsid w:val="00DD4C0F"/>
    <w:rsid w:val="00DD4DE9"/>
    <w:rsid w:val="00DD60E2"/>
    <w:rsid w:val="00DD6AF9"/>
    <w:rsid w:val="00DD6B74"/>
    <w:rsid w:val="00DD6F0A"/>
    <w:rsid w:val="00DE08A0"/>
    <w:rsid w:val="00DE1A1A"/>
    <w:rsid w:val="00DE28B7"/>
    <w:rsid w:val="00DE2DDF"/>
    <w:rsid w:val="00DE32B9"/>
    <w:rsid w:val="00DE44A0"/>
    <w:rsid w:val="00DE463F"/>
    <w:rsid w:val="00DE56D0"/>
    <w:rsid w:val="00DE6872"/>
    <w:rsid w:val="00DE6AD6"/>
    <w:rsid w:val="00DF0E9E"/>
    <w:rsid w:val="00DF3359"/>
    <w:rsid w:val="00DF3782"/>
    <w:rsid w:val="00DF4725"/>
    <w:rsid w:val="00DF4C33"/>
    <w:rsid w:val="00DF6D7D"/>
    <w:rsid w:val="00DF7475"/>
    <w:rsid w:val="00DF7635"/>
    <w:rsid w:val="00DF7642"/>
    <w:rsid w:val="00E00789"/>
    <w:rsid w:val="00E02FBD"/>
    <w:rsid w:val="00E04881"/>
    <w:rsid w:val="00E048B4"/>
    <w:rsid w:val="00E04DB4"/>
    <w:rsid w:val="00E04E83"/>
    <w:rsid w:val="00E066F5"/>
    <w:rsid w:val="00E10AFB"/>
    <w:rsid w:val="00E12DC1"/>
    <w:rsid w:val="00E12EF5"/>
    <w:rsid w:val="00E13177"/>
    <w:rsid w:val="00E15603"/>
    <w:rsid w:val="00E15C19"/>
    <w:rsid w:val="00E1780C"/>
    <w:rsid w:val="00E20DF8"/>
    <w:rsid w:val="00E2117D"/>
    <w:rsid w:val="00E22453"/>
    <w:rsid w:val="00E23152"/>
    <w:rsid w:val="00E23B46"/>
    <w:rsid w:val="00E24B01"/>
    <w:rsid w:val="00E2548A"/>
    <w:rsid w:val="00E2651C"/>
    <w:rsid w:val="00E27CCA"/>
    <w:rsid w:val="00E30651"/>
    <w:rsid w:val="00E31619"/>
    <w:rsid w:val="00E31B59"/>
    <w:rsid w:val="00E331F3"/>
    <w:rsid w:val="00E34B25"/>
    <w:rsid w:val="00E34BFB"/>
    <w:rsid w:val="00E34DF3"/>
    <w:rsid w:val="00E35BB4"/>
    <w:rsid w:val="00E35C5F"/>
    <w:rsid w:val="00E35D2F"/>
    <w:rsid w:val="00E366F2"/>
    <w:rsid w:val="00E36BD0"/>
    <w:rsid w:val="00E37007"/>
    <w:rsid w:val="00E374DC"/>
    <w:rsid w:val="00E42C11"/>
    <w:rsid w:val="00E4300A"/>
    <w:rsid w:val="00E43190"/>
    <w:rsid w:val="00E43C91"/>
    <w:rsid w:val="00E44254"/>
    <w:rsid w:val="00E44264"/>
    <w:rsid w:val="00E445AA"/>
    <w:rsid w:val="00E44FD0"/>
    <w:rsid w:val="00E47139"/>
    <w:rsid w:val="00E50092"/>
    <w:rsid w:val="00E50196"/>
    <w:rsid w:val="00E508E0"/>
    <w:rsid w:val="00E5099C"/>
    <w:rsid w:val="00E519EA"/>
    <w:rsid w:val="00E52C4A"/>
    <w:rsid w:val="00E52FC3"/>
    <w:rsid w:val="00E531E2"/>
    <w:rsid w:val="00E5480A"/>
    <w:rsid w:val="00E54F57"/>
    <w:rsid w:val="00E5538F"/>
    <w:rsid w:val="00E5549A"/>
    <w:rsid w:val="00E556CD"/>
    <w:rsid w:val="00E558F3"/>
    <w:rsid w:val="00E56D24"/>
    <w:rsid w:val="00E5731D"/>
    <w:rsid w:val="00E57C27"/>
    <w:rsid w:val="00E57C43"/>
    <w:rsid w:val="00E60938"/>
    <w:rsid w:val="00E60A3A"/>
    <w:rsid w:val="00E613C5"/>
    <w:rsid w:val="00E6142B"/>
    <w:rsid w:val="00E614B2"/>
    <w:rsid w:val="00E61774"/>
    <w:rsid w:val="00E625A2"/>
    <w:rsid w:val="00E62AA3"/>
    <w:rsid w:val="00E63EA4"/>
    <w:rsid w:val="00E64744"/>
    <w:rsid w:val="00E64D96"/>
    <w:rsid w:val="00E66746"/>
    <w:rsid w:val="00E669C8"/>
    <w:rsid w:val="00E6736B"/>
    <w:rsid w:val="00E70F58"/>
    <w:rsid w:val="00E71F64"/>
    <w:rsid w:val="00E7285C"/>
    <w:rsid w:val="00E72A5F"/>
    <w:rsid w:val="00E731EE"/>
    <w:rsid w:val="00E736F6"/>
    <w:rsid w:val="00E73F66"/>
    <w:rsid w:val="00E74739"/>
    <w:rsid w:val="00E7484C"/>
    <w:rsid w:val="00E75A1A"/>
    <w:rsid w:val="00E77061"/>
    <w:rsid w:val="00E77B1F"/>
    <w:rsid w:val="00E80224"/>
    <w:rsid w:val="00E80C25"/>
    <w:rsid w:val="00E810CD"/>
    <w:rsid w:val="00E817D2"/>
    <w:rsid w:val="00E81BCC"/>
    <w:rsid w:val="00E835ED"/>
    <w:rsid w:val="00E8396E"/>
    <w:rsid w:val="00E84F65"/>
    <w:rsid w:val="00E85D68"/>
    <w:rsid w:val="00E8624B"/>
    <w:rsid w:val="00E8710B"/>
    <w:rsid w:val="00E913B5"/>
    <w:rsid w:val="00E91D55"/>
    <w:rsid w:val="00E91DD9"/>
    <w:rsid w:val="00E927A2"/>
    <w:rsid w:val="00E93395"/>
    <w:rsid w:val="00E938FD"/>
    <w:rsid w:val="00E9665A"/>
    <w:rsid w:val="00E9751C"/>
    <w:rsid w:val="00EA01CB"/>
    <w:rsid w:val="00EA0C31"/>
    <w:rsid w:val="00EA1B42"/>
    <w:rsid w:val="00EA1B5E"/>
    <w:rsid w:val="00EA34F5"/>
    <w:rsid w:val="00EA3C3A"/>
    <w:rsid w:val="00EA64EA"/>
    <w:rsid w:val="00EA6AD0"/>
    <w:rsid w:val="00EA6F5D"/>
    <w:rsid w:val="00EA72BA"/>
    <w:rsid w:val="00EA7B48"/>
    <w:rsid w:val="00EB0742"/>
    <w:rsid w:val="00EB095B"/>
    <w:rsid w:val="00EB225B"/>
    <w:rsid w:val="00EB2368"/>
    <w:rsid w:val="00EB2B1A"/>
    <w:rsid w:val="00EB3302"/>
    <w:rsid w:val="00EB39CA"/>
    <w:rsid w:val="00EB49C1"/>
    <w:rsid w:val="00EB49FE"/>
    <w:rsid w:val="00EB53A2"/>
    <w:rsid w:val="00EB55E4"/>
    <w:rsid w:val="00EB5D33"/>
    <w:rsid w:val="00EB6B2F"/>
    <w:rsid w:val="00EB773C"/>
    <w:rsid w:val="00EC090F"/>
    <w:rsid w:val="00EC1A44"/>
    <w:rsid w:val="00EC2EC2"/>
    <w:rsid w:val="00EC329F"/>
    <w:rsid w:val="00EC32B2"/>
    <w:rsid w:val="00EC4382"/>
    <w:rsid w:val="00EC4F4E"/>
    <w:rsid w:val="00EC52C7"/>
    <w:rsid w:val="00EC5891"/>
    <w:rsid w:val="00EC6871"/>
    <w:rsid w:val="00EC6C74"/>
    <w:rsid w:val="00EC7B59"/>
    <w:rsid w:val="00ED1469"/>
    <w:rsid w:val="00ED1F13"/>
    <w:rsid w:val="00ED1F78"/>
    <w:rsid w:val="00ED225B"/>
    <w:rsid w:val="00ED25AF"/>
    <w:rsid w:val="00ED3D6D"/>
    <w:rsid w:val="00ED4AD8"/>
    <w:rsid w:val="00ED5D26"/>
    <w:rsid w:val="00ED7CB0"/>
    <w:rsid w:val="00ED7DDA"/>
    <w:rsid w:val="00EE0704"/>
    <w:rsid w:val="00EE0818"/>
    <w:rsid w:val="00EE0B7F"/>
    <w:rsid w:val="00EE1211"/>
    <w:rsid w:val="00EE237F"/>
    <w:rsid w:val="00EE2CFB"/>
    <w:rsid w:val="00EE563A"/>
    <w:rsid w:val="00EE59D5"/>
    <w:rsid w:val="00EE60A7"/>
    <w:rsid w:val="00EF0927"/>
    <w:rsid w:val="00EF13A9"/>
    <w:rsid w:val="00EF2E9B"/>
    <w:rsid w:val="00EF37B9"/>
    <w:rsid w:val="00EF48EE"/>
    <w:rsid w:val="00EF49CF"/>
    <w:rsid w:val="00EF5848"/>
    <w:rsid w:val="00EF5E99"/>
    <w:rsid w:val="00EF78AB"/>
    <w:rsid w:val="00F0116C"/>
    <w:rsid w:val="00F02EBB"/>
    <w:rsid w:val="00F036CA"/>
    <w:rsid w:val="00F043A1"/>
    <w:rsid w:val="00F0470E"/>
    <w:rsid w:val="00F0488D"/>
    <w:rsid w:val="00F04AF3"/>
    <w:rsid w:val="00F06BF3"/>
    <w:rsid w:val="00F07260"/>
    <w:rsid w:val="00F07DA7"/>
    <w:rsid w:val="00F07FCD"/>
    <w:rsid w:val="00F1007D"/>
    <w:rsid w:val="00F108C5"/>
    <w:rsid w:val="00F10A90"/>
    <w:rsid w:val="00F110CC"/>
    <w:rsid w:val="00F11420"/>
    <w:rsid w:val="00F11C00"/>
    <w:rsid w:val="00F11E05"/>
    <w:rsid w:val="00F12B7F"/>
    <w:rsid w:val="00F14612"/>
    <w:rsid w:val="00F1487B"/>
    <w:rsid w:val="00F158BE"/>
    <w:rsid w:val="00F16A25"/>
    <w:rsid w:val="00F16A36"/>
    <w:rsid w:val="00F16AAC"/>
    <w:rsid w:val="00F17E66"/>
    <w:rsid w:val="00F205AC"/>
    <w:rsid w:val="00F205B1"/>
    <w:rsid w:val="00F22D0A"/>
    <w:rsid w:val="00F23C77"/>
    <w:rsid w:val="00F23EAA"/>
    <w:rsid w:val="00F2544C"/>
    <w:rsid w:val="00F27261"/>
    <w:rsid w:val="00F30191"/>
    <w:rsid w:val="00F31A71"/>
    <w:rsid w:val="00F3411B"/>
    <w:rsid w:val="00F34D5E"/>
    <w:rsid w:val="00F34E79"/>
    <w:rsid w:val="00F36199"/>
    <w:rsid w:val="00F41989"/>
    <w:rsid w:val="00F426FF"/>
    <w:rsid w:val="00F430BE"/>
    <w:rsid w:val="00F4345C"/>
    <w:rsid w:val="00F44274"/>
    <w:rsid w:val="00F44B81"/>
    <w:rsid w:val="00F44DE9"/>
    <w:rsid w:val="00F46713"/>
    <w:rsid w:val="00F46BF4"/>
    <w:rsid w:val="00F471A2"/>
    <w:rsid w:val="00F47277"/>
    <w:rsid w:val="00F476E8"/>
    <w:rsid w:val="00F47DD0"/>
    <w:rsid w:val="00F51B9A"/>
    <w:rsid w:val="00F52795"/>
    <w:rsid w:val="00F52E9E"/>
    <w:rsid w:val="00F54B28"/>
    <w:rsid w:val="00F54EB9"/>
    <w:rsid w:val="00F5590F"/>
    <w:rsid w:val="00F575DE"/>
    <w:rsid w:val="00F57837"/>
    <w:rsid w:val="00F60108"/>
    <w:rsid w:val="00F628BD"/>
    <w:rsid w:val="00F62E33"/>
    <w:rsid w:val="00F630AE"/>
    <w:rsid w:val="00F63C04"/>
    <w:rsid w:val="00F66F96"/>
    <w:rsid w:val="00F6708F"/>
    <w:rsid w:val="00F71C6E"/>
    <w:rsid w:val="00F71F2E"/>
    <w:rsid w:val="00F72756"/>
    <w:rsid w:val="00F72CCC"/>
    <w:rsid w:val="00F7428B"/>
    <w:rsid w:val="00F74CBA"/>
    <w:rsid w:val="00F75493"/>
    <w:rsid w:val="00F77041"/>
    <w:rsid w:val="00F776F2"/>
    <w:rsid w:val="00F80365"/>
    <w:rsid w:val="00F812C8"/>
    <w:rsid w:val="00F81DC3"/>
    <w:rsid w:val="00F82108"/>
    <w:rsid w:val="00F82BA9"/>
    <w:rsid w:val="00F835A6"/>
    <w:rsid w:val="00F848EE"/>
    <w:rsid w:val="00F84BE5"/>
    <w:rsid w:val="00F85141"/>
    <w:rsid w:val="00F87694"/>
    <w:rsid w:val="00F90096"/>
    <w:rsid w:val="00F907D0"/>
    <w:rsid w:val="00F908D4"/>
    <w:rsid w:val="00F909E6"/>
    <w:rsid w:val="00F915CE"/>
    <w:rsid w:val="00F929FE"/>
    <w:rsid w:val="00F93762"/>
    <w:rsid w:val="00F93A45"/>
    <w:rsid w:val="00F93F16"/>
    <w:rsid w:val="00F93F45"/>
    <w:rsid w:val="00F9482A"/>
    <w:rsid w:val="00F95D8A"/>
    <w:rsid w:val="00F964CC"/>
    <w:rsid w:val="00FA0156"/>
    <w:rsid w:val="00FA0252"/>
    <w:rsid w:val="00FA04DE"/>
    <w:rsid w:val="00FA08BC"/>
    <w:rsid w:val="00FA0A06"/>
    <w:rsid w:val="00FA1022"/>
    <w:rsid w:val="00FA1759"/>
    <w:rsid w:val="00FA2122"/>
    <w:rsid w:val="00FA349F"/>
    <w:rsid w:val="00FA3758"/>
    <w:rsid w:val="00FA3FD5"/>
    <w:rsid w:val="00FA41DB"/>
    <w:rsid w:val="00FA5139"/>
    <w:rsid w:val="00FA6372"/>
    <w:rsid w:val="00FA7263"/>
    <w:rsid w:val="00FA770E"/>
    <w:rsid w:val="00FA7EC0"/>
    <w:rsid w:val="00FB118E"/>
    <w:rsid w:val="00FB14F2"/>
    <w:rsid w:val="00FB16F9"/>
    <w:rsid w:val="00FB18F0"/>
    <w:rsid w:val="00FB2989"/>
    <w:rsid w:val="00FB2EC5"/>
    <w:rsid w:val="00FB3B3E"/>
    <w:rsid w:val="00FB405C"/>
    <w:rsid w:val="00FB4500"/>
    <w:rsid w:val="00FC384B"/>
    <w:rsid w:val="00FC3D9B"/>
    <w:rsid w:val="00FC499E"/>
    <w:rsid w:val="00FC5587"/>
    <w:rsid w:val="00FC5D16"/>
    <w:rsid w:val="00FC6868"/>
    <w:rsid w:val="00FC70AB"/>
    <w:rsid w:val="00FC7967"/>
    <w:rsid w:val="00FD022A"/>
    <w:rsid w:val="00FD1626"/>
    <w:rsid w:val="00FD2143"/>
    <w:rsid w:val="00FD220A"/>
    <w:rsid w:val="00FD3E5A"/>
    <w:rsid w:val="00FD4B44"/>
    <w:rsid w:val="00FD633B"/>
    <w:rsid w:val="00FD636A"/>
    <w:rsid w:val="00FD7244"/>
    <w:rsid w:val="00FD75F2"/>
    <w:rsid w:val="00FD78B7"/>
    <w:rsid w:val="00FE07DF"/>
    <w:rsid w:val="00FE0810"/>
    <w:rsid w:val="00FE1904"/>
    <w:rsid w:val="00FE2E05"/>
    <w:rsid w:val="00FE489F"/>
    <w:rsid w:val="00FE526B"/>
    <w:rsid w:val="00FE5379"/>
    <w:rsid w:val="00FE558E"/>
    <w:rsid w:val="00FE61E4"/>
    <w:rsid w:val="00FE7168"/>
    <w:rsid w:val="00FE73D7"/>
    <w:rsid w:val="00FE793E"/>
    <w:rsid w:val="00FE7BD4"/>
    <w:rsid w:val="00FF1268"/>
    <w:rsid w:val="00FF191F"/>
    <w:rsid w:val="00FF3BE5"/>
    <w:rsid w:val="00FF3DCD"/>
    <w:rsid w:val="00FF647A"/>
    <w:rsid w:val="00FF69AF"/>
    <w:rsid w:val="00FF6B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02"/>
    <w:pPr>
      <w:spacing w:line="480" w:lineRule="auto"/>
      <w:jc w:val="both"/>
    </w:pPr>
    <w:rPr>
      <w:kern w:val="0"/>
      <w:sz w:val="22"/>
      <w:lang w:val="en-GB" w:eastAsia="en-US"/>
    </w:rPr>
  </w:style>
  <w:style w:type="paragraph" w:styleId="Heading2">
    <w:name w:val="heading 2"/>
    <w:basedOn w:val="Normal"/>
    <w:next w:val="Normal"/>
    <w:link w:val="Heading2Char"/>
    <w:uiPriority w:val="99"/>
    <w:qFormat/>
    <w:rsid w:val="00A60B7D"/>
    <w:pPr>
      <w:keepNext/>
      <w:keepLines/>
      <w:spacing w:before="40"/>
      <w:outlineLvl w:val="1"/>
    </w:pPr>
    <w:rPr>
      <w:rFonts w:ascii="Calibri Light" w:eastAsia="MS Gothic" w:hAnsi="Calibri Light" w:cs="Times New Roman"/>
      <w:color w:val="2E74B5"/>
      <w:sz w:val="26"/>
      <w:szCs w:val="26"/>
      <w:lang w:val="en-US" w:eastAsia="zh-CN"/>
    </w:rPr>
  </w:style>
  <w:style w:type="paragraph" w:styleId="Heading3">
    <w:name w:val="heading 3"/>
    <w:basedOn w:val="Normal"/>
    <w:link w:val="Heading3Char"/>
    <w:uiPriority w:val="99"/>
    <w:qFormat/>
    <w:rsid w:val="00D96FFD"/>
    <w:pPr>
      <w:spacing w:before="100" w:beforeAutospacing="1" w:after="100" w:afterAutospacing="1" w:line="240" w:lineRule="auto"/>
      <w:jc w:val="left"/>
      <w:outlineLvl w:val="2"/>
    </w:pPr>
    <w:rPr>
      <w:rFonts w:ascii="Times New Roman" w:hAnsi="Times New Roman" w:cs="Times New Roman"/>
      <w:b/>
      <w:bCs/>
      <w:sz w:val="27"/>
      <w:szCs w:val="27"/>
      <w:lang w:val="en-US"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60B7D"/>
    <w:rPr>
      <w:rFonts w:ascii="Calibri Light" w:eastAsia="MS Gothic" w:hAnsi="Calibri Light"/>
      <w:color w:val="2E74B5"/>
      <w:sz w:val="26"/>
    </w:rPr>
  </w:style>
  <w:style w:type="character" w:customStyle="1" w:styleId="Heading3Char">
    <w:name w:val="Heading 3 Char"/>
    <w:basedOn w:val="DefaultParagraphFont"/>
    <w:link w:val="Heading3"/>
    <w:uiPriority w:val="99"/>
    <w:locked/>
    <w:rsid w:val="00D96FFD"/>
    <w:rPr>
      <w:rFonts w:ascii="Times New Roman" w:hAnsi="Times New Roman"/>
      <w:b/>
      <w:sz w:val="27"/>
      <w:lang w:eastAsia="en-GB"/>
    </w:rPr>
  </w:style>
  <w:style w:type="character" w:customStyle="1" w:styleId="apple-converted-space">
    <w:name w:val="apple-converted-space"/>
    <w:uiPriority w:val="99"/>
    <w:rsid w:val="00D96FFD"/>
  </w:style>
  <w:style w:type="paragraph" w:customStyle="1" w:styleId="svarticle">
    <w:name w:val="svarticle"/>
    <w:basedOn w:val="Normal"/>
    <w:uiPriority w:val="99"/>
    <w:rsid w:val="00A60B7D"/>
    <w:pPr>
      <w:spacing w:before="100" w:beforeAutospacing="1" w:after="100" w:afterAutospacing="1" w:line="240" w:lineRule="auto"/>
      <w:jc w:val="left"/>
    </w:pPr>
    <w:rPr>
      <w:rFonts w:ascii="Times New Roman" w:hAnsi="Times New Roman" w:cs="Times New Roman"/>
      <w:sz w:val="24"/>
      <w:szCs w:val="24"/>
      <w:lang w:eastAsia="en-GB"/>
    </w:rPr>
  </w:style>
  <w:style w:type="character" w:styleId="Hyperlink">
    <w:name w:val="Hyperlink"/>
    <w:basedOn w:val="DefaultParagraphFont"/>
    <w:uiPriority w:val="99"/>
    <w:rsid w:val="00A60B7D"/>
    <w:rPr>
      <w:rFonts w:cs="Times New Roman"/>
      <w:color w:val="0000FF"/>
      <w:u w:val="single"/>
    </w:rPr>
  </w:style>
  <w:style w:type="character" w:styleId="Emphasis">
    <w:name w:val="Emphasis"/>
    <w:basedOn w:val="DefaultParagraphFont"/>
    <w:uiPriority w:val="99"/>
    <w:qFormat/>
    <w:rsid w:val="0047094F"/>
    <w:rPr>
      <w:rFonts w:cs="Times New Roman"/>
      <w:i/>
    </w:rPr>
  </w:style>
  <w:style w:type="character" w:styleId="Strong">
    <w:name w:val="Strong"/>
    <w:basedOn w:val="DefaultParagraphFont"/>
    <w:uiPriority w:val="99"/>
    <w:qFormat/>
    <w:rsid w:val="0047094F"/>
    <w:rPr>
      <w:rFonts w:cs="Times New Roman"/>
      <w:b/>
    </w:rPr>
  </w:style>
  <w:style w:type="character" w:customStyle="1" w:styleId="label">
    <w:name w:val="label"/>
    <w:uiPriority w:val="99"/>
    <w:rsid w:val="003E4132"/>
  </w:style>
  <w:style w:type="paragraph" w:styleId="NormalWeb">
    <w:name w:val="Normal (Web)"/>
    <w:basedOn w:val="Normal"/>
    <w:uiPriority w:val="99"/>
    <w:rsid w:val="003E4132"/>
    <w:pPr>
      <w:spacing w:before="100" w:beforeAutospacing="1" w:after="100" w:afterAutospacing="1" w:line="240" w:lineRule="auto"/>
      <w:jc w:val="left"/>
    </w:pPr>
    <w:rPr>
      <w:rFonts w:ascii="Times New Roman" w:hAnsi="Times New Roman" w:cs="Times New Roman"/>
      <w:sz w:val="24"/>
      <w:szCs w:val="24"/>
      <w:lang w:eastAsia="en-GB"/>
    </w:rPr>
  </w:style>
  <w:style w:type="paragraph" w:styleId="ListParagraph">
    <w:name w:val="List Paragraph"/>
    <w:basedOn w:val="Normal"/>
    <w:uiPriority w:val="99"/>
    <w:qFormat/>
    <w:rsid w:val="00AB36E8"/>
    <w:pPr>
      <w:ind w:left="720"/>
      <w:contextualSpacing/>
    </w:pPr>
  </w:style>
  <w:style w:type="character" w:customStyle="1" w:styleId="apple-style-span">
    <w:name w:val="apple-style-span"/>
    <w:uiPriority w:val="99"/>
    <w:rsid w:val="00AB36E8"/>
  </w:style>
  <w:style w:type="paragraph" w:styleId="BodyText">
    <w:name w:val="Body Text"/>
    <w:basedOn w:val="Normal"/>
    <w:link w:val="BodyTextChar"/>
    <w:uiPriority w:val="99"/>
    <w:semiHidden/>
    <w:rsid w:val="00C10216"/>
    <w:pPr>
      <w:suppressAutoHyphens/>
      <w:spacing w:after="120" w:line="240" w:lineRule="auto"/>
      <w:jc w:val="left"/>
    </w:pPr>
    <w:rPr>
      <w:rFonts w:ascii="Times New Roman" w:hAnsi="Times New Roman" w:cs="Angsana New"/>
      <w:sz w:val="28"/>
      <w:szCs w:val="28"/>
      <w:lang w:val="en-US" w:eastAsia="th-TH" w:bidi="th-TH"/>
    </w:rPr>
  </w:style>
  <w:style w:type="character" w:customStyle="1" w:styleId="BodyTextChar">
    <w:name w:val="Body Text Char"/>
    <w:basedOn w:val="DefaultParagraphFont"/>
    <w:link w:val="BodyText"/>
    <w:uiPriority w:val="99"/>
    <w:semiHidden/>
    <w:locked/>
    <w:rsid w:val="00C10216"/>
    <w:rPr>
      <w:rFonts w:ascii="Times New Roman" w:hAnsi="Times New Roman"/>
      <w:sz w:val="28"/>
      <w:lang w:eastAsia="th-TH" w:bidi="th-TH"/>
    </w:rPr>
  </w:style>
  <w:style w:type="table" w:styleId="TableGrid">
    <w:name w:val="Table Grid"/>
    <w:basedOn w:val="TableNormal"/>
    <w:uiPriority w:val="99"/>
    <w:rsid w:val="00F95D8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1F24F3"/>
    <w:rPr>
      <w:color w:val="211D1E"/>
      <w:sz w:val="20"/>
    </w:rPr>
  </w:style>
  <w:style w:type="character" w:customStyle="1" w:styleId="A10">
    <w:name w:val="A10"/>
    <w:uiPriority w:val="99"/>
    <w:rsid w:val="001F24F3"/>
    <w:rPr>
      <w:color w:val="211D1E"/>
      <w:sz w:val="11"/>
    </w:rPr>
  </w:style>
  <w:style w:type="character" w:customStyle="1" w:styleId="A0">
    <w:name w:val="A0"/>
    <w:uiPriority w:val="99"/>
    <w:rsid w:val="00515CFD"/>
    <w:rPr>
      <w:color w:val="000000"/>
      <w:sz w:val="18"/>
    </w:rPr>
  </w:style>
  <w:style w:type="paragraph" w:styleId="HTMLPreformatted">
    <w:name w:val="HTML Preformatted"/>
    <w:basedOn w:val="Normal"/>
    <w:link w:val="HTMLPreformattedChar"/>
    <w:uiPriority w:val="99"/>
    <w:semiHidden/>
    <w:rsid w:val="006B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Times New Roman"/>
      <w:sz w:val="20"/>
      <w:szCs w:val="20"/>
      <w:lang w:val="en-US" w:eastAsia="en-GB"/>
    </w:rPr>
  </w:style>
  <w:style w:type="character" w:customStyle="1" w:styleId="HTMLPreformattedChar">
    <w:name w:val="HTML Preformatted Char"/>
    <w:basedOn w:val="DefaultParagraphFont"/>
    <w:link w:val="HTMLPreformatted"/>
    <w:uiPriority w:val="99"/>
    <w:semiHidden/>
    <w:locked/>
    <w:rsid w:val="006B1B9E"/>
    <w:rPr>
      <w:rFonts w:ascii="Courier New" w:hAnsi="Courier New"/>
      <w:sz w:val="20"/>
      <w:lang w:eastAsia="en-GB"/>
    </w:rPr>
  </w:style>
  <w:style w:type="paragraph" w:styleId="Header">
    <w:name w:val="header"/>
    <w:basedOn w:val="Normal"/>
    <w:link w:val="HeaderChar"/>
    <w:uiPriority w:val="99"/>
    <w:rsid w:val="00617B15"/>
    <w:pPr>
      <w:tabs>
        <w:tab w:val="center" w:pos="4513"/>
        <w:tab w:val="right" w:pos="9026"/>
      </w:tabs>
      <w:spacing w:line="240" w:lineRule="auto"/>
    </w:pPr>
    <w:rPr>
      <w:rFonts w:cs="Times New Roman"/>
      <w:sz w:val="20"/>
      <w:szCs w:val="20"/>
      <w:lang w:val="en-US" w:eastAsia="zh-CN"/>
    </w:rPr>
  </w:style>
  <w:style w:type="character" w:customStyle="1" w:styleId="HeaderChar">
    <w:name w:val="Header Char"/>
    <w:basedOn w:val="DefaultParagraphFont"/>
    <w:link w:val="Header"/>
    <w:uiPriority w:val="99"/>
    <w:locked/>
    <w:rsid w:val="00617B15"/>
  </w:style>
  <w:style w:type="paragraph" w:styleId="Footer">
    <w:name w:val="footer"/>
    <w:basedOn w:val="Normal"/>
    <w:link w:val="FooterChar"/>
    <w:uiPriority w:val="99"/>
    <w:rsid w:val="00617B15"/>
    <w:pPr>
      <w:tabs>
        <w:tab w:val="center" w:pos="4513"/>
        <w:tab w:val="right" w:pos="9026"/>
      </w:tabs>
      <w:spacing w:line="240" w:lineRule="auto"/>
    </w:pPr>
    <w:rPr>
      <w:rFonts w:cs="Times New Roman"/>
      <w:sz w:val="20"/>
      <w:szCs w:val="20"/>
      <w:lang w:val="en-US" w:eastAsia="zh-CN"/>
    </w:rPr>
  </w:style>
  <w:style w:type="character" w:customStyle="1" w:styleId="FooterChar">
    <w:name w:val="Footer Char"/>
    <w:basedOn w:val="DefaultParagraphFont"/>
    <w:link w:val="Footer"/>
    <w:uiPriority w:val="99"/>
    <w:locked/>
    <w:rsid w:val="00617B15"/>
  </w:style>
  <w:style w:type="table" w:customStyle="1" w:styleId="TableGrid1">
    <w:name w:val="Table Grid1"/>
    <w:uiPriority w:val="99"/>
    <w:rsid w:val="0043375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31836"/>
    <w:pPr>
      <w:spacing w:line="240" w:lineRule="auto"/>
    </w:pPr>
    <w:rPr>
      <w:rFonts w:ascii="Segoe UI" w:hAnsi="Segoe UI" w:cs="Times New Roman"/>
      <w:sz w:val="18"/>
      <w:szCs w:val="18"/>
      <w:lang w:val="en-US" w:eastAsia="zh-CN"/>
    </w:rPr>
  </w:style>
  <w:style w:type="character" w:customStyle="1" w:styleId="BalloonTextChar">
    <w:name w:val="Balloon Text Char"/>
    <w:basedOn w:val="DefaultParagraphFont"/>
    <w:link w:val="BalloonText"/>
    <w:uiPriority w:val="99"/>
    <w:semiHidden/>
    <w:locked/>
    <w:rsid w:val="00231836"/>
    <w:rPr>
      <w:rFonts w:ascii="Segoe UI" w:hAnsi="Segoe UI"/>
      <w:sz w:val="18"/>
    </w:rPr>
  </w:style>
  <w:style w:type="paragraph" w:customStyle="1" w:styleId="Default">
    <w:name w:val="Default"/>
    <w:uiPriority w:val="99"/>
    <w:rsid w:val="00753139"/>
    <w:pPr>
      <w:autoSpaceDE w:val="0"/>
      <w:autoSpaceDN w:val="0"/>
      <w:adjustRightInd w:val="0"/>
    </w:pPr>
    <w:rPr>
      <w:rFonts w:ascii="Times New Roman" w:hAnsi="Times New Roman" w:cs="Times New Roman"/>
      <w:color w:val="000000"/>
      <w:kern w:val="0"/>
      <w:sz w:val="24"/>
      <w:szCs w:val="24"/>
      <w:lang w:val="en-GB" w:eastAsia="en-US"/>
    </w:rPr>
  </w:style>
  <w:style w:type="character" w:customStyle="1" w:styleId="bold">
    <w:name w:val="bold"/>
    <w:uiPriority w:val="99"/>
    <w:rsid w:val="00C31978"/>
    <w:rPr>
      <w:b/>
    </w:rPr>
  </w:style>
  <w:style w:type="character" w:customStyle="1" w:styleId="bolditalic">
    <w:name w:val="bolditalic"/>
    <w:uiPriority w:val="99"/>
    <w:rsid w:val="00C31978"/>
    <w:rPr>
      <w:b/>
      <w:i/>
    </w:rPr>
  </w:style>
  <w:style w:type="paragraph" w:customStyle="1" w:styleId="float">
    <w:name w:val="float"/>
    <w:basedOn w:val="Normal"/>
    <w:uiPriority w:val="99"/>
    <w:rsid w:val="00C31978"/>
    <w:pPr>
      <w:spacing w:before="100" w:beforeAutospacing="1" w:after="100" w:afterAutospacing="1" w:line="240" w:lineRule="auto"/>
      <w:jc w:val="left"/>
    </w:pPr>
    <w:rPr>
      <w:rFonts w:ascii="Times New Roman" w:eastAsia="MS Mincho" w:hAnsi="Times New Roman" w:cs="Times New Roman"/>
      <w:sz w:val="24"/>
      <w:szCs w:val="24"/>
      <w:lang w:val="en-US"/>
    </w:rPr>
  </w:style>
  <w:style w:type="character" w:customStyle="1" w:styleId="simple">
    <w:name w:val="simple"/>
    <w:uiPriority w:val="99"/>
    <w:rsid w:val="00C31978"/>
  </w:style>
  <w:style w:type="character" w:customStyle="1" w:styleId="Caption1">
    <w:name w:val="Caption1"/>
    <w:uiPriority w:val="99"/>
    <w:rsid w:val="00C31978"/>
  </w:style>
  <w:style w:type="character" w:styleId="FollowedHyperlink">
    <w:name w:val="FollowedHyperlink"/>
    <w:basedOn w:val="DefaultParagraphFont"/>
    <w:uiPriority w:val="99"/>
    <w:semiHidden/>
    <w:rsid w:val="00104BE7"/>
    <w:rPr>
      <w:rFonts w:cs="Times New Roman"/>
      <w:color w:val="954F72"/>
      <w:u w:val="single"/>
    </w:rPr>
  </w:style>
  <w:style w:type="character" w:customStyle="1" w:styleId="cit-auth">
    <w:name w:val="cit-auth"/>
    <w:uiPriority w:val="99"/>
    <w:rsid w:val="0059240A"/>
  </w:style>
  <w:style w:type="character" w:customStyle="1" w:styleId="cit-article-title">
    <w:name w:val="cit-article-title"/>
    <w:uiPriority w:val="99"/>
    <w:rsid w:val="0059240A"/>
  </w:style>
  <w:style w:type="character" w:customStyle="1" w:styleId="cit-access-date">
    <w:name w:val="cit-access-date"/>
    <w:uiPriority w:val="99"/>
    <w:rsid w:val="0059240A"/>
  </w:style>
  <w:style w:type="character" w:customStyle="1" w:styleId="il">
    <w:name w:val="il"/>
    <w:uiPriority w:val="99"/>
    <w:rsid w:val="002F12F2"/>
  </w:style>
  <w:style w:type="character" w:styleId="CommentReference">
    <w:name w:val="annotation reference"/>
    <w:basedOn w:val="DefaultParagraphFont"/>
    <w:uiPriority w:val="99"/>
    <w:semiHidden/>
    <w:rsid w:val="00E10AFB"/>
    <w:rPr>
      <w:rFonts w:cs="Times New Roman"/>
      <w:sz w:val="18"/>
    </w:rPr>
  </w:style>
  <w:style w:type="paragraph" w:styleId="CommentText">
    <w:name w:val="annotation text"/>
    <w:basedOn w:val="Normal"/>
    <w:link w:val="CommentTextChar"/>
    <w:uiPriority w:val="99"/>
    <w:rsid w:val="00E10AFB"/>
    <w:pPr>
      <w:spacing w:line="240" w:lineRule="auto"/>
    </w:pPr>
    <w:rPr>
      <w:rFonts w:cs="Times New Roman"/>
      <w:sz w:val="24"/>
      <w:szCs w:val="24"/>
      <w:lang w:val="en-US" w:eastAsia="zh-CN"/>
    </w:rPr>
  </w:style>
  <w:style w:type="character" w:customStyle="1" w:styleId="CommentTextChar">
    <w:name w:val="Comment Text Char"/>
    <w:basedOn w:val="DefaultParagraphFont"/>
    <w:link w:val="CommentText"/>
    <w:uiPriority w:val="99"/>
    <w:locked/>
    <w:rsid w:val="00E10AFB"/>
    <w:rPr>
      <w:sz w:val="24"/>
    </w:rPr>
  </w:style>
  <w:style w:type="paragraph" w:styleId="CommentSubject">
    <w:name w:val="annotation subject"/>
    <w:basedOn w:val="CommentText"/>
    <w:next w:val="CommentText"/>
    <w:link w:val="CommentSubjectChar"/>
    <w:uiPriority w:val="99"/>
    <w:semiHidden/>
    <w:rsid w:val="008C32B5"/>
    <w:rPr>
      <w:b/>
      <w:bCs/>
      <w:sz w:val="20"/>
      <w:szCs w:val="20"/>
    </w:rPr>
  </w:style>
  <w:style w:type="character" w:customStyle="1" w:styleId="CommentSubjectChar">
    <w:name w:val="Comment Subject Char"/>
    <w:basedOn w:val="CommentTextChar"/>
    <w:link w:val="CommentSubject"/>
    <w:uiPriority w:val="99"/>
    <w:semiHidden/>
    <w:locked/>
    <w:rsid w:val="008C32B5"/>
    <w:rPr>
      <w:b/>
      <w:sz w:val="20"/>
    </w:rPr>
  </w:style>
  <w:style w:type="character" w:styleId="LineNumber">
    <w:name w:val="line number"/>
    <w:basedOn w:val="DefaultParagraphFont"/>
    <w:uiPriority w:val="99"/>
    <w:semiHidden/>
    <w:rsid w:val="00EC5891"/>
    <w:rPr>
      <w:rFonts w:cs="Times New Roman"/>
    </w:rPr>
  </w:style>
  <w:style w:type="paragraph" w:styleId="NoSpacing">
    <w:name w:val="No Spacing"/>
    <w:uiPriority w:val="99"/>
    <w:qFormat/>
    <w:rsid w:val="00FE489F"/>
    <w:rPr>
      <w:kern w:val="0"/>
      <w:sz w:val="22"/>
      <w:lang w:eastAsia="en-US"/>
    </w:rPr>
  </w:style>
  <w:style w:type="paragraph" w:customStyle="1" w:styleId="details">
    <w:name w:val="details"/>
    <w:basedOn w:val="Normal"/>
    <w:uiPriority w:val="99"/>
    <w:rsid w:val="00846A8E"/>
    <w:pPr>
      <w:spacing w:before="100" w:beforeAutospacing="1" w:after="100" w:afterAutospacing="1" w:line="240" w:lineRule="auto"/>
      <w:jc w:val="left"/>
    </w:pPr>
    <w:rPr>
      <w:rFonts w:ascii="Times New Roman" w:hAnsi="Times New Roman" w:cs="Times New Roman"/>
      <w:sz w:val="24"/>
      <w:szCs w:val="24"/>
      <w:lang w:eastAsia="en-GB"/>
    </w:rPr>
  </w:style>
  <w:style w:type="character" w:styleId="PageNumber">
    <w:name w:val="page number"/>
    <w:basedOn w:val="DefaultParagraphFont"/>
    <w:uiPriority w:val="99"/>
    <w:rsid w:val="00117723"/>
    <w:rPr>
      <w:rFonts w:cs="Times New Roman"/>
    </w:rPr>
  </w:style>
</w:styles>
</file>

<file path=word/webSettings.xml><?xml version="1.0" encoding="utf-8"?>
<w:webSettings xmlns:r="http://schemas.openxmlformats.org/officeDocument/2006/relationships" xmlns:w="http://schemas.openxmlformats.org/wordprocessingml/2006/main">
  <w:divs>
    <w:div w:id="304049892">
      <w:marLeft w:val="0"/>
      <w:marRight w:val="0"/>
      <w:marTop w:val="0"/>
      <w:marBottom w:val="0"/>
      <w:divBdr>
        <w:top w:val="none" w:sz="0" w:space="0" w:color="auto"/>
        <w:left w:val="none" w:sz="0" w:space="0" w:color="auto"/>
        <w:bottom w:val="none" w:sz="0" w:space="0" w:color="auto"/>
        <w:right w:val="none" w:sz="0" w:space="0" w:color="auto"/>
      </w:divBdr>
      <w:divsChild>
        <w:div w:id="304049889">
          <w:marLeft w:val="0"/>
          <w:marRight w:val="0"/>
          <w:marTop w:val="0"/>
          <w:marBottom w:val="0"/>
          <w:divBdr>
            <w:top w:val="none" w:sz="0" w:space="0" w:color="auto"/>
            <w:left w:val="none" w:sz="0" w:space="0" w:color="auto"/>
            <w:bottom w:val="none" w:sz="0" w:space="0" w:color="auto"/>
            <w:right w:val="none" w:sz="0" w:space="0" w:color="auto"/>
          </w:divBdr>
        </w:div>
        <w:div w:id="304049901">
          <w:marLeft w:val="0"/>
          <w:marRight w:val="0"/>
          <w:marTop w:val="0"/>
          <w:marBottom w:val="0"/>
          <w:divBdr>
            <w:top w:val="none" w:sz="0" w:space="0" w:color="auto"/>
            <w:left w:val="none" w:sz="0" w:space="0" w:color="auto"/>
            <w:bottom w:val="none" w:sz="0" w:space="0" w:color="auto"/>
            <w:right w:val="none" w:sz="0" w:space="0" w:color="auto"/>
          </w:divBdr>
          <w:divsChild>
            <w:div w:id="304049908">
              <w:marLeft w:val="0"/>
              <w:marRight w:val="0"/>
              <w:marTop w:val="0"/>
              <w:marBottom w:val="0"/>
              <w:divBdr>
                <w:top w:val="none" w:sz="0" w:space="0" w:color="auto"/>
                <w:left w:val="none" w:sz="0" w:space="0" w:color="auto"/>
                <w:bottom w:val="none" w:sz="0" w:space="0" w:color="auto"/>
                <w:right w:val="none" w:sz="0" w:space="0" w:color="auto"/>
              </w:divBdr>
            </w:div>
            <w:div w:id="304049910">
              <w:marLeft w:val="0"/>
              <w:marRight w:val="0"/>
              <w:marTop w:val="0"/>
              <w:marBottom w:val="0"/>
              <w:divBdr>
                <w:top w:val="none" w:sz="0" w:space="0" w:color="auto"/>
                <w:left w:val="none" w:sz="0" w:space="0" w:color="auto"/>
                <w:bottom w:val="none" w:sz="0" w:space="0" w:color="auto"/>
                <w:right w:val="none" w:sz="0" w:space="0" w:color="auto"/>
              </w:divBdr>
              <w:divsChild>
                <w:div w:id="3040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9893">
      <w:marLeft w:val="0"/>
      <w:marRight w:val="0"/>
      <w:marTop w:val="0"/>
      <w:marBottom w:val="0"/>
      <w:divBdr>
        <w:top w:val="none" w:sz="0" w:space="0" w:color="auto"/>
        <w:left w:val="none" w:sz="0" w:space="0" w:color="auto"/>
        <w:bottom w:val="none" w:sz="0" w:space="0" w:color="auto"/>
        <w:right w:val="none" w:sz="0" w:space="0" w:color="auto"/>
      </w:divBdr>
      <w:divsChild>
        <w:div w:id="304049912">
          <w:marLeft w:val="0"/>
          <w:marRight w:val="0"/>
          <w:marTop w:val="0"/>
          <w:marBottom w:val="0"/>
          <w:divBdr>
            <w:top w:val="none" w:sz="0" w:space="0" w:color="auto"/>
            <w:left w:val="none" w:sz="0" w:space="0" w:color="auto"/>
            <w:bottom w:val="none" w:sz="0" w:space="0" w:color="auto"/>
            <w:right w:val="none" w:sz="0" w:space="0" w:color="auto"/>
          </w:divBdr>
        </w:div>
        <w:div w:id="304049923">
          <w:marLeft w:val="0"/>
          <w:marRight w:val="0"/>
          <w:marTop w:val="34"/>
          <w:marBottom w:val="34"/>
          <w:divBdr>
            <w:top w:val="none" w:sz="0" w:space="0" w:color="auto"/>
            <w:left w:val="none" w:sz="0" w:space="0" w:color="auto"/>
            <w:bottom w:val="none" w:sz="0" w:space="0" w:color="auto"/>
            <w:right w:val="none" w:sz="0" w:space="0" w:color="auto"/>
          </w:divBdr>
        </w:div>
      </w:divsChild>
    </w:div>
    <w:div w:id="304049894">
      <w:marLeft w:val="0"/>
      <w:marRight w:val="0"/>
      <w:marTop w:val="0"/>
      <w:marBottom w:val="0"/>
      <w:divBdr>
        <w:top w:val="none" w:sz="0" w:space="0" w:color="auto"/>
        <w:left w:val="none" w:sz="0" w:space="0" w:color="auto"/>
        <w:bottom w:val="none" w:sz="0" w:space="0" w:color="auto"/>
        <w:right w:val="none" w:sz="0" w:space="0" w:color="auto"/>
      </w:divBdr>
    </w:div>
    <w:div w:id="304049895">
      <w:marLeft w:val="0"/>
      <w:marRight w:val="0"/>
      <w:marTop w:val="0"/>
      <w:marBottom w:val="0"/>
      <w:divBdr>
        <w:top w:val="none" w:sz="0" w:space="0" w:color="auto"/>
        <w:left w:val="none" w:sz="0" w:space="0" w:color="auto"/>
        <w:bottom w:val="none" w:sz="0" w:space="0" w:color="auto"/>
        <w:right w:val="none" w:sz="0" w:space="0" w:color="auto"/>
      </w:divBdr>
    </w:div>
    <w:div w:id="304049896">
      <w:marLeft w:val="0"/>
      <w:marRight w:val="0"/>
      <w:marTop w:val="0"/>
      <w:marBottom w:val="0"/>
      <w:divBdr>
        <w:top w:val="none" w:sz="0" w:space="0" w:color="auto"/>
        <w:left w:val="none" w:sz="0" w:space="0" w:color="auto"/>
        <w:bottom w:val="none" w:sz="0" w:space="0" w:color="auto"/>
        <w:right w:val="none" w:sz="0" w:space="0" w:color="auto"/>
      </w:divBdr>
    </w:div>
    <w:div w:id="304049897">
      <w:marLeft w:val="0"/>
      <w:marRight w:val="0"/>
      <w:marTop w:val="0"/>
      <w:marBottom w:val="0"/>
      <w:divBdr>
        <w:top w:val="none" w:sz="0" w:space="0" w:color="auto"/>
        <w:left w:val="none" w:sz="0" w:space="0" w:color="auto"/>
        <w:bottom w:val="none" w:sz="0" w:space="0" w:color="auto"/>
        <w:right w:val="none" w:sz="0" w:space="0" w:color="auto"/>
      </w:divBdr>
    </w:div>
    <w:div w:id="304049902">
      <w:marLeft w:val="0"/>
      <w:marRight w:val="0"/>
      <w:marTop w:val="0"/>
      <w:marBottom w:val="0"/>
      <w:divBdr>
        <w:top w:val="none" w:sz="0" w:space="0" w:color="auto"/>
        <w:left w:val="none" w:sz="0" w:space="0" w:color="auto"/>
        <w:bottom w:val="none" w:sz="0" w:space="0" w:color="auto"/>
        <w:right w:val="none" w:sz="0" w:space="0" w:color="auto"/>
      </w:divBdr>
    </w:div>
    <w:div w:id="304049903">
      <w:marLeft w:val="0"/>
      <w:marRight w:val="0"/>
      <w:marTop w:val="0"/>
      <w:marBottom w:val="0"/>
      <w:divBdr>
        <w:top w:val="none" w:sz="0" w:space="0" w:color="auto"/>
        <w:left w:val="none" w:sz="0" w:space="0" w:color="auto"/>
        <w:bottom w:val="none" w:sz="0" w:space="0" w:color="auto"/>
        <w:right w:val="none" w:sz="0" w:space="0" w:color="auto"/>
      </w:divBdr>
    </w:div>
    <w:div w:id="304049904">
      <w:marLeft w:val="0"/>
      <w:marRight w:val="0"/>
      <w:marTop w:val="0"/>
      <w:marBottom w:val="0"/>
      <w:divBdr>
        <w:top w:val="none" w:sz="0" w:space="0" w:color="auto"/>
        <w:left w:val="none" w:sz="0" w:space="0" w:color="auto"/>
        <w:bottom w:val="none" w:sz="0" w:space="0" w:color="auto"/>
        <w:right w:val="none" w:sz="0" w:space="0" w:color="auto"/>
      </w:divBdr>
    </w:div>
    <w:div w:id="304049905">
      <w:marLeft w:val="0"/>
      <w:marRight w:val="0"/>
      <w:marTop w:val="0"/>
      <w:marBottom w:val="0"/>
      <w:divBdr>
        <w:top w:val="none" w:sz="0" w:space="0" w:color="auto"/>
        <w:left w:val="none" w:sz="0" w:space="0" w:color="auto"/>
        <w:bottom w:val="none" w:sz="0" w:space="0" w:color="auto"/>
        <w:right w:val="none" w:sz="0" w:space="0" w:color="auto"/>
      </w:divBdr>
    </w:div>
    <w:div w:id="304049906">
      <w:marLeft w:val="0"/>
      <w:marRight w:val="0"/>
      <w:marTop w:val="0"/>
      <w:marBottom w:val="0"/>
      <w:divBdr>
        <w:top w:val="none" w:sz="0" w:space="0" w:color="auto"/>
        <w:left w:val="none" w:sz="0" w:space="0" w:color="auto"/>
        <w:bottom w:val="none" w:sz="0" w:space="0" w:color="auto"/>
        <w:right w:val="none" w:sz="0" w:space="0" w:color="auto"/>
      </w:divBdr>
      <w:divsChild>
        <w:div w:id="304049932">
          <w:marLeft w:val="0"/>
          <w:marRight w:val="0"/>
          <w:marTop w:val="0"/>
          <w:marBottom w:val="0"/>
          <w:divBdr>
            <w:top w:val="none" w:sz="0" w:space="0" w:color="auto"/>
            <w:left w:val="none" w:sz="0" w:space="0" w:color="auto"/>
            <w:bottom w:val="none" w:sz="0" w:space="0" w:color="auto"/>
            <w:right w:val="none" w:sz="0" w:space="0" w:color="auto"/>
          </w:divBdr>
          <w:divsChild>
            <w:div w:id="304049909">
              <w:marLeft w:val="0"/>
              <w:marRight w:val="0"/>
              <w:marTop w:val="0"/>
              <w:marBottom w:val="0"/>
              <w:divBdr>
                <w:top w:val="none" w:sz="0" w:space="0" w:color="auto"/>
                <w:left w:val="none" w:sz="0" w:space="0" w:color="auto"/>
                <w:bottom w:val="none" w:sz="0" w:space="0" w:color="auto"/>
                <w:right w:val="none" w:sz="0" w:space="0" w:color="auto"/>
              </w:divBdr>
            </w:div>
            <w:div w:id="3040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907">
      <w:marLeft w:val="0"/>
      <w:marRight w:val="0"/>
      <w:marTop w:val="0"/>
      <w:marBottom w:val="0"/>
      <w:divBdr>
        <w:top w:val="none" w:sz="0" w:space="0" w:color="auto"/>
        <w:left w:val="none" w:sz="0" w:space="0" w:color="auto"/>
        <w:bottom w:val="none" w:sz="0" w:space="0" w:color="auto"/>
        <w:right w:val="none" w:sz="0" w:space="0" w:color="auto"/>
      </w:divBdr>
    </w:div>
    <w:div w:id="304049911">
      <w:marLeft w:val="0"/>
      <w:marRight w:val="0"/>
      <w:marTop w:val="0"/>
      <w:marBottom w:val="0"/>
      <w:divBdr>
        <w:top w:val="none" w:sz="0" w:space="0" w:color="auto"/>
        <w:left w:val="none" w:sz="0" w:space="0" w:color="auto"/>
        <w:bottom w:val="none" w:sz="0" w:space="0" w:color="auto"/>
        <w:right w:val="none" w:sz="0" w:space="0" w:color="auto"/>
      </w:divBdr>
      <w:divsChild>
        <w:div w:id="304049891">
          <w:marLeft w:val="0"/>
          <w:marRight w:val="0"/>
          <w:marTop w:val="0"/>
          <w:marBottom w:val="0"/>
          <w:divBdr>
            <w:top w:val="none" w:sz="0" w:space="0" w:color="auto"/>
            <w:left w:val="none" w:sz="0" w:space="0" w:color="auto"/>
            <w:bottom w:val="none" w:sz="0" w:space="0" w:color="auto"/>
            <w:right w:val="none" w:sz="0" w:space="0" w:color="auto"/>
          </w:divBdr>
        </w:div>
      </w:divsChild>
    </w:div>
    <w:div w:id="304049914">
      <w:marLeft w:val="0"/>
      <w:marRight w:val="0"/>
      <w:marTop w:val="0"/>
      <w:marBottom w:val="0"/>
      <w:divBdr>
        <w:top w:val="none" w:sz="0" w:space="0" w:color="auto"/>
        <w:left w:val="none" w:sz="0" w:space="0" w:color="auto"/>
        <w:bottom w:val="none" w:sz="0" w:space="0" w:color="auto"/>
        <w:right w:val="none" w:sz="0" w:space="0" w:color="auto"/>
      </w:divBdr>
    </w:div>
    <w:div w:id="304049916">
      <w:marLeft w:val="0"/>
      <w:marRight w:val="0"/>
      <w:marTop w:val="0"/>
      <w:marBottom w:val="0"/>
      <w:divBdr>
        <w:top w:val="none" w:sz="0" w:space="0" w:color="auto"/>
        <w:left w:val="none" w:sz="0" w:space="0" w:color="auto"/>
        <w:bottom w:val="none" w:sz="0" w:space="0" w:color="auto"/>
        <w:right w:val="none" w:sz="0" w:space="0" w:color="auto"/>
      </w:divBdr>
    </w:div>
    <w:div w:id="304049917">
      <w:marLeft w:val="0"/>
      <w:marRight w:val="0"/>
      <w:marTop w:val="0"/>
      <w:marBottom w:val="0"/>
      <w:divBdr>
        <w:top w:val="none" w:sz="0" w:space="0" w:color="auto"/>
        <w:left w:val="none" w:sz="0" w:space="0" w:color="auto"/>
        <w:bottom w:val="none" w:sz="0" w:space="0" w:color="auto"/>
        <w:right w:val="none" w:sz="0" w:space="0" w:color="auto"/>
      </w:divBdr>
    </w:div>
    <w:div w:id="304049918">
      <w:marLeft w:val="0"/>
      <w:marRight w:val="0"/>
      <w:marTop w:val="0"/>
      <w:marBottom w:val="0"/>
      <w:divBdr>
        <w:top w:val="none" w:sz="0" w:space="0" w:color="auto"/>
        <w:left w:val="none" w:sz="0" w:space="0" w:color="auto"/>
        <w:bottom w:val="none" w:sz="0" w:space="0" w:color="auto"/>
        <w:right w:val="none" w:sz="0" w:space="0" w:color="auto"/>
      </w:divBdr>
    </w:div>
    <w:div w:id="304049919">
      <w:marLeft w:val="0"/>
      <w:marRight w:val="0"/>
      <w:marTop w:val="0"/>
      <w:marBottom w:val="0"/>
      <w:divBdr>
        <w:top w:val="none" w:sz="0" w:space="0" w:color="auto"/>
        <w:left w:val="none" w:sz="0" w:space="0" w:color="auto"/>
        <w:bottom w:val="none" w:sz="0" w:space="0" w:color="auto"/>
        <w:right w:val="none" w:sz="0" w:space="0" w:color="auto"/>
      </w:divBdr>
    </w:div>
    <w:div w:id="304049920">
      <w:marLeft w:val="0"/>
      <w:marRight w:val="0"/>
      <w:marTop w:val="0"/>
      <w:marBottom w:val="0"/>
      <w:divBdr>
        <w:top w:val="none" w:sz="0" w:space="0" w:color="auto"/>
        <w:left w:val="none" w:sz="0" w:space="0" w:color="auto"/>
        <w:bottom w:val="none" w:sz="0" w:space="0" w:color="auto"/>
        <w:right w:val="none" w:sz="0" w:space="0" w:color="auto"/>
      </w:divBdr>
      <w:divsChild>
        <w:div w:id="304049898">
          <w:marLeft w:val="0"/>
          <w:marRight w:val="0"/>
          <w:marTop w:val="0"/>
          <w:marBottom w:val="240"/>
          <w:divBdr>
            <w:top w:val="none" w:sz="0" w:space="0" w:color="auto"/>
            <w:left w:val="none" w:sz="0" w:space="0" w:color="auto"/>
            <w:bottom w:val="none" w:sz="0" w:space="0" w:color="auto"/>
            <w:right w:val="none" w:sz="0" w:space="0" w:color="auto"/>
          </w:divBdr>
          <w:divsChild>
            <w:div w:id="304049913">
              <w:marLeft w:val="0"/>
              <w:marRight w:val="0"/>
              <w:marTop w:val="0"/>
              <w:marBottom w:val="0"/>
              <w:divBdr>
                <w:top w:val="none" w:sz="0" w:space="0" w:color="auto"/>
                <w:left w:val="none" w:sz="0" w:space="0" w:color="auto"/>
                <w:bottom w:val="none" w:sz="0" w:space="0" w:color="auto"/>
                <w:right w:val="none" w:sz="0" w:space="0" w:color="auto"/>
              </w:divBdr>
            </w:div>
          </w:divsChild>
        </w:div>
        <w:div w:id="304049900">
          <w:marLeft w:val="0"/>
          <w:marRight w:val="0"/>
          <w:marTop w:val="0"/>
          <w:marBottom w:val="240"/>
          <w:divBdr>
            <w:top w:val="none" w:sz="0" w:space="0" w:color="auto"/>
            <w:left w:val="none" w:sz="0" w:space="0" w:color="auto"/>
            <w:bottom w:val="none" w:sz="0" w:space="0" w:color="auto"/>
            <w:right w:val="none" w:sz="0" w:space="0" w:color="auto"/>
          </w:divBdr>
          <w:divsChild>
            <w:div w:id="304049927">
              <w:marLeft w:val="0"/>
              <w:marRight w:val="0"/>
              <w:marTop w:val="0"/>
              <w:marBottom w:val="0"/>
              <w:divBdr>
                <w:top w:val="none" w:sz="0" w:space="0" w:color="auto"/>
                <w:left w:val="none" w:sz="0" w:space="0" w:color="auto"/>
                <w:bottom w:val="none" w:sz="0" w:space="0" w:color="auto"/>
                <w:right w:val="none" w:sz="0" w:space="0" w:color="auto"/>
              </w:divBdr>
            </w:div>
          </w:divsChild>
        </w:div>
        <w:div w:id="304049915">
          <w:marLeft w:val="0"/>
          <w:marRight w:val="0"/>
          <w:marTop w:val="0"/>
          <w:marBottom w:val="240"/>
          <w:divBdr>
            <w:top w:val="none" w:sz="0" w:space="0" w:color="auto"/>
            <w:left w:val="none" w:sz="0" w:space="0" w:color="auto"/>
            <w:bottom w:val="none" w:sz="0" w:space="0" w:color="auto"/>
            <w:right w:val="none" w:sz="0" w:space="0" w:color="auto"/>
          </w:divBdr>
          <w:divsChild>
            <w:div w:id="304049899">
              <w:marLeft w:val="0"/>
              <w:marRight w:val="0"/>
              <w:marTop w:val="0"/>
              <w:marBottom w:val="0"/>
              <w:divBdr>
                <w:top w:val="none" w:sz="0" w:space="0" w:color="auto"/>
                <w:left w:val="none" w:sz="0" w:space="0" w:color="auto"/>
                <w:bottom w:val="none" w:sz="0" w:space="0" w:color="auto"/>
                <w:right w:val="none" w:sz="0" w:space="0" w:color="auto"/>
              </w:divBdr>
            </w:div>
          </w:divsChild>
        </w:div>
        <w:div w:id="304049922">
          <w:marLeft w:val="0"/>
          <w:marRight w:val="0"/>
          <w:marTop w:val="0"/>
          <w:marBottom w:val="240"/>
          <w:divBdr>
            <w:top w:val="none" w:sz="0" w:space="0" w:color="auto"/>
            <w:left w:val="none" w:sz="0" w:space="0" w:color="auto"/>
            <w:bottom w:val="none" w:sz="0" w:space="0" w:color="auto"/>
            <w:right w:val="none" w:sz="0" w:space="0" w:color="auto"/>
          </w:divBdr>
          <w:divsChild>
            <w:div w:id="3040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921">
      <w:marLeft w:val="0"/>
      <w:marRight w:val="0"/>
      <w:marTop w:val="0"/>
      <w:marBottom w:val="0"/>
      <w:divBdr>
        <w:top w:val="none" w:sz="0" w:space="0" w:color="auto"/>
        <w:left w:val="none" w:sz="0" w:space="0" w:color="auto"/>
        <w:bottom w:val="none" w:sz="0" w:space="0" w:color="auto"/>
        <w:right w:val="none" w:sz="0" w:space="0" w:color="auto"/>
      </w:divBdr>
    </w:div>
    <w:div w:id="304049924">
      <w:marLeft w:val="0"/>
      <w:marRight w:val="0"/>
      <w:marTop w:val="0"/>
      <w:marBottom w:val="0"/>
      <w:divBdr>
        <w:top w:val="none" w:sz="0" w:space="0" w:color="auto"/>
        <w:left w:val="none" w:sz="0" w:space="0" w:color="auto"/>
        <w:bottom w:val="none" w:sz="0" w:space="0" w:color="auto"/>
        <w:right w:val="none" w:sz="0" w:space="0" w:color="auto"/>
      </w:divBdr>
    </w:div>
    <w:div w:id="304049925">
      <w:marLeft w:val="0"/>
      <w:marRight w:val="0"/>
      <w:marTop w:val="0"/>
      <w:marBottom w:val="0"/>
      <w:divBdr>
        <w:top w:val="none" w:sz="0" w:space="0" w:color="auto"/>
        <w:left w:val="none" w:sz="0" w:space="0" w:color="auto"/>
        <w:bottom w:val="none" w:sz="0" w:space="0" w:color="auto"/>
        <w:right w:val="none" w:sz="0" w:space="0" w:color="auto"/>
      </w:divBdr>
    </w:div>
    <w:div w:id="304049926">
      <w:marLeft w:val="0"/>
      <w:marRight w:val="0"/>
      <w:marTop w:val="0"/>
      <w:marBottom w:val="0"/>
      <w:divBdr>
        <w:top w:val="none" w:sz="0" w:space="0" w:color="auto"/>
        <w:left w:val="none" w:sz="0" w:space="0" w:color="auto"/>
        <w:bottom w:val="none" w:sz="0" w:space="0" w:color="auto"/>
        <w:right w:val="none" w:sz="0" w:space="0" w:color="auto"/>
      </w:divBdr>
    </w:div>
    <w:div w:id="304049928">
      <w:marLeft w:val="0"/>
      <w:marRight w:val="0"/>
      <w:marTop w:val="0"/>
      <w:marBottom w:val="0"/>
      <w:divBdr>
        <w:top w:val="none" w:sz="0" w:space="0" w:color="auto"/>
        <w:left w:val="none" w:sz="0" w:space="0" w:color="auto"/>
        <w:bottom w:val="none" w:sz="0" w:space="0" w:color="auto"/>
        <w:right w:val="none" w:sz="0" w:space="0" w:color="auto"/>
      </w:divBdr>
    </w:div>
    <w:div w:id="304049930">
      <w:marLeft w:val="0"/>
      <w:marRight w:val="0"/>
      <w:marTop w:val="0"/>
      <w:marBottom w:val="0"/>
      <w:divBdr>
        <w:top w:val="none" w:sz="0" w:space="0" w:color="auto"/>
        <w:left w:val="none" w:sz="0" w:space="0" w:color="auto"/>
        <w:bottom w:val="none" w:sz="0" w:space="0" w:color="auto"/>
        <w:right w:val="none" w:sz="0" w:space="0" w:color="auto"/>
      </w:divBdr>
    </w:div>
    <w:div w:id="304049931">
      <w:marLeft w:val="0"/>
      <w:marRight w:val="0"/>
      <w:marTop w:val="0"/>
      <w:marBottom w:val="0"/>
      <w:divBdr>
        <w:top w:val="none" w:sz="0" w:space="0" w:color="auto"/>
        <w:left w:val="none" w:sz="0" w:space="0" w:color="auto"/>
        <w:bottom w:val="none" w:sz="0" w:space="0" w:color="auto"/>
        <w:right w:val="none" w:sz="0" w:space="0" w:color="auto"/>
      </w:divBdr>
    </w:div>
    <w:div w:id="304049933">
      <w:marLeft w:val="0"/>
      <w:marRight w:val="0"/>
      <w:marTop w:val="0"/>
      <w:marBottom w:val="0"/>
      <w:divBdr>
        <w:top w:val="none" w:sz="0" w:space="0" w:color="auto"/>
        <w:left w:val="none" w:sz="0" w:space="0" w:color="auto"/>
        <w:bottom w:val="none" w:sz="0" w:space="0" w:color="auto"/>
        <w:right w:val="none" w:sz="0" w:space="0" w:color="auto"/>
      </w:divBdr>
    </w:div>
    <w:div w:id="304049934">
      <w:marLeft w:val="0"/>
      <w:marRight w:val="0"/>
      <w:marTop w:val="0"/>
      <w:marBottom w:val="0"/>
      <w:divBdr>
        <w:top w:val="none" w:sz="0" w:space="0" w:color="auto"/>
        <w:left w:val="none" w:sz="0" w:space="0" w:color="auto"/>
        <w:bottom w:val="none" w:sz="0" w:space="0" w:color="auto"/>
        <w:right w:val="none" w:sz="0" w:space="0" w:color="auto"/>
      </w:divBdr>
    </w:div>
    <w:div w:id="304049936">
      <w:marLeft w:val="0"/>
      <w:marRight w:val="0"/>
      <w:marTop w:val="0"/>
      <w:marBottom w:val="0"/>
      <w:divBdr>
        <w:top w:val="none" w:sz="0" w:space="0" w:color="auto"/>
        <w:left w:val="none" w:sz="0" w:space="0" w:color="auto"/>
        <w:bottom w:val="none" w:sz="0" w:space="0" w:color="auto"/>
        <w:right w:val="none" w:sz="0" w:space="0" w:color="auto"/>
      </w:divBdr>
    </w:div>
    <w:div w:id="304049937">
      <w:marLeft w:val="0"/>
      <w:marRight w:val="0"/>
      <w:marTop w:val="0"/>
      <w:marBottom w:val="0"/>
      <w:divBdr>
        <w:top w:val="none" w:sz="0" w:space="0" w:color="auto"/>
        <w:left w:val="none" w:sz="0" w:space="0" w:color="auto"/>
        <w:bottom w:val="none" w:sz="0" w:space="0" w:color="auto"/>
        <w:right w:val="none" w:sz="0" w:space="0" w:color="auto"/>
      </w:divBdr>
    </w:div>
    <w:div w:id="304049938">
      <w:marLeft w:val="0"/>
      <w:marRight w:val="0"/>
      <w:marTop w:val="0"/>
      <w:marBottom w:val="0"/>
      <w:divBdr>
        <w:top w:val="none" w:sz="0" w:space="0" w:color="auto"/>
        <w:left w:val="none" w:sz="0" w:space="0" w:color="auto"/>
        <w:bottom w:val="none" w:sz="0" w:space="0" w:color="auto"/>
        <w:right w:val="none" w:sz="0" w:space="0" w:color="auto"/>
      </w:divBdr>
    </w:div>
    <w:div w:id="304049940">
      <w:marLeft w:val="0"/>
      <w:marRight w:val="0"/>
      <w:marTop w:val="0"/>
      <w:marBottom w:val="0"/>
      <w:divBdr>
        <w:top w:val="none" w:sz="0" w:space="0" w:color="auto"/>
        <w:left w:val="none" w:sz="0" w:space="0" w:color="auto"/>
        <w:bottom w:val="none" w:sz="0" w:space="0" w:color="auto"/>
        <w:right w:val="none" w:sz="0" w:space="0" w:color="auto"/>
      </w:divBdr>
    </w:div>
    <w:div w:id="304049941">
      <w:marLeft w:val="0"/>
      <w:marRight w:val="0"/>
      <w:marTop w:val="0"/>
      <w:marBottom w:val="0"/>
      <w:divBdr>
        <w:top w:val="none" w:sz="0" w:space="0" w:color="auto"/>
        <w:left w:val="none" w:sz="0" w:space="0" w:color="auto"/>
        <w:bottom w:val="none" w:sz="0" w:space="0" w:color="auto"/>
        <w:right w:val="none" w:sz="0" w:space="0" w:color="auto"/>
      </w:divBdr>
      <w:divsChild>
        <w:div w:id="304049890">
          <w:marLeft w:val="0"/>
          <w:marRight w:val="0"/>
          <w:marTop w:val="0"/>
          <w:marBottom w:val="0"/>
          <w:divBdr>
            <w:top w:val="none" w:sz="0" w:space="0" w:color="auto"/>
            <w:left w:val="none" w:sz="0" w:space="0" w:color="auto"/>
            <w:bottom w:val="none" w:sz="0" w:space="0" w:color="auto"/>
            <w:right w:val="none" w:sz="0" w:space="0" w:color="auto"/>
          </w:divBdr>
        </w:div>
        <w:div w:id="304049943">
          <w:marLeft w:val="0"/>
          <w:marRight w:val="0"/>
          <w:marTop w:val="0"/>
          <w:marBottom w:val="0"/>
          <w:divBdr>
            <w:top w:val="none" w:sz="0" w:space="0" w:color="auto"/>
            <w:left w:val="none" w:sz="0" w:space="0" w:color="auto"/>
            <w:bottom w:val="none" w:sz="0" w:space="0" w:color="auto"/>
            <w:right w:val="none" w:sz="0" w:space="0" w:color="auto"/>
          </w:divBdr>
        </w:div>
      </w:divsChild>
    </w:div>
    <w:div w:id="304049942">
      <w:marLeft w:val="0"/>
      <w:marRight w:val="0"/>
      <w:marTop w:val="0"/>
      <w:marBottom w:val="0"/>
      <w:divBdr>
        <w:top w:val="none" w:sz="0" w:space="0" w:color="auto"/>
        <w:left w:val="none" w:sz="0" w:space="0" w:color="auto"/>
        <w:bottom w:val="none" w:sz="0" w:space="0" w:color="auto"/>
        <w:right w:val="none" w:sz="0" w:space="0" w:color="auto"/>
      </w:divBdr>
    </w:div>
    <w:div w:id="304049944">
      <w:marLeft w:val="0"/>
      <w:marRight w:val="0"/>
      <w:marTop w:val="0"/>
      <w:marBottom w:val="0"/>
      <w:divBdr>
        <w:top w:val="none" w:sz="0" w:space="0" w:color="auto"/>
        <w:left w:val="none" w:sz="0" w:space="0" w:color="auto"/>
        <w:bottom w:val="none" w:sz="0" w:space="0" w:color="auto"/>
        <w:right w:val="none" w:sz="0" w:space="0" w:color="auto"/>
      </w:divBdr>
    </w:div>
    <w:div w:id="304049945">
      <w:marLeft w:val="0"/>
      <w:marRight w:val="0"/>
      <w:marTop w:val="0"/>
      <w:marBottom w:val="0"/>
      <w:divBdr>
        <w:top w:val="none" w:sz="0" w:space="0" w:color="auto"/>
        <w:left w:val="none" w:sz="0" w:space="0" w:color="auto"/>
        <w:bottom w:val="none" w:sz="0" w:space="0" w:color="auto"/>
        <w:right w:val="none" w:sz="0" w:space="0" w:color="auto"/>
      </w:divBdr>
    </w:div>
    <w:div w:id="30404994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x.doi.org/10.1542/peds.114.1.e130" TargetMode="External"/><Relationship Id="rId13" Type="http://schemas.openxmlformats.org/officeDocument/2006/relationships/hyperlink" Target="http://www.ncbi.nlm.nih.gov/pubmed/?term=Emokpae%20AA%5BAuthor%5D&amp;cauthor=true&amp;cauthor_uid=26594786" TargetMode="External"/><Relationship Id="rId18" Type="http://schemas.openxmlformats.org/officeDocument/2006/relationships/hyperlink" Target="http://www.ncbi.nlm.nih.gov/pubmed/?term=Sherbiny%20HS%5BAuthor%5D&amp;cauthor=true&amp;cauthor_uid=25844870" TargetMode="External"/><Relationship Id="rId26" Type="http://schemas.openxmlformats.org/officeDocument/2006/relationships/hyperlink" Target="http://dx.doi.org/10.1002/14651858.cd003313" TargetMode="External"/><Relationship Id="rId3" Type="http://schemas.openxmlformats.org/officeDocument/2006/relationships/settings" Target="settings.xml"/><Relationship Id="rId21" Type="http://schemas.openxmlformats.org/officeDocument/2006/relationships/hyperlink" Target="http://www.ncbi.nlm.nih.gov/pubmed/?term=El-Behedy%20R%5BAuthor%5D&amp;cauthor=true&amp;cauthor_uid=25844870" TargetMode="External"/><Relationship Id="rId7" Type="http://schemas.openxmlformats.org/officeDocument/2006/relationships/hyperlink" Target="http://www.ncbi.nlm.nih.gov/pubmed/?term=American%20Academy%20of%20Pediatrics%20Subcommittee%20on%20Hyperbilirubinemia%5BCorporate%20Author%5D" TargetMode="External"/><Relationship Id="rId12" Type="http://schemas.openxmlformats.org/officeDocument/2006/relationships/hyperlink" Target="http://www.ncbi.nlm.nih.gov/pubmed/?term=Imam%20ZO%5BAuthor%5D&amp;cauthor=true&amp;cauthor_uid=26594786" TargetMode="External"/><Relationship Id="rId17" Type="http://schemas.openxmlformats.org/officeDocument/2006/relationships/hyperlink" Target="http://dx.doi.org/10.1007/BF02751534" TargetMode="External"/><Relationship Id="rId25" Type="http://schemas.openxmlformats.org/officeDocument/2006/relationships/hyperlink" Target="http://dx.doi.org/10.1016/j.jpeds.2005.07.02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10.12816/0006334" TargetMode="External"/><Relationship Id="rId20" Type="http://schemas.openxmlformats.org/officeDocument/2006/relationships/hyperlink" Target="http://www.ncbi.nlm.nih.gov/pubmed/?term=Sherbini%20AS%5BAuthor%5D&amp;cauthor=true&amp;cauthor_uid=25844870"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Olusanya%20BO%5BAuthor%5D&amp;cauthor=true&amp;cauthor_uid=26594786" TargetMode="External"/><Relationship Id="rId24" Type="http://schemas.openxmlformats.org/officeDocument/2006/relationships/hyperlink" Target="http://dx.doi.org/10.1007/s13312-010-0133-z"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x.doi.org/10.1080/08880010490501097" TargetMode="External"/><Relationship Id="rId23" Type="http://schemas.openxmlformats.org/officeDocument/2006/relationships/hyperlink" Target="http://dx.doi.org/10.1179/2046905515Y.0000000006" TargetMode="External"/><Relationship Id="rId28" Type="http://schemas.openxmlformats.org/officeDocument/2006/relationships/image" Target="media/image1.jpeg"/><Relationship Id="rId10" Type="http://schemas.openxmlformats.org/officeDocument/2006/relationships/hyperlink" Target="http://www.ncbi.nlm.nih.gov/pubmed/?term=American%20Academy%20of%20Pediatrics%20Subcommittee%20on%20Hyperbilirubinemia%5BCorporate%20Author%5D" TargetMode="External"/><Relationship Id="rId19" Type="http://schemas.openxmlformats.org/officeDocument/2006/relationships/hyperlink" Target="http://www.ncbi.nlm.nih.gov/pubmed/?term=Youssef%20DM%5BAuthor%5D&amp;cauthor=true&amp;cauthor_uid=2584487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x.doi.org/10.1542/peds.99.5.e7" TargetMode="External"/><Relationship Id="rId14" Type="http://schemas.openxmlformats.org/officeDocument/2006/relationships/hyperlink" Target="http://www.ncbi.nlm.nih.gov/pubmed/?term=Iskander%20IF%5BAuthor%5D&amp;cauthor=true&amp;cauthor_uid=26594786" TargetMode="External"/><Relationship Id="rId22" Type="http://schemas.openxmlformats.org/officeDocument/2006/relationships/hyperlink" Target="http://www.ncbi.nlm.nih.gov/pubmed/?term=Sherief%20LM%5BAuthor%5D&amp;cauthor=true&amp;cauthor_uid=25844870" TargetMode="External"/><Relationship Id="rId27" Type="http://schemas.openxmlformats.org/officeDocument/2006/relationships/hyperlink" Target="http://dx.doi.org/10.1046/j.1365-3148.1998.00133.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27</Pages>
  <Words>6469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and not for circulation</dc:title>
  <dc:subject/>
  <dc:creator>Olusanya</dc:creator>
  <cp:keywords/>
  <dc:description/>
  <cp:lastModifiedBy>Xue-Mei Gong</cp:lastModifiedBy>
  <cp:revision>3</cp:revision>
  <cp:lastPrinted>2015-08-02T20:48:00Z</cp:lastPrinted>
  <dcterms:created xsi:type="dcterms:W3CDTF">2016-01-06T18:26:00Z</dcterms:created>
  <dcterms:modified xsi:type="dcterms:W3CDTF">2016-01-07T04:09:00Z</dcterms:modified>
</cp:coreProperties>
</file>