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3E" w:rsidRPr="00193FE3" w:rsidRDefault="00470B3E" w:rsidP="00470B3E">
      <w:pPr>
        <w:pStyle w:val="ColorfulList-Accent11"/>
        <w:spacing w:line="276" w:lineRule="auto"/>
        <w:ind w:left="0"/>
        <w:rPr>
          <w:rFonts w:ascii="Book Antiqua" w:hAnsi="Book Antiqua"/>
          <w:b/>
          <w:sz w:val="24"/>
          <w:szCs w:val="20"/>
        </w:rPr>
      </w:pPr>
      <w:bookmarkStart w:id="0" w:name="_GoBack"/>
      <w:bookmarkEnd w:id="0"/>
      <w:r w:rsidRPr="00193FE3">
        <w:rPr>
          <w:rFonts w:ascii="Book Antiqua" w:hAnsi="Book Antiqua"/>
          <w:b/>
          <w:sz w:val="24"/>
          <w:szCs w:val="20"/>
        </w:rPr>
        <w:t>Supplementary Information</w:t>
      </w:r>
    </w:p>
    <w:p w:rsidR="00470B3E" w:rsidRPr="00193FE3" w:rsidRDefault="00470B3E" w:rsidP="00470B3E">
      <w:pPr>
        <w:pStyle w:val="ColorfulList-Accent11"/>
        <w:spacing w:line="276" w:lineRule="auto"/>
        <w:ind w:left="0"/>
        <w:rPr>
          <w:rFonts w:ascii="Book Antiqua" w:hAnsi="Book Antiqua"/>
          <w:b/>
          <w:sz w:val="20"/>
          <w:szCs w:val="20"/>
        </w:rPr>
      </w:pPr>
    </w:p>
    <w:p w:rsidR="00470B3E" w:rsidRPr="00193FE3" w:rsidRDefault="00470B3E" w:rsidP="00470B3E">
      <w:pPr>
        <w:spacing w:line="276" w:lineRule="auto"/>
        <w:rPr>
          <w:rFonts w:ascii="Book Antiqua" w:hAnsi="Book Antiqua"/>
          <w:b/>
          <w:sz w:val="24"/>
          <w:szCs w:val="20"/>
        </w:rPr>
      </w:pPr>
      <w:r w:rsidRPr="00193FE3">
        <w:rPr>
          <w:rFonts w:ascii="Book Antiqua" w:hAnsi="Book Antiqua"/>
          <w:b/>
          <w:sz w:val="24"/>
          <w:szCs w:val="20"/>
        </w:rPr>
        <w:t>Supplementary Materials and Methods</w:t>
      </w:r>
    </w:p>
    <w:p w:rsidR="00470B3E" w:rsidRPr="00193FE3" w:rsidRDefault="00470B3E" w:rsidP="00470B3E">
      <w:pPr>
        <w:pStyle w:val="ColorfulList-Accent11"/>
        <w:spacing w:line="276" w:lineRule="auto"/>
        <w:ind w:left="0"/>
        <w:rPr>
          <w:rFonts w:ascii="Book Antiqua" w:hAnsi="Book Antiqua"/>
          <w:b/>
          <w:sz w:val="24"/>
          <w:szCs w:val="20"/>
        </w:rPr>
      </w:pPr>
    </w:p>
    <w:p w:rsidR="00470B3E" w:rsidRPr="00193FE3" w:rsidRDefault="00470B3E" w:rsidP="00470B3E">
      <w:pPr>
        <w:pStyle w:val="ColorfulList-Accent11"/>
        <w:spacing w:line="276" w:lineRule="auto"/>
        <w:ind w:left="0"/>
        <w:rPr>
          <w:rFonts w:ascii="Book Antiqua" w:hAnsi="Book Antiqua"/>
          <w:b/>
          <w:sz w:val="24"/>
          <w:szCs w:val="20"/>
        </w:rPr>
      </w:pPr>
      <w:r w:rsidRPr="00193FE3">
        <w:rPr>
          <w:rFonts w:ascii="Book Antiqua" w:hAnsi="Book Antiqua"/>
          <w:sz w:val="24"/>
          <w:szCs w:val="20"/>
        </w:rPr>
        <w:t>Rash-related dermatologic events (composite MedDRA term) included</w:t>
      </w:r>
      <w:r w:rsidRPr="00193FE3">
        <w:rPr>
          <w:rFonts w:ascii="Book Antiqua" w:hAnsi="Book Antiqua"/>
          <w:b/>
          <w:sz w:val="24"/>
          <w:szCs w:val="20"/>
        </w:rPr>
        <w:t xml:space="preserve"> </w:t>
      </w:r>
      <w:r w:rsidRPr="00193FE3">
        <w:rPr>
          <w:rFonts w:ascii="Book Antiqua" w:hAnsi="Book Antiqua"/>
          <w:sz w:val="24"/>
          <w:szCs w:val="20"/>
        </w:rPr>
        <w:t xml:space="preserve">allergic dermatitis, vasculitic rash, eczema, purpura, petechiae, dermatitis acneiform, ecchymosis, gingival disorder, cheilitis, pemphigoid, acute generalized exanthematous pustulosis, dermatitis, bullous dermatitis, exfoliative dermatitis, generalized exfoliative dermatitis, drug eruption, drug rash with eosinophilia and systemic symptoms, erythema multiforme, exfoliative rash, fixed eruption, genital rash, hemorrhagic urticaria, idiopathic urticaria, mucocutaneous rash, oral mucosal eruption, rash, erythematous rash, follicular rash, urticaria, generalized rash, macular rash, maculo-papular rash, maculovesicular rash, morbilliform rash, papular rash, papulosquamous rash, pruritic rash, pustular rash, vesicular rash, septic rash, Stevens-Johnson syndrome, tongue eruption, toxic epidermal necrolysis, toxic skin eruption, and popular urticaria. </w:t>
      </w:r>
    </w:p>
    <w:p w:rsidR="00470B3E" w:rsidRPr="00193FE3" w:rsidRDefault="00470B3E" w:rsidP="00470B3E">
      <w:pPr>
        <w:pStyle w:val="ColorfulList-Accent11"/>
        <w:spacing w:line="276" w:lineRule="auto"/>
        <w:ind w:left="0"/>
        <w:rPr>
          <w:rFonts w:ascii="Book Antiqua" w:hAnsi="Book Antiqua"/>
          <w:b/>
          <w:sz w:val="24"/>
          <w:szCs w:val="20"/>
        </w:rPr>
      </w:pPr>
    </w:p>
    <w:p w:rsidR="00470B3E" w:rsidRPr="00193FE3" w:rsidRDefault="00470B3E" w:rsidP="00470B3E">
      <w:pPr>
        <w:pStyle w:val="ColorfulList-Accent11"/>
        <w:spacing w:line="276" w:lineRule="auto"/>
        <w:ind w:left="0"/>
        <w:rPr>
          <w:rFonts w:ascii="Book Antiqua" w:hAnsi="Book Antiqua"/>
          <w:b/>
          <w:sz w:val="24"/>
          <w:szCs w:val="20"/>
        </w:rPr>
      </w:pPr>
    </w:p>
    <w:p w:rsidR="00470B3E" w:rsidRPr="00193FE3" w:rsidRDefault="00470B3E" w:rsidP="00470B3E">
      <w:pPr>
        <w:spacing w:line="276" w:lineRule="auto"/>
        <w:rPr>
          <w:rFonts w:ascii="Book Antiqua" w:hAnsi="Book Antiqua"/>
          <w:b/>
          <w:sz w:val="24"/>
          <w:szCs w:val="20"/>
        </w:rPr>
      </w:pPr>
      <w:r w:rsidRPr="00193FE3">
        <w:rPr>
          <w:rFonts w:ascii="Book Antiqua" w:hAnsi="Book Antiqua"/>
          <w:b/>
          <w:sz w:val="24"/>
          <w:szCs w:val="20"/>
        </w:rPr>
        <w:t>Supplementary Results</w:t>
      </w:r>
    </w:p>
    <w:p w:rsidR="00470B3E" w:rsidRPr="00193FE3" w:rsidRDefault="00470B3E" w:rsidP="00470B3E">
      <w:pPr>
        <w:rPr>
          <w:rFonts w:ascii="Book Antiqua" w:hAnsi="Book Antiqua"/>
          <w:b/>
          <w:sz w:val="24"/>
          <w:szCs w:val="20"/>
        </w:rPr>
      </w:pPr>
    </w:p>
    <w:p w:rsidR="00470B3E" w:rsidRPr="00193FE3" w:rsidRDefault="00470B3E" w:rsidP="00470B3E">
      <w:pPr>
        <w:pStyle w:val="ColorfulList-Accent11"/>
        <w:spacing w:after="200" w:line="276" w:lineRule="auto"/>
        <w:ind w:left="357" w:hanging="357"/>
        <w:rPr>
          <w:rFonts w:ascii="Book Antiqua" w:hAnsi="Book Antiqua"/>
          <w:i/>
          <w:sz w:val="24"/>
          <w:szCs w:val="20"/>
        </w:rPr>
      </w:pPr>
      <w:r w:rsidRPr="00193FE3">
        <w:rPr>
          <w:rFonts w:ascii="Book Antiqua" w:hAnsi="Book Antiqua"/>
          <w:i/>
          <w:sz w:val="24"/>
          <w:szCs w:val="20"/>
        </w:rPr>
        <w:t>On-treatment safety in GT1-infected patients</w:t>
      </w:r>
    </w:p>
    <w:p w:rsidR="00470B3E" w:rsidRPr="00193FE3" w:rsidRDefault="00470B3E" w:rsidP="00470B3E">
      <w:pPr>
        <w:spacing w:after="200" w:line="276" w:lineRule="auto"/>
        <w:rPr>
          <w:rFonts w:ascii="Book Antiqua" w:hAnsi="Book Antiqua"/>
          <w:sz w:val="24"/>
          <w:szCs w:val="20"/>
        </w:rPr>
      </w:pPr>
      <w:r w:rsidRPr="00193FE3">
        <w:rPr>
          <w:rFonts w:ascii="Book Antiqua" w:hAnsi="Book Antiqua"/>
          <w:sz w:val="24"/>
          <w:szCs w:val="20"/>
        </w:rPr>
        <w:t xml:space="preserve">Related SAEs in the DCV group included cellulitis (n = 2), pneumonia (n = 2), lung infection (n = 1), pneumococcal sepsis (n = 1), DRESS syndrome (n = 1), rash (n = 1), generalized rash (n = 1), bipolar disorder (n = 1), panic attack (n = 1), hemolytic anemia (n = 1), cholelithiasis (n = 1), overdose (n = 1), and lung infiltration (n = 1). </w:t>
      </w:r>
    </w:p>
    <w:p w:rsidR="00470B3E" w:rsidRPr="00193FE3" w:rsidRDefault="00470B3E" w:rsidP="00470B3E">
      <w:pPr>
        <w:spacing w:after="200" w:line="276" w:lineRule="auto"/>
        <w:rPr>
          <w:rFonts w:ascii="Book Antiqua" w:hAnsi="Book Antiqua"/>
          <w:sz w:val="24"/>
          <w:szCs w:val="20"/>
        </w:rPr>
      </w:pPr>
      <w:r w:rsidRPr="00193FE3">
        <w:rPr>
          <w:rFonts w:ascii="Book Antiqua" w:hAnsi="Book Antiqua"/>
          <w:sz w:val="24"/>
          <w:szCs w:val="20"/>
        </w:rPr>
        <w:t>Related SAEs in the TVR group included anemia (n = 5), acute renal failure (n = 2), infectious proctitis (n = 1), DRESS syndrome (n = 1), drug eruption (n = 1), depression (n = 2), panic disorder (n = 1), psychotic disorder (n = 1), suicidal ideation (n = 1), intentional overdose (n = 1), palpitations (n = 1), gastrointestinal hemorrhage (n = 1), vomiting (n = 1), hypokalemia (n = 1), convulsion (n = 1), headache (n = 1), syncope (n = 1), circulatory collapse (n = 1), and venous thrombosis (n = 1).</w:t>
      </w:r>
    </w:p>
    <w:p w:rsidR="00470B3E" w:rsidRPr="00193FE3" w:rsidRDefault="00470B3E" w:rsidP="00470B3E">
      <w:pPr>
        <w:spacing w:after="200" w:line="276" w:lineRule="auto"/>
        <w:rPr>
          <w:rFonts w:ascii="Book Antiqua" w:hAnsi="Book Antiqua"/>
          <w:sz w:val="24"/>
          <w:szCs w:val="20"/>
        </w:rPr>
      </w:pPr>
      <w:r w:rsidRPr="00193FE3">
        <w:rPr>
          <w:rFonts w:ascii="Book Antiqua" w:hAnsi="Book Antiqua"/>
          <w:sz w:val="24"/>
          <w:szCs w:val="20"/>
        </w:rPr>
        <w:t xml:space="preserve">AEs leading to discontinuation of any study drug in the DCV group included psychiatric disorders (n = 6), skin disorders (n = 6), blood and lymphatic system  disorders (n = 5), gastrointestinal disorders (n = 3), infections and infestations (n = 3), nervous system disorders (n = 3), tinnitus (n = 2), retinal exudates (n = 2), general disorders (n = 2), respiratory disorders (n = 2), coronary artery disease (n = 1), </w:t>
      </w:r>
      <w:r w:rsidRPr="00193FE3">
        <w:rPr>
          <w:rFonts w:ascii="Book Antiqua" w:hAnsi="Book Antiqua"/>
          <w:sz w:val="24"/>
          <w:szCs w:val="20"/>
        </w:rPr>
        <w:lastRenderedPageBreak/>
        <w:t>autoimmune hepatitis (n = 1), postoperative anemia (n = 1), back pain (n = 1), and lung adenocarcinoma (n = 1).</w:t>
      </w:r>
    </w:p>
    <w:p w:rsidR="00470B3E" w:rsidRPr="00193FE3" w:rsidRDefault="00470B3E" w:rsidP="00470B3E">
      <w:pPr>
        <w:spacing w:after="200" w:line="276" w:lineRule="auto"/>
        <w:rPr>
          <w:rFonts w:ascii="Book Antiqua" w:hAnsi="Book Antiqua"/>
          <w:sz w:val="24"/>
          <w:szCs w:val="20"/>
        </w:rPr>
      </w:pPr>
      <w:r w:rsidRPr="00193FE3">
        <w:rPr>
          <w:rFonts w:ascii="Book Antiqua" w:hAnsi="Book Antiqua"/>
          <w:sz w:val="24"/>
          <w:szCs w:val="20"/>
        </w:rPr>
        <w:t>AEs leading to discontinuation of any study drug in the TVR group included skin disorders (n = 18), blood and lymphatic system disorders (n = 9), fatigue (n = 5), gastrointestinal disorders (n = 4), psychiatric disorders (n = 3), infections and infestations (n = 3), nervous system disorders (n = 3), retinal exudates (n = 1), asthenia (n = 1), atrial fibrillation (n = 1), intentional overdose (n = 1), decreased appetite (n = 1), and acute renal failure (n = 2).</w:t>
      </w:r>
    </w:p>
    <w:p w:rsidR="00470B3E" w:rsidRPr="00193FE3" w:rsidRDefault="00470B3E" w:rsidP="00470B3E">
      <w:pPr>
        <w:pStyle w:val="ColorfulList-Accent11"/>
        <w:spacing w:line="360" w:lineRule="auto"/>
        <w:ind w:left="0"/>
        <w:contextualSpacing w:val="0"/>
        <w:rPr>
          <w:rFonts w:ascii="Book Antiqua" w:hAnsi="Book Antiqua"/>
          <w:b/>
          <w:color w:val="000000"/>
        </w:rPr>
      </w:pPr>
      <w:r w:rsidRPr="00193FE3">
        <w:rPr>
          <w:rFonts w:ascii="Book Antiqua" w:hAnsi="Book Antiqua"/>
          <w:b/>
          <w:sz w:val="20"/>
          <w:szCs w:val="20"/>
        </w:rPr>
        <w:br w:type="page"/>
      </w:r>
      <w:r w:rsidRPr="00193FE3">
        <w:rPr>
          <w:rFonts w:ascii="Book Antiqua" w:hAnsi="Book Antiqua"/>
          <w:b/>
        </w:rPr>
        <w:lastRenderedPageBreak/>
        <w:t xml:space="preserve">Supplementary Table 1. </w:t>
      </w:r>
      <w:r w:rsidRPr="00193FE3">
        <w:rPr>
          <w:rFonts w:ascii="Book Antiqua" w:hAnsi="Book Antiqua"/>
        </w:rPr>
        <w:t>Outcomes in GT1a-Infected Patients</w:t>
      </w:r>
    </w:p>
    <w:tbl>
      <w:tblPr>
        <w:tblW w:w="9464" w:type="dxa"/>
        <w:tblBorders>
          <w:bottom w:val="double" w:sz="6" w:space="0" w:color="auto"/>
        </w:tblBorders>
        <w:tblLayout w:type="fixed"/>
        <w:tblLook w:val="0020" w:firstRow="1" w:lastRow="0" w:firstColumn="0" w:lastColumn="0" w:noHBand="0" w:noVBand="0"/>
      </w:tblPr>
      <w:tblGrid>
        <w:gridCol w:w="5495"/>
        <w:gridCol w:w="142"/>
        <w:gridCol w:w="1842"/>
        <w:gridCol w:w="1985"/>
      </w:tblGrid>
      <w:tr w:rsidR="00470B3E" w:rsidRPr="00193FE3" w:rsidTr="002A71C0">
        <w:tc>
          <w:tcPr>
            <w:tcW w:w="5495" w:type="dxa"/>
            <w:tcBorders>
              <w:top w:val="single" w:sz="6" w:space="0" w:color="auto"/>
              <w:bottom w:val="single" w:sz="4" w:space="0" w:color="auto"/>
            </w:tcBorders>
            <w:shd w:val="clear" w:color="auto" w:fill="auto"/>
            <w:vAlign w:val="center"/>
          </w:tcPr>
          <w:p w:rsidR="00470B3E" w:rsidRPr="00193FE3" w:rsidRDefault="00470B3E" w:rsidP="002A71C0">
            <w:pPr>
              <w:pStyle w:val="BMSTableText"/>
              <w:spacing w:before="0" w:after="0" w:line="360" w:lineRule="auto"/>
              <w:jc w:val="left"/>
              <w:rPr>
                <w:rFonts w:ascii="Book Antiqua" w:hAnsi="Book Antiqua"/>
                <w:color w:val="000000"/>
                <w:sz w:val="22"/>
                <w:szCs w:val="22"/>
              </w:rPr>
            </w:pPr>
            <w:r w:rsidRPr="00193FE3">
              <w:rPr>
                <w:rFonts w:ascii="Book Antiqua" w:hAnsi="Book Antiqua"/>
                <w:sz w:val="22"/>
                <w:szCs w:val="22"/>
              </w:rPr>
              <w:t>Outcome, n/N (%)</w:t>
            </w:r>
          </w:p>
        </w:tc>
        <w:tc>
          <w:tcPr>
            <w:tcW w:w="1984" w:type="dxa"/>
            <w:gridSpan w:val="2"/>
            <w:tcBorders>
              <w:top w:val="single" w:sz="6" w:space="0" w:color="auto"/>
              <w:bottom w:val="single" w:sz="4" w:space="0" w:color="auto"/>
            </w:tcBorders>
            <w:shd w:val="clear" w:color="auto" w:fill="auto"/>
            <w:vAlign w:val="center"/>
          </w:tcPr>
          <w:p w:rsidR="00470B3E" w:rsidRPr="00193FE3" w:rsidRDefault="00470B3E" w:rsidP="002A71C0">
            <w:pPr>
              <w:pStyle w:val="BMSTableText"/>
              <w:spacing w:before="0" w:after="0" w:line="360" w:lineRule="auto"/>
              <w:rPr>
                <w:rFonts w:ascii="Book Antiqua" w:hAnsi="Book Antiqua"/>
                <w:color w:val="000000"/>
                <w:sz w:val="22"/>
                <w:szCs w:val="22"/>
                <w:lang w:eastAsia="zh-CN"/>
              </w:rPr>
            </w:pPr>
            <w:r w:rsidRPr="00193FE3">
              <w:rPr>
                <w:rFonts w:ascii="Book Antiqua" w:hAnsi="Book Antiqua"/>
                <w:color w:val="000000"/>
                <w:sz w:val="22"/>
                <w:szCs w:val="22"/>
                <w:lang w:eastAsia="zh-CN"/>
              </w:rPr>
              <w:t>DCV + pegIFN/RBV</w:t>
            </w:r>
            <w:r w:rsidRPr="00193FE3">
              <w:rPr>
                <w:rFonts w:ascii="Book Antiqua" w:hAnsi="Book Antiqua"/>
                <w:color w:val="000000"/>
                <w:sz w:val="22"/>
                <w:szCs w:val="22"/>
                <w:lang w:eastAsia="zh-CN"/>
              </w:rPr>
              <w:br/>
              <w:t>(N = 134)</w:t>
            </w:r>
          </w:p>
        </w:tc>
        <w:tc>
          <w:tcPr>
            <w:tcW w:w="1985" w:type="dxa"/>
            <w:tcBorders>
              <w:top w:val="single" w:sz="6" w:space="0" w:color="auto"/>
              <w:bottom w:val="single" w:sz="4" w:space="0" w:color="auto"/>
            </w:tcBorders>
            <w:shd w:val="clear" w:color="auto" w:fill="auto"/>
            <w:vAlign w:val="center"/>
          </w:tcPr>
          <w:p w:rsidR="00470B3E" w:rsidRPr="00193FE3" w:rsidRDefault="00470B3E" w:rsidP="002A71C0">
            <w:pPr>
              <w:pStyle w:val="BMSTableText"/>
              <w:spacing w:before="0" w:after="0" w:line="360" w:lineRule="auto"/>
              <w:rPr>
                <w:rFonts w:ascii="Book Antiqua" w:hAnsi="Book Antiqua"/>
                <w:color w:val="000000"/>
                <w:sz w:val="22"/>
                <w:szCs w:val="22"/>
                <w:lang w:eastAsia="zh-CN"/>
              </w:rPr>
            </w:pPr>
            <w:r w:rsidRPr="00193FE3">
              <w:rPr>
                <w:rFonts w:ascii="Book Antiqua" w:hAnsi="Book Antiqua"/>
                <w:color w:val="000000"/>
                <w:sz w:val="22"/>
                <w:szCs w:val="22"/>
                <w:lang w:eastAsia="zh-CN"/>
              </w:rPr>
              <w:t xml:space="preserve">TVR + pegIFN/RBV </w:t>
            </w:r>
          </w:p>
          <w:p w:rsidR="00470B3E" w:rsidRPr="00193FE3" w:rsidRDefault="00470B3E" w:rsidP="002A71C0">
            <w:pPr>
              <w:pStyle w:val="BMSTableText"/>
              <w:spacing w:before="0" w:after="0" w:line="360" w:lineRule="auto"/>
              <w:rPr>
                <w:rFonts w:ascii="Book Antiqua" w:hAnsi="Book Antiqua"/>
                <w:color w:val="000000"/>
                <w:sz w:val="22"/>
                <w:szCs w:val="22"/>
                <w:lang w:eastAsia="zh-CN"/>
              </w:rPr>
            </w:pPr>
            <w:r w:rsidRPr="00193FE3">
              <w:rPr>
                <w:rFonts w:ascii="Book Antiqua" w:hAnsi="Book Antiqua"/>
                <w:color w:val="000000"/>
                <w:sz w:val="22"/>
                <w:szCs w:val="22"/>
                <w:lang w:eastAsia="zh-CN"/>
              </w:rPr>
              <w:t>(N = 66)</w:t>
            </w:r>
          </w:p>
        </w:tc>
      </w:tr>
      <w:tr w:rsidR="00470B3E" w:rsidRPr="00193FE3" w:rsidTr="002A71C0">
        <w:tblPrEx>
          <w:tblLook w:val="0000" w:firstRow="0" w:lastRow="0" w:firstColumn="0" w:lastColumn="0" w:noHBand="0" w:noVBand="0"/>
        </w:tblPrEx>
        <w:tc>
          <w:tcPr>
            <w:tcW w:w="9464" w:type="dxa"/>
            <w:gridSpan w:val="4"/>
            <w:tcBorders>
              <w:top w:val="single" w:sz="4" w:space="0" w:color="auto"/>
            </w:tcBorders>
            <w:shd w:val="clear" w:color="auto" w:fill="auto"/>
          </w:tcPr>
          <w:p w:rsidR="00470B3E" w:rsidRPr="00193FE3" w:rsidRDefault="00470B3E" w:rsidP="002A71C0">
            <w:pPr>
              <w:pStyle w:val="BMSTableText"/>
              <w:spacing w:before="0" w:after="0" w:line="360" w:lineRule="auto"/>
              <w:jc w:val="left"/>
              <w:rPr>
                <w:rFonts w:ascii="Book Antiqua" w:hAnsi="Book Antiqua"/>
                <w:sz w:val="22"/>
                <w:szCs w:val="22"/>
              </w:rPr>
            </w:pPr>
            <w:r w:rsidRPr="00193FE3">
              <w:rPr>
                <w:rFonts w:ascii="Book Antiqua" w:hAnsi="Book Antiqua"/>
                <w:sz w:val="22"/>
                <w:szCs w:val="22"/>
              </w:rPr>
              <w:t>Efficacy and safety endpoints</w:t>
            </w:r>
            <w:r w:rsidRPr="00193FE3">
              <w:rPr>
                <w:rFonts w:ascii="Book Antiqua" w:hAnsi="Book Antiqua"/>
                <w:sz w:val="22"/>
                <w:szCs w:val="22"/>
                <w:vertAlign w:val="superscript"/>
              </w:rPr>
              <w:t>a</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SVR12 (</w:t>
            </w:r>
            <w:r w:rsidRPr="00193FE3">
              <w:rPr>
                <w:rFonts w:ascii="Book Antiqua" w:hAnsi="Book Antiqua"/>
                <w:sz w:val="22"/>
                <w:szCs w:val="22"/>
              </w:rPr>
              <w:t>HCV-RNA &lt;LLOQ</w:t>
            </w:r>
            <w:r w:rsidRPr="00193FE3">
              <w:rPr>
                <w:rFonts w:ascii="Book Antiqua" w:hAnsi="Book Antiqua"/>
                <w:color w:val="000000"/>
                <w:sz w:val="22"/>
                <w:szCs w:val="22"/>
              </w:rPr>
              <w:t xml:space="preserve"> at PT week 12)</w:t>
            </w:r>
            <w:r w:rsidRPr="00193FE3">
              <w:rPr>
                <w:rFonts w:ascii="Book Antiqua" w:hAnsi="Book Antiqua"/>
                <w:color w:val="000000"/>
                <w:sz w:val="22"/>
                <w:szCs w:val="22"/>
                <w:vertAlign w:val="superscript"/>
              </w:rPr>
              <w:t>b</w:t>
            </w:r>
          </w:p>
        </w:tc>
        <w:tc>
          <w:tcPr>
            <w:tcW w:w="1984" w:type="dxa"/>
            <w:gridSpan w:val="2"/>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87/134 (64.9) </w:t>
            </w: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46/66 (69.7) </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sz w:val="22"/>
                <w:szCs w:val="22"/>
              </w:rPr>
            </w:pPr>
            <w:r w:rsidRPr="00193FE3">
              <w:rPr>
                <w:rFonts w:ascii="Book Antiqua" w:hAnsi="Book Antiqua"/>
                <w:sz w:val="22"/>
                <w:szCs w:val="22"/>
              </w:rPr>
              <w:t>SVR12 on or after PT week 12</w:t>
            </w:r>
            <w:r w:rsidRPr="00193FE3">
              <w:rPr>
                <w:rFonts w:ascii="Book Antiqua" w:hAnsi="Book Antiqua"/>
                <w:sz w:val="22"/>
                <w:szCs w:val="22"/>
                <w:vertAlign w:val="superscript"/>
              </w:rPr>
              <w:t>c</w:t>
            </w:r>
          </w:p>
        </w:tc>
        <w:tc>
          <w:tcPr>
            <w:tcW w:w="1984" w:type="dxa"/>
            <w:gridSpan w:val="2"/>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87/134 (64.9) </w:t>
            </w: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47/66 (71.2) </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Hemoglobin &lt;10 g/dL through week 12</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17/133 (12.8) </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22/65 (33.8) </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 xml:space="preserve">Rash-related events through week 12 </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0/134 (0) </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7/66 (10.6) </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RVR (HCV-RNA undetectable at week 4)</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80/134 (59.7) </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41/66 (62.1) </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eRVR (HCV-RNA undetectable at weeks 4 and 12)</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72/134 (53.7) </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36/66 (54.5) </w:t>
            </w:r>
          </w:p>
        </w:tc>
      </w:tr>
      <w:tr w:rsidR="00470B3E" w:rsidRPr="00193FE3" w:rsidTr="002A71C0">
        <w:tblPrEx>
          <w:tblLook w:val="0000" w:firstRow="0" w:lastRow="0" w:firstColumn="0" w:lastColumn="0" w:noHBand="0" w:noVBand="0"/>
        </w:tblPrEx>
        <w:trPr>
          <w:trHeight w:val="324"/>
        </w:trPr>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cEVR (HCV-RNA undetectable at week 12)</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95/134 (70.9) </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49/66 (74.2) </w:t>
            </w:r>
          </w:p>
        </w:tc>
      </w:tr>
      <w:tr w:rsidR="00470B3E" w:rsidRPr="00193FE3" w:rsidTr="002A71C0">
        <w:tblPrEx>
          <w:tblLook w:val="0000" w:firstRow="0" w:lastRow="0" w:firstColumn="0" w:lastColumn="0" w:noHBand="0" w:noVBand="0"/>
        </w:tblPrEx>
        <w:trPr>
          <w:trHeight w:val="324"/>
        </w:trPr>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EOTR (HCV-RNA undetectable at EOT)</w:t>
            </w:r>
          </w:p>
        </w:tc>
        <w:tc>
          <w:tcPr>
            <w:tcW w:w="1984" w:type="dxa"/>
            <w:gridSpan w:val="2"/>
            <w:shd w:val="clear" w:color="auto" w:fill="auto"/>
          </w:tcPr>
          <w:p w:rsidR="00470B3E" w:rsidRPr="00193FE3" w:rsidRDefault="00470B3E" w:rsidP="002A71C0">
            <w:pPr>
              <w:pStyle w:val="BMSTableText"/>
              <w:tabs>
                <w:tab w:val="left" w:pos="250"/>
                <w:tab w:val="center" w:pos="884"/>
              </w:tabs>
              <w:spacing w:before="0" w:after="0" w:line="360" w:lineRule="auto"/>
              <w:rPr>
                <w:rFonts w:ascii="Book Antiqua" w:hAnsi="Book Antiqua"/>
                <w:sz w:val="22"/>
                <w:szCs w:val="22"/>
              </w:rPr>
            </w:pPr>
            <w:r w:rsidRPr="00193FE3">
              <w:rPr>
                <w:rFonts w:ascii="Book Antiqua" w:hAnsi="Book Antiqua"/>
                <w:color w:val="000000"/>
                <w:sz w:val="22"/>
                <w:szCs w:val="22"/>
              </w:rPr>
              <w:t>102/134 (76.1)</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color w:val="000000"/>
                <w:sz w:val="22"/>
                <w:szCs w:val="22"/>
              </w:rPr>
              <w:t>53/66 (80.3)</w:t>
            </w:r>
          </w:p>
        </w:tc>
      </w:tr>
      <w:tr w:rsidR="00470B3E" w:rsidRPr="00193FE3" w:rsidTr="002A71C0">
        <w:tc>
          <w:tcPr>
            <w:tcW w:w="5495" w:type="dxa"/>
            <w:tcBorders>
              <w:bottom w:val="single" w:sz="4" w:space="0" w:color="auto"/>
            </w:tcBorders>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SVR24</w:t>
            </w:r>
            <w:r w:rsidRPr="00193FE3">
              <w:rPr>
                <w:rFonts w:ascii="Book Antiqua" w:hAnsi="Book Antiqua"/>
                <w:sz w:val="22"/>
                <w:szCs w:val="22"/>
              </w:rPr>
              <w:t xml:space="preserve"> (</w:t>
            </w:r>
            <w:r w:rsidRPr="00193FE3">
              <w:rPr>
                <w:rFonts w:ascii="Book Antiqua" w:hAnsi="Book Antiqua"/>
                <w:color w:val="000000"/>
                <w:sz w:val="22"/>
                <w:szCs w:val="22"/>
              </w:rPr>
              <w:t>&lt;LLOQ at PT week 24)</w:t>
            </w:r>
          </w:p>
        </w:tc>
        <w:tc>
          <w:tcPr>
            <w:tcW w:w="1984" w:type="dxa"/>
            <w:gridSpan w:val="2"/>
            <w:tcBorders>
              <w:bottom w:val="single" w:sz="4" w:space="0" w:color="auto"/>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85/134 (63.4) </w:t>
            </w:r>
          </w:p>
        </w:tc>
        <w:tc>
          <w:tcPr>
            <w:tcW w:w="1985" w:type="dxa"/>
            <w:tcBorders>
              <w:bottom w:val="single" w:sz="4" w:space="0" w:color="auto"/>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44/66 (66.7) </w:t>
            </w:r>
          </w:p>
        </w:tc>
      </w:tr>
      <w:tr w:rsidR="00470B3E" w:rsidRPr="00193FE3" w:rsidTr="002A71C0">
        <w:trPr>
          <w:trHeight w:val="163"/>
        </w:trPr>
        <w:tc>
          <w:tcPr>
            <w:tcW w:w="9464" w:type="dxa"/>
            <w:gridSpan w:val="4"/>
            <w:tcBorders>
              <w:top w:val="single" w:sz="4" w:space="0" w:color="auto"/>
            </w:tcBorders>
            <w:shd w:val="clear" w:color="auto" w:fill="auto"/>
          </w:tcPr>
          <w:p w:rsidR="00470B3E" w:rsidRPr="00193FE3" w:rsidRDefault="00470B3E" w:rsidP="002A71C0">
            <w:pPr>
              <w:pStyle w:val="BMSTableText"/>
              <w:spacing w:before="0" w:after="0" w:line="360" w:lineRule="auto"/>
              <w:jc w:val="left"/>
              <w:rPr>
                <w:rFonts w:ascii="Book Antiqua" w:hAnsi="Book Antiqua"/>
                <w:sz w:val="22"/>
                <w:szCs w:val="22"/>
              </w:rPr>
            </w:pPr>
            <w:r w:rsidRPr="00193FE3">
              <w:rPr>
                <w:rFonts w:ascii="Book Antiqua" w:hAnsi="Book Antiqua"/>
                <w:color w:val="000000"/>
                <w:sz w:val="22"/>
                <w:szCs w:val="22"/>
              </w:rPr>
              <w:t>SVR12 by subgroups</w:t>
            </w:r>
            <w:r w:rsidRPr="00193FE3">
              <w:rPr>
                <w:rFonts w:ascii="Book Antiqua" w:hAnsi="Book Antiqua"/>
                <w:sz w:val="22"/>
                <w:szCs w:val="22"/>
                <w:vertAlign w:val="superscript"/>
              </w:rPr>
              <w:t>a</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Age</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p>
        </w:tc>
      </w:tr>
      <w:tr w:rsidR="00470B3E" w:rsidRPr="00193FE3" w:rsidTr="002A71C0">
        <w:tc>
          <w:tcPr>
            <w:tcW w:w="5495" w:type="dxa"/>
            <w:shd w:val="clear" w:color="auto" w:fill="auto"/>
          </w:tcPr>
          <w:p w:rsidR="00470B3E" w:rsidRPr="00193FE3" w:rsidRDefault="00470B3E" w:rsidP="002A71C0">
            <w:pPr>
              <w:pStyle w:val="BMSTableText"/>
              <w:tabs>
                <w:tab w:val="clear" w:pos="360"/>
              </w:tabs>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&lt;65 years</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r w:rsidRPr="00193FE3">
              <w:rPr>
                <w:rFonts w:ascii="Book Antiqua" w:hAnsi="Book Antiqua"/>
                <w:sz w:val="22"/>
                <w:szCs w:val="22"/>
              </w:rPr>
              <w:t xml:space="preserve">85/131 (64.9) </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r w:rsidRPr="00193FE3">
              <w:rPr>
                <w:rFonts w:ascii="Book Antiqua" w:hAnsi="Book Antiqua"/>
                <w:sz w:val="22"/>
                <w:szCs w:val="22"/>
              </w:rPr>
              <w:t xml:space="preserve">42/62 (67.7) </w:t>
            </w:r>
          </w:p>
        </w:tc>
      </w:tr>
      <w:tr w:rsidR="00470B3E" w:rsidRPr="00193FE3" w:rsidTr="002A71C0">
        <w:tc>
          <w:tcPr>
            <w:tcW w:w="5495" w:type="dxa"/>
            <w:shd w:val="clear" w:color="auto" w:fill="auto"/>
          </w:tcPr>
          <w:p w:rsidR="00470B3E" w:rsidRPr="00193FE3" w:rsidRDefault="00470B3E" w:rsidP="002A71C0">
            <w:pPr>
              <w:pStyle w:val="BMSTableText"/>
              <w:tabs>
                <w:tab w:val="clear" w:pos="360"/>
              </w:tabs>
              <w:spacing w:before="0" w:after="0" w:line="360" w:lineRule="auto"/>
              <w:ind w:left="450" w:firstLine="14"/>
              <w:jc w:val="left"/>
              <w:rPr>
                <w:rFonts w:ascii="Book Antiqua" w:hAnsi="Book Antiqua"/>
                <w:color w:val="000000"/>
                <w:sz w:val="22"/>
                <w:szCs w:val="22"/>
              </w:rPr>
            </w:pPr>
            <w:r w:rsidRPr="00193FE3">
              <w:rPr>
                <w:rFonts w:ascii="Book Antiqua" w:hAnsi="Book Antiqua"/>
                <w:color w:val="000000"/>
                <w:sz w:val="22"/>
                <w:szCs w:val="22"/>
              </w:rPr>
              <w:t xml:space="preserve"> ≥65 years</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r w:rsidRPr="00193FE3">
              <w:rPr>
                <w:rFonts w:ascii="Book Antiqua" w:hAnsi="Book Antiqua"/>
                <w:sz w:val="22"/>
                <w:szCs w:val="22"/>
              </w:rPr>
              <w:t xml:space="preserve">2/3 (66.7) </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r w:rsidRPr="00193FE3">
              <w:rPr>
                <w:rFonts w:ascii="Book Antiqua" w:hAnsi="Book Antiqua"/>
                <w:sz w:val="22"/>
                <w:szCs w:val="22"/>
              </w:rPr>
              <w:t xml:space="preserve">4/4 (100.0) </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Sex</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Male</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r w:rsidRPr="00193FE3">
              <w:rPr>
                <w:rFonts w:ascii="Book Antiqua" w:hAnsi="Book Antiqua"/>
                <w:sz w:val="22"/>
                <w:szCs w:val="22"/>
              </w:rPr>
              <w:t xml:space="preserve">60/98 (61.2) </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r w:rsidRPr="00193FE3">
              <w:rPr>
                <w:rFonts w:ascii="Book Antiqua" w:hAnsi="Book Antiqua"/>
                <w:sz w:val="22"/>
                <w:szCs w:val="22"/>
              </w:rPr>
              <w:t xml:space="preserve">35/47 (74.5) </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Female</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r w:rsidRPr="00193FE3">
              <w:rPr>
                <w:rFonts w:ascii="Book Antiqua" w:hAnsi="Book Antiqua"/>
                <w:sz w:val="22"/>
                <w:szCs w:val="22"/>
              </w:rPr>
              <w:t xml:space="preserve">27/36 (75.0) </w:t>
            </w:r>
          </w:p>
        </w:tc>
        <w:tc>
          <w:tcPr>
            <w:tcW w:w="1985" w:type="dxa"/>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r w:rsidRPr="00193FE3">
              <w:rPr>
                <w:rFonts w:ascii="Book Antiqua" w:hAnsi="Book Antiqua"/>
                <w:sz w:val="22"/>
                <w:szCs w:val="22"/>
              </w:rPr>
              <w:t xml:space="preserve">11/19 (57.9) </w:t>
            </w:r>
          </w:p>
        </w:tc>
      </w:tr>
      <w:tr w:rsidR="00470B3E" w:rsidRPr="00193FE3" w:rsidTr="002A71C0">
        <w:tc>
          <w:tcPr>
            <w:tcW w:w="5495" w:type="dxa"/>
            <w:tcBorders>
              <w:bottom w:val="nil"/>
            </w:tcBorders>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Cirrhosis</w:t>
            </w:r>
          </w:p>
        </w:tc>
        <w:tc>
          <w:tcPr>
            <w:tcW w:w="1984" w:type="dxa"/>
            <w:gridSpan w:val="2"/>
            <w:tcBorders>
              <w:bottom w:val="nil"/>
            </w:tcBorders>
            <w:shd w:val="clear" w:color="auto" w:fill="auto"/>
          </w:tcPr>
          <w:p w:rsidR="00470B3E" w:rsidRPr="00193FE3" w:rsidRDefault="00470B3E" w:rsidP="002A71C0">
            <w:pPr>
              <w:pStyle w:val="BMSTableText"/>
              <w:spacing w:before="0" w:after="0" w:line="360" w:lineRule="auto"/>
              <w:rPr>
                <w:rFonts w:ascii="Book Antiqua" w:eastAsia="MS Mincho" w:hAnsi="Book Antiqua"/>
                <w:sz w:val="22"/>
                <w:szCs w:val="22"/>
                <w:lang w:eastAsia="ja-JP"/>
              </w:rPr>
            </w:pP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eastAsia="MS Mincho" w:hAnsi="Book Antiqua"/>
                <w:sz w:val="22"/>
                <w:szCs w:val="22"/>
                <w:lang w:eastAsia="ja-JP"/>
              </w:rPr>
            </w:pPr>
          </w:p>
        </w:tc>
      </w:tr>
      <w:tr w:rsidR="00470B3E" w:rsidRPr="00193FE3" w:rsidTr="002A71C0">
        <w:tc>
          <w:tcPr>
            <w:tcW w:w="5495" w:type="dxa"/>
            <w:tcBorders>
              <w:bottom w:val="nil"/>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Absent</w:t>
            </w:r>
          </w:p>
        </w:tc>
        <w:tc>
          <w:tcPr>
            <w:tcW w:w="1984" w:type="dxa"/>
            <w:gridSpan w:val="2"/>
            <w:tcBorders>
              <w:bottom w:val="nil"/>
            </w:tcBorders>
            <w:shd w:val="clear" w:color="auto" w:fill="auto"/>
            <w:vAlign w:val="center"/>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78/118 (66.1) </w:t>
            </w: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41/57 (71.9) </w:t>
            </w:r>
          </w:p>
        </w:tc>
      </w:tr>
      <w:tr w:rsidR="00470B3E" w:rsidRPr="00193FE3" w:rsidTr="002A71C0">
        <w:tc>
          <w:tcPr>
            <w:tcW w:w="5495" w:type="dxa"/>
            <w:tcBorders>
              <w:top w:val="nil"/>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Present</w:t>
            </w:r>
          </w:p>
        </w:tc>
        <w:tc>
          <w:tcPr>
            <w:tcW w:w="1984" w:type="dxa"/>
            <w:gridSpan w:val="2"/>
            <w:tcBorders>
              <w:top w:val="nil"/>
            </w:tcBorders>
            <w:shd w:val="clear" w:color="auto" w:fill="auto"/>
            <w:vAlign w:val="center"/>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9/16 (56.3) </w:t>
            </w:r>
          </w:p>
        </w:tc>
        <w:tc>
          <w:tcPr>
            <w:tcW w:w="1985" w:type="dxa"/>
            <w:tcBorders>
              <w:top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5/9 (55.6) </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HCV-RNA</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eastAsia="MS Mincho" w:hAnsi="Book Antiqua"/>
                <w:sz w:val="22"/>
                <w:szCs w:val="22"/>
                <w:lang w:eastAsia="ja-JP"/>
              </w:rPr>
            </w:pPr>
          </w:p>
        </w:tc>
        <w:tc>
          <w:tcPr>
            <w:tcW w:w="1985" w:type="dxa"/>
            <w:shd w:val="clear" w:color="auto" w:fill="auto"/>
          </w:tcPr>
          <w:p w:rsidR="00470B3E" w:rsidRPr="00193FE3" w:rsidRDefault="00470B3E" w:rsidP="002A71C0">
            <w:pPr>
              <w:pStyle w:val="BMSTableText"/>
              <w:spacing w:before="0" w:after="0" w:line="360" w:lineRule="auto"/>
              <w:rPr>
                <w:rFonts w:ascii="Book Antiqua" w:eastAsia="MS Mincho" w:hAnsi="Book Antiqua"/>
                <w:sz w:val="22"/>
                <w:szCs w:val="22"/>
                <w:lang w:eastAsia="ja-JP"/>
              </w:rPr>
            </w:pP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&lt;800,000 IU/mL</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eastAsia="MS Mincho" w:hAnsi="Book Antiqua"/>
                <w:sz w:val="22"/>
                <w:szCs w:val="22"/>
                <w:lang w:eastAsia="ja-JP"/>
              </w:rPr>
            </w:pPr>
            <w:r w:rsidRPr="00193FE3">
              <w:rPr>
                <w:rFonts w:ascii="Book Antiqua" w:hAnsi="Book Antiqua"/>
                <w:sz w:val="22"/>
                <w:szCs w:val="22"/>
              </w:rPr>
              <w:t xml:space="preserve">24/30 (80.0) </w:t>
            </w:r>
          </w:p>
        </w:tc>
        <w:tc>
          <w:tcPr>
            <w:tcW w:w="1985" w:type="dxa"/>
            <w:shd w:val="clear" w:color="auto" w:fill="auto"/>
          </w:tcPr>
          <w:p w:rsidR="00470B3E" w:rsidRPr="00193FE3" w:rsidRDefault="00470B3E" w:rsidP="002A71C0">
            <w:pPr>
              <w:pStyle w:val="BMSTableText"/>
              <w:spacing w:before="0" w:after="0" w:line="360" w:lineRule="auto"/>
              <w:rPr>
                <w:rFonts w:ascii="Book Antiqua" w:eastAsia="MS Mincho" w:hAnsi="Book Antiqua"/>
                <w:sz w:val="22"/>
                <w:szCs w:val="22"/>
                <w:lang w:eastAsia="ja-JP"/>
              </w:rPr>
            </w:pPr>
            <w:r w:rsidRPr="00193FE3">
              <w:rPr>
                <w:rFonts w:ascii="Book Antiqua" w:hAnsi="Book Antiqua"/>
                <w:sz w:val="22"/>
                <w:szCs w:val="22"/>
              </w:rPr>
              <w:t xml:space="preserve">13/15 (86.7) </w:t>
            </w:r>
          </w:p>
        </w:tc>
      </w:tr>
      <w:tr w:rsidR="00470B3E" w:rsidRPr="00193FE3" w:rsidTr="002A71C0">
        <w:tc>
          <w:tcPr>
            <w:tcW w:w="5495" w:type="dxa"/>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≥800,000 IU/mL</w:t>
            </w:r>
          </w:p>
        </w:tc>
        <w:tc>
          <w:tcPr>
            <w:tcW w:w="1984" w:type="dxa"/>
            <w:gridSpan w:val="2"/>
            <w:shd w:val="clear" w:color="auto" w:fill="auto"/>
          </w:tcPr>
          <w:p w:rsidR="00470B3E" w:rsidRPr="00193FE3" w:rsidRDefault="00470B3E" w:rsidP="002A71C0">
            <w:pPr>
              <w:pStyle w:val="BMSTableText"/>
              <w:spacing w:before="0" w:after="0" w:line="360" w:lineRule="auto"/>
              <w:rPr>
                <w:rFonts w:ascii="Book Antiqua" w:eastAsia="MS Mincho" w:hAnsi="Book Antiqua"/>
                <w:sz w:val="22"/>
                <w:szCs w:val="22"/>
                <w:lang w:eastAsia="ja-JP"/>
              </w:rPr>
            </w:pPr>
            <w:r w:rsidRPr="00193FE3">
              <w:rPr>
                <w:rFonts w:ascii="Book Antiqua" w:hAnsi="Book Antiqua"/>
                <w:sz w:val="22"/>
                <w:szCs w:val="22"/>
              </w:rPr>
              <w:t xml:space="preserve">63/104 (60.6) </w:t>
            </w:r>
          </w:p>
        </w:tc>
        <w:tc>
          <w:tcPr>
            <w:tcW w:w="1985" w:type="dxa"/>
            <w:shd w:val="clear" w:color="auto" w:fill="auto"/>
          </w:tcPr>
          <w:p w:rsidR="00470B3E" w:rsidRPr="00193FE3" w:rsidRDefault="00470B3E" w:rsidP="002A71C0">
            <w:pPr>
              <w:pStyle w:val="BMSTableText"/>
              <w:spacing w:before="0" w:after="0" w:line="360" w:lineRule="auto"/>
              <w:rPr>
                <w:rFonts w:ascii="Book Antiqua" w:eastAsia="MS Mincho" w:hAnsi="Book Antiqua"/>
                <w:sz w:val="22"/>
                <w:szCs w:val="22"/>
                <w:lang w:eastAsia="ja-JP"/>
              </w:rPr>
            </w:pPr>
            <w:r w:rsidRPr="00193FE3">
              <w:rPr>
                <w:rFonts w:ascii="Book Antiqua" w:hAnsi="Book Antiqua"/>
                <w:sz w:val="22"/>
                <w:szCs w:val="22"/>
              </w:rPr>
              <w:t xml:space="preserve">33/51 (64.7) </w:t>
            </w:r>
          </w:p>
        </w:tc>
      </w:tr>
      <w:tr w:rsidR="00470B3E" w:rsidRPr="00193FE3" w:rsidTr="002A71C0">
        <w:tc>
          <w:tcPr>
            <w:tcW w:w="5495" w:type="dxa"/>
            <w:tcBorders>
              <w:bottom w:val="nil"/>
            </w:tcBorders>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i/>
                <w:color w:val="000000"/>
                <w:sz w:val="22"/>
                <w:szCs w:val="22"/>
              </w:rPr>
              <w:t>IL28B</w:t>
            </w:r>
            <w:r w:rsidRPr="00193FE3">
              <w:rPr>
                <w:rFonts w:ascii="Book Antiqua" w:hAnsi="Book Antiqua"/>
                <w:color w:val="000000"/>
                <w:sz w:val="22"/>
                <w:szCs w:val="22"/>
              </w:rPr>
              <w:t xml:space="preserve"> genotype</w:t>
            </w:r>
          </w:p>
        </w:tc>
        <w:tc>
          <w:tcPr>
            <w:tcW w:w="1984" w:type="dxa"/>
            <w:gridSpan w:val="2"/>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color w:val="000000"/>
                <w:sz w:val="22"/>
                <w:szCs w:val="22"/>
              </w:rPr>
            </w:pPr>
          </w:p>
        </w:tc>
      </w:tr>
      <w:tr w:rsidR="00470B3E" w:rsidRPr="00193FE3" w:rsidTr="002A71C0">
        <w:tc>
          <w:tcPr>
            <w:tcW w:w="5495" w:type="dxa"/>
            <w:tcBorders>
              <w:bottom w:val="nil"/>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CC</w:t>
            </w:r>
          </w:p>
        </w:tc>
        <w:tc>
          <w:tcPr>
            <w:tcW w:w="1984" w:type="dxa"/>
            <w:gridSpan w:val="2"/>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shd w:val="clear" w:color="auto" w:fill="FFFFFF"/>
              </w:rPr>
            </w:pPr>
            <w:r w:rsidRPr="00193FE3">
              <w:rPr>
                <w:rFonts w:ascii="Book Antiqua" w:hAnsi="Book Antiqua"/>
                <w:sz w:val="22"/>
                <w:szCs w:val="22"/>
              </w:rPr>
              <w:t xml:space="preserve">37/42 (88.1) </w:t>
            </w: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shd w:val="clear" w:color="auto" w:fill="FFFFFF"/>
              </w:rPr>
            </w:pPr>
            <w:r w:rsidRPr="00193FE3">
              <w:rPr>
                <w:rFonts w:ascii="Book Antiqua" w:hAnsi="Book Antiqua"/>
                <w:sz w:val="22"/>
                <w:szCs w:val="22"/>
              </w:rPr>
              <w:t xml:space="preserve">17/20 (85.0) </w:t>
            </w:r>
          </w:p>
        </w:tc>
      </w:tr>
      <w:tr w:rsidR="00470B3E" w:rsidRPr="00193FE3" w:rsidTr="002A71C0">
        <w:tc>
          <w:tcPr>
            <w:tcW w:w="5495" w:type="dxa"/>
            <w:tcBorders>
              <w:top w:val="nil"/>
              <w:bottom w:val="nil"/>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CT</w:t>
            </w:r>
          </w:p>
        </w:tc>
        <w:tc>
          <w:tcPr>
            <w:tcW w:w="1984" w:type="dxa"/>
            <w:gridSpan w:val="2"/>
            <w:tcBorders>
              <w:top w:val="nil"/>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shd w:val="clear" w:color="auto" w:fill="FFFFFF"/>
              </w:rPr>
            </w:pPr>
            <w:r w:rsidRPr="00193FE3">
              <w:rPr>
                <w:rFonts w:ascii="Book Antiqua" w:hAnsi="Book Antiqua"/>
                <w:sz w:val="22"/>
                <w:szCs w:val="22"/>
              </w:rPr>
              <w:t xml:space="preserve">40/73 (54.8) </w:t>
            </w:r>
          </w:p>
        </w:tc>
        <w:tc>
          <w:tcPr>
            <w:tcW w:w="1985" w:type="dxa"/>
            <w:tcBorders>
              <w:top w:val="nil"/>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shd w:val="clear" w:color="auto" w:fill="FFFFFF"/>
              </w:rPr>
            </w:pPr>
            <w:r w:rsidRPr="00193FE3">
              <w:rPr>
                <w:rFonts w:ascii="Book Antiqua" w:hAnsi="Book Antiqua"/>
                <w:sz w:val="22"/>
                <w:szCs w:val="22"/>
              </w:rPr>
              <w:t xml:space="preserve">25/37) (67.6) </w:t>
            </w:r>
          </w:p>
        </w:tc>
      </w:tr>
      <w:tr w:rsidR="00470B3E" w:rsidRPr="00193FE3" w:rsidTr="002A71C0">
        <w:tc>
          <w:tcPr>
            <w:tcW w:w="5495" w:type="dxa"/>
            <w:tcBorders>
              <w:top w:val="nil"/>
              <w:bottom w:val="single" w:sz="4" w:space="0" w:color="auto"/>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 xml:space="preserve"> TT</w:t>
            </w:r>
          </w:p>
        </w:tc>
        <w:tc>
          <w:tcPr>
            <w:tcW w:w="1984" w:type="dxa"/>
            <w:gridSpan w:val="2"/>
            <w:tcBorders>
              <w:top w:val="nil"/>
              <w:bottom w:val="single" w:sz="4" w:space="0" w:color="auto"/>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shd w:val="clear" w:color="auto" w:fill="FFFFFF"/>
              </w:rPr>
            </w:pPr>
            <w:r w:rsidRPr="00193FE3">
              <w:rPr>
                <w:rFonts w:ascii="Book Antiqua" w:hAnsi="Book Antiqua"/>
                <w:sz w:val="22"/>
                <w:szCs w:val="22"/>
              </w:rPr>
              <w:t xml:space="preserve">10/19 (52.6) </w:t>
            </w:r>
          </w:p>
        </w:tc>
        <w:tc>
          <w:tcPr>
            <w:tcW w:w="1985" w:type="dxa"/>
            <w:tcBorders>
              <w:top w:val="nil"/>
              <w:bottom w:val="single" w:sz="4" w:space="0" w:color="auto"/>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shd w:val="clear" w:color="auto" w:fill="FFFFFF"/>
              </w:rPr>
            </w:pPr>
            <w:r w:rsidRPr="00193FE3">
              <w:rPr>
                <w:rFonts w:ascii="Book Antiqua" w:hAnsi="Book Antiqua"/>
                <w:sz w:val="22"/>
                <w:szCs w:val="22"/>
              </w:rPr>
              <w:t xml:space="preserve">4/9 (44.4) </w:t>
            </w:r>
          </w:p>
        </w:tc>
      </w:tr>
      <w:tr w:rsidR="00470B3E" w:rsidRPr="00193FE3" w:rsidTr="002A71C0">
        <w:tc>
          <w:tcPr>
            <w:tcW w:w="9464" w:type="dxa"/>
            <w:gridSpan w:val="4"/>
            <w:tcBorders>
              <w:top w:val="single" w:sz="4" w:space="0" w:color="auto"/>
            </w:tcBorders>
            <w:shd w:val="clear" w:color="auto" w:fill="auto"/>
          </w:tcPr>
          <w:p w:rsidR="00470B3E" w:rsidRPr="00193FE3" w:rsidRDefault="00470B3E" w:rsidP="002A71C0">
            <w:pPr>
              <w:pStyle w:val="BMSTableText"/>
              <w:spacing w:before="0" w:after="0" w:line="360" w:lineRule="auto"/>
              <w:jc w:val="left"/>
              <w:rPr>
                <w:rFonts w:ascii="Book Antiqua" w:hAnsi="Book Antiqua"/>
                <w:sz w:val="22"/>
                <w:szCs w:val="22"/>
              </w:rPr>
            </w:pPr>
            <w:r w:rsidRPr="00193FE3">
              <w:rPr>
                <w:rFonts w:ascii="Book Antiqua" w:hAnsi="Book Antiqua"/>
                <w:sz w:val="22"/>
                <w:szCs w:val="22"/>
              </w:rPr>
              <w:t xml:space="preserve">On-treatment failures and relapse </w:t>
            </w:r>
          </w:p>
        </w:tc>
      </w:tr>
      <w:tr w:rsidR="00470B3E" w:rsidRPr="00193FE3" w:rsidTr="002A71C0">
        <w:tc>
          <w:tcPr>
            <w:tcW w:w="5637" w:type="dxa"/>
            <w:gridSpan w:val="2"/>
            <w:tcBorders>
              <w:bottom w:val="nil"/>
            </w:tcBorders>
            <w:shd w:val="clear" w:color="auto" w:fill="auto"/>
          </w:tcPr>
          <w:p w:rsidR="00470B3E" w:rsidRPr="00193FE3" w:rsidRDefault="00470B3E" w:rsidP="002A71C0">
            <w:pPr>
              <w:pStyle w:val="BMSTableText"/>
              <w:spacing w:before="0" w:after="0" w:line="360" w:lineRule="auto"/>
              <w:ind w:left="270"/>
              <w:jc w:val="left"/>
              <w:rPr>
                <w:rFonts w:ascii="Book Antiqua" w:hAnsi="Book Antiqua"/>
                <w:color w:val="000000"/>
                <w:sz w:val="22"/>
                <w:szCs w:val="22"/>
              </w:rPr>
            </w:pPr>
            <w:r w:rsidRPr="00193FE3">
              <w:rPr>
                <w:rFonts w:ascii="Book Antiqua" w:hAnsi="Book Antiqua"/>
                <w:color w:val="000000"/>
                <w:sz w:val="22"/>
                <w:szCs w:val="22"/>
              </w:rPr>
              <w:t>Non-SVR12</w:t>
            </w:r>
          </w:p>
        </w:tc>
        <w:tc>
          <w:tcPr>
            <w:tcW w:w="1842"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47/134 (35.1) </w:t>
            </w: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20/66 (30.3) </w:t>
            </w:r>
          </w:p>
        </w:tc>
      </w:tr>
      <w:tr w:rsidR="00470B3E" w:rsidRPr="00193FE3" w:rsidTr="002A71C0">
        <w:tc>
          <w:tcPr>
            <w:tcW w:w="5637" w:type="dxa"/>
            <w:gridSpan w:val="2"/>
            <w:tcBorders>
              <w:bottom w:val="nil"/>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On-treatment failures</w:t>
            </w:r>
          </w:p>
        </w:tc>
        <w:tc>
          <w:tcPr>
            <w:tcW w:w="1842"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29/134 (21.6)</w:t>
            </w: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10/66 (15.2)</w:t>
            </w:r>
          </w:p>
        </w:tc>
      </w:tr>
      <w:tr w:rsidR="00470B3E" w:rsidRPr="00193FE3" w:rsidTr="002A71C0">
        <w:tc>
          <w:tcPr>
            <w:tcW w:w="5637" w:type="dxa"/>
            <w:gridSpan w:val="2"/>
            <w:tcBorders>
              <w:bottom w:val="nil"/>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Virologic breakthrough</w:t>
            </w:r>
          </w:p>
        </w:tc>
        <w:tc>
          <w:tcPr>
            <w:tcW w:w="1842"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11/134 (8.2)</w:t>
            </w: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NA</w:t>
            </w:r>
            <w:r w:rsidRPr="00193FE3">
              <w:rPr>
                <w:rFonts w:ascii="Book Antiqua" w:hAnsi="Book Antiqua"/>
                <w:sz w:val="22"/>
                <w:szCs w:val="22"/>
                <w:vertAlign w:val="superscript"/>
              </w:rPr>
              <w:t>d</w:t>
            </w:r>
          </w:p>
        </w:tc>
      </w:tr>
      <w:tr w:rsidR="00470B3E" w:rsidRPr="00193FE3" w:rsidTr="002A71C0">
        <w:tc>
          <w:tcPr>
            <w:tcW w:w="5637" w:type="dxa"/>
            <w:gridSpan w:val="2"/>
            <w:tcBorders>
              <w:top w:val="nil"/>
              <w:bottom w:val="nil"/>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Treatment futility other than virologic breakthrough</w:t>
            </w:r>
          </w:p>
        </w:tc>
        <w:tc>
          <w:tcPr>
            <w:tcW w:w="1842" w:type="dxa"/>
            <w:tcBorders>
              <w:top w:val="nil"/>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4/134 (3.0) </w:t>
            </w:r>
          </w:p>
        </w:tc>
        <w:tc>
          <w:tcPr>
            <w:tcW w:w="1985" w:type="dxa"/>
            <w:tcBorders>
              <w:top w:val="nil"/>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3/66 (4.5) </w:t>
            </w:r>
          </w:p>
        </w:tc>
      </w:tr>
      <w:tr w:rsidR="00470B3E" w:rsidRPr="00193FE3" w:rsidTr="002A71C0">
        <w:tc>
          <w:tcPr>
            <w:tcW w:w="5637" w:type="dxa"/>
            <w:gridSpan w:val="2"/>
            <w:tcBorders>
              <w:bottom w:val="nil"/>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HCV-RNA missing or detectable at EOT</w:t>
            </w:r>
          </w:p>
        </w:tc>
        <w:tc>
          <w:tcPr>
            <w:tcW w:w="1842"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14/134 10.4) </w:t>
            </w:r>
          </w:p>
        </w:tc>
        <w:tc>
          <w:tcPr>
            <w:tcW w:w="1985" w:type="dxa"/>
            <w:tcBorders>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7/66 (10.6) </w:t>
            </w:r>
          </w:p>
        </w:tc>
      </w:tr>
      <w:tr w:rsidR="00470B3E" w:rsidRPr="00193FE3" w:rsidTr="002A71C0">
        <w:tc>
          <w:tcPr>
            <w:tcW w:w="5637" w:type="dxa"/>
            <w:gridSpan w:val="2"/>
            <w:tcBorders>
              <w:top w:val="nil"/>
              <w:bottom w:val="nil"/>
            </w:tcBorders>
            <w:shd w:val="clear" w:color="auto" w:fill="auto"/>
          </w:tcPr>
          <w:p w:rsidR="00470B3E" w:rsidRPr="00193FE3" w:rsidRDefault="00470B3E" w:rsidP="002A71C0">
            <w:pPr>
              <w:pStyle w:val="BMSTableText"/>
              <w:tabs>
                <w:tab w:val="clear" w:pos="360"/>
                <w:tab w:val="left" w:pos="0"/>
              </w:tabs>
              <w:spacing w:before="0" w:after="0" w:line="360" w:lineRule="auto"/>
              <w:ind w:left="270" w:hanging="142"/>
              <w:jc w:val="left"/>
              <w:rPr>
                <w:rStyle w:val="BMSSuperscript"/>
                <w:rFonts w:ascii="Book Antiqua" w:eastAsia="Calibri" w:hAnsi="Book Antiqua" w:cs="Arial"/>
                <w:sz w:val="22"/>
                <w:szCs w:val="22"/>
              </w:rPr>
            </w:pPr>
            <w:r w:rsidRPr="00193FE3">
              <w:rPr>
                <w:rFonts w:ascii="Book Antiqua" w:hAnsi="Book Antiqua"/>
                <w:color w:val="000000"/>
                <w:sz w:val="22"/>
                <w:szCs w:val="22"/>
              </w:rPr>
              <w:t>Posttreatment relapse</w:t>
            </w:r>
            <w:r w:rsidRPr="00193FE3">
              <w:rPr>
                <w:rFonts w:ascii="Book Antiqua" w:hAnsi="Book Antiqua"/>
                <w:color w:val="000000"/>
                <w:sz w:val="22"/>
                <w:szCs w:val="22"/>
                <w:vertAlign w:val="superscript"/>
              </w:rPr>
              <w:t>e</w:t>
            </w:r>
          </w:p>
        </w:tc>
        <w:tc>
          <w:tcPr>
            <w:tcW w:w="1842" w:type="dxa"/>
            <w:tcBorders>
              <w:top w:val="nil"/>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9/102 (8.8) </w:t>
            </w:r>
          </w:p>
        </w:tc>
        <w:tc>
          <w:tcPr>
            <w:tcW w:w="1985" w:type="dxa"/>
            <w:tcBorders>
              <w:top w:val="nil"/>
              <w:bottom w:val="nil"/>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3/53 (5.7) </w:t>
            </w:r>
          </w:p>
        </w:tc>
      </w:tr>
      <w:tr w:rsidR="00470B3E" w:rsidRPr="00193FE3" w:rsidTr="002A71C0">
        <w:tc>
          <w:tcPr>
            <w:tcW w:w="5637" w:type="dxa"/>
            <w:gridSpan w:val="2"/>
            <w:tcBorders>
              <w:top w:val="nil"/>
              <w:bottom w:val="single" w:sz="4" w:space="0" w:color="auto"/>
            </w:tcBorders>
            <w:shd w:val="clear" w:color="auto" w:fill="auto"/>
          </w:tcPr>
          <w:p w:rsidR="00470B3E" w:rsidRPr="00193FE3" w:rsidRDefault="00470B3E" w:rsidP="002A71C0">
            <w:pPr>
              <w:pStyle w:val="BMSTableText"/>
              <w:spacing w:before="0" w:after="0" w:line="360" w:lineRule="auto"/>
              <w:ind w:left="450"/>
              <w:jc w:val="left"/>
              <w:rPr>
                <w:rFonts w:ascii="Book Antiqua" w:hAnsi="Book Antiqua"/>
                <w:color w:val="000000"/>
                <w:sz w:val="22"/>
                <w:szCs w:val="22"/>
              </w:rPr>
            </w:pPr>
            <w:r w:rsidRPr="00193FE3">
              <w:rPr>
                <w:rFonts w:ascii="Book Antiqua" w:hAnsi="Book Antiqua"/>
                <w:color w:val="000000"/>
                <w:sz w:val="22"/>
                <w:szCs w:val="22"/>
              </w:rPr>
              <w:t>HCV-RNA undetectable at EOT but missing PT week 12 data</w:t>
            </w:r>
          </w:p>
        </w:tc>
        <w:tc>
          <w:tcPr>
            <w:tcW w:w="1842" w:type="dxa"/>
            <w:tcBorders>
              <w:top w:val="nil"/>
              <w:bottom w:val="single" w:sz="4" w:space="0" w:color="auto"/>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9/102 (8.8) </w:t>
            </w:r>
          </w:p>
        </w:tc>
        <w:tc>
          <w:tcPr>
            <w:tcW w:w="1985" w:type="dxa"/>
            <w:tcBorders>
              <w:top w:val="nil"/>
              <w:bottom w:val="single" w:sz="4" w:space="0" w:color="auto"/>
            </w:tcBorders>
            <w:shd w:val="clear" w:color="auto" w:fill="auto"/>
          </w:tcPr>
          <w:p w:rsidR="00470B3E" w:rsidRPr="00193FE3" w:rsidRDefault="00470B3E" w:rsidP="002A71C0">
            <w:pPr>
              <w:pStyle w:val="BMSTableText"/>
              <w:spacing w:before="0" w:after="0" w:line="360" w:lineRule="auto"/>
              <w:rPr>
                <w:rFonts w:ascii="Book Antiqua" w:hAnsi="Book Antiqua"/>
                <w:sz w:val="22"/>
                <w:szCs w:val="22"/>
              </w:rPr>
            </w:pPr>
            <w:r w:rsidRPr="00193FE3">
              <w:rPr>
                <w:rFonts w:ascii="Book Antiqua" w:hAnsi="Book Antiqua"/>
                <w:sz w:val="22"/>
                <w:szCs w:val="22"/>
              </w:rPr>
              <w:t xml:space="preserve">7/53 (13.2) </w:t>
            </w:r>
          </w:p>
        </w:tc>
      </w:tr>
    </w:tbl>
    <w:p w:rsidR="00470B3E" w:rsidRPr="00193FE3" w:rsidRDefault="00470B3E" w:rsidP="00470B3E">
      <w:pPr>
        <w:spacing w:line="360" w:lineRule="auto"/>
        <w:rPr>
          <w:rFonts w:ascii="Book Antiqua" w:hAnsi="Book Antiqua"/>
          <w:b/>
          <w:vertAlign w:val="superscript"/>
        </w:rPr>
      </w:pPr>
      <w:r w:rsidRPr="00193FE3">
        <w:rPr>
          <w:rFonts w:ascii="Book Antiqua" w:hAnsi="Book Antiqua"/>
        </w:rPr>
        <w:t xml:space="preserve">cEVR, undetectable HCV-RNA at week 12; DCV, daclatasvir; EOT, end of treatment; EOTR, </w:t>
      </w:r>
      <w:r w:rsidRPr="00193FE3">
        <w:rPr>
          <w:rFonts w:ascii="Book Antiqua" w:hAnsi="Book Antiqua"/>
          <w:color w:val="000000"/>
        </w:rPr>
        <w:t>HCV-RNA undetectable at EOT;</w:t>
      </w:r>
      <w:r w:rsidRPr="00193FE3">
        <w:rPr>
          <w:rFonts w:ascii="Book Antiqua" w:hAnsi="Book Antiqua"/>
        </w:rPr>
        <w:t xml:space="preserve"> eRVR, undetectable HCV-RNA at weeks 4 and 12; GT, genotype; HCV, hepatitis C virus; LLOQ, lower limit of quantitation; NA, not applicable; pegIFN, peginterferon alfa-2a; PT, posttreatment; RBV, ribavirin; RVR, undetectable HCV-RNA at week 4; SVR12, sustained virologic response </w:t>
      </w:r>
      <w:r w:rsidRPr="00193FE3">
        <w:rPr>
          <w:rFonts w:ascii="Book Antiqua" w:eastAsia="Times New Roman" w:hAnsi="Book Antiqua" w:cs="Times New Roman"/>
          <w:color w:val="000000"/>
        </w:rPr>
        <w:t>(HCV-RNA</w:t>
      </w:r>
      <w:r w:rsidRPr="00193FE3">
        <w:rPr>
          <w:rFonts w:ascii="Book Antiqua" w:hAnsi="Book Antiqua"/>
        </w:rPr>
        <w:t xml:space="preserve"> &lt; LLOQ) at posttreatment week 12; SVR24, sustained virologic response at posttreatment week 24; TVR, telaprevir.</w:t>
      </w:r>
    </w:p>
    <w:p w:rsidR="00470B3E" w:rsidRPr="00193FE3" w:rsidRDefault="00470B3E" w:rsidP="00470B3E">
      <w:pPr>
        <w:pStyle w:val="ColorfulList-Accent11"/>
        <w:spacing w:line="360" w:lineRule="auto"/>
        <w:ind w:left="0"/>
        <w:contextualSpacing w:val="0"/>
        <w:rPr>
          <w:rFonts w:ascii="Book Antiqua" w:hAnsi="Book Antiqua"/>
        </w:rPr>
      </w:pPr>
      <w:r w:rsidRPr="00193FE3">
        <w:rPr>
          <w:rFonts w:ascii="Book Antiqua" w:hAnsi="Book Antiqua"/>
          <w:vertAlign w:val="superscript"/>
        </w:rPr>
        <w:t>a</w:t>
      </w:r>
      <w:r w:rsidRPr="00193FE3">
        <w:rPr>
          <w:rFonts w:ascii="Book Antiqua" w:hAnsi="Book Antiqua"/>
        </w:rPr>
        <w:t xml:space="preserve">All data shown as mITT unless stated otherwise. </w:t>
      </w:r>
    </w:p>
    <w:p w:rsidR="00470B3E" w:rsidRPr="00193FE3" w:rsidRDefault="00470B3E" w:rsidP="00470B3E">
      <w:pPr>
        <w:pStyle w:val="ColorfulList-Accent11"/>
        <w:spacing w:line="360" w:lineRule="auto"/>
        <w:ind w:left="0"/>
        <w:contextualSpacing w:val="0"/>
        <w:rPr>
          <w:rFonts w:ascii="Book Antiqua" w:hAnsi="Book Antiqua"/>
        </w:rPr>
      </w:pPr>
      <w:r w:rsidRPr="00193FE3">
        <w:rPr>
          <w:rFonts w:ascii="Book Antiqua" w:hAnsi="Book Antiqua"/>
          <w:vertAlign w:val="superscript"/>
        </w:rPr>
        <w:t>b</w:t>
      </w:r>
      <w:r w:rsidRPr="00193FE3">
        <w:rPr>
          <w:rFonts w:ascii="Book Antiqua" w:hAnsi="Book Antiqua"/>
        </w:rPr>
        <w:t>Secondary endpoint. Difference, −3.5%; 95% CI, −15.9% to 8.9%.</w:t>
      </w:r>
    </w:p>
    <w:p w:rsidR="00470B3E" w:rsidRPr="00193FE3" w:rsidRDefault="00470B3E" w:rsidP="00470B3E">
      <w:pPr>
        <w:pStyle w:val="ColorfulList-Accent11"/>
        <w:spacing w:line="360" w:lineRule="auto"/>
        <w:ind w:left="0"/>
        <w:contextualSpacing w:val="0"/>
        <w:rPr>
          <w:rFonts w:ascii="Book Antiqua" w:hAnsi="Book Antiqua"/>
        </w:rPr>
      </w:pPr>
      <w:r w:rsidRPr="00193FE3">
        <w:rPr>
          <w:rFonts w:ascii="Book Antiqua" w:hAnsi="Book Antiqua"/>
          <w:vertAlign w:val="superscript"/>
        </w:rPr>
        <w:t>c</w:t>
      </w:r>
      <w:r w:rsidRPr="00193FE3">
        <w:rPr>
          <w:rFonts w:ascii="Book Antiqua" w:hAnsi="Book Antiqua"/>
        </w:rPr>
        <w:t xml:space="preserve">Patients with missing data at follow-up week 12 were considered responders if the next available HCV-RNA value was &lt;LLOQ.  </w:t>
      </w:r>
      <w:r w:rsidRPr="00193FE3">
        <w:rPr>
          <w:rFonts w:ascii="Book Antiqua" w:hAnsi="Book Antiqua"/>
          <w:vertAlign w:val="superscript"/>
        </w:rPr>
        <w:t>d</w:t>
      </w:r>
      <w:r w:rsidRPr="00193FE3">
        <w:rPr>
          <w:rFonts w:ascii="Book Antiqua" w:hAnsi="Book Antiqua"/>
        </w:rPr>
        <w:t xml:space="preserve">Not included in TVR futility criteria per prescribing information. </w:t>
      </w:r>
      <w:r w:rsidRPr="00193FE3">
        <w:rPr>
          <w:rFonts w:ascii="Book Antiqua" w:hAnsi="Book Antiqua"/>
          <w:color w:val="000000"/>
          <w:vertAlign w:val="superscript"/>
        </w:rPr>
        <w:t>e</w:t>
      </w:r>
      <w:r w:rsidRPr="00193FE3">
        <w:rPr>
          <w:rFonts w:ascii="Book Antiqua" w:hAnsi="Book Antiqua"/>
        </w:rPr>
        <w:t xml:space="preserve">Assessed in patients with undetectable HCV-RNA at EOT. </w:t>
      </w:r>
      <w:r w:rsidRPr="00193FE3">
        <w:rPr>
          <w:rFonts w:ascii="Book Antiqua" w:hAnsi="Book Antiqua"/>
          <w:b/>
          <w:sz w:val="20"/>
          <w:szCs w:val="20"/>
        </w:rPr>
        <w:br w:type="page"/>
      </w:r>
    </w:p>
    <w:p w:rsidR="00470B3E" w:rsidRPr="00193FE3" w:rsidRDefault="00470B3E" w:rsidP="00470B3E">
      <w:pPr>
        <w:pStyle w:val="ColorfulList-Accent11"/>
        <w:spacing w:line="360" w:lineRule="auto"/>
        <w:ind w:left="0"/>
        <w:contextualSpacing w:val="0"/>
        <w:rPr>
          <w:rFonts w:ascii="Book Antiqua" w:hAnsi="Book Antiqua"/>
          <w:sz w:val="24"/>
          <w:szCs w:val="20"/>
        </w:rPr>
      </w:pPr>
      <w:r w:rsidRPr="00193FE3">
        <w:rPr>
          <w:rFonts w:ascii="Book Antiqua" w:hAnsi="Book Antiqua"/>
          <w:b/>
          <w:sz w:val="24"/>
          <w:szCs w:val="20"/>
        </w:rPr>
        <w:t xml:space="preserve">Supplementary Table 2. </w:t>
      </w:r>
      <w:r w:rsidRPr="00193FE3">
        <w:rPr>
          <w:rFonts w:ascii="Book Antiqua" w:hAnsi="Book Antiqua"/>
          <w:sz w:val="24"/>
          <w:szCs w:val="20"/>
        </w:rPr>
        <w:t>Safety in GT1-Infected Patients With and Without Cirrhosis</w:t>
      </w:r>
    </w:p>
    <w:tbl>
      <w:tblPr>
        <w:tblW w:w="9468" w:type="dxa"/>
        <w:tblLayout w:type="fixed"/>
        <w:tblCellMar>
          <w:left w:w="115" w:type="dxa"/>
          <w:right w:w="0" w:type="dxa"/>
        </w:tblCellMar>
        <w:tblLook w:val="0000" w:firstRow="0" w:lastRow="0" w:firstColumn="0" w:lastColumn="0" w:noHBand="0" w:noVBand="0"/>
      </w:tblPr>
      <w:tblGrid>
        <w:gridCol w:w="3175"/>
        <w:gridCol w:w="1573"/>
        <w:gridCol w:w="1573"/>
        <w:gridCol w:w="1573"/>
        <w:gridCol w:w="1574"/>
      </w:tblGrid>
      <w:tr w:rsidR="00470B3E" w:rsidRPr="00193FE3" w:rsidTr="002A71C0">
        <w:trPr>
          <w:cantSplit/>
          <w:trHeight w:val="40"/>
          <w:tblHeader/>
        </w:trPr>
        <w:tc>
          <w:tcPr>
            <w:tcW w:w="3175" w:type="dxa"/>
            <w:vMerge w:val="restart"/>
            <w:tcBorders>
              <w:top w:val="single" w:sz="4" w:space="0" w:color="auto"/>
            </w:tcBorders>
            <w:shd w:val="clear" w:color="auto" w:fill="auto"/>
            <w:vAlign w:val="bottom"/>
          </w:tcPr>
          <w:p w:rsidR="00470B3E" w:rsidRPr="00193FE3" w:rsidRDefault="00470B3E" w:rsidP="002A71C0">
            <w:pPr>
              <w:keepLines/>
              <w:tabs>
                <w:tab w:val="left" w:pos="360"/>
              </w:tabs>
              <w:spacing w:line="360" w:lineRule="auto"/>
              <w:rPr>
                <w:rFonts w:ascii="Book Antiqua" w:eastAsia="Times New Roman" w:hAnsi="Book Antiqua" w:cs="Times New Roman"/>
                <w:color w:val="000000"/>
              </w:rPr>
            </w:pPr>
            <w:r w:rsidRPr="00193FE3">
              <w:rPr>
                <w:rFonts w:ascii="Book Antiqua" w:hAnsi="Book Antiqua"/>
              </w:rPr>
              <w:t>Event, n (%)</w:t>
            </w:r>
          </w:p>
        </w:tc>
        <w:tc>
          <w:tcPr>
            <w:tcW w:w="3146" w:type="dxa"/>
            <w:gridSpan w:val="2"/>
            <w:tcBorders>
              <w:top w:val="single" w:sz="4" w:space="0" w:color="auto"/>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r w:rsidRPr="00193FE3">
              <w:rPr>
                <w:rFonts w:ascii="Book Antiqua" w:eastAsia="Times New Roman" w:hAnsi="Book Antiqua" w:cs="Times New Roman"/>
                <w:color w:val="000000"/>
              </w:rPr>
              <w:t>With cirrhosis</w:t>
            </w:r>
          </w:p>
        </w:tc>
        <w:tc>
          <w:tcPr>
            <w:tcW w:w="3147" w:type="dxa"/>
            <w:gridSpan w:val="2"/>
            <w:tcBorders>
              <w:top w:val="single" w:sz="4" w:space="0" w:color="auto"/>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r w:rsidRPr="00193FE3">
              <w:rPr>
                <w:rFonts w:ascii="Book Antiqua" w:eastAsia="Times New Roman" w:hAnsi="Book Antiqua" w:cs="Times New Roman"/>
                <w:color w:val="000000"/>
              </w:rPr>
              <w:t>Without cirrhosis</w:t>
            </w:r>
          </w:p>
        </w:tc>
      </w:tr>
      <w:tr w:rsidR="00470B3E" w:rsidRPr="00193FE3" w:rsidTr="002A71C0">
        <w:trPr>
          <w:cantSplit/>
          <w:trHeight w:val="40"/>
          <w:tblHeader/>
        </w:trPr>
        <w:tc>
          <w:tcPr>
            <w:tcW w:w="3175" w:type="dxa"/>
            <w:vMerge/>
            <w:tcBorders>
              <w:bottom w:val="single" w:sz="4" w:space="0" w:color="auto"/>
            </w:tcBorders>
            <w:shd w:val="clear" w:color="auto" w:fill="auto"/>
          </w:tcPr>
          <w:p w:rsidR="00470B3E" w:rsidRPr="00193FE3" w:rsidRDefault="00470B3E" w:rsidP="002A71C0">
            <w:pPr>
              <w:keepLines/>
              <w:tabs>
                <w:tab w:val="left" w:pos="360"/>
              </w:tabs>
              <w:spacing w:line="360" w:lineRule="auto"/>
              <w:rPr>
                <w:rFonts w:ascii="Book Antiqua" w:eastAsia="Times New Roman" w:hAnsi="Book Antiqua" w:cs="Times New Roman"/>
                <w:color w:val="000000"/>
              </w:rPr>
            </w:pPr>
          </w:p>
        </w:tc>
        <w:tc>
          <w:tcPr>
            <w:tcW w:w="1573" w:type="dxa"/>
            <w:tcBorders>
              <w:top w:val="single" w:sz="4" w:space="0" w:color="auto"/>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r w:rsidRPr="00193FE3">
              <w:rPr>
                <w:rFonts w:ascii="Book Antiqua" w:eastAsia="Times New Roman" w:hAnsi="Book Antiqua" w:cs="Times New Roman"/>
                <w:color w:val="000000"/>
              </w:rPr>
              <w:t xml:space="preserve">DCV + </w:t>
            </w:r>
            <w:r w:rsidRPr="00193FE3">
              <w:rPr>
                <w:rFonts w:ascii="Book Antiqua" w:eastAsia="Times New Roman" w:hAnsi="Book Antiqua" w:cs="Times New Roman"/>
                <w:color w:val="000000"/>
                <w:lang w:eastAsia="zh-CN"/>
              </w:rPr>
              <w:t>pegIFN/RBV</w:t>
            </w:r>
            <w:r w:rsidRPr="00193FE3">
              <w:rPr>
                <w:rFonts w:ascii="Book Antiqua" w:eastAsia="Times New Roman" w:hAnsi="Book Antiqua" w:cs="Times New Roman"/>
                <w:color w:val="000000"/>
              </w:rPr>
              <w:br/>
              <w:t>(N = 42)</w:t>
            </w:r>
          </w:p>
        </w:tc>
        <w:tc>
          <w:tcPr>
            <w:tcW w:w="1573" w:type="dxa"/>
            <w:tcBorders>
              <w:top w:val="single" w:sz="4" w:space="0" w:color="auto"/>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r w:rsidRPr="00193FE3">
              <w:rPr>
                <w:rFonts w:ascii="Book Antiqua" w:eastAsia="Times New Roman" w:hAnsi="Book Antiqua" w:cs="Times New Roman"/>
                <w:color w:val="000000"/>
              </w:rPr>
              <w:t xml:space="preserve">TVR + </w:t>
            </w:r>
            <w:r w:rsidRPr="00193FE3">
              <w:rPr>
                <w:rFonts w:ascii="Book Antiqua" w:eastAsia="Times New Roman" w:hAnsi="Book Antiqua" w:cs="Times New Roman"/>
                <w:color w:val="000000"/>
                <w:lang w:eastAsia="zh-CN"/>
              </w:rPr>
              <w:t>pegIFN/RBV</w:t>
            </w:r>
            <w:r w:rsidRPr="00193FE3">
              <w:rPr>
                <w:rFonts w:ascii="Book Antiqua" w:eastAsia="Times New Roman" w:hAnsi="Book Antiqua" w:cs="Times New Roman"/>
                <w:color w:val="000000"/>
              </w:rPr>
              <w:t xml:space="preserve"> </w:t>
            </w:r>
            <w:r w:rsidRPr="00193FE3">
              <w:rPr>
                <w:rFonts w:ascii="Book Antiqua" w:eastAsia="Times New Roman" w:hAnsi="Book Antiqua" w:cs="Times New Roman"/>
                <w:color w:val="000000"/>
              </w:rPr>
              <w:br/>
              <w:t>(N = 24)</w:t>
            </w:r>
          </w:p>
        </w:tc>
        <w:tc>
          <w:tcPr>
            <w:tcW w:w="1573" w:type="dxa"/>
            <w:tcBorders>
              <w:top w:val="single" w:sz="4" w:space="0" w:color="auto"/>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r w:rsidRPr="00193FE3">
              <w:rPr>
                <w:rFonts w:ascii="Book Antiqua" w:eastAsia="Times New Roman" w:hAnsi="Book Antiqua" w:cs="Times New Roman"/>
                <w:color w:val="000000"/>
              </w:rPr>
              <w:t xml:space="preserve">DCV + </w:t>
            </w:r>
            <w:r w:rsidRPr="00193FE3">
              <w:rPr>
                <w:rFonts w:ascii="Book Antiqua" w:eastAsia="Times New Roman" w:hAnsi="Book Antiqua" w:cs="Times New Roman"/>
                <w:color w:val="000000"/>
                <w:lang w:eastAsia="zh-CN"/>
              </w:rPr>
              <w:t>pegIFN/RBV</w:t>
            </w:r>
            <w:r w:rsidRPr="00193FE3">
              <w:rPr>
                <w:rFonts w:ascii="Book Antiqua" w:eastAsia="Times New Roman" w:hAnsi="Book Antiqua" w:cs="Times New Roman"/>
                <w:color w:val="000000"/>
              </w:rPr>
              <w:t xml:space="preserve"> </w:t>
            </w:r>
            <w:r w:rsidRPr="00193FE3">
              <w:rPr>
                <w:rFonts w:ascii="Book Antiqua" w:eastAsia="Times New Roman" w:hAnsi="Book Antiqua" w:cs="Times New Roman"/>
                <w:color w:val="000000"/>
              </w:rPr>
              <w:br/>
              <w:t>(N = 360)</w:t>
            </w:r>
          </w:p>
        </w:tc>
        <w:tc>
          <w:tcPr>
            <w:tcW w:w="1574" w:type="dxa"/>
            <w:tcBorders>
              <w:top w:val="single" w:sz="4" w:space="0" w:color="auto"/>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r w:rsidRPr="00193FE3">
              <w:rPr>
                <w:rFonts w:ascii="Book Antiqua" w:eastAsia="Times New Roman" w:hAnsi="Book Antiqua" w:cs="Times New Roman"/>
                <w:color w:val="000000"/>
              </w:rPr>
              <w:t xml:space="preserve">TVR + </w:t>
            </w:r>
            <w:r w:rsidRPr="00193FE3">
              <w:rPr>
                <w:rFonts w:ascii="Book Antiqua" w:eastAsia="Times New Roman" w:hAnsi="Book Antiqua" w:cs="Times New Roman"/>
                <w:color w:val="000000"/>
                <w:lang w:eastAsia="zh-CN"/>
              </w:rPr>
              <w:t>pegIFN/RBV</w:t>
            </w:r>
            <w:r w:rsidRPr="00193FE3">
              <w:rPr>
                <w:rFonts w:ascii="Book Antiqua" w:eastAsia="Times New Roman" w:hAnsi="Book Antiqua" w:cs="Times New Roman"/>
                <w:color w:val="000000"/>
              </w:rPr>
              <w:br/>
              <w:t>(N = 176)</w:t>
            </w:r>
          </w:p>
        </w:tc>
      </w:tr>
      <w:tr w:rsidR="00470B3E" w:rsidRPr="00193FE3" w:rsidTr="002A71C0">
        <w:trPr>
          <w:cantSplit/>
        </w:trPr>
        <w:tc>
          <w:tcPr>
            <w:tcW w:w="3175" w:type="dxa"/>
            <w:tcBorders>
              <w:top w:val="single" w:sz="4" w:space="0" w:color="auto"/>
            </w:tcBorders>
            <w:shd w:val="clear" w:color="auto" w:fill="auto"/>
            <w:vAlign w:val="center"/>
          </w:tcPr>
          <w:p w:rsidR="00470B3E" w:rsidRPr="00193FE3" w:rsidRDefault="00470B3E" w:rsidP="002A71C0">
            <w:pPr>
              <w:keepLines/>
              <w:spacing w:line="360" w:lineRule="auto"/>
              <w:rPr>
                <w:rFonts w:ascii="Book Antiqua" w:eastAsia="Times New Roman" w:hAnsi="Book Antiqua" w:cs="Times New Roman"/>
                <w:color w:val="000000"/>
              </w:rPr>
            </w:pPr>
            <w:r w:rsidRPr="00193FE3">
              <w:rPr>
                <w:rFonts w:ascii="Book Antiqua" w:eastAsia="Times New Roman" w:hAnsi="Book Antiqua" w:cs="Times New Roman"/>
                <w:color w:val="000000"/>
              </w:rPr>
              <w:t>Death</w:t>
            </w:r>
          </w:p>
        </w:tc>
        <w:tc>
          <w:tcPr>
            <w:tcW w:w="1573" w:type="dxa"/>
            <w:tcBorders>
              <w:top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 (2.4)</w:t>
            </w:r>
          </w:p>
        </w:tc>
        <w:tc>
          <w:tcPr>
            <w:tcW w:w="1573" w:type="dxa"/>
            <w:tcBorders>
              <w:top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 (4.2)</w:t>
            </w:r>
          </w:p>
        </w:tc>
        <w:tc>
          <w:tcPr>
            <w:tcW w:w="1573" w:type="dxa"/>
            <w:tcBorders>
              <w:top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0</w:t>
            </w:r>
          </w:p>
        </w:tc>
        <w:tc>
          <w:tcPr>
            <w:tcW w:w="1574" w:type="dxa"/>
            <w:tcBorders>
              <w:top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0</w:t>
            </w:r>
          </w:p>
        </w:tc>
      </w:tr>
      <w:tr w:rsidR="00470B3E" w:rsidRPr="00193FE3" w:rsidTr="002A71C0">
        <w:trPr>
          <w:cantSplit/>
        </w:trPr>
        <w:tc>
          <w:tcPr>
            <w:tcW w:w="3175" w:type="dxa"/>
            <w:shd w:val="clear" w:color="auto" w:fill="auto"/>
          </w:tcPr>
          <w:p w:rsidR="00470B3E" w:rsidRPr="00193FE3" w:rsidRDefault="00470B3E" w:rsidP="002A71C0">
            <w:pPr>
              <w:keepLines/>
              <w:spacing w:line="360" w:lineRule="auto"/>
              <w:rPr>
                <w:rFonts w:ascii="Book Antiqua" w:eastAsia="Times New Roman" w:hAnsi="Book Antiqua" w:cs="Times New Roman"/>
                <w:color w:val="000000"/>
              </w:rPr>
            </w:pPr>
            <w:r w:rsidRPr="00193FE3">
              <w:rPr>
                <w:rFonts w:ascii="Book Antiqua" w:eastAsia="Times New Roman" w:hAnsi="Book Antiqua" w:cs="Times New Roman"/>
                <w:color w:val="000000"/>
              </w:rPr>
              <w:t>SAEs</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3 (7.1)</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4 (16.7)</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23 (6.4)</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16 (9.1)</w:t>
            </w:r>
          </w:p>
        </w:tc>
      </w:tr>
      <w:tr w:rsidR="00470B3E" w:rsidRPr="00193FE3" w:rsidTr="002A71C0">
        <w:trPr>
          <w:cantSplit/>
        </w:trPr>
        <w:tc>
          <w:tcPr>
            <w:tcW w:w="3175" w:type="dxa"/>
            <w:shd w:val="clear" w:color="auto" w:fill="auto"/>
          </w:tcPr>
          <w:p w:rsidR="00470B3E" w:rsidRPr="00193FE3" w:rsidRDefault="00470B3E" w:rsidP="002A71C0">
            <w:pPr>
              <w:keepLines/>
              <w:spacing w:line="360" w:lineRule="auto"/>
              <w:rPr>
                <w:rFonts w:ascii="Book Antiqua" w:eastAsia="Times New Roman" w:hAnsi="Book Antiqua" w:cs="Times New Roman"/>
                <w:color w:val="000000"/>
              </w:rPr>
            </w:pPr>
            <w:r w:rsidRPr="00193FE3">
              <w:rPr>
                <w:rFonts w:ascii="Book Antiqua" w:hAnsi="Book Antiqua"/>
                <w:color w:val="000000"/>
              </w:rPr>
              <w:t>AEs leading to discontinuation of any study drug</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 (4.8)</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5 (20.8)</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26 (7.2)</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32 (18.2)</w:t>
            </w:r>
          </w:p>
        </w:tc>
      </w:tr>
      <w:tr w:rsidR="00470B3E" w:rsidRPr="00193FE3" w:rsidTr="002A71C0">
        <w:trPr>
          <w:cantSplit/>
        </w:trPr>
        <w:tc>
          <w:tcPr>
            <w:tcW w:w="3175" w:type="dxa"/>
            <w:shd w:val="clear" w:color="auto" w:fill="auto"/>
          </w:tcPr>
          <w:p w:rsidR="00470B3E" w:rsidRPr="00193FE3" w:rsidRDefault="00470B3E" w:rsidP="002A71C0">
            <w:pPr>
              <w:keepLines/>
              <w:spacing w:line="360" w:lineRule="auto"/>
              <w:rPr>
                <w:rFonts w:ascii="Book Antiqua" w:eastAsia="Times New Roman" w:hAnsi="Book Antiqua" w:cs="Times New Roman"/>
                <w:color w:val="000000"/>
              </w:rPr>
            </w:pPr>
            <w:r w:rsidRPr="00193FE3">
              <w:rPr>
                <w:rFonts w:ascii="Book Antiqua" w:eastAsia="Times New Roman" w:hAnsi="Book Antiqua" w:cs="Times New Roman"/>
                <w:color w:val="000000"/>
              </w:rPr>
              <w:t>Most frequent AEs (&gt;20%)</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color w:val="000000"/>
              </w:rPr>
            </w:pP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Fatigue</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16 (38.1)</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12 (50.0)</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124 (34.4)</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69 (39.2)</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Headache</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12 (28.6)</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5 (20.8)</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125 (34.7)</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52 (29.5)</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Asthenia</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9 (21.4)</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8 (33.3)</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100 (27.8)</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45 (25.6)</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Pruritus</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10 (23.8)</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7 (29.2)</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97 (26.9)</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68 (38.6)</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Anemia</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14 (33.3)</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14 (58.3)</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82 (22.8)</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85 (48.3)</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Rash</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9 (21.4)</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10 (41.7)</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84 (23.3)</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59 (33.5)</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Nausea</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5 (11.9)</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9 (37.5)</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83 (23.1)</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65 (36.9)</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Neutropenia</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11 (26.2)</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4 (16.7)</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76 (21.1)</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23 (13.1)</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Alopecia</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7 (16.7)</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3 (12.5)</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79 (21.9)</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29 (16.5)</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Influenza-like illness</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8 (19.0)</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 (8.3)</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77 (21.4)</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36 (20.5)</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Dry skin</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6 (14.3)</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4 (16.7)</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78 (21.7)</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30 (17.0)</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Pyrexia</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8 (19.0)</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5 (20.8)</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72 (20.0)</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37 (21.0)</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Diarrhea</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7 (16.7)</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5 (20.8)</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56 (15.6)</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30 (17.0)</w:t>
            </w:r>
          </w:p>
        </w:tc>
      </w:tr>
      <w:tr w:rsidR="00470B3E" w:rsidRPr="00193FE3" w:rsidTr="002A71C0">
        <w:trPr>
          <w:cantSplit/>
        </w:trPr>
        <w:tc>
          <w:tcPr>
            <w:tcW w:w="3175" w:type="dxa"/>
            <w:shd w:val="clear" w:color="auto" w:fill="auto"/>
          </w:tcPr>
          <w:p w:rsidR="00470B3E" w:rsidRPr="00193FE3" w:rsidRDefault="00470B3E" w:rsidP="002A71C0">
            <w:pPr>
              <w:keepLines/>
              <w:tabs>
                <w:tab w:val="left" w:pos="360"/>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Insomnia</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11 (26.2)</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5 (20.8)</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60 (16.7)</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lang w:eastAsia="ja-JP"/>
              </w:rPr>
            </w:pPr>
            <w:r w:rsidRPr="00193FE3">
              <w:rPr>
                <w:rFonts w:ascii="Book Antiqua" w:eastAsia="Times New Roman" w:hAnsi="Book Antiqua" w:cs="Times New Roman"/>
                <w:lang w:eastAsia="ja-JP"/>
              </w:rPr>
              <w:t>30 (17.0)</w:t>
            </w:r>
          </w:p>
        </w:tc>
      </w:tr>
      <w:tr w:rsidR="00470B3E" w:rsidRPr="00193FE3" w:rsidTr="002A71C0">
        <w:trPr>
          <w:cantSplit/>
        </w:trPr>
        <w:tc>
          <w:tcPr>
            <w:tcW w:w="9468" w:type="dxa"/>
            <w:gridSpan w:val="5"/>
            <w:shd w:val="clear" w:color="auto" w:fill="auto"/>
          </w:tcPr>
          <w:p w:rsidR="00470B3E" w:rsidRPr="00193FE3" w:rsidRDefault="00470B3E" w:rsidP="002A71C0">
            <w:pPr>
              <w:keepLines/>
              <w:tabs>
                <w:tab w:val="left" w:pos="360"/>
              </w:tabs>
              <w:spacing w:line="360" w:lineRule="auto"/>
              <w:rPr>
                <w:rFonts w:ascii="Book Antiqua" w:eastAsia="Times New Roman" w:hAnsi="Book Antiqua" w:cs="Times New Roman"/>
                <w:lang w:eastAsia="ja-JP"/>
              </w:rPr>
            </w:pPr>
            <w:r w:rsidRPr="00193FE3">
              <w:rPr>
                <w:rFonts w:ascii="Book Antiqua" w:eastAsia="Times New Roman" w:hAnsi="Book Antiqua" w:cs="Times New Roman"/>
              </w:rPr>
              <w:t>Grade 3 or 4 emergent laboratory abnormalities</w:t>
            </w:r>
          </w:p>
        </w:tc>
      </w:tr>
      <w:tr w:rsidR="00470B3E" w:rsidRPr="00193FE3" w:rsidTr="002A71C0">
        <w:trPr>
          <w:cantSplit/>
        </w:trPr>
        <w:tc>
          <w:tcPr>
            <w:tcW w:w="3175" w:type="dxa"/>
            <w:shd w:val="clear" w:color="auto" w:fill="auto"/>
          </w:tcPr>
          <w:p w:rsidR="00470B3E" w:rsidRPr="00193FE3" w:rsidRDefault="00470B3E" w:rsidP="002A71C0">
            <w:pPr>
              <w:keepLines/>
              <w:widowControl w:val="0"/>
              <w:spacing w:line="360" w:lineRule="auto"/>
              <w:ind w:left="360"/>
              <w:rPr>
                <w:rFonts w:ascii="Book Antiqua" w:eastAsia="Times New Roman" w:hAnsi="Book Antiqua" w:cs="Times New Roman"/>
              </w:rPr>
            </w:pPr>
            <w:r w:rsidRPr="00193FE3">
              <w:rPr>
                <w:rFonts w:ascii="Book Antiqua" w:eastAsia="Times New Roman" w:hAnsi="Book Antiqua" w:cs="Times New Roman"/>
              </w:rPr>
              <w:t>Hemoglobin</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6 (14.3)</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7 (29.2)</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20 (5.6)</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34 (19.5)</w:t>
            </w:r>
          </w:p>
        </w:tc>
      </w:tr>
      <w:tr w:rsidR="00470B3E" w:rsidRPr="00193FE3" w:rsidTr="002A71C0">
        <w:trPr>
          <w:cantSplit/>
        </w:trPr>
        <w:tc>
          <w:tcPr>
            <w:tcW w:w="3175" w:type="dxa"/>
            <w:shd w:val="clear" w:color="auto" w:fill="auto"/>
          </w:tcPr>
          <w:p w:rsidR="00470B3E" w:rsidRPr="00193FE3" w:rsidRDefault="00470B3E" w:rsidP="002A71C0">
            <w:pPr>
              <w:keepLines/>
              <w:widowControl w:val="0"/>
              <w:tabs>
                <w:tab w:val="left" w:pos="180"/>
                <w:tab w:val="left" w:pos="732"/>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Absolute neutrophil count</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11 (26.2)</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6 (25.0)</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93 (25.9)</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35 (20.1)</w:t>
            </w:r>
          </w:p>
        </w:tc>
      </w:tr>
      <w:tr w:rsidR="00470B3E" w:rsidRPr="00193FE3" w:rsidTr="002A71C0">
        <w:trPr>
          <w:cantSplit/>
        </w:trPr>
        <w:tc>
          <w:tcPr>
            <w:tcW w:w="3175" w:type="dxa"/>
            <w:shd w:val="clear" w:color="auto" w:fill="auto"/>
          </w:tcPr>
          <w:p w:rsidR="00470B3E" w:rsidRPr="00193FE3" w:rsidRDefault="00470B3E" w:rsidP="002A71C0">
            <w:pPr>
              <w:keepLines/>
              <w:widowControl w:val="0"/>
              <w:tabs>
                <w:tab w:val="left" w:pos="180"/>
              </w:tabs>
              <w:spacing w:line="360" w:lineRule="auto"/>
              <w:ind w:left="360"/>
              <w:rPr>
                <w:rFonts w:ascii="Book Antiqua" w:eastAsia="Times New Roman" w:hAnsi="Book Antiqua" w:cs="Times New Roman"/>
                <w:bCs/>
              </w:rPr>
            </w:pPr>
            <w:r w:rsidRPr="00193FE3">
              <w:rPr>
                <w:rFonts w:ascii="Book Antiqua" w:eastAsia="Times New Roman" w:hAnsi="Book Antiqua" w:cs="Times New Roman"/>
              </w:rPr>
              <w:t>Elevated</w:t>
            </w:r>
            <w:r w:rsidRPr="00193FE3">
              <w:rPr>
                <w:rFonts w:ascii="Book Antiqua" w:eastAsia="Times New Roman" w:hAnsi="Book Antiqua" w:cs="Times New Roman"/>
                <w:bCs/>
              </w:rPr>
              <w:t xml:space="preserve"> lymphocytes</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8 (19.0)</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5 (20.8)</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59 (16.4)</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39 (22.4)</w:t>
            </w:r>
          </w:p>
        </w:tc>
      </w:tr>
      <w:tr w:rsidR="00470B3E" w:rsidRPr="00193FE3" w:rsidTr="002A71C0">
        <w:trPr>
          <w:cantSplit/>
        </w:trPr>
        <w:tc>
          <w:tcPr>
            <w:tcW w:w="3175" w:type="dxa"/>
            <w:shd w:val="clear" w:color="auto" w:fill="auto"/>
          </w:tcPr>
          <w:p w:rsidR="00470B3E" w:rsidRPr="00193FE3" w:rsidRDefault="00470B3E" w:rsidP="002A71C0">
            <w:pPr>
              <w:keepLines/>
              <w:widowControl w:val="0"/>
              <w:tabs>
                <w:tab w:val="left" w:pos="180"/>
                <w:tab w:val="left" w:pos="1092"/>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Platelet count</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9 (21.4)</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4 (16.7)</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6 (1.7)</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4 (2.3)</w:t>
            </w:r>
          </w:p>
        </w:tc>
      </w:tr>
      <w:tr w:rsidR="00470B3E" w:rsidRPr="00193FE3" w:rsidTr="002A71C0">
        <w:trPr>
          <w:cantSplit/>
        </w:trPr>
        <w:tc>
          <w:tcPr>
            <w:tcW w:w="3175" w:type="dxa"/>
            <w:shd w:val="clear" w:color="auto" w:fill="auto"/>
          </w:tcPr>
          <w:p w:rsidR="00470B3E" w:rsidRPr="00193FE3" w:rsidRDefault="00470B3E" w:rsidP="002A71C0">
            <w:pPr>
              <w:keepLines/>
              <w:tabs>
                <w:tab w:val="left" w:pos="180"/>
                <w:tab w:val="left" w:pos="1092"/>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ALT</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 (2.4)</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 (4.2)</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 (1.6)</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 (1.1)</w:t>
            </w:r>
          </w:p>
        </w:tc>
      </w:tr>
      <w:tr w:rsidR="00470B3E" w:rsidRPr="00193FE3" w:rsidTr="002A71C0">
        <w:trPr>
          <w:cantSplit/>
        </w:trPr>
        <w:tc>
          <w:tcPr>
            <w:tcW w:w="3175" w:type="dxa"/>
            <w:shd w:val="clear" w:color="auto" w:fill="auto"/>
          </w:tcPr>
          <w:p w:rsidR="00470B3E" w:rsidRPr="00193FE3" w:rsidRDefault="00470B3E" w:rsidP="002A71C0">
            <w:pPr>
              <w:keepLines/>
              <w:tabs>
                <w:tab w:val="left" w:pos="180"/>
                <w:tab w:val="left" w:pos="1092"/>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AST</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 (4.8)</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1 (4.2)</w:t>
            </w:r>
          </w:p>
        </w:tc>
        <w:tc>
          <w:tcPr>
            <w:tcW w:w="1573"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4 (1.1)</w:t>
            </w:r>
          </w:p>
        </w:tc>
        <w:tc>
          <w:tcPr>
            <w:tcW w:w="1574" w:type="dxa"/>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0</w:t>
            </w:r>
          </w:p>
        </w:tc>
      </w:tr>
      <w:tr w:rsidR="00470B3E" w:rsidRPr="00193FE3" w:rsidTr="002A71C0">
        <w:trPr>
          <w:cantSplit/>
        </w:trPr>
        <w:tc>
          <w:tcPr>
            <w:tcW w:w="3175" w:type="dxa"/>
            <w:tcBorders>
              <w:bottom w:val="single" w:sz="4" w:space="0" w:color="auto"/>
            </w:tcBorders>
            <w:shd w:val="clear" w:color="auto" w:fill="auto"/>
          </w:tcPr>
          <w:p w:rsidR="00470B3E" w:rsidRPr="00193FE3" w:rsidRDefault="00470B3E" w:rsidP="002A71C0">
            <w:pPr>
              <w:keepLines/>
              <w:tabs>
                <w:tab w:val="left" w:pos="180"/>
                <w:tab w:val="left" w:pos="1092"/>
              </w:tabs>
              <w:spacing w:line="360" w:lineRule="auto"/>
              <w:ind w:left="360"/>
              <w:rPr>
                <w:rFonts w:ascii="Book Antiqua" w:eastAsia="Times New Roman" w:hAnsi="Book Antiqua" w:cs="Times New Roman"/>
              </w:rPr>
            </w:pPr>
            <w:r w:rsidRPr="00193FE3">
              <w:rPr>
                <w:rFonts w:ascii="Book Antiqua" w:eastAsia="Times New Roman" w:hAnsi="Book Antiqua" w:cs="Times New Roman"/>
              </w:rPr>
              <w:t>Total bilirubin</w:t>
            </w:r>
          </w:p>
        </w:tc>
        <w:tc>
          <w:tcPr>
            <w:tcW w:w="1573" w:type="dxa"/>
            <w:tcBorders>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 (4.8)</w:t>
            </w:r>
          </w:p>
        </w:tc>
        <w:tc>
          <w:tcPr>
            <w:tcW w:w="1573" w:type="dxa"/>
            <w:tcBorders>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4 (16.7)</w:t>
            </w:r>
          </w:p>
        </w:tc>
        <w:tc>
          <w:tcPr>
            <w:tcW w:w="1573" w:type="dxa"/>
            <w:tcBorders>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 (0.6)</w:t>
            </w:r>
          </w:p>
        </w:tc>
        <w:tc>
          <w:tcPr>
            <w:tcW w:w="1574" w:type="dxa"/>
            <w:tcBorders>
              <w:bottom w:val="single" w:sz="4" w:space="0" w:color="auto"/>
            </w:tcBorders>
            <w:shd w:val="clear" w:color="auto" w:fill="auto"/>
          </w:tcPr>
          <w:p w:rsidR="00470B3E" w:rsidRPr="00193FE3" w:rsidRDefault="00470B3E" w:rsidP="002A71C0">
            <w:pPr>
              <w:keepLines/>
              <w:tabs>
                <w:tab w:val="left" w:pos="360"/>
              </w:tabs>
              <w:spacing w:line="360" w:lineRule="auto"/>
              <w:jc w:val="center"/>
              <w:rPr>
                <w:rFonts w:ascii="Book Antiqua" w:eastAsia="Times New Roman" w:hAnsi="Book Antiqua" w:cs="Times New Roman"/>
              </w:rPr>
            </w:pPr>
            <w:r w:rsidRPr="00193FE3">
              <w:rPr>
                <w:rFonts w:ascii="Book Antiqua" w:eastAsia="Times New Roman" w:hAnsi="Book Antiqua" w:cs="Times New Roman"/>
              </w:rPr>
              <w:t>2 (1.1)</w:t>
            </w:r>
          </w:p>
        </w:tc>
      </w:tr>
    </w:tbl>
    <w:p w:rsidR="00470B3E" w:rsidRPr="00193FE3" w:rsidRDefault="00470B3E" w:rsidP="00470B3E">
      <w:pPr>
        <w:spacing w:line="360" w:lineRule="auto"/>
        <w:rPr>
          <w:rFonts w:ascii="Book Antiqua" w:hAnsi="Book Antiqua"/>
        </w:rPr>
      </w:pPr>
      <w:r w:rsidRPr="00193FE3">
        <w:rPr>
          <w:rFonts w:ascii="Book Antiqua" w:hAnsi="Book Antiqua"/>
        </w:rPr>
        <w:t>AE, adverse event; ALT, alanine aminotransferase; AST, aspartate aminotransferase; DCV, daclatasvir; GT, genotype; pegIFN, peginterferon alfa-2a; RBV, ribavirin; SAE, serious adverse event; TVR, telaprevir.</w:t>
      </w:r>
    </w:p>
    <w:p w:rsidR="00470B3E" w:rsidRPr="00193FE3" w:rsidRDefault="00470B3E" w:rsidP="00470B3E">
      <w:pPr>
        <w:pStyle w:val="a3"/>
        <w:rPr>
          <w:rFonts w:ascii="Book Antiqua" w:hAnsi="Book Antiqua"/>
          <w:sz w:val="20"/>
          <w:szCs w:val="20"/>
          <w:lang w:val="en-US"/>
        </w:rPr>
      </w:pPr>
    </w:p>
    <w:p w:rsidR="00470B3E" w:rsidRPr="00193FE3" w:rsidRDefault="00470B3E" w:rsidP="00470B3E">
      <w:pPr>
        <w:rPr>
          <w:rFonts w:ascii="Book Antiqua" w:hAnsi="Book Antiqua"/>
          <w:b/>
          <w:sz w:val="20"/>
          <w:szCs w:val="20"/>
        </w:rPr>
      </w:pPr>
      <w:r w:rsidRPr="00193FE3">
        <w:rPr>
          <w:rFonts w:ascii="Book Antiqua" w:hAnsi="Book Antiqua"/>
          <w:b/>
          <w:sz w:val="20"/>
          <w:szCs w:val="20"/>
        </w:rPr>
        <w:br w:type="page"/>
      </w:r>
    </w:p>
    <w:p w:rsidR="00470B3E" w:rsidRPr="00193FE3" w:rsidRDefault="00470B3E" w:rsidP="00470B3E">
      <w:pPr>
        <w:pStyle w:val="ColorfulList-Accent11"/>
        <w:spacing w:line="360" w:lineRule="auto"/>
        <w:ind w:left="0"/>
        <w:contextualSpacing w:val="0"/>
        <w:rPr>
          <w:rFonts w:ascii="Book Antiqua" w:hAnsi="Book Antiqua"/>
          <w:b/>
          <w:sz w:val="24"/>
          <w:szCs w:val="20"/>
        </w:rPr>
      </w:pPr>
      <w:r w:rsidRPr="00193FE3">
        <w:rPr>
          <w:rFonts w:ascii="Book Antiqua" w:hAnsi="Book Antiqua"/>
          <w:b/>
          <w:sz w:val="24"/>
          <w:szCs w:val="20"/>
        </w:rPr>
        <w:t xml:space="preserve">Supplementary Table 3. </w:t>
      </w:r>
      <w:r w:rsidRPr="00193FE3">
        <w:rPr>
          <w:rFonts w:ascii="Book Antiqua" w:hAnsi="Book Antiqua"/>
          <w:sz w:val="24"/>
          <w:szCs w:val="20"/>
        </w:rPr>
        <w:t>Multivariate Logistic Regression Analysis for SVR12 in GT1b-Infected Patients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896"/>
        <w:gridCol w:w="1896"/>
        <w:gridCol w:w="1896"/>
      </w:tblGrid>
      <w:tr w:rsidR="00470B3E" w:rsidRPr="00193FE3" w:rsidTr="002A71C0">
        <w:tc>
          <w:tcPr>
            <w:tcW w:w="3888" w:type="dxa"/>
            <w:tcBorders>
              <w:top w:val="single" w:sz="4" w:space="0" w:color="auto"/>
              <w:bottom w:val="single" w:sz="4" w:space="0" w:color="auto"/>
            </w:tcBorders>
          </w:tcPr>
          <w:p w:rsidR="00470B3E" w:rsidRPr="00193FE3" w:rsidRDefault="00470B3E" w:rsidP="002A71C0">
            <w:pPr>
              <w:pStyle w:val="ColorfulList-Accent11"/>
              <w:spacing w:line="360" w:lineRule="auto"/>
              <w:ind w:left="0"/>
              <w:contextualSpacing w:val="0"/>
              <w:rPr>
                <w:rFonts w:ascii="Book Antiqua" w:eastAsia="CourierNew" w:hAnsi="Book Antiqua" w:cs="CourierNew"/>
              </w:rPr>
            </w:pPr>
            <w:r w:rsidRPr="00193FE3">
              <w:rPr>
                <w:rFonts w:ascii="Book Antiqua" w:eastAsia="CourierNew" w:hAnsi="Book Antiqua" w:cs="CourierNew"/>
              </w:rPr>
              <w:t>Prognostic factors</w:t>
            </w:r>
          </w:p>
        </w:tc>
        <w:tc>
          <w:tcPr>
            <w:tcW w:w="1896" w:type="dxa"/>
            <w:tcBorders>
              <w:top w:val="single" w:sz="4" w:space="0" w:color="auto"/>
              <w:bottom w:val="single" w:sz="4" w:space="0" w:color="auto"/>
            </w:tcBorders>
          </w:tcPr>
          <w:p w:rsidR="00470B3E" w:rsidRPr="00193FE3" w:rsidRDefault="00470B3E" w:rsidP="002A71C0">
            <w:pPr>
              <w:pStyle w:val="ColorfulList-Accent11"/>
              <w:spacing w:line="360" w:lineRule="auto"/>
              <w:ind w:left="0"/>
              <w:contextualSpacing w:val="0"/>
              <w:jc w:val="center"/>
              <w:rPr>
                <w:rFonts w:ascii="Book Antiqua" w:hAnsi="Book Antiqua"/>
              </w:rPr>
            </w:pPr>
            <w:r w:rsidRPr="00193FE3">
              <w:rPr>
                <w:rFonts w:ascii="Book Antiqua" w:hAnsi="Book Antiqua"/>
              </w:rPr>
              <w:t>Odds ratio</w:t>
            </w:r>
          </w:p>
        </w:tc>
        <w:tc>
          <w:tcPr>
            <w:tcW w:w="1896" w:type="dxa"/>
            <w:tcBorders>
              <w:top w:val="single" w:sz="4" w:space="0" w:color="auto"/>
              <w:bottom w:val="single" w:sz="4" w:space="0" w:color="auto"/>
            </w:tcBorders>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95% CI</w:t>
            </w:r>
          </w:p>
        </w:tc>
        <w:tc>
          <w:tcPr>
            <w:tcW w:w="1896" w:type="dxa"/>
            <w:tcBorders>
              <w:top w:val="single" w:sz="4" w:space="0" w:color="auto"/>
              <w:bottom w:val="single" w:sz="4" w:space="0" w:color="auto"/>
            </w:tcBorders>
          </w:tcPr>
          <w:p w:rsidR="00470B3E" w:rsidRPr="00193FE3" w:rsidRDefault="00470B3E" w:rsidP="002A71C0">
            <w:pPr>
              <w:pStyle w:val="ColorfulList-Accent11"/>
              <w:spacing w:line="360" w:lineRule="auto"/>
              <w:ind w:left="0"/>
              <w:contextualSpacing w:val="0"/>
              <w:jc w:val="center"/>
              <w:rPr>
                <w:rFonts w:ascii="Book Antiqua" w:hAnsi="Book Antiqua"/>
                <w:i/>
              </w:rPr>
            </w:pPr>
            <w:r w:rsidRPr="00193FE3">
              <w:rPr>
                <w:rFonts w:ascii="Book Antiqua" w:hAnsi="Book Antiqua"/>
                <w:i/>
              </w:rPr>
              <w:t>P</w:t>
            </w:r>
          </w:p>
        </w:tc>
      </w:tr>
      <w:tr w:rsidR="00470B3E" w:rsidRPr="00193FE3" w:rsidTr="002A71C0">
        <w:tc>
          <w:tcPr>
            <w:tcW w:w="3888" w:type="dxa"/>
            <w:tcBorders>
              <w:top w:val="single" w:sz="4" w:space="0" w:color="auto"/>
            </w:tcBorders>
          </w:tcPr>
          <w:p w:rsidR="00470B3E" w:rsidRPr="00193FE3" w:rsidRDefault="00470B3E" w:rsidP="002A71C0">
            <w:pPr>
              <w:pStyle w:val="ColorfulList-Accent11"/>
              <w:spacing w:line="360" w:lineRule="auto"/>
              <w:ind w:left="0"/>
              <w:contextualSpacing w:val="0"/>
              <w:rPr>
                <w:rFonts w:ascii="Book Antiqua" w:hAnsi="Book Antiqua"/>
                <w:b/>
              </w:rPr>
            </w:pPr>
            <w:r w:rsidRPr="00193FE3">
              <w:rPr>
                <w:rFonts w:ascii="Book Antiqua" w:eastAsia="CourierNew" w:hAnsi="Book Antiqua" w:cs="CourierNew"/>
              </w:rPr>
              <w:t xml:space="preserve">Treatment (DCV + </w:t>
            </w:r>
            <w:r w:rsidRPr="00193FE3">
              <w:rPr>
                <w:rFonts w:ascii="Book Antiqua" w:hAnsi="Book Antiqua"/>
                <w:color w:val="000000"/>
              </w:rPr>
              <w:t>pegIFN/RBV</w:t>
            </w:r>
            <w:r w:rsidRPr="00193FE3">
              <w:rPr>
                <w:rFonts w:ascii="Book Antiqua" w:eastAsia="CourierNew" w:hAnsi="Book Antiqua" w:cs="CourierNew"/>
              </w:rPr>
              <w:t xml:space="preserve">  vs TVR + </w:t>
            </w:r>
            <w:r w:rsidRPr="00193FE3">
              <w:rPr>
                <w:rFonts w:ascii="Book Antiqua" w:hAnsi="Book Antiqua"/>
                <w:color w:val="000000"/>
              </w:rPr>
              <w:t>pegIFN/RBV</w:t>
            </w:r>
            <w:r w:rsidRPr="00193FE3">
              <w:rPr>
                <w:rFonts w:ascii="Book Antiqua" w:eastAsia="CourierNew" w:hAnsi="Book Antiqua" w:cs="CourierNew"/>
              </w:rPr>
              <w:t>)</w:t>
            </w:r>
          </w:p>
        </w:tc>
        <w:tc>
          <w:tcPr>
            <w:tcW w:w="1896" w:type="dxa"/>
            <w:tcBorders>
              <w:top w:val="single" w:sz="4" w:space="0" w:color="auto"/>
            </w:tcBorders>
          </w:tcPr>
          <w:p w:rsidR="00470B3E" w:rsidRPr="00193FE3" w:rsidRDefault="00470B3E" w:rsidP="002A71C0">
            <w:pPr>
              <w:pStyle w:val="ColorfulList-Accent11"/>
              <w:spacing w:line="360" w:lineRule="auto"/>
              <w:ind w:left="0"/>
              <w:contextualSpacing w:val="0"/>
              <w:jc w:val="center"/>
              <w:rPr>
                <w:rFonts w:ascii="Book Antiqua" w:hAnsi="Book Antiqua"/>
              </w:rPr>
            </w:pPr>
            <w:r w:rsidRPr="00193FE3">
              <w:rPr>
                <w:rFonts w:ascii="Book Antiqua" w:eastAsia="CourierNew" w:hAnsi="Book Antiqua" w:cs="CourierNew"/>
              </w:rPr>
              <w:t>1.35</w:t>
            </w:r>
          </w:p>
        </w:tc>
        <w:tc>
          <w:tcPr>
            <w:tcW w:w="1896" w:type="dxa"/>
            <w:tcBorders>
              <w:top w:val="single" w:sz="4" w:space="0" w:color="auto"/>
            </w:tcBorders>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0.76-2.38</w:t>
            </w:r>
          </w:p>
        </w:tc>
        <w:tc>
          <w:tcPr>
            <w:tcW w:w="1896" w:type="dxa"/>
            <w:tcBorders>
              <w:top w:val="single" w:sz="4" w:space="0" w:color="auto"/>
            </w:tcBorders>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.308</w:t>
            </w:r>
          </w:p>
        </w:tc>
      </w:tr>
      <w:tr w:rsidR="00470B3E" w:rsidRPr="00193FE3" w:rsidTr="002A71C0">
        <w:tc>
          <w:tcPr>
            <w:tcW w:w="3888" w:type="dxa"/>
          </w:tcPr>
          <w:p w:rsidR="00470B3E" w:rsidRPr="00193FE3" w:rsidRDefault="00470B3E" w:rsidP="002A71C0">
            <w:pPr>
              <w:pStyle w:val="ColorfulList-Accent11"/>
              <w:spacing w:line="360" w:lineRule="auto"/>
              <w:ind w:left="0"/>
              <w:contextualSpacing w:val="0"/>
              <w:rPr>
                <w:rFonts w:ascii="Book Antiqua" w:hAnsi="Book Antiqua"/>
                <w:b/>
              </w:rPr>
            </w:pPr>
            <w:r w:rsidRPr="00193FE3">
              <w:rPr>
                <w:rFonts w:ascii="Book Antiqua" w:eastAsia="CourierNew" w:hAnsi="Book Antiqua" w:cs="CourierNew"/>
              </w:rPr>
              <w:t>Cirrhosis (absent vs present)</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2.35</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1.08-5.13</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.031</w:t>
            </w:r>
          </w:p>
        </w:tc>
      </w:tr>
      <w:tr w:rsidR="00470B3E" w:rsidRPr="00193FE3" w:rsidTr="002A71C0">
        <w:tc>
          <w:tcPr>
            <w:tcW w:w="3888" w:type="dxa"/>
          </w:tcPr>
          <w:p w:rsidR="00470B3E" w:rsidRPr="00193FE3" w:rsidRDefault="00470B3E" w:rsidP="002A71C0">
            <w:pPr>
              <w:pStyle w:val="ColorfulList-Accent11"/>
              <w:spacing w:line="360" w:lineRule="auto"/>
              <w:ind w:left="0"/>
              <w:contextualSpacing w:val="0"/>
              <w:rPr>
                <w:rFonts w:ascii="Book Antiqua" w:hAnsi="Book Antiqua"/>
                <w:b/>
              </w:rPr>
            </w:pPr>
            <w:r w:rsidRPr="00193FE3">
              <w:rPr>
                <w:rFonts w:ascii="Book Antiqua" w:eastAsia="CourierNew" w:hAnsi="Book Antiqua" w:cs="CourierNew"/>
              </w:rPr>
              <w:t>Baseline HCV-RNA (&lt;800,000 IU/mL vs ≥800,000 IU/mL)</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2.45</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1.18-5.06</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.016</w:t>
            </w:r>
          </w:p>
        </w:tc>
      </w:tr>
      <w:tr w:rsidR="00470B3E" w:rsidRPr="00193FE3" w:rsidTr="002A71C0">
        <w:tc>
          <w:tcPr>
            <w:tcW w:w="3888" w:type="dxa"/>
          </w:tcPr>
          <w:p w:rsidR="00470B3E" w:rsidRPr="00193FE3" w:rsidRDefault="00470B3E" w:rsidP="002A71C0">
            <w:pPr>
              <w:pStyle w:val="ColorfulList-Accent11"/>
              <w:spacing w:line="360" w:lineRule="auto"/>
              <w:ind w:left="0"/>
              <w:contextualSpacing w:val="0"/>
              <w:rPr>
                <w:rFonts w:ascii="Book Antiqua" w:hAnsi="Book Antiqua"/>
                <w:b/>
              </w:rPr>
            </w:pPr>
            <w:r w:rsidRPr="00193FE3">
              <w:rPr>
                <w:rFonts w:ascii="Book Antiqua" w:eastAsia="CourierNew" w:hAnsi="Book Antiqua" w:cs="CourierNew"/>
              </w:rPr>
              <w:t>Race (black/Asian/other vs white)</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0.68</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0.26-1.79</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.429</w:t>
            </w:r>
          </w:p>
        </w:tc>
      </w:tr>
      <w:tr w:rsidR="00470B3E" w:rsidRPr="00193FE3" w:rsidTr="002A71C0">
        <w:tc>
          <w:tcPr>
            <w:tcW w:w="3888" w:type="dxa"/>
          </w:tcPr>
          <w:p w:rsidR="00470B3E" w:rsidRPr="00193FE3" w:rsidRDefault="00470B3E" w:rsidP="002A71C0">
            <w:pPr>
              <w:pStyle w:val="ColorfulList-Accent11"/>
              <w:spacing w:line="360" w:lineRule="auto"/>
              <w:ind w:left="0"/>
              <w:contextualSpacing w:val="0"/>
              <w:rPr>
                <w:rFonts w:ascii="Book Antiqua" w:hAnsi="Book Antiqua"/>
                <w:b/>
              </w:rPr>
            </w:pPr>
            <w:r w:rsidRPr="00193FE3">
              <w:rPr>
                <w:rFonts w:ascii="Book Antiqua" w:eastAsia="CourierNew" w:hAnsi="Book Antiqua" w:cs="CourierNew"/>
                <w:i/>
              </w:rPr>
              <w:t xml:space="preserve">IL28B </w:t>
            </w:r>
            <w:r w:rsidRPr="00193FE3">
              <w:rPr>
                <w:rFonts w:ascii="Book Antiqua" w:eastAsia="CourierNew" w:hAnsi="Book Antiqua" w:cs="CourierNew"/>
              </w:rPr>
              <w:t>rs12979860 genotype (CC vs non-CC)</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3.25</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1.31-8.03</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.011</w:t>
            </w:r>
          </w:p>
        </w:tc>
      </w:tr>
      <w:tr w:rsidR="00470B3E" w:rsidRPr="00193FE3" w:rsidTr="002A71C0">
        <w:tc>
          <w:tcPr>
            <w:tcW w:w="3888" w:type="dxa"/>
          </w:tcPr>
          <w:p w:rsidR="00470B3E" w:rsidRPr="00193FE3" w:rsidRDefault="00470B3E" w:rsidP="002A71C0">
            <w:pPr>
              <w:pStyle w:val="ColorfulList-Accent11"/>
              <w:spacing w:line="360" w:lineRule="auto"/>
              <w:ind w:left="0"/>
              <w:contextualSpacing w:val="0"/>
              <w:rPr>
                <w:rFonts w:ascii="Book Antiqua" w:hAnsi="Book Antiqua"/>
                <w:b/>
              </w:rPr>
            </w:pPr>
            <w:r w:rsidRPr="00193FE3">
              <w:rPr>
                <w:rFonts w:ascii="Book Antiqua" w:eastAsia="CourierNew" w:hAnsi="Book Antiqua" w:cs="CourierNew"/>
              </w:rPr>
              <w:t>Age (&lt;65 vs ≥65 years)</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1.23</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0.38-3.93</w:t>
            </w:r>
          </w:p>
        </w:tc>
        <w:tc>
          <w:tcPr>
            <w:tcW w:w="1896" w:type="dxa"/>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.728</w:t>
            </w:r>
          </w:p>
        </w:tc>
      </w:tr>
      <w:tr w:rsidR="00470B3E" w:rsidRPr="00193FE3" w:rsidTr="002A71C0">
        <w:tc>
          <w:tcPr>
            <w:tcW w:w="3888" w:type="dxa"/>
            <w:tcBorders>
              <w:bottom w:val="single" w:sz="4" w:space="0" w:color="auto"/>
            </w:tcBorders>
          </w:tcPr>
          <w:p w:rsidR="00470B3E" w:rsidRPr="00193FE3" w:rsidRDefault="00470B3E" w:rsidP="002A71C0">
            <w:pPr>
              <w:pStyle w:val="ColorfulList-Accent11"/>
              <w:spacing w:line="360" w:lineRule="auto"/>
              <w:ind w:left="0"/>
              <w:contextualSpacing w:val="0"/>
              <w:rPr>
                <w:rFonts w:ascii="Book Antiqua" w:hAnsi="Book Antiqua"/>
                <w:b/>
              </w:rPr>
            </w:pPr>
            <w:r w:rsidRPr="00193FE3">
              <w:rPr>
                <w:rFonts w:ascii="Book Antiqua" w:eastAsia="CourierNew" w:hAnsi="Book Antiqua" w:cs="CourierNew"/>
              </w:rPr>
              <w:t>Sex (male vs female)</w:t>
            </w:r>
          </w:p>
        </w:tc>
        <w:tc>
          <w:tcPr>
            <w:tcW w:w="1896" w:type="dxa"/>
            <w:tcBorders>
              <w:bottom w:val="single" w:sz="4" w:space="0" w:color="auto"/>
            </w:tcBorders>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1.16</w:t>
            </w:r>
          </w:p>
        </w:tc>
        <w:tc>
          <w:tcPr>
            <w:tcW w:w="1896" w:type="dxa"/>
            <w:tcBorders>
              <w:bottom w:val="single" w:sz="4" w:space="0" w:color="auto"/>
            </w:tcBorders>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0.67-2.01</w:t>
            </w:r>
          </w:p>
        </w:tc>
        <w:tc>
          <w:tcPr>
            <w:tcW w:w="1896" w:type="dxa"/>
            <w:tcBorders>
              <w:bottom w:val="single" w:sz="4" w:space="0" w:color="auto"/>
            </w:tcBorders>
          </w:tcPr>
          <w:p w:rsidR="00470B3E" w:rsidRPr="00193FE3" w:rsidRDefault="00470B3E" w:rsidP="002A71C0">
            <w:pPr>
              <w:pStyle w:val="ColorfulList-Accent11"/>
              <w:spacing w:line="360" w:lineRule="auto"/>
              <w:ind w:left="0"/>
              <w:contextualSpacing w:val="0"/>
              <w:jc w:val="center"/>
              <w:rPr>
                <w:rFonts w:ascii="Book Antiqua" w:hAnsi="Book Antiqua"/>
                <w:b/>
              </w:rPr>
            </w:pPr>
            <w:r w:rsidRPr="00193FE3">
              <w:rPr>
                <w:rFonts w:ascii="Book Antiqua" w:eastAsia="CourierNew" w:hAnsi="Book Antiqua" w:cs="CourierNew"/>
              </w:rPr>
              <w:t>.607</w:t>
            </w:r>
          </w:p>
        </w:tc>
      </w:tr>
    </w:tbl>
    <w:p w:rsidR="00470B3E" w:rsidRPr="00193FE3" w:rsidRDefault="00470B3E" w:rsidP="00470B3E">
      <w:pPr>
        <w:spacing w:line="360" w:lineRule="auto"/>
        <w:rPr>
          <w:rFonts w:ascii="Book Antiqua" w:hAnsi="Book Antiqua"/>
          <w:b/>
          <w:vertAlign w:val="superscript"/>
        </w:rPr>
      </w:pPr>
      <w:r w:rsidRPr="00193FE3">
        <w:rPr>
          <w:rFonts w:ascii="Book Antiqua" w:hAnsi="Book Antiqua"/>
        </w:rPr>
        <w:t xml:space="preserve">DCV, daclatasvir; HCV, hepatitis C virus; GT, genotype; SVR12, sustained virologic response </w:t>
      </w:r>
      <w:r w:rsidRPr="00193FE3">
        <w:rPr>
          <w:rFonts w:ascii="Book Antiqua" w:eastAsia="Times New Roman" w:hAnsi="Book Antiqua" w:cs="Times New Roman"/>
          <w:color w:val="000000"/>
        </w:rPr>
        <w:t>(HCV-RNA</w:t>
      </w:r>
      <w:r w:rsidRPr="00193FE3">
        <w:rPr>
          <w:rFonts w:ascii="Book Antiqua" w:hAnsi="Book Antiqua"/>
        </w:rPr>
        <w:t xml:space="preserve"> &lt; LLOQ) at posttreatment week 12; TVR, telaprevir.</w:t>
      </w:r>
    </w:p>
    <w:p w:rsidR="00470B3E" w:rsidRPr="00F96BA8" w:rsidRDefault="00470B3E" w:rsidP="00470B3E">
      <w:pPr>
        <w:pStyle w:val="ColorfulList-Accent11"/>
        <w:spacing w:line="360" w:lineRule="auto"/>
        <w:ind w:left="0"/>
        <w:contextualSpacing w:val="0"/>
        <w:rPr>
          <w:rFonts w:ascii="Book Antiqua" w:hAnsi="Book Antiqua"/>
        </w:rPr>
      </w:pPr>
      <w:r w:rsidRPr="00193FE3">
        <w:rPr>
          <w:rFonts w:ascii="Book Antiqua" w:hAnsi="Book Antiqua"/>
          <w:vertAlign w:val="superscript"/>
        </w:rPr>
        <w:t>a</w:t>
      </w:r>
      <w:r w:rsidRPr="00193FE3">
        <w:rPr>
          <w:rFonts w:ascii="Book Antiqua" w:hAnsi="Book Antiqua"/>
        </w:rPr>
        <w:t>All data shown as modified intent-to treat unless stated otherwise.</w:t>
      </w:r>
    </w:p>
    <w:p w:rsidR="00470B3E" w:rsidRPr="00F96BA8" w:rsidRDefault="00470B3E" w:rsidP="00470B3E">
      <w:pPr>
        <w:pStyle w:val="a3"/>
        <w:rPr>
          <w:rFonts w:ascii="Book Antiqua" w:hAnsi="Book Antiqua"/>
          <w:sz w:val="20"/>
          <w:szCs w:val="20"/>
          <w:lang w:val="en-US"/>
        </w:rPr>
      </w:pPr>
    </w:p>
    <w:p w:rsidR="00A320BB" w:rsidRDefault="00924FF6"/>
    <w:sectPr w:rsidR="00A320BB" w:rsidSect="00D4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3E"/>
    <w:rsid w:val="00044355"/>
    <w:rsid w:val="00470B3E"/>
    <w:rsid w:val="00924FF6"/>
    <w:rsid w:val="00FE7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3E"/>
    <w:pPr>
      <w:spacing w:after="0" w:line="240" w:lineRule="auto"/>
    </w:pPr>
    <w:rPr>
      <w:rFonts w:ascii="Arial" w:hAnsi="Arial" w:cs="New Yor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470B3E"/>
    <w:pPr>
      <w:ind w:left="720"/>
      <w:contextualSpacing/>
    </w:pPr>
  </w:style>
  <w:style w:type="paragraph" w:styleId="a3">
    <w:name w:val="Normal (Web)"/>
    <w:basedOn w:val="a"/>
    <w:uiPriority w:val="99"/>
    <w:unhideWhenUsed/>
    <w:rsid w:val="00470B3E"/>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MSSuperscript">
    <w:name w:val="BMS Superscript"/>
    <w:rsid w:val="00470B3E"/>
    <w:rPr>
      <w:sz w:val="28"/>
      <w:vertAlign w:val="superscript"/>
    </w:rPr>
  </w:style>
  <w:style w:type="paragraph" w:customStyle="1" w:styleId="BMSTableText">
    <w:name w:val="BMS Table Text"/>
    <w:link w:val="BMSTableTextChar"/>
    <w:rsid w:val="00470B3E"/>
    <w:pPr>
      <w:tabs>
        <w:tab w:val="left" w:pos="360"/>
      </w:tabs>
      <w:spacing w:before="60" w:after="60" w:line="240" w:lineRule="auto"/>
      <w:jc w:val="center"/>
    </w:pPr>
    <w:rPr>
      <w:rFonts w:ascii="Times New Roman" w:eastAsia="Times New Roman" w:hAnsi="Times New Roman" w:cs="Times New Roman"/>
      <w:sz w:val="20"/>
      <w:szCs w:val="20"/>
    </w:rPr>
  </w:style>
  <w:style w:type="character" w:customStyle="1" w:styleId="BMSTableTextChar">
    <w:name w:val="BMS Table Text Char"/>
    <w:link w:val="BMSTableText"/>
    <w:locked/>
    <w:rsid w:val="00470B3E"/>
    <w:rPr>
      <w:rFonts w:ascii="Times New Roman" w:eastAsia="Times New Roman" w:hAnsi="Times New Roman" w:cs="Times New Roman"/>
      <w:sz w:val="20"/>
      <w:szCs w:val="20"/>
    </w:rPr>
  </w:style>
  <w:style w:type="table" w:styleId="a4">
    <w:name w:val="Table Grid"/>
    <w:basedOn w:val="a1"/>
    <w:rsid w:val="00470B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3E"/>
    <w:pPr>
      <w:spacing w:after="0" w:line="240" w:lineRule="auto"/>
    </w:pPr>
    <w:rPr>
      <w:rFonts w:ascii="Arial" w:hAnsi="Arial" w:cs="New Yor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470B3E"/>
    <w:pPr>
      <w:ind w:left="720"/>
      <w:contextualSpacing/>
    </w:pPr>
  </w:style>
  <w:style w:type="paragraph" w:styleId="a3">
    <w:name w:val="Normal (Web)"/>
    <w:basedOn w:val="a"/>
    <w:uiPriority w:val="99"/>
    <w:unhideWhenUsed/>
    <w:rsid w:val="00470B3E"/>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MSSuperscript">
    <w:name w:val="BMS Superscript"/>
    <w:rsid w:val="00470B3E"/>
    <w:rPr>
      <w:sz w:val="28"/>
      <w:vertAlign w:val="superscript"/>
    </w:rPr>
  </w:style>
  <w:style w:type="paragraph" w:customStyle="1" w:styleId="BMSTableText">
    <w:name w:val="BMS Table Text"/>
    <w:link w:val="BMSTableTextChar"/>
    <w:rsid w:val="00470B3E"/>
    <w:pPr>
      <w:tabs>
        <w:tab w:val="left" w:pos="360"/>
      </w:tabs>
      <w:spacing w:before="60" w:after="60" w:line="240" w:lineRule="auto"/>
      <w:jc w:val="center"/>
    </w:pPr>
    <w:rPr>
      <w:rFonts w:ascii="Times New Roman" w:eastAsia="Times New Roman" w:hAnsi="Times New Roman" w:cs="Times New Roman"/>
      <w:sz w:val="20"/>
      <w:szCs w:val="20"/>
    </w:rPr>
  </w:style>
  <w:style w:type="character" w:customStyle="1" w:styleId="BMSTableTextChar">
    <w:name w:val="BMS Table Text Char"/>
    <w:link w:val="BMSTableText"/>
    <w:locked/>
    <w:rsid w:val="00470B3E"/>
    <w:rPr>
      <w:rFonts w:ascii="Times New Roman" w:eastAsia="Times New Roman" w:hAnsi="Times New Roman" w:cs="Times New Roman"/>
      <w:sz w:val="20"/>
      <w:szCs w:val="20"/>
    </w:rPr>
  </w:style>
  <w:style w:type="table" w:styleId="a4">
    <w:name w:val="Table Grid"/>
    <w:basedOn w:val="a1"/>
    <w:rsid w:val="00470B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Nucleus Global</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 Wallett (AS)</dc:creator>
  <cp:lastModifiedBy>tulipyu</cp:lastModifiedBy>
  <cp:revision>2</cp:revision>
  <dcterms:created xsi:type="dcterms:W3CDTF">2015-11-30T10:08:00Z</dcterms:created>
  <dcterms:modified xsi:type="dcterms:W3CDTF">2015-11-30T10:08:00Z</dcterms:modified>
</cp:coreProperties>
</file>