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13A" w:rsidRPr="00783FEF" w:rsidRDefault="00CB213A" w:rsidP="00783FEF">
      <w:pPr>
        <w:spacing w:line="360" w:lineRule="auto"/>
        <w:jc w:val="both"/>
        <w:rPr>
          <w:rFonts w:ascii="Book Antiqua" w:hAnsi="Book Antiqua" w:cs="SimSun"/>
          <w:b/>
          <w:i/>
          <w:lang w:eastAsia="zh-CN"/>
        </w:rPr>
      </w:pPr>
      <w:r w:rsidRPr="00783FEF">
        <w:rPr>
          <w:rFonts w:ascii="Book Antiqua" w:hAnsi="Book Antiqua" w:cs="SimSun"/>
          <w:b/>
        </w:rPr>
        <w:t xml:space="preserve">Name of </w:t>
      </w:r>
      <w:r w:rsidRPr="00783FEF">
        <w:rPr>
          <w:rFonts w:ascii="Book Antiqua" w:hAnsi="Book Antiqua" w:cs="SimSun"/>
          <w:b/>
          <w:caps/>
        </w:rPr>
        <w:t>j</w:t>
      </w:r>
      <w:r w:rsidRPr="00783FEF">
        <w:rPr>
          <w:rFonts w:ascii="Book Antiqua" w:hAnsi="Book Antiqua" w:cs="SimSun"/>
          <w:b/>
        </w:rPr>
        <w:t xml:space="preserve">ournal: </w:t>
      </w:r>
      <w:r w:rsidRPr="00783FEF">
        <w:rPr>
          <w:rFonts w:ascii="Book Antiqua" w:hAnsi="Book Antiqua" w:cs="SimSun"/>
          <w:b/>
          <w:i/>
        </w:rPr>
        <w:t>World Journal of Gastroenterology</w:t>
      </w:r>
    </w:p>
    <w:p w:rsidR="002700BE" w:rsidRPr="00783FEF" w:rsidRDefault="002700BE" w:rsidP="00783FEF">
      <w:pPr>
        <w:pStyle w:val="1"/>
        <w:spacing w:line="360" w:lineRule="auto"/>
        <w:jc w:val="both"/>
        <w:rPr>
          <w:rFonts w:ascii="Book Antiqua" w:hAnsi="Book Antiqua" w:cs="Times New Roman"/>
          <w:b/>
          <w:i/>
          <w:color w:val="auto"/>
          <w:highlight w:val="white"/>
          <w:lang w:eastAsia="zh-CN"/>
        </w:rPr>
      </w:pPr>
      <w:r w:rsidRPr="00783FEF">
        <w:rPr>
          <w:rFonts w:ascii="Book Antiqua" w:hAnsi="Book Antiqua" w:cs="Times New Roman"/>
          <w:b/>
          <w:color w:val="auto"/>
          <w:sz w:val="24"/>
          <w:highlight w:val="white"/>
          <w:lang w:eastAsia="zh-CN"/>
        </w:rPr>
        <w:t>ESPS Manuscript NO: 22388</w:t>
      </w:r>
    </w:p>
    <w:p w:rsidR="00CB213A" w:rsidRPr="00783FEF" w:rsidRDefault="00CB213A" w:rsidP="00783FEF">
      <w:pPr>
        <w:autoSpaceDE w:val="0"/>
        <w:autoSpaceDN w:val="0"/>
        <w:adjustRightInd w:val="0"/>
        <w:snapToGrid w:val="0"/>
        <w:spacing w:line="360" w:lineRule="auto"/>
        <w:jc w:val="both"/>
        <w:rPr>
          <w:rFonts w:ascii="Book Antiqua" w:eastAsia="YouYuan" w:hAnsi="Book Antiqua"/>
          <w:b/>
        </w:rPr>
      </w:pPr>
      <w:r w:rsidRPr="00783FEF">
        <w:rPr>
          <w:rFonts w:ascii="Book Antiqua" w:hAnsi="Book Antiqua"/>
          <w:b/>
          <w:shd w:val="clear" w:color="auto" w:fill="FFFFFF"/>
        </w:rPr>
        <w:t>Manuscript Type</w:t>
      </w:r>
      <w:r w:rsidRPr="00783FEF">
        <w:rPr>
          <w:rFonts w:ascii="Book Antiqua" w:hAnsi="Book Antiqua"/>
          <w:b/>
        </w:rPr>
        <w:t>:</w:t>
      </w:r>
      <w:r w:rsidR="00783FEF" w:rsidRPr="00783FEF">
        <w:rPr>
          <w:rFonts w:ascii="Book Antiqua" w:hAnsi="Book Antiqua"/>
          <w:b/>
          <w:lang w:eastAsia="zh-CN"/>
        </w:rPr>
        <w:t xml:space="preserve"> </w:t>
      </w:r>
      <w:r w:rsidRPr="00783FEF">
        <w:rPr>
          <w:rFonts w:ascii="Book Antiqua" w:eastAsia="YouYuan" w:hAnsi="Book Antiqua"/>
          <w:b/>
        </w:rPr>
        <w:t>REVIEW</w:t>
      </w:r>
    </w:p>
    <w:p w:rsidR="00D74C86" w:rsidRPr="00783FEF" w:rsidRDefault="00D74C86" w:rsidP="00783FEF">
      <w:pPr>
        <w:autoSpaceDE w:val="0"/>
        <w:autoSpaceDN w:val="0"/>
        <w:adjustRightInd w:val="0"/>
        <w:snapToGrid w:val="0"/>
        <w:spacing w:line="360" w:lineRule="auto"/>
        <w:jc w:val="both"/>
        <w:rPr>
          <w:rFonts w:ascii="Book Antiqua" w:eastAsia="STXihei" w:hAnsi="Book Antiqua" w:cs="Tahoma"/>
        </w:rPr>
      </w:pPr>
    </w:p>
    <w:p w:rsidR="009D46E4" w:rsidRPr="00783FEF" w:rsidRDefault="009D46E4" w:rsidP="00783FEF">
      <w:pPr>
        <w:spacing w:line="360" w:lineRule="auto"/>
        <w:jc w:val="both"/>
        <w:rPr>
          <w:rFonts w:ascii="Book Antiqua" w:hAnsi="Book Antiqua"/>
          <w:b/>
        </w:rPr>
      </w:pPr>
      <w:r w:rsidRPr="00783FEF">
        <w:rPr>
          <w:rFonts w:ascii="Book Antiqua" w:hAnsi="Book Antiqua"/>
          <w:b/>
          <w:i/>
        </w:rPr>
        <w:t>De novo</w:t>
      </w:r>
      <w:r w:rsidRPr="00783FEF">
        <w:rPr>
          <w:rFonts w:ascii="Book Antiqua" w:hAnsi="Book Antiqua"/>
          <w:b/>
        </w:rPr>
        <w:t xml:space="preserve"> autoimmune </w:t>
      </w:r>
      <w:r w:rsidR="00FD2FCF" w:rsidRPr="00783FEF">
        <w:rPr>
          <w:rFonts w:ascii="Book Antiqua" w:hAnsi="Book Antiqua"/>
          <w:b/>
        </w:rPr>
        <w:t xml:space="preserve">hepatitis in liver transplant: </w:t>
      </w:r>
      <w:r w:rsidR="003F5C72" w:rsidRPr="00783FEF">
        <w:rPr>
          <w:rFonts w:ascii="Book Antiqua" w:hAnsi="Book Antiqua"/>
          <w:b/>
        </w:rPr>
        <w:t>S</w:t>
      </w:r>
      <w:r w:rsidRPr="00783FEF">
        <w:rPr>
          <w:rFonts w:ascii="Book Antiqua" w:hAnsi="Book Antiqua"/>
          <w:b/>
        </w:rPr>
        <w:t>tate-of-the-art review</w:t>
      </w:r>
    </w:p>
    <w:p w:rsidR="00D74C86" w:rsidRPr="00783FEF" w:rsidRDefault="00D74C86" w:rsidP="00783FEF">
      <w:pPr>
        <w:spacing w:line="360" w:lineRule="auto"/>
        <w:jc w:val="both"/>
        <w:rPr>
          <w:rFonts w:ascii="Book Antiqua" w:hAnsi="Book Antiqua"/>
          <w:b/>
        </w:rPr>
      </w:pPr>
    </w:p>
    <w:p w:rsidR="00FD2FCF" w:rsidRPr="00783FEF" w:rsidRDefault="00D74C86" w:rsidP="00783FEF">
      <w:pPr>
        <w:spacing w:line="360" w:lineRule="auto"/>
        <w:jc w:val="both"/>
        <w:rPr>
          <w:rFonts w:ascii="Book Antiqua" w:hAnsi="Book Antiqua"/>
          <w:lang w:val="it-IT"/>
        </w:rPr>
      </w:pPr>
      <w:r w:rsidRPr="00783FEF">
        <w:rPr>
          <w:rFonts w:ascii="Book Antiqua" w:hAnsi="Book Antiqua"/>
          <w:lang w:val="it-IT"/>
        </w:rPr>
        <w:t>Vukotic R</w:t>
      </w:r>
      <w:r w:rsidRPr="00783FEF">
        <w:rPr>
          <w:rFonts w:ascii="Book Antiqua" w:hAnsi="Book Antiqua"/>
          <w:b/>
          <w:lang w:val="it-IT"/>
        </w:rPr>
        <w:t xml:space="preserve"> </w:t>
      </w:r>
      <w:r w:rsidRPr="00700212">
        <w:rPr>
          <w:rFonts w:ascii="Book Antiqua" w:hAnsi="Book Antiqua"/>
          <w:i/>
          <w:lang w:val="it-IT"/>
        </w:rPr>
        <w:t>et al.</w:t>
      </w:r>
      <w:r w:rsidRPr="00783FEF">
        <w:rPr>
          <w:rFonts w:ascii="Book Antiqua" w:hAnsi="Book Antiqua"/>
          <w:b/>
          <w:lang w:val="it-IT"/>
        </w:rPr>
        <w:t xml:space="preserve"> </w:t>
      </w:r>
      <w:r w:rsidR="00FD2FCF" w:rsidRPr="00783FEF">
        <w:rPr>
          <w:rFonts w:ascii="Book Antiqua" w:hAnsi="Book Antiqua"/>
          <w:i/>
          <w:lang w:val="it-IT"/>
        </w:rPr>
        <w:t>De novo</w:t>
      </w:r>
      <w:r w:rsidR="00FD2FCF" w:rsidRPr="00783FEF">
        <w:rPr>
          <w:rFonts w:ascii="Book Antiqua" w:hAnsi="Book Antiqua"/>
          <w:lang w:val="it-IT"/>
        </w:rPr>
        <w:t xml:space="preserve"> autoimmune hepatitis</w:t>
      </w:r>
    </w:p>
    <w:p w:rsidR="00180AFD" w:rsidRPr="00783FEF" w:rsidRDefault="00180AFD" w:rsidP="00783FEF">
      <w:pPr>
        <w:spacing w:line="360" w:lineRule="auto"/>
        <w:jc w:val="both"/>
        <w:rPr>
          <w:rFonts w:ascii="Book Antiqua" w:hAnsi="Book Antiqua"/>
          <w:lang w:val="it-IT"/>
        </w:rPr>
      </w:pPr>
    </w:p>
    <w:p w:rsidR="001A7A03" w:rsidRPr="00783FEF" w:rsidRDefault="00180AFD" w:rsidP="00783FEF">
      <w:pPr>
        <w:spacing w:line="360" w:lineRule="auto"/>
        <w:jc w:val="both"/>
        <w:rPr>
          <w:rFonts w:ascii="Book Antiqua" w:hAnsi="Book Antiqua"/>
          <w:b/>
          <w:lang w:val="it-IT"/>
        </w:rPr>
      </w:pPr>
      <w:r w:rsidRPr="00783FEF">
        <w:rPr>
          <w:rFonts w:ascii="Book Antiqua" w:hAnsi="Book Antiqua"/>
          <w:b/>
          <w:lang w:val="it-IT"/>
        </w:rPr>
        <w:t>Ranka Vukotic, Giovanni Vitale, Antonia D’Errico-Grigioni, Luigi Muratori</w:t>
      </w:r>
      <w:r w:rsidR="00F41E66">
        <w:rPr>
          <w:rFonts w:ascii="Book Antiqua" w:hAnsi="Book Antiqua" w:hint="eastAsia"/>
          <w:b/>
          <w:lang w:val="it-IT" w:eastAsia="zh-CN"/>
        </w:rPr>
        <w:t xml:space="preserve">, </w:t>
      </w:r>
      <w:r w:rsidRPr="00783FEF">
        <w:rPr>
          <w:rFonts w:ascii="Book Antiqua" w:hAnsi="Book Antiqua"/>
          <w:b/>
          <w:lang w:val="it-IT"/>
        </w:rPr>
        <w:t>Pietro Andreone</w:t>
      </w:r>
    </w:p>
    <w:p w:rsidR="001A7A03" w:rsidRPr="00783FEF" w:rsidRDefault="001A7A03" w:rsidP="00783FEF">
      <w:pPr>
        <w:spacing w:line="360" w:lineRule="auto"/>
        <w:jc w:val="both"/>
        <w:rPr>
          <w:rFonts w:ascii="Book Antiqua" w:hAnsi="Book Antiqua"/>
          <w:lang w:val="it-IT"/>
        </w:rPr>
      </w:pPr>
    </w:p>
    <w:p w:rsidR="00E65C6F" w:rsidRPr="00783FEF" w:rsidRDefault="009D46E4" w:rsidP="00783FEF">
      <w:pPr>
        <w:spacing w:line="360" w:lineRule="auto"/>
        <w:jc w:val="both"/>
        <w:rPr>
          <w:rFonts w:ascii="Book Antiqua" w:hAnsi="Book Antiqua"/>
          <w:b/>
          <w:lang w:val="it-IT" w:eastAsia="zh-CN"/>
        </w:rPr>
      </w:pPr>
      <w:r w:rsidRPr="00783FEF">
        <w:rPr>
          <w:rFonts w:ascii="Book Antiqua" w:hAnsi="Book Antiqua"/>
          <w:b/>
          <w:lang w:val="it-IT"/>
        </w:rPr>
        <w:t>Ranka Vukotic, Giovanni Vitale</w:t>
      </w:r>
      <w:r w:rsidR="001B5838" w:rsidRPr="00783FEF">
        <w:rPr>
          <w:rFonts w:ascii="Book Antiqua" w:hAnsi="Book Antiqua"/>
          <w:b/>
          <w:lang w:val="it-IT"/>
        </w:rPr>
        <w:t>, Luigi Muratori</w:t>
      </w:r>
      <w:r w:rsidR="00D74C86" w:rsidRPr="00783FEF">
        <w:rPr>
          <w:rFonts w:ascii="Book Antiqua" w:hAnsi="Book Antiqua"/>
          <w:b/>
          <w:lang w:val="it-IT"/>
        </w:rPr>
        <w:t>,</w:t>
      </w:r>
      <w:r w:rsidR="001B5838" w:rsidRPr="00783FEF">
        <w:rPr>
          <w:rFonts w:ascii="Book Antiqua" w:hAnsi="Book Antiqua"/>
          <w:b/>
          <w:lang w:val="it-IT"/>
        </w:rPr>
        <w:t xml:space="preserve"> </w:t>
      </w:r>
      <w:r w:rsidRPr="00783FEF">
        <w:rPr>
          <w:rFonts w:ascii="Book Antiqua" w:hAnsi="Book Antiqua"/>
          <w:b/>
          <w:lang w:val="it-IT"/>
        </w:rPr>
        <w:t>Pietro Andreone</w:t>
      </w:r>
      <w:r w:rsidR="00783FEF">
        <w:rPr>
          <w:rFonts w:ascii="Book Antiqua" w:hAnsi="Book Antiqua" w:hint="eastAsia"/>
          <w:b/>
          <w:lang w:val="it-IT" w:eastAsia="zh-CN"/>
        </w:rPr>
        <w:t xml:space="preserve">, </w:t>
      </w:r>
      <w:r w:rsidRPr="00783FEF">
        <w:rPr>
          <w:rFonts w:ascii="Book Antiqua" w:hAnsi="Book Antiqua"/>
          <w:bCs/>
          <w:lang w:val="it-IT"/>
        </w:rPr>
        <w:t>Dipartimento di Scienze Mediche e Chirurgiche</w:t>
      </w:r>
      <w:r w:rsidR="00E65C6F" w:rsidRPr="00783FEF">
        <w:rPr>
          <w:rFonts w:ascii="Book Antiqua" w:hAnsi="Book Antiqua"/>
          <w:bCs/>
          <w:lang w:val="it-IT"/>
        </w:rPr>
        <w:t>, Università di Bologna, Policlinico Sant’Orsola-Malpighi, 40138 Bologna, Italy</w:t>
      </w:r>
    </w:p>
    <w:p w:rsidR="00783FEF" w:rsidRPr="00F41E66" w:rsidRDefault="00783FEF" w:rsidP="00783FEF">
      <w:pPr>
        <w:spacing w:line="360" w:lineRule="auto"/>
        <w:jc w:val="both"/>
        <w:rPr>
          <w:rFonts w:ascii="Book Antiqua" w:hAnsi="Book Antiqua"/>
          <w:b/>
          <w:lang w:val="it-IT" w:eastAsia="zh-CN"/>
        </w:rPr>
      </w:pPr>
    </w:p>
    <w:p w:rsidR="00E65C6F" w:rsidRPr="00783FEF" w:rsidRDefault="00E65C6F" w:rsidP="00783FEF">
      <w:pPr>
        <w:spacing w:line="360" w:lineRule="auto"/>
        <w:jc w:val="both"/>
        <w:rPr>
          <w:rFonts w:ascii="Book Antiqua" w:hAnsi="Book Antiqua"/>
          <w:b/>
          <w:vertAlign w:val="superscript"/>
          <w:lang w:val="it-IT" w:eastAsia="zh-CN"/>
        </w:rPr>
      </w:pPr>
      <w:r w:rsidRPr="00783FEF">
        <w:rPr>
          <w:rFonts w:ascii="Book Antiqua" w:hAnsi="Book Antiqua"/>
          <w:b/>
          <w:lang w:val="it-IT"/>
        </w:rPr>
        <w:t>Antonia D’Errico-Grigioni</w:t>
      </w:r>
      <w:r w:rsidR="00783FEF" w:rsidRPr="00783FEF">
        <w:rPr>
          <w:rFonts w:ascii="Book Antiqua" w:hAnsi="Book Antiqua" w:hint="eastAsia"/>
          <w:b/>
          <w:lang w:val="it-IT" w:eastAsia="zh-CN"/>
        </w:rPr>
        <w:t>,</w:t>
      </w:r>
      <w:r w:rsidR="00783FEF">
        <w:rPr>
          <w:rFonts w:ascii="Book Antiqua" w:hAnsi="Book Antiqua" w:hint="eastAsia"/>
          <w:b/>
          <w:vertAlign w:val="superscript"/>
          <w:lang w:val="it-IT" w:eastAsia="zh-CN"/>
        </w:rPr>
        <w:t xml:space="preserve"> </w:t>
      </w:r>
      <w:r w:rsidR="00E970BA" w:rsidRPr="00783FEF">
        <w:rPr>
          <w:rFonts w:ascii="Book Antiqua" w:hAnsi="Book Antiqua"/>
          <w:bCs/>
          <w:lang w:val="it-IT"/>
        </w:rPr>
        <w:t>Dipartimento di Medicina Specialistica, Diagnostica e Sperimentale</w:t>
      </w:r>
      <w:r w:rsidRPr="00783FEF">
        <w:rPr>
          <w:rFonts w:ascii="Book Antiqua" w:hAnsi="Book Antiqua"/>
          <w:bCs/>
          <w:lang w:val="it-IT"/>
        </w:rPr>
        <w:t>,</w:t>
      </w:r>
      <w:r w:rsidR="009D46E4" w:rsidRPr="00783FEF">
        <w:rPr>
          <w:rFonts w:ascii="Book Antiqua" w:hAnsi="Book Antiqua"/>
          <w:bCs/>
          <w:lang w:val="it-IT"/>
        </w:rPr>
        <w:t xml:space="preserve"> Università di Bologna, </w:t>
      </w:r>
      <w:r w:rsidR="00FE2FE3" w:rsidRPr="00783FEF">
        <w:rPr>
          <w:rFonts w:ascii="Book Antiqua" w:hAnsi="Book Antiqua"/>
          <w:bCs/>
          <w:lang w:val="it-IT"/>
        </w:rPr>
        <w:t xml:space="preserve">“F. Addarii” Institute of Oncology and Transplantation Pathology, </w:t>
      </w:r>
      <w:r w:rsidR="00C1589D" w:rsidRPr="00783FEF">
        <w:rPr>
          <w:rFonts w:ascii="Book Antiqua" w:hAnsi="Book Antiqua"/>
          <w:bCs/>
          <w:lang w:val="it-IT"/>
        </w:rPr>
        <w:t>Policlinico Sant’Orsola-Malpighi,</w:t>
      </w:r>
      <w:r w:rsidR="00783FEF">
        <w:rPr>
          <w:rFonts w:ascii="Book Antiqua" w:hAnsi="Book Antiqua" w:hint="eastAsia"/>
          <w:bCs/>
          <w:lang w:val="it-IT" w:eastAsia="zh-CN"/>
        </w:rPr>
        <w:t xml:space="preserve"> </w:t>
      </w:r>
      <w:r w:rsidR="009D46E4" w:rsidRPr="00783FEF">
        <w:rPr>
          <w:rFonts w:ascii="Book Antiqua" w:hAnsi="Book Antiqua"/>
          <w:bCs/>
          <w:lang w:val="it-IT"/>
        </w:rPr>
        <w:t>40138 Bologna, Italy</w:t>
      </w:r>
    </w:p>
    <w:p w:rsidR="00D74C86" w:rsidRPr="00783FEF" w:rsidRDefault="00D74C86" w:rsidP="00783FEF">
      <w:pPr>
        <w:spacing w:line="360" w:lineRule="auto"/>
        <w:jc w:val="both"/>
        <w:rPr>
          <w:rFonts w:ascii="Book Antiqua" w:hAnsi="Book Antiqua"/>
          <w:bCs/>
          <w:lang w:val="it-IT"/>
        </w:rPr>
      </w:pPr>
    </w:p>
    <w:p w:rsidR="00E1696D" w:rsidRPr="00783FEF" w:rsidRDefault="00254DA9" w:rsidP="00783FEF">
      <w:pPr>
        <w:autoSpaceDE w:val="0"/>
        <w:autoSpaceDN w:val="0"/>
        <w:adjustRightInd w:val="0"/>
        <w:spacing w:line="360" w:lineRule="auto"/>
        <w:jc w:val="both"/>
        <w:rPr>
          <w:rFonts w:ascii="Book Antiqua" w:hAnsi="Book Antiqua"/>
        </w:rPr>
      </w:pPr>
      <w:r w:rsidRPr="00783FEF">
        <w:rPr>
          <w:rFonts w:ascii="Book Antiqua" w:hAnsi="Book Antiqua"/>
          <w:b/>
        </w:rPr>
        <w:t>Author contributions:</w:t>
      </w:r>
      <w:r w:rsidR="00783FEF">
        <w:rPr>
          <w:rFonts w:ascii="Book Antiqua" w:hAnsi="Book Antiqua" w:hint="eastAsia"/>
          <w:b/>
          <w:lang w:eastAsia="zh-CN"/>
        </w:rPr>
        <w:t xml:space="preserve"> </w:t>
      </w:r>
      <w:r w:rsidR="009D46E4" w:rsidRPr="00783FEF">
        <w:rPr>
          <w:rFonts w:ascii="Book Antiqua" w:hAnsi="Book Antiqua"/>
        </w:rPr>
        <w:t>Vukotic R</w:t>
      </w:r>
      <w:r w:rsidR="00CA2563" w:rsidRPr="00783FEF">
        <w:rPr>
          <w:rFonts w:ascii="Book Antiqua" w:hAnsi="Book Antiqua"/>
        </w:rPr>
        <w:t xml:space="preserve"> </w:t>
      </w:r>
      <w:r w:rsidR="00C645E9" w:rsidRPr="00783FEF">
        <w:rPr>
          <w:rFonts w:ascii="Book Antiqua" w:hAnsi="Book Antiqua"/>
        </w:rPr>
        <w:t xml:space="preserve">performed </w:t>
      </w:r>
      <w:r w:rsidR="00C3018F" w:rsidRPr="00783FEF">
        <w:rPr>
          <w:rFonts w:ascii="Book Antiqua" w:hAnsi="Book Antiqua"/>
        </w:rPr>
        <w:t>the search</w:t>
      </w:r>
      <w:r w:rsidR="00000B42" w:rsidRPr="00783FEF">
        <w:rPr>
          <w:rFonts w:ascii="Book Antiqua" w:hAnsi="Book Antiqua"/>
        </w:rPr>
        <w:t xml:space="preserve"> and</w:t>
      </w:r>
      <w:r w:rsidR="008026BF" w:rsidRPr="00783FEF">
        <w:rPr>
          <w:rFonts w:ascii="Book Antiqua" w:hAnsi="Book Antiqua"/>
        </w:rPr>
        <w:t xml:space="preserve"> </w:t>
      </w:r>
      <w:r w:rsidR="00952ED2" w:rsidRPr="00783FEF">
        <w:rPr>
          <w:rFonts w:ascii="Book Antiqua" w:hAnsi="Book Antiqua"/>
        </w:rPr>
        <w:t>review</w:t>
      </w:r>
      <w:r w:rsidR="008026BF" w:rsidRPr="00783FEF">
        <w:rPr>
          <w:rFonts w:ascii="Book Antiqua" w:hAnsi="Book Antiqua"/>
        </w:rPr>
        <w:t xml:space="preserve"> of </w:t>
      </w:r>
      <w:r w:rsidR="00C645E9" w:rsidRPr="00783FEF">
        <w:rPr>
          <w:rFonts w:ascii="Book Antiqua" w:hAnsi="Book Antiqua"/>
        </w:rPr>
        <w:t xml:space="preserve">the literature data </w:t>
      </w:r>
      <w:r w:rsidR="003E298D" w:rsidRPr="00783FEF">
        <w:rPr>
          <w:rFonts w:ascii="Book Antiqua" w:hAnsi="Book Antiqua"/>
        </w:rPr>
        <w:t>and</w:t>
      </w:r>
      <w:r w:rsidR="00C645E9" w:rsidRPr="00783FEF">
        <w:rPr>
          <w:rFonts w:ascii="Book Antiqua" w:hAnsi="Book Antiqua"/>
        </w:rPr>
        <w:t xml:space="preserve"> drafted the manuscript; Vitale G contributed to the </w:t>
      </w:r>
      <w:r w:rsidR="00000B42" w:rsidRPr="00783FEF">
        <w:rPr>
          <w:rFonts w:ascii="Book Antiqua" w:hAnsi="Book Antiqua"/>
        </w:rPr>
        <w:t xml:space="preserve">search and review of the </w:t>
      </w:r>
      <w:r w:rsidR="00C645E9" w:rsidRPr="00783FEF">
        <w:rPr>
          <w:rFonts w:ascii="Book Antiqua" w:hAnsi="Book Antiqua"/>
        </w:rPr>
        <w:t xml:space="preserve">literature </w:t>
      </w:r>
      <w:r w:rsidR="002F2264" w:rsidRPr="00783FEF">
        <w:rPr>
          <w:rFonts w:ascii="Book Antiqua" w:hAnsi="Book Antiqua"/>
        </w:rPr>
        <w:t>and revised the draft</w:t>
      </w:r>
      <w:r w:rsidR="007A61CC" w:rsidRPr="00783FEF">
        <w:rPr>
          <w:rFonts w:ascii="Book Antiqua" w:hAnsi="Book Antiqua"/>
        </w:rPr>
        <w:t>;</w:t>
      </w:r>
      <w:r w:rsidR="00C645E9" w:rsidRPr="00783FEF">
        <w:rPr>
          <w:rFonts w:ascii="Book Antiqua" w:hAnsi="Book Antiqua" w:cs="Tahoma"/>
          <w:spacing w:val="-5"/>
        </w:rPr>
        <w:t xml:space="preserve"> </w:t>
      </w:r>
      <w:r w:rsidR="001B5838" w:rsidRPr="00783FEF">
        <w:rPr>
          <w:rFonts w:ascii="Book Antiqua" w:hAnsi="Book Antiqua" w:cs="Tahoma"/>
          <w:spacing w:val="-5"/>
        </w:rPr>
        <w:t>D’</w:t>
      </w:r>
      <w:r w:rsidR="000F3B26" w:rsidRPr="00783FEF">
        <w:rPr>
          <w:rFonts w:ascii="Book Antiqua" w:hAnsi="Book Antiqua" w:cs="Tahoma"/>
          <w:spacing w:val="-5"/>
        </w:rPr>
        <w:t>Errico</w:t>
      </w:r>
      <w:r w:rsidR="000F3B26" w:rsidRPr="00783FEF">
        <w:rPr>
          <w:rFonts w:ascii="Book Antiqua" w:hAnsi="Book Antiqua" w:cs="Tahoma"/>
          <w:spacing w:val="-5"/>
          <w:lang w:eastAsia="zh-CN"/>
        </w:rPr>
        <w:t>-</w:t>
      </w:r>
      <w:r w:rsidR="001B5838" w:rsidRPr="00783FEF">
        <w:rPr>
          <w:rFonts w:ascii="Book Antiqua" w:hAnsi="Book Antiqua" w:cs="Tahoma"/>
          <w:spacing w:val="-5"/>
        </w:rPr>
        <w:t xml:space="preserve">Grigioni A provided histological specimens images, their interpretation and description; Muratori L </w:t>
      </w:r>
      <w:r w:rsidR="001B5838" w:rsidRPr="00783FEF">
        <w:rPr>
          <w:rFonts w:ascii="Book Antiqua" w:hAnsi="Book Antiqua"/>
        </w:rPr>
        <w:t xml:space="preserve">contributed to the expert </w:t>
      </w:r>
      <w:r w:rsidR="00952ED2" w:rsidRPr="00783FEF">
        <w:rPr>
          <w:rFonts w:ascii="Book Antiqua" w:hAnsi="Book Antiqua"/>
        </w:rPr>
        <w:t xml:space="preserve">review </w:t>
      </w:r>
      <w:r w:rsidR="001B5838" w:rsidRPr="00783FEF">
        <w:rPr>
          <w:rFonts w:ascii="Book Antiqua" w:hAnsi="Book Antiqua"/>
        </w:rPr>
        <w:t>of the</w:t>
      </w:r>
      <w:r w:rsidR="001B5838" w:rsidRPr="00783FEF">
        <w:rPr>
          <w:rFonts w:ascii="Book Antiqua" w:hAnsi="Book Antiqua" w:cs="Tahoma"/>
          <w:spacing w:val="-5"/>
        </w:rPr>
        <w:t xml:space="preserve"> </w:t>
      </w:r>
      <w:r w:rsidR="001B5838" w:rsidRPr="00783FEF">
        <w:rPr>
          <w:rFonts w:ascii="Book Antiqua" w:hAnsi="Book Antiqua"/>
        </w:rPr>
        <w:t xml:space="preserve">literature data </w:t>
      </w:r>
      <w:r w:rsidR="001B5838" w:rsidRPr="00783FEF">
        <w:rPr>
          <w:rFonts w:ascii="Book Antiqua" w:hAnsi="Book Antiqua" w:cs="Tahoma"/>
          <w:spacing w:val="-5"/>
        </w:rPr>
        <w:t xml:space="preserve">and </w:t>
      </w:r>
      <w:r w:rsidR="00952ED2" w:rsidRPr="00783FEF">
        <w:rPr>
          <w:rFonts w:ascii="Book Antiqua" w:hAnsi="Book Antiqua" w:cs="Tahoma"/>
          <w:spacing w:val="-5"/>
        </w:rPr>
        <w:t xml:space="preserve">critically analyzed </w:t>
      </w:r>
      <w:r w:rsidR="001B5838" w:rsidRPr="00783FEF">
        <w:rPr>
          <w:rFonts w:ascii="Book Antiqua" w:hAnsi="Book Antiqua" w:cs="Tahoma"/>
          <w:spacing w:val="-5"/>
        </w:rPr>
        <w:t xml:space="preserve">the manuscript for its scientific content; </w:t>
      </w:r>
      <w:r w:rsidR="007A61CC" w:rsidRPr="00783FEF">
        <w:rPr>
          <w:rFonts w:ascii="Book Antiqua" w:hAnsi="Book Antiqua"/>
        </w:rPr>
        <w:t xml:space="preserve">Andreone P </w:t>
      </w:r>
      <w:r w:rsidR="00C645E9" w:rsidRPr="00783FEF">
        <w:rPr>
          <w:rFonts w:ascii="Book Antiqua" w:hAnsi="Book Antiqua"/>
        </w:rPr>
        <w:t xml:space="preserve">contributed to the </w:t>
      </w:r>
      <w:r w:rsidR="002F3A64" w:rsidRPr="00783FEF">
        <w:rPr>
          <w:rFonts w:ascii="Book Antiqua" w:hAnsi="Book Antiqua"/>
        </w:rPr>
        <w:t xml:space="preserve">review and </w:t>
      </w:r>
      <w:r w:rsidR="00C645E9" w:rsidRPr="00783FEF">
        <w:rPr>
          <w:rFonts w:ascii="Book Antiqua" w:hAnsi="Book Antiqua"/>
        </w:rPr>
        <w:t xml:space="preserve">interpretation of the </w:t>
      </w:r>
      <w:r w:rsidR="00952ED2" w:rsidRPr="00783FEF">
        <w:rPr>
          <w:rFonts w:ascii="Book Antiqua" w:hAnsi="Book Antiqua"/>
        </w:rPr>
        <w:t>literature</w:t>
      </w:r>
      <w:r w:rsidR="00D83731" w:rsidRPr="00783FEF">
        <w:rPr>
          <w:rFonts w:ascii="Book Antiqua" w:hAnsi="Book Antiqua"/>
        </w:rPr>
        <w:t>, revised</w:t>
      </w:r>
      <w:r w:rsidR="00C645E9" w:rsidRPr="00783FEF">
        <w:rPr>
          <w:rFonts w:ascii="Book Antiqua" w:hAnsi="Book Antiqua"/>
        </w:rPr>
        <w:t xml:space="preserve"> the draft for </w:t>
      </w:r>
      <w:r w:rsidR="003E298D" w:rsidRPr="00783FEF">
        <w:rPr>
          <w:rFonts w:ascii="Book Antiqua" w:hAnsi="Book Antiqua"/>
        </w:rPr>
        <w:t xml:space="preserve">its </w:t>
      </w:r>
      <w:r w:rsidR="00ED1633" w:rsidRPr="00783FEF">
        <w:rPr>
          <w:rFonts w:ascii="Book Antiqua" w:hAnsi="Book Antiqua"/>
        </w:rPr>
        <w:t xml:space="preserve">intellectual and </w:t>
      </w:r>
      <w:r w:rsidR="00952ED2" w:rsidRPr="00783FEF">
        <w:rPr>
          <w:rFonts w:ascii="Book Antiqua" w:hAnsi="Book Antiqua"/>
        </w:rPr>
        <w:t xml:space="preserve">scientific </w:t>
      </w:r>
      <w:r w:rsidR="00C645E9" w:rsidRPr="00783FEF">
        <w:rPr>
          <w:rFonts w:ascii="Book Antiqua" w:hAnsi="Book Antiqua"/>
        </w:rPr>
        <w:t>content and is the guarantor of this review article</w:t>
      </w:r>
      <w:r w:rsidR="00783FEF">
        <w:rPr>
          <w:rFonts w:ascii="Book Antiqua" w:hAnsi="Book Antiqua" w:hint="eastAsia"/>
          <w:lang w:eastAsia="zh-CN"/>
        </w:rPr>
        <w:t xml:space="preserve">; </w:t>
      </w:r>
      <w:r w:rsidR="00783FEF" w:rsidRPr="00783FEF">
        <w:rPr>
          <w:rFonts w:ascii="Book Antiqua" w:hAnsi="Book Antiqua"/>
        </w:rPr>
        <w:t>a</w:t>
      </w:r>
      <w:r w:rsidR="00C645E9" w:rsidRPr="00783FEF">
        <w:rPr>
          <w:rFonts w:ascii="Book Antiqua" w:hAnsi="Book Antiqua"/>
        </w:rPr>
        <w:t>ll authors approved the final version of the manu</w:t>
      </w:r>
      <w:r w:rsidR="007A61CC" w:rsidRPr="00783FEF">
        <w:rPr>
          <w:rFonts w:ascii="Book Antiqua" w:hAnsi="Book Antiqua"/>
        </w:rPr>
        <w:t>script.</w:t>
      </w:r>
    </w:p>
    <w:p w:rsidR="000F3B26" w:rsidRPr="00783FEF" w:rsidRDefault="000F3B26" w:rsidP="00783FEF">
      <w:pPr>
        <w:autoSpaceDE w:val="0"/>
        <w:autoSpaceDN w:val="0"/>
        <w:adjustRightInd w:val="0"/>
        <w:spacing w:line="360" w:lineRule="auto"/>
        <w:jc w:val="both"/>
        <w:rPr>
          <w:rFonts w:ascii="Book Antiqua" w:hAnsi="Book Antiqua"/>
          <w:b/>
          <w:color w:val="000000"/>
          <w:lang w:eastAsia="zh-CN"/>
        </w:rPr>
      </w:pPr>
    </w:p>
    <w:p w:rsidR="00E1696D" w:rsidRPr="00783FEF" w:rsidRDefault="00E1696D" w:rsidP="00783FEF">
      <w:pPr>
        <w:autoSpaceDE w:val="0"/>
        <w:autoSpaceDN w:val="0"/>
        <w:adjustRightInd w:val="0"/>
        <w:spacing w:line="360" w:lineRule="auto"/>
        <w:jc w:val="both"/>
        <w:rPr>
          <w:rFonts w:ascii="Book Antiqua" w:hAnsi="Book Antiqua"/>
          <w:color w:val="000000"/>
        </w:rPr>
      </w:pPr>
      <w:r w:rsidRPr="00783FEF">
        <w:rPr>
          <w:rFonts w:ascii="Book Antiqua" w:hAnsi="Book Antiqua"/>
          <w:b/>
          <w:color w:val="000000"/>
        </w:rPr>
        <w:lastRenderedPageBreak/>
        <w:t>Conflict-of-interest statement:</w:t>
      </w:r>
      <w:r w:rsidR="009D46E4" w:rsidRPr="00783FEF">
        <w:rPr>
          <w:rFonts w:ascii="Book Antiqua" w:hAnsi="Book Antiqua"/>
          <w:b/>
          <w:color w:val="000000"/>
        </w:rPr>
        <w:t xml:space="preserve"> </w:t>
      </w:r>
      <w:r w:rsidR="002F579C" w:rsidRPr="00783FEF">
        <w:rPr>
          <w:rFonts w:ascii="Book Antiqua" w:hAnsi="Book Antiqua"/>
          <w:color w:val="000000"/>
        </w:rPr>
        <w:t>The Authors</w:t>
      </w:r>
      <w:r w:rsidR="00180AFD" w:rsidRPr="00783FEF">
        <w:rPr>
          <w:rFonts w:ascii="Book Antiqua" w:hAnsi="Book Antiqua"/>
          <w:color w:val="000000"/>
        </w:rPr>
        <w:t xml:space="preserve"> </w:t>
      </w:r>
      <w:r w:rsidR="00CA2563" w:rsidRPr="00783FEF">
        <w:rPr>
          <w:rFonts w:ascii="Book Antiqua" w:hAnsi="Book Antiqua"/>
          <w:color w:val="000000"/>
        </w:rPr>
        <w:t>have no co</w:t>
      </w:r>
      <w:r w:rsidR="002F579C" w:rsidRPr="00783FEF">
        <w:rPr>
          <w:rFonts w:ascii="Book Antiqua" w:hAnsi="Book Antiqua"/>
          <w:color w:val="000000"/>
        </w:rPr>
        <w:t>nflicts of interest to declare with concerns to this manuscript.</w:t>
      </w:r>
    </w:p>
    <w:p w:rsidR="00783FEF" w:rsidRDefault="00783FEF" w:rsidP="00783FEF">
      <w:pPr>
        <w:pStyle w:val="1"/>
        <w:spacing w:line="360" w:lineRule="auto"/>
        <w:jc w:val="both"/>
        <w:rPr>
          <w:rFonts w:ascii="Book Antiqua" w:hAnsi="Book Antiqua" w:cs="Times New Roman"/>
          <w:b/>
          <w:bCs/>
          <w:color w:val="auto"/>
          <w:sz w:val="24"/>
          <w:highlight w:val="white"/>
          <w:lang w:val="en-US" w:eastAsia="zh-CN"/>
        </w:rPr>
      </w:pPr>
      <w:bookmarkStart w:id="0" w:name="OLE_LINK441"/>
      <w:bookmarkStart w:id="1" w:name="OLE_LINK442"/>
      <w:bookmarkStart w:id="2" w:name="OLE_LINK1032"/>
      <w:bookmarkStart w:id="3" w:name="OLE_LINK1232"/>
    </w:p>
    <w:p w:rsidR="00783FEF" w:rsidRPr="00005305" w:rsidRDefault="00783FEF" w:rsidP="00783FEF">
      <w:pPr>
        <w:pStyle w:val="1"/>
        <w:spacing w:line="360" w:lineRule="auto"/>
        <w:jc w:val="both"/>
        <w:rPr>
          <w:rFonts w:ascii="Book Antiqua" w:hAnsi="Book Antiqua" w:cs="Times New Roman"/>
          <w:bCs/>
          <w:color w:val="auto"/>
          <w:sz w:val="24"/>
          <w:highlight w:val="white"/>
          <w:lang w:val="en-US"/>
        </w:rPr>
      </w:pPr>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4" w:name="OLE_LINK479"/>
      <w:bookmarkStart w:id="5" w:name="OLE_LINK496"/>
      <w:bookmarkStart w:id="6" w:name="OLE_LINK506"/>
      <w:bookmarkStart w:id="7"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417F">
          <w:rPr>
            <w:rStyle w:val="Hyperlink"/>
            <w:rFonts w:ascii="Book Antiqua" w:hAnsi="Book Antiqua" w:cs="Times New Roman"/>
            <w:bCs/>
            <w:color w:val="auto"/>
            <w:sz w:val="24"/>
            <w:highlight w:val="white"/>
            <w:lang w:val="en-US"/>
          </w:rPr>
          <w:t>http://creativecommons.org/licenses/by-nc/4.0/</w:t>
        </w:r>
      </w:hyperlink>
      <w:bookmarkEnd w:id="4"/>
      <w:bookmarkEnd w:id="5"/>
      <w:bookmarkEnd w:id="6"/>
      <w:bookmarkEnd w:id="7"/>
    </w:p>
    <w:bookmarkEnd w:id="0"/>
    <w:bookmarkEnd w:id="1"/>
    <w:bookmarkEnd w:id="2"/>
    <w:bookmarkEnd w:id="3"/>
    <w:p w:rsidR="000F3B26" w:rsidRPr="00783FEF" w:rsidRDefault="000F3B26" w:rsidP="00783FEF">
      <w:pPr>
        <w:spacing w:line="360" w:lineRule="auto"/>
        <w:jc w:val="both"/>
        <w:rPr>
          <w:rFonts w:ascii="Book Antiqua" w:hAnsi="Book Antiqua"/>
          <w:b/>
          <w:color w:val="000000"/>
          <w:lang w:eastAsia="zh-CN"/>
        </w:rPr>
      </w:pPr>
    </w:p>
    <w:p w:rsidR="009D46E4" w:rsidRPr="00783FEF" w:rsidRDefault="00BE6AC3" w:rsidP="00783FEF">
      <w:pPr>
        <w:spacing w:line="360" w:lineRule="auto"/>
        <w:jc w:val="both"/>
        <w:rPr>
          <w:rFonts w:ascii="Book Antiqua" w:hAnsi="Book Antiqua"/>
          <w:bCs/>
          <w:lang w:val="it-IT" w:eastAsia="zh-CN"/>
        </w:rPr>
      </w:pPr>
      <w:r w:rsidRPr="00783FEF">
        <w:rPr>
          <w:rFonts w:ascii="Book Antiqua" w:hAnsi="Book Antiqua"/>
          <w:b/>
          <w:lang w:val="it-IT"/>
        </w:rPr>
        <w:t xml:space="preserve">Correspondence to: </w:t>
      </w:r>
      <w:r w:rsidR="009D46E4" w:rsidRPr="00783FEF">
        <w:rPr>
          <w:rFonts w:ascii="Book Antiqua" w:hAnsi="Book Antiqua"/>
          <w:b/>
          <w:bCs/>
          <w:lang w:val="it-IT"/>
        </w:rPr>
        <w:t>Pietro</w:t>
      </w:r>
      <w:r w:rsidR="00F41E66">
        <w:rPr>
          <w:rFonts w:ascii="Book Antiqua" w:hAnsi="Book Antiqua" w:hint="eastAsia"/>
          <w:b/>
          <w:bCs/>
          <w:lang w:val="it-IT" w:eastAsia="zh-CN"/>
        </w:rPr>
        <w:t xml:space="preserve"> </w:t>
      </w:r>
      <w:r w:rsidR="009D46E4" w:rsidRPr="00783FEF">
        <w:rPr>
          <w:rFonts w:ascii="Book Antiqua" w:hAnsi="Book Antiqua"/>
          <w:b/>
          <w:bCs/>
          <w:lang w:val="it-IT"/>
        </w:rPr>
        <w:t>Andreone</w:t>
      </w:r>
      <w:r w:rsidR="009D46E4" w:rsidRPr="00783FEF">
        <w:rPr>
          <w:rFonts w:ascii="Book Antiqua" w:hAnsi="Book Antiqua"/>
          <w:bCs/>
          <w:lang w:val="it-IT"/>
        </w:rPr>
        <w:t xml:space="preserve">, </w:t>
      </w:r>
      <w:r w:rsidR="00F028E5" w:rsidRPr="00783FEF">
        <w:rPr>
          <w:rFonts w:ascii="Book Antiqua" w:hAnsi="Book Antiqua"/>
          <w:b/>
          <w:bCs/>
          <w:lang w:val="it-IT"/>
        </w:rPr>
        <w:t>MD, Professor</w:t>
      </w:r>
      <w:r w:rsidR="007A61CC" w:rsidRPr="00783FEF">
        <w:rPr>
          <w:rFonts w:ascii="Book Antiqua" w:hAnsi="Book Antiqua"/>
          <w:bCs/>
          <w:lang w:val="it-IT"/>
        </w:rPr>
        <w:t xml:space="preserve"> of Internal Medicine, </w:t>
      </w:r>
      <w:r w:rsidR="009D46E4" w:rsidRPr="00783FEF">
        <w:rPr>
          <w:rFonts w:ascii="Book Antiqua" w:hAnsi="Book Antiqua"/>
          <w:bCs/>
          <w:lang w:val="it-IT"/>
        </w:rPr>
        <w:t>Dipartimento di Scienze Mediche e Chirurgiche, Università di Bologna, Via Massarenti, 9, 40138 Bologna, Italy.</w:t>
      </w:r>
      <w:r w:rsidR="00783FEF" w:rsidRPr="00783FEF">
        <w:rPr>
          <w:rFonts w:ascii="Book Antiqua" w:hAnsi="Book Antiqua" w:hint="eastAsia"/>
          <w:bCs/>
          <w:lang w:val="it-IT" w:eastAsia="zh-CN"/>
        </w:rPr>
        <w:t xml:space="preserve"> </w:t>
      </w:r>
      <w:hyperlink r:id="rId9" w:history="1">
        <w:r w:rsidR="00783FEF" w:rsidRPr="00783FEF">
          <w:rPr>
            <w:rFonts w:ascii="Book Antiqua" w:hAnsi="Book Antiqua"/>
            <w:bCs/>
          </w:rPr>
          <w:t>pietro.andreone@unibo.it</w:t>
        </w:r>
      </w:hyperlink>
    </w:p>
    <w:p w:rsidR="009D46E4" w:rsidRPr="00783FEF" w:rsidRDefault="009D46E4" w:rsidP="00783FEF">
      <w:pPr>
        <w:spacing w:line="360" w:lineRule="auto"/>
        <w:jc w:val="both"/>
        <w:rPr>
          <w:rFonts w:ascii="Book Antiqua" w:hAnsi="Book Antiqua"/>
          <w:bCs/>
          <w:lang w:eastAsia="zh-CN"/>
        </w:rPr>
      </w:pPr>
      <w:r w:rsidRPr="00783FEF">
        <w:rPr>
          <w:rFonts w:ascii="Book Antiqua" w:hAnsi="Book Antiqua"/>
          <w:b/>
          <w:bCs/>
        </w:rPr>
        <w:t>Telephone</w:t>
      </w:r>
      <w:r w:rsidRPr="00783FEF">
        <w:rPr>
          <w:rFonts w:ascii="Book Antiqua" w:hAnsi="Book Antiqua"/>
          <w:bCs/>
        </w:rPr>
        <w:t>:</w:t>
      </w:r>
      <w:r w:rsidR="00783FEF">
        <w:rPr>
          <w:rFonts w:ascii="Book Antiqua" w:hAnsi="Book Antiqua" w:hint="eastAsia"/>
          <w:bCs/>
          <w:lang w:eastAsia="zh-CN"/>
        </w:rPr>
        <w:t xml:space="preserve"> </w:t>
      </w:r>
      <w:r w:rsidRPr="00783FEF">
        <w:rPr>
          <w:rFonts w:ascii="Book Antiqua" w:hAnsi="Book Antiqua"/>
          <w:bCs/>
        </w:rPr>
        <w:t>+39</w:t>
      </w:r>
      <w:r w:rsidR="00783FEF">
        <w:rPr>
          <w:rFonts w:ascii="Book Antiqua" w:hAnsi="Book Antiqua" w:hint="eastAsia"/>
          <w:bCs/>
          <w:lang w:eastAsia="zh-CN"/>
        </w:rPr>
        <w:t>-</w:t>
      </w:r>
      <w:r w:rsidRPr="00783FEF">
        <w:rPr>
          <w:rFonts w:ascii="Book Antiqua" w:hAnsi="Book Antiqua"/>
          <w:bCs/>
        </w:rPr>
        <w:t>51</w:t>
      </w:r>
      <w:r w:rsidR="00783FEF">
        <w:rPr>
          <w:rFonts w:ascii="Book Antiqua" w:hAnsi="Book Antiqua" w:hint="eastAsia"/>
          <w:bCs/>
          <w:lang w:eastAsia="zh-CN"/>
        </w:rPr>
        <w:t>-</w:t>
      </w:r>
      <w:r w:rsidR="007A61CC" w:rsidRPr="00783FEF">
        <w:rPr>
          <w:rFonts w:ascii="Book Antiqua" w:hAnsi="Book Antiqua"/>
          <w:bCs/>
        </w:rPr>
        <w:t>214</w:t>
      </w:r>
      <w:r w:rsidR="00783FEF">
        <w:rPr>
          <w:rFonts w:ascii="Book Antiqua" w:hAnsi="Book Antiqua"/>
          <w:bCs/>
        </w:rPr>
        <w:t>3618</w:t>
      </w:r>
    </w:p>
    <w:p w:rsidR="00627D31" w:rsidRPr="00783FEF" w:rsidRDefault="00D167F2" w:rsidP="00783FEF">
      <w:pPr>
        <w:spacing w:line="360" w:lineRule="auto"/>
        <w:jc w:val="both"/>
        <w:rPr>
          <w:rFonts w:ascii="Book Antiqua" w:hAnsi="Book Antiqua"/>
          <w:bCs/>
          <w:lang w:eastAsia="zh-CN"/>
        </w:rPr>
      </w:pPr>
      <w:r w:rsidRPr="00783FEF">
        <w:rPr>
          <w:rFonts w:ascii="Book Antiqua" w:hAnsi="Book Antiqua"/>
          <w:b/>
          <w:bCs/>
        </w:rPr>
        <w:t>Fax</w:t>
      </w:r>
      <w:r w:rsidRPr="00783FEF">
        <w:rPr>
          <w:rFonts w:ascii="Book Antiqua" w:hAnsi="Book Antiqua"/>
          <w:bCs/>
        </w:rPr>
        <w:t>: +39</w:t>
      </w:r>
      <w:r w:rsidR="00783FEF">
        <w:rPr>
          <w:rFonts w:ascii="Book Antiqua" w:hAnsi="Book Antiqua" w:hint="eastAsia"/>
          <w:bCs/>
          <w:lang w:eastAsia="zh-CN"/>
        </w:rPr>
        <w:t>-</w:t>
      </w:r>
      <w:r w:rsidRPr="00783FEF">
        <w:rPr>
          <w:rFonts w:ascii="Book Antiqua" w:hAnsi="Book Antiqua"/>
          <w:bCs/>
        </w:rPr>
        <w:t>51</w:t>
      </w:r>
      <w:r w:rsidR="00783FEF">
        <w:rPr>
          <w:rFonts w:ascii="Book Antiqua" w:hAnsi="Book Antiqua" w:hint="eastAsia"/>
          <w:bCs/>
          <w:lang w:eastAsia="zh-CN"/>
        </w:rPr>
        <w:t>-</w:t>
      </w:r>
      <w:r w:rsidRPr="00783FEF">
        <w:rPr>
          <w:rFonts w:ascii="Book Antiqua" w:hAnsi="Book Antiqua"/>
          <w:bCs/>
        </w:rPr>
        <w:t>345806</w:t>
      </w:r>
    </w:p>
    <w:p w:rsidR="00783FEF" w:rsidRDefault="00783FEF" w:rsidP="00783FEF">
      <w:pPr>
        <w:spacing w:line="360" w:lineRule="auto"/>
        <w:jc w:val="both"/>
        <w:rPr>
          <w:rFonts w:ascii="Book Antiqua" w:hAnsi="Book Antiqua"/>
          <w:b/>
          <w:color w:val="FF0000"/>
          <w:lang w:eastAsia="zh-CN"/>
        </w:rPr>
      </w:pPr>
      <w:bookmarkStart w:id="8" w:name="OLE_LINK238"/>
      <w:bookmarkStart w:id="9" w:name="OLE_LINK237"/>
    </w:p>
    <w:p w:rsidR="00111662" w:rsidRPr="00783FEF" w:rsidRDefault="00111662" w:rsidP="00783FEF">
      <w:pPr>
        <w:spacing w:line="360" w:lineRule="auto"/>
        <w:jc w:val="both"/>
        <w:rPr>
          <w:rFonts w:ascii="Book Antiqua" w:hAnsi="Book Antiqua"/>
          <w:b/>
          <w:lang w:eastAsia="zh-CN"/>
        </w:rPr>
      </w:pPr>
      <w:r w:rsidRPr="00783FEF">
        <w:rPr>
          <w:rFonts w:ascii="Book Antiqua" w:hAnsi="Book Antiqua"/>
          <w:b/>
        </w:rPr>
        <w:t>Received:</w:t>
      </w:r>
      <w:r w:rsidR="00783FEF">
        <w:rPr>
          <w:rFonts w:ascii="Book Antiqua" w:hAnsi="Book Antiqua" w:hint="eastAsia"/>
          <w:b/>
          <w:lang w:eastAsia="zh-CN"/>
        </w:rPr>
        <w:t xml:space="preserve"> </w:t>
      </w:r>
      <w:r w:rsidR="00783FEF" w:rsidRPr="00783FEF">
        <w:rPr>
          <w:rFonts w:ascii="Book Antiqua" w:hAnsi="Book Antiqua" w:hint="eastAsia"/>
          <w:lang w:eastAsia="zh-CN"/>
        </w:rPr>
        <w:t>September 23, 2015</w:t>
      </w:r>
    </w:p>
    <w:p w:rsidR="00111662" w:rsidRPr="00783FEF" w:rsidRDefault="00111662" w:rsidP="00783FEF">
      <w:pPr>
        <w:spacing w:line="360" w:lineRule="auto"/>
        <w:jc w:val="both"/>
        <w:rPr>
          <w:rFonts w:ascii="Book Antiqua" w:hAnsi="Book Antiqua"/>
          <w:b/>
          <w:lang w:eastAsia="zh-CN"/>
        </w:rPr>
      </w:pPr>
      <w:r w:rsidRPr="00783FEF">
        <w:rPr>
          <w:rFonts w:ascii="Book Antiqua" w:hAnsi="Book Antiqua"/>
          <w:b/>
        </w:rPr>
        <w:t>Peer-review started:</w:t>
      </w:r>
      <w:r w:rsidR="00783FEF">
        <w:rPr>
          <w:rFonts w:ascii="Book Antiqua" w:hAnsi="Book Antiqua" w:hint="eastAsia"/>
          <w:b/>
          <w:lang w:eastAsia="zh-CN"/>
        </w:rPr>
        <w:t xml:space="preserve"> </w:t>
      </w:r>
      <w:r w:rsidR="00783FEF" w:rsidRPr="00783FEF">
        <w:rPr>
          <w:rFonts w:ascii="Book Antiqua" w:hAnsi="Book Antiqua" w:hint="eastAsia"/>
          <w:lang w:eastAsia="zh-CN"/>
        </w:rPr>
        <w:t>September 2</w:t>
      </w:r>
      <w:r w:rsidR="00783FEF">
        <w:rPr>
          <w:rFonts w:ascii="Book Antiqua" w:hAnsi="Book Antiqua" w:hint="eastAsia"/>
          <w:lang w:eastAsia="zh-CN"/>
        </w:rPr>
        <w:t>6</w:t>
      </w:r>
      <w:r w:rsidR="00783FEF" w:rsidRPr="00783FEF">
        <w:rPr>
          <w:rFonts w:ascii="Book Antiqua" w:hAnsi="Book Antiqua" w:hint="eastAsia"/>
          <w:lang w:eastAsia="zh-CN"/>
        </w:rPr>
        <w:t>, 2015</w:t>
      </w:r>
    </w:p>
    <w:p w:rsidR="00111662" w:rsidRPr="00783FEF" w:rsidRDefault="00111662" w:rsidP="00783FEF">
      <w:pPr>
        <w:spacing w:line="360" w:lineRule="auto"/>
        <w:jc w:val="both"/>
        <w:rPr>
          <w:rFonts w:ascii="Book Antiqua" w:hAnsi="Book Antiqua"/>
          <w:b/>
          <w:lang w:eastAsia="zh-CN"/>
        </w:rPr>
      </w:pPr>
      <w:r w:rsidRPr="00783FEF">
        <w:rPr>
          <w:rFonts w:ascii="Book Antiqua" w:hAnsi="Book Antiqua"/>
          <w:b/>
        </w:rPr>
        <w:t>First decision:</w:t>
      </w:r>
      <w:r w:rsidR="00783FEF">
        <w:rPr>
          <w:rFonts w:ascii="Book Antiqua" w:hAnsi="Book Antiqua" w:hint="eastAsia"/>
          <w:b/>
          <w:lang w:eastAsia="zh-CN"/>
        </w:rPr>
        <w:t xml:space="preserve"> </w:t>
      </w:r>
      <w:r w:rsidR="00783FEF" w:rsidRPr="00783FEF">
        <w:rPr>
          <w:rFonts w:ascii="Book Antiqua" w:hAnsi="Book Antiqua" w:hint="eastAsia"/>
          <w:lang w:eastAsia="zh-CN"/>
        </w:rPr>
        <w:t>October 14, 2015</w:t>
      </w:r>
    </w:p>
    <w:p w:rsidR="00111662" w:rsidRPr="00783FEF" w:rsidRDefault="00111662" w:rsidP="00783FEF">
      <w:pPr>
        <w:spacing w:line="360" w:lineRule="auto"/>
        <w:jc w:val="both"/>
        <w:rPr>
          <w:rFonts w:ascii="Book Antiqua" w:hAnsi="Book Antiqua"/>
          <w:b/>
          <w:lang w:eastAsia="zh-CN"/>
        </w:rPr>
      </w:pPr>
      <w:r w:rsidRPr="00783FEF">
        <w:rPr>
          <w:rFonts w:ascii="Book Antiqua" w:hAnsi="Book Antiqua"/>
          <w:b/>
        </w:rPr>
        <w:t>Revised:</w:t>
      </w:r>
      <w:r w:rsidR="00783FEF">
        <w:rPr>
          <w:rFonts w:ascii="Book Antiqua" w:hAnsi="Book Antiqua" w:hint="eastAsia"/>
          <w:b/>
          <w:lang w:eastAsia="zh-CN"/>
        </w:rPr>
        <w:t xml:space="preserve"> </w:t>
      </w:r>
      <w:r w:rsidR="00783FEF" w:rsidRPr="00783FEF">
        <w:rPr>
          <w:rFonts w:ascii="Book Antiqua" w:hAnsi="Book Antiqua" w:hint="eastAsia"/>
          <w:lang w:eastAsia="zh-CN"/>
        </w:rPr>
        <w:t>November 6, 2015</w:t>
      </w:r>
    </w:p>
    <w:p w:rsidR="00111662" w:rsidRPr="0082398E" w:rsidRDefault="00111662" w:rsidP="0082398E">
      <w:pPr>
        <w:spacing w:line="360" w:lineRule="auto"/>
        <w:rPr>
          <w:rFonts w:ascii="Book Antiqua" w:hAnsi="Book Antiqua"/>
          <w:color w:val="000000"/>
        </w:rPr>
      </w:pPr>
      <w:r w:rsidRPr="00783FEF">
        <w:rPr>
          <w:rFonts w:ascii="Book Antiqua" w:hAnsi="Book Antiqua"/>
          <w:b/>
        </w:rPr>
        <w:t>Accepted:</w:t>
      </w:r>
      <w:bookmarkStart w:id="10" w:name="OLE_LINK98"/>
      <w:bookmarkStart w:id="11" w:name="OLE_LINK99"/>
      <w:bookmarkStart w:id="12" w:name="OLE_LINK104"/>
      <w:bookmarkStart w:id="13" w:name="OLE_LINK110"/>
      <w:bookmarkStart w:id="14" w:name="OLE_LINK111"/>
      <w:bookmarkStart w:id="15" w:name="OLE_LINK115"/>
      <w:bookmarkStart w:id="16" w:name="OLE_LINK116"/>
      <w:bookmarkStart w:id="17" w:name="OLE_LINK117"/>
      <w:bookmarkStart w:id="18" w:name="OLE_LINK118"/>
      <w:bookmarkStart w:id="19" w:name="OLE_LINK119"/>
      <w:bookmarkStart w:id="20" w:name="OLE_LINK121"/>
      <w:bookmarkStart w:id="21" w:name="OLE_LINK122"/>
      <w:bookmarkStart w:id="22" w:name="OLE_LINK125"/>
      <w:bookmarkStart w:id="23" w:name="OLE_LINK126"/>
      <w:bookmarkStart w:id="24" w:name="OLE_LINK127"/>
      <w:bookmarkStart w:id="25" w:name="OLE_LINK129"/>
      <w:bookmarkStart w:id="26" w:name="OLE_LINK132"/>
      <w:bookmarkStart w:id="27" w:name="OLE_LINK134"/>
      <w:bookmarkStart w:id="28" w:name="OLE_LINK135"/>
      <w:bookmarkStart w:id="29" w:name="OLE_LINK136"/>
      <w:bookmarkStart w:id="30" w:name="OLE_LINK137"/>
      <w:bookmarkStart w:id="31" w:name="OLE_LINK138"/>
      <w:bookmarkStart w:id="32" w:name="OLE_LINK139"/>
      <w:bookmarkStart w:id="33" w:name="OLE_LINK141"/>
      <w:bookmarkStart w:id="34" w:name="OLE_LINK142"/>
      <w:bookmarkStart w:id="35" w:name="OLE_LINK143"/>
      <w:bookmarkStart w:id="36" w:name="OLE_LINK144"/>
      <w:bookmarkStart w:id="37" w:name="OLE_LINK145"/>
      <w:bookmarkStart w:id="38" w:name="OLE_LINK146"/>
      <w:bookmarkStart w:id="39" w:name="OLE_LINK147"/>
      <w:r w:rsidR="0082398E" w:rsidRPr="0082398E">
        <w:rPr>
          <w:rFonts w:ascii="Book Antiqua" w:hAnsi="Book Antiqua"/>
          <w:color w:val="000000"/>
        </w:rPr>
        <w:t xml:space="preserve"> </w:t>
      </w:r>
      <w:r w:rsidR="0082398E">
        <w:rPr>
          <w:rFonts w:ascii="Book Antiqua" w:hAnsi="Book Antiqua"/>
          <w:color w:val="000000"/>
        </w:rPr>
        <w:t>December 30</w:t>
      </w:r>
      <w:r w:rsidR="0082398E" w:rsidRPr="002A2EC8">
        <w:rPr>
          <w:rFonts w:ascii="Book Antiqua" w:hAnsi="Book Antiqua"/>
          <w:color w:val="000000"/>
        </w:rPr>
        <w:t>, 2015</w:t>
      </w:r>
      <w:bookmarkStart w:id="40" w:name="_GoBack"/>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111662" w:rsidRPr="00783FEF" w:rsidRDefault="00111662" w:rsidP="00783FEF">
      <w:pPr>
        <w:spacing w:line="360" w:lineRule="auto"/>
        <w:jc w:val="both"/>
        <w:rPr>
          <w:rFonts w:ascii="Book Antiqua" w:hAnsi="Book Antiqua"/>
          <w:b/>
        </w:rPr>
      </w:pPr>
      <w:r w:rsidRPr="00783FEF">
        <w:rPr>
          <w:rFonts w:ascii="Book Antiqua" w:hAnsi="Book Antiqua"/>
          <w:b/>
        </w:rPr>
        <w:t>Article in press:</w:t>
      </w:r>
    </w:p>
    <w:p w:rsidR="00111662" w:rsidRPr="00783FEF" w:rsidRDefault="00111662" w:rsidP="00783FEF">
      <w:pPr>
        <w:pStyle w:val="1"/>
        <w:spacing w:line="360" w:lineRule="auto"/>
        <w:jc w:val="both"/>
        <w:rPr>
          <w:rFonts w:ascii="Book Antiqua" w:hAnsi="Book Antiqua" w:cs="Times New Roman"/>
          <w:b/>
          <w:color w:val="auto"/>
          <w:sz w:val="24"/>
          <w:highlight w:val="white"/>
          <w:lang w:val="en-US" w:eastAsia="zh-CN"/>
        </w:rPr>
      </w:pPr>
      <w:r w:rsidRPr="00783FEF">
        <w:rPr>
          <w:rFonts w:ascii="Book Antiqua" w:hAnsi="Book Antiqua"/>
          <w:b/>
          <w:color w:val="auto"/>
          <w:sz w:val="24"/>
          <w:szCs w:val="24"/>
        </w:rPr>
        <w:t>Published online:</w:t>
      </w:r>
      <w:bookmarkEnd w:id="8"/>
      <w:bookmarkEnd w:id="9"/>
    </w:p>
    <w:p w:rsidR="000F3B26" w:rsidRPr="00783FEF" w:rsidRDefault="000F3B26" w:rsidP="00783FEF">
      <w:pPr>
        <w:spacing w:line="360" w:lineRule="auto"/>
        <w:jc w:val="both"/>
        <w:rPr>
          <w:rFonts w:ascii="Book Antiqua" w:hAnsi="Book Antiqua"/>
          <w:b/>
        </w:rPr>
      </w:pPr>
      <w:r w:rsidRPr="00783FEF">
        <w:rPr>
          <w:rFonts w:ascii="Book Antiqua" w:hAnsi="Book Antiqua"/>
          <w:b/>
        </w:rPr>
        <w:br w:type="page"/>
      </w:r>
    </w:p>
    <w:p w:rsidR="0049674D" w:rsidRPr="00783FEF" w:rsidRDefault="00A049A8" w:rsidP="00783FEF">
      <w:pPr>
        <w:spacing w:line="360" w:lineRule="auto"/>
        <w:jc w:val="both"/>
        <w:rPr>
          <w:rFonts w:ascii="Book Antiqua" w:hAnsi="Book Antiqua"/>
          <w:b/>
        </w:rPr>
      </w:pPr>
      <w:r w:rsidRPr="00783FEF">
        <w:rPr>
          <w:rFonts w:ascii="Book Antiqua" w:hAnsi="Book Antiqua"/>
          <w:b/>
        </w:rPr>
        <w:lastRenderedPageBreak/>
        <w:t>Abstract</w:t>
      </w:r>
    </w:p>
    <w:p w:rsidR="00A049A8" w:rsidRPr="00783FEF" w:rsidRDefault="000148B7" w:rsidP="00783FEF">
      <w:pPr>
        <w:spacing w:line="360" w:lineRule="auto"/>
        <w:jc w:val="both"/>
        <w:rPr>
          <w:rFonts w:ascii="Book Antiqua" w:hAnsi="Book Antiqua"/>
          <w:bCs/>
        </w:rPr>
      </w:pPr>
      <w:r w:rsidRPr="00783FEF">
        <w:rPr>
          <w:rFonts w:ascii="Book Antiqua" w:hAnsi="Book Antiqua"/>
        </w:rPr>
        <w:t xml:space="preserve">In the two past decades, a number of communications, case-control studies, and retrospective reports have appeared in the literature with concerns about the development of a complex set of clinical, laboratory and histological characteristics of a liver graft dysfunction that is compatible with autoimmune hepatitis. The </w:t>
      </w:r>
      <w:r w:rsidRPr="00783FEF">
        <w:rPr>
          <w:rFonts w:ascii="Book Antiqua" w:hAnsi="Book Antiqua"/>
          <w:i/>
        </w:rPr>
        <w:t>de novo</w:t>
      </w:r>
      <w:r w:rsidRPr="00783FEF">
        <w:rPr>
          <w:rFonts w:ascii="Book Antiqua" w:hAnsi="Book Antiqua"/>
        </w:rPr>
        <w:t xml:space="preserve"> prefix was added to distinguish this entity from a pre-transplant primary autoimmune hepatitis, but the globally accepted criteria for the diagnosis of autoimmune hepatitis have been adopted in the diagnostic algorithm. Indeed, de novo autoimmune hepatitis is characterized by the typical liver necro-inflammation that is rich in plasma cells, the presence of interface hepatitis and the consequent laboratory findings of elevations in liver enzymes, increases in serum gamma globulin and the appearance of non-organ specific auto-antibodies. Still, the overall features of </w:t>
      </w:r>
      <w:r w:rsidRPr="00783FEF">
        <w:rPr>
          <w:rFonts w:ascii="Book Antiqua" w:hAnsi="Book Antiqua"/>
          <w:i/>
        </w:rPr>
        <w:t>de novo</w:t>
      </w:r>
      <w:r w:rsidRPr="00783FEF">
        <w:rPr>
          <w:rFonts w:ascii="Book Antiqua" w:hAnsi="Book Antiqua"/>
        </w:rPr>
        <w:t xml:space="preserve"> autoimmune hepatitis appear not to be attributable to a univocal patho-physiological pathway because they can develop in the patients who have undergone liver </w:t>
      </w:r>
      <w:r w:rsidR="006B1480" w:rsidRPr="00783FEF">
        <w:rPr>
          <w:rFonts w:ascii="Book Antiqua" w:hAnsi="Book Antiqua"/>
        </w:rPr>
        <w:t>transplantation</w:t>
      </w:r>
      <w:r w:rsidRPr="00783FEF">
        <w:rPr>
          <w:rFonts w:ascii="Book Antiqua" w:hAnsi="Book Antiqua"/>
        </w:rPr>
        <w:t xml:space="preserve"> due to different etiologies.</w:t>
      </w:r>
      <w:r w:rsidR="00700212">
        <w:rPr>
          <w:rFonts w:ascii="Book Antiqua" w:hAnsi="Book Antiqua" w:hint="eastAsia"/>
          <w:lang w:eastAsia="zh-CN"/>
        </w:rPr>
        <w:t xml:space="preserve"> </w:t>
      </w:r>
      <w:r w:rsidRPr="00783FEF">
        <w:rPr>
          <w:rFonts w:ascii="Book Antiqua" w:hAnsi="Book Antiqua"/>
        </w:rPr>
        <w:t>Specifically, in subjects with hepatitis C virus recurrence, an interferon-containing antiviral treatment has been indicated as a potential inception of immune system derangement. Herein, we attempt to review the currently available knowledge about de novo liver autoimmunity and its clinical management.</w:t>
      </w:r>
    </w:p>
    <w:p w:rsidR="00700212" w:rsidRDefault="00700212" w:rsidP="00783FEF">
      <w:pPr>
        <w:spacing w:line="360" w:lineRule="auto"/>
        <w:jc w:val="both"/>
        <w:rPr>
          <w:rFonts w:ascii="Book Antiqua" w:hAnsi="Book Antiqua"/>
          <w:b/>
          <w:lang w:eastAsia="zh-CN"/>
        </w:rPr>
      </w:pPr>
    </w:p>
    <w:p w:rsidR="00A049A8" w:rsidRPr="00783FEF" w:rsidRDefault="00A049A8" w:rsidP="00783FEF">
      <w:pPr>
        <w:spacing w:line="360" w:lineRule="auto"/>
        <w:jc w:val="both"/>
        <w:rPr>
          <w:rFonts w:ascii="Book Antiqua" w:hAnsi="Book Antiqua"/>
        </w:rPr>
      </w:pPr>
      <w:r w:rsidRPr="00783FEF">
        <w:rPr>
          <w:rFonts w:ascii="Book Antiqua" w:hAnsi="Book Antiqua"/>
          <w:b/>
        </w:rPr>
        <w:t>Key words:</w:t>
      </w:r>
      <w:r w:rsidRPr="00783FEF">
        <w:rPr>
          <w:rFonts w:ascii="Book Antiqua" w:hAnsi="Book Antiqua"/>
        </w:rPr>
        <w:t xml:space="preserve"> </w:t>
      </w:r>
      <w:r w:rsidR="00F028E5" w:rsidRPr="00783FEF">
        <w:rPr>
          <w:rFonts w:ascii="Book Antiqua" w:hAnsi="Book Antiqua"/>
          <w:i/>
          <w:caps/>
        </w:rPr>
        <w:t>d</w:t>
      </w:r>
      <w:r w:rsidRPr="00783FEF">
        <w:rPr>
          <w:rFonts w:ascii="Book Antiqua" w:hAnsi="Book Antiqua"/>
          <w:i/>
        </w:rPr>
        <w:t>e novo</w:t>
      </w:r>
      <w:r w:rsidRPr="00783FEF">
        <w:rPr>
          <w:rFonts w:ascii="Book Antiqua" w:hAnsi="Book Antiqua"/>
        </w:rPr>
        <w:t xml:space="preserve"> autoimmune hepatitis</w:t>
      </w:r>
      <w:r w:rsidR="000F3B26" w:rsidRPr="00783FEF">
        <w:rPr>
          <w:rFonts w:ascii="Book Antiqua" w:hAnsi="Book Antiqua"/>
          <w:lang w:eastAsia="zh-CN"/>
        </w:rPr>
        <w:t>;</w:t>
      </w:r>
      <w:r w:rsidR="000F3B26" w:rsidRPr="00783FEF">
        <w:rPr>
          <w:rFonts w:ascii="Book Antiqua" w:hAnsi="Book Antiqua"/>
        </w:rPr>
        <w:t xml:space="preserve"> </w:t>
      </w:r>
      <w:r w:rsidR="00F028E5" w:rsidRPr="00783FEF">
        <w:rPr>
          <w:rFonts w:ascii="Book Antiqua" w:hAnsi="Book Antiqua"/>
          <w:caps/>
        </w:rPr>
        <w:t>p</w:t>
      </w:r>
      <w:r w:rsidRPr="00783FEF">
        <w:rPr>
          <w:rFonts w:ascii="Book Antiqua" w:hAnsi="Book Antiqua"/>
        </w:rPr>
        <w:t>lasma-cell hepatitis</w:t>
      </w:r>
      <w:r w:rsidR="000F3B26" w:rsidRPr="00783FEF">
        <w:rPr>
          <w:rFonts w:ascii="Book Antiqua" w:hAnsi="Book Antiqua"/>
          <w:lang w:eastAsia="zh-CN"/>
        </w:rPr>
        <w:t>;</w:t>
      </w:r>
      <w:r w:rsidR="000F3B26" w:rsidRPr="00783FEF">
        <w:rPr>
          <w:rFonts w:ascii="Book Antiqua" w:hAnsi="Book Antiqua"/>
        </w:rPr>
        <w:t xml:space="preserve"> </w:t>
      </w:r>
      <w:r w:rsidRPr="00700212">
        <w:rPr>
          <w:rFonts w:ascii="Book Antiqua" w:hAnsi="Book Antiqua"/>
          <w:caps/>
        </w:rPr>
        <w:t>l</w:t>
      </w:r>
      <w:r w:rsidRPr="00783FEF">
        <w:rPr>
          <w:rFonts w:ascii="Book Antiqua" w:hAnsi="Book Antiqua"/>
        </w:rPr>
        <w:t>iver transplant</w:t>
      </w:r>
      <w:r w:rsidR="00700212">
        <w:rPr>
          <w:rFonts w:ascii="Book Antiqua" w:hAnsi="Book Antiqua" w:hint="eastAsia"/>
          <w:lang w:eastAsia="zh-CN"/>
        </w:rPr>
        <w:t>;</w:t>
      </w:r>
      <w:r w:rsidRPr="00783FEF">
        <w:rPr>
          <w:rFonts w:ascii="Book Antiqua" w:hAnsi="Book Antiqua"/>
        </w:rPr>
        <w:t xml:space="preserve"> </w:t>
      </w:r>
      <w:r w:rsidR="00700212" w:rsidRPr="00700212">
        <w:rPr>
          <w:rFonts w:ascii="Book Antiqua" w:hAnsi="Book Antiqua"/>
          <w:caps/>
        </w:rPr>
        <w:t>h</w:t>
      </w:r>
      <w:r w:rsidR="00700212" w:rsidRPr="00783FEF">
        <w:rPr>
          <w:rFonts w:ascii="Book Antiqua" w:hAnsi="Book Antiqua"/>
        </w:rPr>
        <w:t>epatitis C virus</w:t>
      </w:r>
      <w:r w:rsidRPr="00783FEF">
        <w:rPr>
          <w:rFonts w:ascii="Book Antiqua" w:hAnsi="Book Antiqua"/>
        </w:rPr>
        <w:t xml:space="preserve"> recurrence</w:t>
      </w:r>
      <w:r w:rsidR="00700212">
        <w:rPr>
          <w:rFonts w:ascii="Book Antiqua" w:hAnsi="Book Antiqua" w:hint="eastAsia"/>
          <w:lang w:eastAsia="zh-CN"/>
        </w:rPr>
        <w:t>;</w:t>
      </w:r>
      <w:r w:rsidRPr="00783FEF">
        <w:rPr>
          <w:rFonts w:ascii="Book Antiqua" w:hAnsi="Book Antiqua"/>
        </w:rPr>
        <w:t xml:space="preserve"> </w:t>
      </w:r>
      <w:r w:rsidRPr="00700212">
        <w:rPr>
          <w:rFonts w:ascii="Book Antiqua" w:hAnsi="Book Antiqua"/>
          <w:caps/>
        </w:rPr>
        <w:t>a</w:t>
      </w:r>
      <w:r w:rsidRPr="00783FEF">
        <w:rPr>
          <w:rFonts w:ascii="Book Antiqua" w:hAnsi="Book Antiqua"/>
        </w:rPr>
        <w:t>ntiviral therapy</w:t>
      </w:r>
      <w:r w:rsidR="00700212">
        <w:rPr>
          <w:rFonts w:ascii="Book Antiqua" w:hAnsi="Book Antiqua" w:hint="eastAsia"/>
          <w:lang w:eastAsia="zh-CN"/>
        </w:rPr>
        <w:t xml:space="preserve">; </w:t>
      </w:r>
      <w:r w:rsidRPr="00700212">
        <w:rPr>
          <w:rFonts w:ascii="Book Antiqua" w:hAnsi="Book Antiqua"/>
          <w:caps/>
        </w:rPr>
        <w:t>a</w:t>
      </w:r>
      <w:r w:rsidRPr="00783FEF">
        <w:rPr>
          <w:rFonts w:ascii="Book Antiqua" w:hAnsi="Book Antiqua"/>
        </w:rPr>
        <w:t>utoimmunity</w:t>
      </w:r>
      <w:r w:rsidR="00700212">
        <w:rPr>
          <w:rFonts w:ascii="Book Antiqua" w:hAnsi="Book Antiqua" w:hint="eastAsia"/>
          <w:lang w:eastAsia="zh-CN"/>
        </w:rPr>
        <w:t xml:space="preserve">; </w:t>
      </w:r>
      <w:r w:rsidRPr="00700212">
        <w:rPr>
          <w:rFonts w:ascii="Book Antiqua" w:hAnsi="Book Antiqua"/>
          <w:caps/>
        </w:rPr>
        <w:t>d</w:t>
      </w:r>
      <w:r w:rsidRPr="00783FEF">
        <w:rPr>
          <w:rFonts w:ascii="Book Antiqua" w:hAnsi="Book Antiqua"/>
        </w:rPr>
        <w:t>ifferential diagnosis</w:t>
      </w:r>
    </w:p>
    <w:p w:rsidR="000F3B26" w:rsidRDefault="000F3B26" w:rsidP="00783FEF">
      <w:pPr>
        <w:spacing w:line="360" w:lineRule="auto"/>
        <w:jc w:val="both"/>
        <w:rPr>
          <w:rFonts w:ascii="Book Antiqua" w:hAnsi="Book Antiqua"/>
          <w:b/>
          <w:lang w:eastAsia="zh-CN"/>
        </w:rPr>
      </w:pPr>
    </w:p>
    <w:p w:rsidR="002C7EB3" w:rsidRPr="00EC68EF" w:rsidRDefault="002C7EB3" w:rsidP="002C7EB3">
      <w:pPr>
        <w:adjustRightInd w:val="0"/>
        <w:snapToGrid w:val="0"/>
        <w:spacing w:line="360" w:lineRule="auto"/>
        <w:rPr>
          <w:rFonts w:ascii="Book Antiqua" w:hAnsi="Book Antiqua"/>
        </w:rPr>
      </w:pPr>
      <w:bookmarkStart w:id="41" w:name="OLE_LINK363"/>
      <w:bookmarkStart w:id="42" w:name="OLE_LINK364"/>
      <w:bookmarkStart w:id="43" w:name="OLE_LINK359"/>
      <w:bookmarkStart w:id="44" w:name="OLE_LINK1037"/>
      <w:bookmarkStart w:id="45" w:name="OLE_LINK1195"/>
      <w:bookmarkStart w:id="46" w:name="OLE_LINK1140"/>
      <w:bookmarkStart w:id="47" w:name="OLE_LINK1062"/>
      <w:bookmarkStart w:id="48" w:name="OLE_LINK500"/>
      <w:r w:rsidRPr="00EC68EF">
        <w:rPr>
          <w:rFonts w:ascii="Book Antiqua" w:hAnsi="Book Antiqua" w:hint="eastAsia"/>
          <w:b/>
        </w:rPr>
        <w:t>©</w:t>
      </w:r>
      <w:r w:rsidRPr="00EC68EF">
        <w:rPr>
          <w:rFonts w:ascii="Book Antiqua" w:hAnsi="Book Antiqua"/>
          <w:b/>
        </w:rPr>
        <w:t xml:space="preserve"> The Author(s) 2015.</w:t>
      </w:r>
      <w:r w:rsidRPr="00EC68EF">
        <w:rPr>
          <w:rFonts w:ascii="Book Antiqua" w:hAnsi="Book Antiqua"/>
        </w:rPr>
        <w:t xml:space="preserve"> Published by Baishideng Publishing Group Inc. All rights reserved.</w:t>
      </w:r>
    </w:p>
    <w:bookmarkEnd w:id="41"/>
    <w:bookmarkEnd w:id="42"/>
    <w:bookmarkEnd w:id="43"/>
    <w:bookmarkEnd w:id="44"/>
    <w:bookmarkEnd w:id="45"/>
    <w:bookmarkEnd w:id="46"/>
    <w:bookmarkEnd w:id="47"/>
    <w:bookmarkEnd w:id="48"/>
    <w:p w:rsidR="002C7EB3" w:rsidRPr="002C7EB3" w:rsidRDefault="002C7EB3" w:rsidP="00783FEF">
      <w:pPr>
        <w:spacing w:line="360" w:lineRule="auto"/>
        <w:jc w:val="both"/>
        <w:rPr>
          <w:rFonts w:ascii="Book Antiqua" w:hAnsi="Book Antiqua"/>
          <w:b/>
          <w:lang w:eastAsia="zh-CN"/>
        </w:rPr>
      </w:pPr>
    </w:p>
    <w:p w:rsidR="00A049A8" w:rsidRPr="00783FEF" w:rsidRDefault="00A049A8" w:rsidP="00783FEF">
      <w:pPr>
        <w:spacing w:line="360" w:lineRule="auto"/>
        <w:jc w:val="both"/>
        <w:rPr>
          <w:rFonts w:ascii="Book Antiqua" w:hAnsi="Book Antiqua"/>
        </w:rPr>
      </w:pPr>
      <w:r w:rsidRPr="00783FEF">
        <w:rPr>
          <w:rFonts w:ascii="Book Antiqua" w:hAnsi="Book Antiqua"/>
          <w:b/>
        </w:rPr>
        <w:t>Core tip:</w:t>
      </w:r>
      <w:r w:rsidR="00700212">
        <w:rPr>
          <w:rFonts w:ascii="Book Antiqua" w:hAnsi="Book Antiqua" w:hint="eastAsia"/>
          <w:lang w:eastAsia="zh-CN"/>
        </w:rPr>
        <w:t xml:space="preserve"> </w:t>
      </w:r>
      <w:r w:rsidRPr="00783FEF">
        <w:rPr>
          <w:rFonts w:ascii="Book Antiqua" w:hAnsi="Book Antiqua"/>
        </w:rPr>
        <w:t>A post-transplant pathological entity that is characterized by liver enzyme peaks, circulating auto</w:t>
      </w:r>
      <w:r w:rsidR="006602D3" w:rsidRPr="00783FEF">
        <w:rPr>
          <w:rFonts w:ascii="Book Antiqua" w:hAnsi="Book Antiqua"/>
        </w:rPr>
        <w:t>- and allo</w:t>
      </w:r>
      <w:r w:rsidRPr="00783FEF">
        <w:rPr>
          <w:rFonts w:ascii="Book Antiqua" w:hAnsi="Book Antiqua"/>
        </w:rPr>
        <w:t xml:space="preserve">antibodies and histological findings of interface hepatitis and plasma-cell infiltrates has been described and is considered to be a diagnostic </w:t>
      </w:r>
      <w:r w:rsidRPr="00783FEF">
        <w:rPr>
          <w:rFonts w:ascii="Book Antiqua" w:hAnsi="Book Antiqua"/>
        </w:rPr>
        <w:lastRenderedPageBreak/>
        <w:t xml:space="preserve">challenge. Although the optimization of the immunosuppressive regimen should be an efficacious tool for both its prevention and treatment, rescue onsets can occur with scenarios that threaten the graft and the patient’s life. </w:t>
      </w:r>
      <w:r w:rsidR="00662817" w:rsidRPr="00783FEF">
        <w:rPr>
          <w:rFonts w:ascii="Book Antiqua" w:hAnsi="Book Antiqua"/>
        </w:rPr>
        <w:t>Hepatitis C recurrence is not the only pathogenic context of its occurrence in liver transplants, thus t</w:t>
      </w:r>
      <w:r w:rsidRPr="00783FEF">
        <w:rPr>
          <w:rFonts w:ascii="Book Antiqua" w:hAnsi="Book Antiqua"/>
        </w:rPr>
        <w:t>he clinical interest in this condition remains high.</w:t>
      </w:r>
    </w:p>
    <w:p w:rsidR="000F3B26" w:rsidRPr="00783FEF" w:rsidRDefault="000F3B26" w:rsidP="00783FEF">
      <w:pPr>
        <w:spacing w:line="360" w:lineRule="auto"/>
        <w:jc w:val="both"/>
        <w:rPr>
          <w:rFonts w:ascii="Book Antiqua" w:hAnsi="Book Antiqua"/>
          <w:lang w:val="pl-PL" w:eastAsia="zh-CN"/>
        </w:rPr>
      </w:pPr>
      <w:bookmarkStart w:id="49" w:name="OLE_LINK310"/>
      <w:bookmarkStart w:id="50" w:name="OLE_LINK287"/>
      <w:bookmarkStart w:id="51" w:name="OLE_LINK286"/>
    </w:p>
    <w:p w:rsidR="000F3B26" w:rsidRPr="00F41E66" w:rsidRDefault="002700BE" w:rsidP="00783FEF">
      <w:pPr>
        <w:spacing w:line="360" w:lineRule="auto"/>
        <w:jc w:val="both"/>
        <w:rPr>
          <w:rFonts w:ascii="Book Antiqua" w:hAnsi="Book Antiqua"/>
          <w:b/>
        </w:rPr>
      </w:pPr>
      <w:bookmarkStart w:id="52" w:name="OLE_LINK48"/>
      <w:bookmarkStart w:id="53" w:name="OLE_LINK47"/>
      <w:bookmarkStart w:id="54" w:name="OLE_LINK1"/>
      <w:bookmarkStart w:id="55" w:name="OLE_LINK2"/>
      <w:r w:rsidRPr="00F41E66">
        <w:rPr>
          <w:rFonts w:ascii="Book Antiqua" w:hAnsi="Book Antiqua"/>
        </w:rPr>
        <w:t>Vukotic R,</w:t>
      </w:r>
      <w:r w:rsidR="00700212" w:rsidRPr="00F41E66">
        <w:rPr>
          <w:rFonts w:ascii="Book Antiqua" w:hAnsi="Book Antiqua" w:hint="eastAsia"/>
          <w:lang w:eastAsia="zh-CN"/>
        </w:rPr>
        <w:t xml:space="preserve"> </w:t>
      </w:r>
      <w:r w:rsidRPr="00F41E66">
        <w:rPr>
          <w:rFonts w:ascii="Book Antiqua" w:hAnsi="Book Antiqua"/>
        </w:rPr>
        <w:t>Vitale G,</w:t>
      </w:r>
      <w:r w:rsidR="00700212" w:rsidRPr="00F41E66">
        <w:rPr>
          <w:rFonts w:ascii="Book Antiqua" w:hAnsi="Book Antiqua" w:hint="eastAsia"/>
          <w:lang w:eastAsia="zh-CN"/>
        </w:rPr>
        <w:t xml:space="preserve"> </w:t>
      </w:r>
      <w:r w:rsidRPr="00F41E66">
        <w:rPr>
          <w:rFonts w:ascii="Book Antiqua" w:hAnsi="Book Antiqua"/>
        </w:rPr>
        <w:t>D’Errico-Grigioni A, Muratori L,</w:t>
      </w:r>
      <w:r w:rsidR="00700212" w:rsidRPr="00F41E66">
        <w:rPr>
          <w:rFonts w:ascii="Book Antiqua" w:hAnsi="Book Antiqua" w:hint="eastAsia"/>
          <w:lang w:eastAsia="zh-CN"/>
        </w:rPr>
        <w:t xml:space="preserve"> </w:t>
      </w:r>
      <w:r w:rsidRPr="00F41E66">
        <w:rPr>
          <w:rFonts w:ascii="Book Antiqua" w:hAnsi="Book Antiqua"/>
        </w:rPr>
        <w:t>Andreone P</w:t>
      </w:r>
      <w:r w:rsidR="000F3B26" w:rsidRPr="00F41E66">
        <w:rPr>
          <w:rFonts w:ascii="Book Antiqua" w:hAnsi="Book Antiqua"/>
        </w:rPr>
        <w:t>.</w:t>
      </w:r>
      <w:r w:rsidR="000F3B26" w:rsidRPr="00F41E66">
        <w:rPr>
          <w:rFonts w:ascii="Book Antiqua" w:hAnsi="Book Antiqua"/>
          <w:i/>
        </w:rPr>
        <w:t xml:space="preserve"> </w:t>
      </w:r>
      <w:r w:rsidRPr="00F41E66">
        <w:rPr>
          <w:rFonts w:ascii="Book Antiqua" w:hAnsi="Book Antiqua"/>
          <w:i/>
        </w:rPr>
        <w:t>De novo</w:t>
      </w:r>
      <w:r w:rsidRPr="00F41E66">
        <w:rPr>
          <w:rFonts w:ascii="Book Antiqua" w:hAnsi="Book Antiqua"/>
        </w:rPr>
        <w:t xml:space="preserve"> autoimmune hepatitis in liver transplant: State-of-the-art review.</w:t>
      </w:r>
      <w:r w:rsidR="00F41E66">
        <w:rPr>
          <w:rFonts w:ascii="Book Antiqua" w:hAnsi="Book Antiqua" w:hint="eastAsia"/>
          <w:lang w:eastAsia="zh-CN"/>
        </w:rPr>
        <w:t xml:space="preserve"> </w:t>
      </w:r>
      <w:r w:rsidR="000F3B26" w:rsidRPr="00F41E66">
        <w:rPr>
          <w:rFonts w:ascii="Book Antiqua" w:hAnsi="Book Antiqua"/>
          <w:i/>
        </w:rPr>
        <w:t xml:space="preserve">World J Gastroenterol </w:t>
      </w:r>
      <w:r w:rsidR="000F3B26" w:rsidRPr="00F41E66">
        <w:rPr>
          <w:rFonts w:ascii="Book Antiqua" w:hAnsi="Book Antiqua"/>
        </w:rPr>
        <w:t>2015; In press</w:t>
      </w:r>
      <w:bookmarkEnd w:id="49"/>
      <w:bookmarkEnd w:id="50"/>
      <w:bookmarkEnd w:id="51"/>
      <w:bookmarkEnd w:id="52"/>
      <w:bookmarkEnd w:id="53"/>
    </w:p>
    <w:bookmarkEnd w:id="54"/>
    <w:bookmarkEnd w:id="55"/>
    <w:p w:rsidR="000F3B26" w:rsidRPr="00783FEF" w:rsidRDefault="000F3B26" w:rsidP="00783FEF">
      <w:pPr>
        <w:spacing w:line="360" w:lineRule="auto"/>
        <w:jc w:val="both"/>
        <w:rPr>
          <w:rFonts w:ascii="Book Antiqua" w:hAnsi="Book Antiqua"/>
          <w:color w:val="FF0000"/>
          <w:lang w:eastAsia="zh-CN"/>
        </w:rPr>
      </w:pPr>
    </w:p>
    <w:p w:rsidR="000F3B26" w:rsidRPr="00783FEF" w:rsidRDefault="000F3B26" w:rsidP="00783FEF">
      <w:pPr>
        <w:spacing w:line="360" w:lineRule="auto"/>
        <w:jc w:val="both"/>
        <w:rPr>
          <w:rFonts w:ascii="Book Antiqua" w:hAnsi="Book Antiqua"/>
          <w:b/>
        </w:rPr>
      </w:pPr>
      <w:r w:rsidRPr="00783FEF">
        <w:rPr>
          <w:rFonts w:ascii="Book Antiqua" w:hAnsi="Book Antiqua"/>
          <w:b/>
        </w:rPr>
        <w:br w:type="page"/>
      </w:r>
    </w:p>
    <w:p w:rsidR="00A049A8" w:rsidRPr="00783FEF" w:rsidRDefault="00A049A8" w:rsidP="00783FEF">
      <w:pPr>
        <w:spacing w:line="360" w:lineRule="auto"/>
        <w:jc w:val="both"/>
        <w:rPr>
          <w:rFonts w:ascii="Book Antiqua" w:hAnsi="Book Antiqua"/>
        </w:rPr>
      </w:pPr>
      <w:r w:rsidRPr="00783FEF">
        <w:rPr>
          <w:rFonts w:ascii="Book Antiqua" w:hAnsi="Book Antiqua"/>
          <w:b/>
        </w:rPr>
        <w:lastRenderedPageBreak/>
        <w:t>INTRODUCTION</w:t>
      </w:r>
    </w:p>
    <w:p w:rsidR="00A049A8" w:rsidRPr="00783FEF" w:rsidRDefault="00A049A8" w:rsidP="00783FEF">
      <w:pPr>
        <w:autoSpaceDE w:val="0"/>
        <w:autoSpaceDN w:val="0"/>
        <w:adjustRightInd w:val="0"/>
        <w:spacing w:line="360" w:lineRule="auto"/>
        <w:jc w:val="both"/>
        <w:rPr>
          <w:rFonts w:ascii="Book Antiqua" w:hAnsi="Book Antiqua" w:cs="Bookman-Light"/>
          <w:color w:val="231F20"/>
          <w:lang w:eastAsia="it-IT"/>
        </w:rPr>
      </w:pPr>
      <w:r w:rsidRPr="00783FEF">
        <w:rPr>
          <w:rFonts w:ascii="Book Antiqua" w:hAnsi="Book Antiqua"/>
        </w:rPr>
        <w:t xml:space="preserve">Liver transplantation (LT) represents the rescue therapy for end-stage liver disease (ESLD). The management of LT recipients is a complex issue because the natural history of the long-term survivors has been observed to depend on the possible development of unpredictable clinical complications such as acute and chronic rejection, </w:t>
      </w:r>
      <w:r w:rsidRPr="00783FEF">
        <w:rPr>
          <w:rFonts w:ascii="Book Antiqua" w:hAnsi="Book Antiqua"/>
          <w:i/>
        </w:rPr>
        <w:t>de novo</w:t>
      </w:r>
      <w:r w:rsidRPr="00783FEF">
        <w:rPr>
          <w:rFonts w:ascii="Book Antiqua" w:hAnsi="Book Antiqua"/>
        </w:rPr>
        <w:t xml:space="preserve"> autoimmunity, and fibrosing cholestatic hepatitis</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"10.1016/j.jhep.2011.03.005", "ISSN" : "01688278", "PMID" : "21426919", "abstract" : "With improved long-term survival following liver transplantation (LT), issues relating to the assessment of the liver allograft in long-term survivors are becoming increasingly relevant. Histological abnormalities are commonly present in late post-transplant biopsies, including protocol biopsies from patients who appear to be well with good graft function. Recurrent disease is the commonest recognised cause of abnormal graft histology, but may be modified by the effects of immunosuppression or interactions with other graft complications, resulting in complex or atypical changes. Other abnormalities seen in late post-transplant biopsies include rejection (which often has different appearances to those seen in the post-transplant period), de novo disease, \"idiopathic\" post-transplant hepatitis (IPTH) and nodular regenerative hyperplasia. In many cases graft dysfunction has more than one cause and liver biopsy may help to identify the predominant cause of graft damage. Problems exist with the terminology used to describe less well understood patterns of graft injury, but there is emerging evidence to suggest that late rejection, de novo autoimmune hepatitis and IPTH may all be part of an overlapping spectrum of immune-mediated injury occurring in the late post-transplant liver allograft. Careful clinico-pathological correlation is very important and the wording of the biopsy report should take into account therapeutic implications, particularly whether changes in immunosuppression may be indicated. This article will provide an overview of the main histological changes occurring in long-term survivors post-LT, focusing on areas where the assessment of late post-transplant biopsies is most relevant clinically. \u00a9 2011 European Association for the Study of the Liver. Published by Elsevier B.V. All rights reserved.", "author" : [ { "dropping-particle" : "", "family" : "H\u00fcbscher", "given" : "Stefan G.", "non-dropping-particle" : "", "parse-names" : false, "suffix" : "" } ], "container-title" : "Journal of Hepatology", "id" : "ITEM-1", "issue" : "3", "issued" : { "date-parts" : [ [ "2011" ] ] }, "page" : "702-717", "publisher" : "European Association for the Study of the Liver", "title" : "What is the long-term outcome of the liver allograft?", "type" : "article-journal", "volume" : "55" }, "uris" : [ "http://www.mendeley.com/documents/?uuid=1202adda-8c52-4574-97da-2c105d6d55cc" ] }, { "id" : "ITEM-2", "itemData" : { "DOI" : "10.1016/j.jhep.2010.11.012", "ISBN" : "0168-8278 (Print)\\r0168-8278 (Linking)", "ISSN" : "01688278", "PMID" : "21145865", "abstract" : "Hepatitis C virus (HCV) re-infection of the graft is universal and interferon based antiviral therapy remains at present the treatment of choice in HCV liver transplant recipients. Apart from the antiviral effects, interferon and ribavirin have both potent immunomodulatory properties resulting in a broad range of immune-related disorders including acute cellular rejection and chronic ductopenic rejection as well as de novo autoimmune hepatitis. Further complicating the picture, HCV infection per se is associated with a variety of autoimmune phenomena. We discuss here the immune-mediated complications and their relationship to chronic HCV and interferon based antiviral therapy. \u00a9 2010 European Association for the Study of the Liver. Published by Elsevier B.V. All rights reserved.", "author" : [ { "dropping-particle" : "", "family" : "Selzner", "given" : "Nazia", "non-dropping-particle" : "", "parse-names" : false, "suffix" : "" }, { "dropping-particle" : "", "family" : "Guindi", "given" : "Maha", "non-dropping-particle" : "", "parse-names" : false, "suffix" : "" }, { "dropping-particle" : "", "family" : "Renner", "given" : "Eberhard L.", "non-dropping-particle" : "", "parse-names" : false, "suffix" : "" }, { "dropping-particle" : "", "family" : "Berenguer", "given" : "Marina", "non-dropping-particle" : "", "parse-names" : false, "suffix" : "" } ], "container-title" : "Journal of Hepatology", "id" : "ITEM-2", "issue" : "1", "issued" : { "date-parts" : [ [ "2011" ] ] }, "page" : "207-217", "publisher" : "European Association for the Study of the Liver", "title" : "Immune-mediated complications of the graft in interferon-treated hepatitis C positive liver transplant recipients", "type" : "article-journal", "volume" : "55" }, "uris" : [ "http://www.mendeley.com/documents/?uuid=c17879d9-74c6-461c-84f6-dc0f98203d36" ] }, { "id" : "ITEM-3", "itemData" : { "DOI" : "10.1002/lt.23566", "ISSN" : "1527-6473", "PMID" : "23281277", "author" : [ { "dropping-particle" : "", "family" : "Lucey", "given" : "Michael R", "non-dropping-particle" : "", "parse-names" : false, "suffix" : "" }, { "dropping-particle" : "", "family" : "Terrault", "given" : "Norah", "non-dropping-particle" : "", "parse-names" : false, "suffix" : "" }, { "dropping-particle" : "", "family" : "Ojo", "given" : "Lolu", "non-dropping-particle" : "", "parse-names" : false, "suffix" : "" }, { "dropping-particle" : "", "family" : "Hay", "given" : "J Eileen", "non-dropping-particle" : "", "parse-names" : false, "suffix" : "" }, { "dropping-particle" : "", "family" : "Neuberger", "given" : "James", "non-dropping-particle" : "", "parse-names" : false, "suffix" : "" }, { "dropping-particle" : "", "family" : "Blumberg", "given" : "Emily", "non-dropping-particle" : "", "parse-names" : false, "suffix" : "" }, { "dropping-particle" : "", "family" : "Teperman", "given" : "Lewis W", "non-dropping-particle" : "", "parse-names" : false, "suffix" : "" } ], "container-title" : "Liver transplantation : official publication of the American Association for the Study of Liver Diseases and the International Liver Transplantation Society", "id" : "ITEM-3", "issue" : "1", "issued" : { "date-parts" : [ [ "2013", "1", "1" ] ] }, "language" : "en", "page" : "3-26", "publisher" : "Wiley Subscription Services, Inc., A Wiley Company", "title" : "Long-term management of the successful adult liver transplant: 2012 practice guideline by the American Association for the Study of Liver Diseases and the American Society of Transplantation.", "type" : "article-journal", "volume" : "19" }, "uris" : [ "http://www.mendeley.com/documents/?uuid=63d97f46-cad0-48ac-999e-342cba32814b" ] } ], "mendeley" : { "formattedCitation" : "&lt;sup&gt;[1\u20133]&lt;/sup&gt;", "plainTextFormattedCitation" : "[1\u20133]", "previouslyFormattedCitation" : "&lt;sup&gt;[1\u20133]&lt;/sup&gt;"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[1–3]</w:t>
      </w:r>
      <w:r w:rsidR="001D26D7" w:rsidRPr="00783FEF">
        <w:rPr>
          <w:rFonts w:ascii="Book Antiqua" w:hAnsi="Book Antiqua"/>
        </w:rPr>
        <w:fldChar w:fldCharType="end"/>
      </w:r>
      <w:r w:rsidRPr="00783FEF">
        <w:rPr>
          <w:rFonts w:ascii="Book Antiqua" w:hAnsi="Book Antiqua"/>
        </w:rPr>
        <w:t xml:space="preserve">. For nearly two decades, the literature has provided information about series of LT patients, including children and adults, who develop transaminases increases, histological features of plasma-cell infiltrate and typical autoimmune liver serology. This phenomenon has been observed to be particularly challenging when it occurs during treatment with interferon for </w:t>
      </w:r>
      <w:r w:rsidR="00F41E66" w:rsidRPr="00F41E66">
        <w:rPr>
          <w:rFonts w:ascii="Book Antiqua" w:hAnsi="Book Antiqua"/>
        </w:rPr>
        <w:t>hepatitis C virus</w:t>
      </w:r>
      <w:r w:rsidR="00F41E66">
        <w:rPr>
          <w:rFonts w:ascii="Book Antiqua" w:hAnsi="Book Antiqua" w:hint="eastAsia"/>
          <w:lang w:eastAsia="zh-CN"/>
        </w:rPr>
        <w:t xml:space="preserve"> (</w:t>
      </w:r>
      <w:r w:rsidRPr="00783FEF">
        <w:rPr>
          <w:rFonts w:ascii="Book Antiqua" w:hAnsi="Book Antiqua"/>
        </w:rPr>
        <w:t>HCV</w:t>
      </w:r>
      <w:r w:rsidR="00F41E66">
        <w:rPr>
          <w:rFonts w:ascii="Book Antiqua" w:hAnsi="Book Antiqua" w:hint="eastAsia"/>
          <w:lang w:eastAsia="zh-CN"/>
        </w:rPr>
        <w:t xml:space="preserve">) </w:t>
      </w:r>
      <w:r w:rsidRPr="00783FEF">
        <w:rPr>
          <w:rFonts w:ascii="Book Antiqua" w:hAnsi="Book Antiqua"/>
        </w:rPr>
        <w:t>recurrence</w:t>
      </w:r>
      <w:r w:rsidR="001D26D7" w:rsidRPr="00783FEF">
        <w:rPr>
          <w:rFonts w:ascii="Book Antiqua" w:hAnsi="Book Antiqua"/>
          <w:vertAlign w:val="superscript"/>
        </w:rPr>
        <w:fldChar w:fldCharType="begin" w:fldLock="1"/>
      </w:r>
      <w:r w:rsidRPr="00783FEF">
        <w:rPr>
          <w:rFonts w:ascii="Book Antiqua" w:hAnsi="Book Antiqua"/>
          <w:vertAlign w:val="superscript"/>
        </w:rPr>
        <w:instrText>ADDIN CSL_CITATION { "citationItems" : [ { "id" : "ITEM-1", "itemData" : { "DOI" : "10.1002/lt.21447", "ISSN" : "1527-6473", "PMID" : "18508382", "abstract" : "De novo autoimmune hepatitis has been described in both pediatric and adult liver transplantation (LT) recipients. Studies of small numbers of patients have proposed it to be an alloimmune hepatitis or form of chronic rejection. We have recently noted an increasing number of patients with post-LT recurrent hepatitis C virus (HCV) developing this, with an apparent negative impact on outcome and survival. We term this entity posttransplant plasma cell hepatitis (PCH). A search of our institution's pathology database was performed with the terms \"plasma cell(s),\" \"lymphoplasmacytic infiltrate,\" and \"liver allograft.\" A histological scoring system was devised to more reliably diagnose PCH in the setting of recurrent HCV. Thirty-eight patients were identified, and their clinical data were analyzed. Sixty percent had a negative outcome as defined by the development of cirrhosis, need for retransplantation, or death. Eighty-two percent had recent lowering of immunosuppression or subtherapeutic calcineurin inhibitor levels; 58% developed PCH within 2 years post-LT. Histologic resolution of PCH was associated with good outcome (P &lt; 0.001). Patients not receiving treatment had a negative outcome (P = 0.007) as did patients receiving corticosteroids as therapy (P = 0.02). Persistence (P = 0.007) or recurrence of PCH was associated with negative outcome. In conclusion, PCH is a histologic variant of rejection. On liver biopsy, PCH can at times be difficult to diagnose, and the use of a standardized scoring system is recommended to differentiate it from other forms of allograft dysfunction. Treatment by optimization of immunosuppression without the use of corticosteroids appears effective. The development of PCH in the setting of recurrent HCV is a negative prognostic factor for patient outcome and allograft failure.", "author" : [ { "dropping-particle" : "", "family" : "Fiel", "given" : "M Isabel", "non-dropping-particle" : "", "parse-names" : false, "suffix" : "" }, { "dropping-particle" : "", "family" : "Agarwal", "given" : "Kaushik", "non-dropping-particle" : "", "parse-names" : false, "suffix" : "" }, { "dropping-particle" : "", "family" : "Stanca", "given" : "Carmen", "non-dropping-particle" : "", "parse-names" : false, "suffix" : "" }, { "dropping-particle" : "", "family" : "Elhajj", "given" : "Nassim", "non-dropping-particle" : "", "parse-names" : false, "suffix" : "" }, { "dropping-particle" : "", "family" : "Kontorinis", "given" : "Nikolas", "non-dropping-particle" : "", "parse-names" : false, "suffix" : "" }, { "dropping-particle" : "", "family" : "Thung", "given" : "Swan N", "non-dropping-particle" : "", "parse-names" : false, "suffix" : "" }, { "dropping-particle" : "", "family" : "Schiano", "given" : "Thomas D", "non-dropping-particle" : "", "parse-names" : false, "suffix" : "" } ], "container-title" : "Liver transplantation : official publication of the American Association for the Study of Liver Diseases and the International Liver Transplantation Society", "id" : "ITEM-1", "issue" : "6", "issued" : { "date-parts" : [ [ "2008", "6", "1" ] ] }, "language" : "en", "page" : "861-71", "publisher" : "Wiley Subscription Services, Inc., A Wiley Company", "title" : "Posttransplant plasma cell hepatitis (de novo autoimmune hepatitis) is a variant of rejection and may lead to a negative outcome in patients with hepatitis C virus.", "type" : "article-journal", "volume" : "14" }, "uris" : [ "http://www.mendeley.com/documents/?uuid=4bcaf04a-c236-45e7-9e79-94978d828161" ] } ], "mendeley" : { "formattedCitation" : "&lt;sup&gt;[4]&lt;/sup&gt;", "plainTextFormattedCitation" : "[4]", "previouslyFormattedCitation" : "&lt;sup&gt;[4]&lt;/sup&gt;" }, "properties" : { "noteIndex" : 0 }, "schema" : "https://github.com/citation-style-language/schema/raw/master/csl-citation.json" }</w:instrText>
      </w:r>
      <w:r w:rsidR="001D26D7" w:rsidRPr="00783FEF">
        <w:rPr>
          <w:rFonts w:ascii="Book Antiqua" w:hAnsi="Book Antiqua"/>
          <w:vertAlign w:val="superscript"/>
        </w:rPr>
        <w:fldChar w:fldCharType="separate"/>
      </w:r>
      <w:r w:rsidRPr="00783FEF">
        <w:rPr>
          <w:rFonts w:ascii="Book Antiqua" w:hAnsi="Book Antiqua"/>
          <w:noProof/>
          <w:vertAlign w:val="superscript"/>
        </w:rPr>
        <w:t>[4]</w:t>
      </w:r>
      <w:r w:rsidR="001D26D7" w:rsidRPr="00783FEF">
        <w:rPr>
          <w:rFonts w:ascii="Book Antiqua" w:hAnsi="Book Antiqua"/>
          <w:vertAlign w:val="superscript"/>
        </w:rPr>
        <w:fldChar w:fldCharType="end"/>
      </w:r>
      <w:r w:rsidRPr="00783FEF">
        <w:rPr>
          <w:rFonts w:ascii="Book Antiqua" w:hAnsi="Book Antiqua"/>
        </w:rPr>
        <w:t>. While the recurrence of genuine autoimmune hepatitis (AIH) after LT should be dreaded in the mid-long-term</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"10.1002/lt.20910", "ISSN" : "1527-6465", "PMID" : "17031826", "abstract" : "Recurrence of autoimmune liver disease in allografts has long been a topic of debate. We conducted a systematic review of the literature to examine the reported incidence of recurrence after liver transplantation of primary biliary cirrhosis (PBC), primary sclerosing cholangitis (PSC), and autoimmune hepatitis (AIH). The MEDLINE, EMBASE, and Cochrane electronic databases were used to identify articles. The inclusion criteria used were articles on patients with at least 90 days of posttransplantation follow-up, histologic criteria for diagnosis of PBC and AIH recurrence, radiologic or histologic criteria or both for diagnosis of PSC recurrence, and exclusion of other causes of liver disease causing similar histologic findings. Incidence in individual studies was combined to calculate the overall recurrence. Risk factors were analyzed whenever crude data were available. Funnel plots were used to assess publication bias. Out of 90 articles identified, 43 met criteria for systematic review (PBC, 16; PSC, 14; AIH, 13). The calculated weighted recurrence rate was 18% for PBC, 11% for PSC, and 22% for AIH. No difference was found in PBC and AIH recurrence by type of primary immunosuppression. There were not enough data to assess this issue in PSC studies. There was evidence of publication bias among PSC and AIH studies but not among PBC studies. In conclusion, recurrence of autoimmune liver disease after liver transplantation appears to be a real concern. As these patients are followed long-term, recurrence of disease may become the primary cause of morbidity.", "author" : [ { "dropping-particle" : "", "family" : "Gautam", "given" : "Manjushree", "non-dropping-particle" : "", "parse-names" : false, "suffix" : "" }, { "dropping-particle" : "", "family" : "Cheruvattath", "given" : "Rekha", "non-dropping-particle" : "", "parse-names" : false, "suffix" : "" }, { "dropping-particle" : "", "family" : "Balan", "given" : "Vijayan", "non-dropping-particle" : "", "parse-names" : false, "suffix" : "" } ], "container-title" : "Liver transplantation : official publication of the American Association for the Study of Liver Diseases and the International Liver Transplantation Society", "id" : "ITEM-1", "issue" : "12", "issued" : { "date-parts" : [ [ "2006", "12", "1" ] ] }, "language" : "en", "page" : "1813-24", "publisher" : "Wiley Subscription Services, Inc., A Wiley Company", "title" : "Recurrence of autoimmune liver disease after liver transplantation: a systematic review.", "type" : "article-journal", "volume" : "12" }, "uris" : [ "http://www.mendeley.com/documents/?uuid=cc0676a2-f6a7-4171-89d8-3f6673a4edfa" ] }, { "id" : "ITEM-2", "itemData" : { "DOI" : "10.1016/j.cld.2011.08.008", "ISSN" : "1557-8224", "PMID" : "22032533", "abstract" : "Primary biliary cirrhosis (PBC), primary sclerosing cholangitis (PSC), and autoimmune hepatitis (AIH) each account for approximately 5% of liver transplants per year performed in the United States and Europe. Even though outcomes are excellent, with reported 5-year patient and graft survival exceeding 90% and 80%, 80% and 75%, 72% and 65% for PBC, PSC, and AIH, respectively, the issue of recurrent autoimmune liver disease after orthotopic liver transplantation is increasingly recognized as a cause of graft dysfunction, death, and need for retransplantation. This article reviews diagnostic criteria, epidemiology, risk factors, and outcomes of recurrent PBC, PSC, and AIH after liver transplantation.", "author" : [ { "dropping-particle" : "", "family" : "Mendes", "given" : "Flavia", "non-dropping-particle" : "", "parse-names" : false, "suffix" : "" }, { "dropping-particle" : "", "family" : "Couto", "given" : "Claudia A", "non-dropping-particle" : "", "parse-names" : false, "suffix" : "" }, { "dropping-particle" : "", "family" : "Levy", "given" : "Cynthia", "non-dropping-particle" : "", "parse-names" : false, "suffix" : "" } ], "container-title" : "Clinics in liver disease", "id" : "ITEM-2", "issue" : "4", "issued" : { "date-parts" : [ [ "2011", "11" ] ] }, "page" : "859-78", "title" : "Recurrent and de novo autoimmune liver diseases.", "type" : "article-journal", "volume" : "15" }, "uris" : [ "http://www.mendeley.com/documents/?uuid=055e625f-f7e6-413b-94bd-a8ba8e328828" ] }, { "id" : "ITEM-3", "itemData" : { "DOI" : "10.1007/s10620-012-2179-3", "ISSN" : "0163-2116", "author" : [ { "dropping-particle" : "", "family" : "Czaja", "given" : "AlbertJ.", "non-dropping-particle" : "", "parse-names" : false, "suffix" : "" } ], "container-title" : "Digestive Diseases and Sciences", "id" : "ITEM-3", "issue" : "9", "issued" : { "date-parts" : [ [ "2012" ] ] }, "language" : "English", "page" : "2248-2266", "publisher" : "Springer US", "title" : "Diagnosis, Pathogenesis, and Treatment of Autoimmune Hepatitis After Liver Transplantation", "type" : "article-journal", "volume" : "57" }, "uris" : [ "http://www.mendeley.com/documents/?uuid=b1e88aac-bad0-4032-9e31-243811683c87" ] }, { "id" : "ITEM-4", "itemData" : { "DOI" : "10.1016/j.cgh.2011.10.028", "ISSN" : "15423565", "abstract" : "Liver transplantation is an effective treatment for patients with end-stage acute and chronic autoimmune hepatitis. However, despite the good outcomes reported, disease recurrence is relatively common in the allograft. In addition, autoimmunity and autoimmune liver disease can arise de novo after transplantation for non-autoimmune liver disorders. Little is known about the mechanisms by which autoimmune diseases develop after liver transplantation, but genetic factors, molecular mimicry, impaired regulatory T-cell responses, and exposures to new alloantigens might be involved. Regardless of the pathogenic mechanisms, it is important to remain aware of the existence of recurrent and de novo autoimmune hepatitis after liver transplantation; these disorders are similar to classic autoimmune hepatitis and are therefore not treated with standard antirejection strategies. ?? 2012 AGA Institute.", "author" : [ { "dropping-particle" : "", "family" : "Liberal", "given" : "Rodrigo", "non-dropping-particle" : "", "parse-names" : false, "suffix" : "" }, { "dropping-particle" : "", "family" : "Longhi", "given" : "Maria Serena", "non-dropping-particle" : "", "parse-names" : false, "suffix" : "" }, { "dropping-particle" : "", "family" : "Grant", "given" : "Charlotte R.", "non-dropping-particle" : "", "parse-names" : false, "suffix" : "" }, { "dropping-particle" : "", "family" : "Mieli-Vergani", "given" : "Giorgina", "non-dropping-particle" : "", "parse-names" : false, "suffix" : "" }, { "dropping-particle" : "", "family" : "Vergani", "given" : "Diego", "non-dropping-particle" : "", "parse-names" : false, "suffix" : "" } ], "container-title" : "Clinical Gastroenterology and Hepatology", "id" : "ITEM-4", "issue" : "4", "issued" : { "date-parts" : [ [ "2012" ] ] }, "page" : "346-353", "publisher" : "Elsevier Inc.", "title" : "Autoimmune Hepatitis After Liver Transplantation", "type" : "article-journal", "volume" : "10" }, "uris" : [ "http://www.mendeley.com/documents/?uuid=961af2c0-e818-4648-b705-fe6245913a22" ] } ], "mendeley" : { "formattedCitation" : "&lt;sup&gt;[5\u20138]&lt;/sup&gt;", "plainTextFormattedCitation" : "[5\u20138]", "previouslyFormattedCitation" : "&lt;sup&gt;[5\u20138]&lt;/sup&gt;"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[5–8]</w:t>
      </w:r>
      <w:r w:rsidR="001D26D7" w:rsidRPr="00783FEF">
        <w:rPr>
          <w:rFonts w:ascii="Book Antiqua" w:hAnsi="Book Antiqua"/>
        </w:rPr>
        <w:fldChar w:fldCharType="end"/>
      </w:r>
      <w:r w:rsidRPr="00783FEF">
        <w:rPr>
          <w:rFonts w:ascii="Book Antiqua" w:hAnsi="Book Antiqua"/>
        </w:rPr>
        <w:t xml:space="preserve">, true </w:t>
      </w:r>
      <w:r w:rsidRPr="00783FEF">
        <w:rPr>
          <w:rFonts w:ascii="Book Antiqua" w:hAnsi="Book Antiqua"/>
          <w:i/>
        </w:rPr>
        <w:t>de novo</w:t>
      </w:r>
      <w:r w:rsidRPr="00783FEF">
        <w:rPr>
          <w:rFonts w:ascii="Book Antiqua" w:hAnsi="Book Antiqua"/>
        </w:rPr>
        <w:t xml:space="preserve"> AIH can develop unpredictably in any period following LT, particularly in the setting of HCV recurrence. The hypotheses regarding the pathogenic pathways are not conclusive, and the examined risk factors have primarily focused on immunosuppression reductions or withdrawals, predisposing graft and/or host haplotypes and the use of immunomodulating agents. A prompt diagnosis and appropriate treatment of </w:t>
      </w:r>
      <w:r w:rsidRPr="00783FEF">
        <w:rPr>
          <w:rFonts w:ascii="Book Antiqua" w:hAnsi="Book Antiqua"/>
          <w:i/>
        </w:rPr>
        <w:t>de novo</w:t>
      </w:r>
      <w:r w:rsidRPr="00783FEF">
        <w:rPr>
          <w:rFonts w:ascii="Book Antiqua" w:hAnsi="Book Antiqua"/>
        </w:rPr>
        <w:t xml:space="preserve"> AIH can prevent disease progression and graft loss.</w:t>
      </w:r>
    </w:p>
    <w:p w:rsidR="00A049A8" w:rsidRPr="00783FEF" w:rsidRDefault="00A049A8" w:rsidP="00783FEF">
      <w:pPr>
        <w:spacing w:line="360" w:lineRule="auto"/>
        <w:jc w:val="both"/>
        <w:rPr>
          <w:rFonts w:ascii="Book Antiqua" w:hAnsi="Book Antiqua"/>
          <w:b/>
        </w:rPr>
      </w:pPr>
    </w:p>
    <w:p w:rsidR="00A049A8" w:rsidRPr="00FC6252" w:rsidRDefault="00FC6252" w:rsidP="00783FEF">
      <w:pPr>
        <w:spacing w:line="360" w:lineRule="auto"/>
        <w:jc w:val="both"/>
        <w:rPr>
          <w:rFonts w:ascii="Book Antiqua" w:hAnsi="Book Antiqua"/>
          <w:b/>
        </w:rPr>
      </w:pPr>
      <w:r w:rsidRPr="00FC6252">
        <w:rPr>
          <w:rFonts w:ascii="Book Antiqua" w:hAnsi="Book Antiqua"/>
          <w:b/>
        </w:rPr>
        <w:t>COMMON DEFINITIONS AND CURRENT KNOWLEDGE</w:t>
      </w:r>
    </w:p>
    <w:p w:rsidR="00A049A8" w:rsidRPr="00783FEF" w:rsidRDefault="00A049A8" w:rsidP="00783FEF">
      <w:pPr>
        <w:spacing w:line="360" w:lineRule="auto"/>
        <w:jc w:val="both"/>
        <w:rPr>
          <w:rFonts w:ascii="Book Antiqua" w:hAnsi="Book Antiqua"/>
        </w:rPr>
      </w:pPr>
      <w:r w:rsidRPr="00783FEF">
        <w:rPr>
          <w:rFonts w:ascii="Book Antiqua" w:hAnsi="Book Antiqua"/>
        </w:rPr>
        <w:t xml:space="preserve">Autoimmune-based liver graft injury typically characterized by features of AIH, but occurring in transplant recipients for ESLD not caused by a previous autoimmune liver disease, has been described over the years in pediatric and adult LT. Likely because of its incomplete understanding, this disease has not yet been given a universally accepted </w:t>
      </w:r>
      <w:r w:rsidR="00881448" w:rsidRPr="00783FEF">
        <w:rPr>
          <w:rFonts w:ascii="Book Antiqua" w:hAnsi="Book Antiqua"/>
        </w:rPr>
        <w:t>denomination</w:t>
      </w:r>
      <w:r w:rsidRPr="00783FEF">
        <w:rPr>
          <w:rFonts w:ascii="Book Antiqua" w:hAnsi="Book Antiqua"/>
        </w:rPr>
        <w:t xml:space="preserve">. The most common name of this condition, </w:t>
      </w:r>
      <w:r w:rsidR="00F028E5" w:rsidRPr="00783FEF">
        <w:rPr>
          <w:rFonts w:ascii="Book Antiqua" w:hAnsi="Book Antiqua"/>
          <w:i/>
        </w:rPr>
        <w:t>i.e.</w:t>
      </w:r>
      <w:r w:rsidRPr="00783FEF">
        <w:rPr>
          <w:rFonts w:ascii="Book Antiqua" w:hAnsi="Book Antiqua"/>
        </w:rPr>
        <w:t xml:space="preserve">, </w:t>
      </w:r>
      <w:r w:rsidRPr="00783FEF">
        <w:rPr>
          <w:rFonts w:ascii="Book Antiqua" w:hAnsi="Book Antiqua"/>
          <w:i/>
        </w:rPr>
        <w:t>de novo</w:t>
      </w:r>
      <w:r w:rsidRPr="00783FEF">
        <w:rPr>
          <w:rFonts w:ascii="Book Antiqua" w:hAnsi="Book Antiqua"/>
        </w:rPr>
        <w:t xml:space="preserve"> autoimmune hepatitis, was first used in 1998</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"10.1016/S0140-6736(97)06478-7", "ISSN" : "0140-6736", "PMID" : "9482295", "abstract" : "Late graft dysfunction that does not result from recognised causes, such as rejection, infection, or vascular or biliary complications, can occur after liver transplantation. We investigated a particular type of unexplained graft dysfunction that is associated with autoimmune features in children who underwent transplantation at our unit between 1991 and 1996.", "author" : [ { "dropping-particle" : "", "family" : "Kerkar", "given" : "Nanda", "non-dropping-particle" : "", "parse-names" : false, "suffix" : "" }, { "dropping-particle" : "", "family" : "Hadzi\u0107", "given" : "N", "non-dropping-particle" : "", "parse-names" : false, "suffix" : "" }, { "dropping-particle" : "", "family" : "Davies", "given" : "Edward T", "non-dropping-particle" : "", "parse-names" : false, "suffix" : "" }, { "dropping-particle" : "", "family" : "Portmann", "given" : "Bernard", "non-dropping-particle" : "", "parse-names" : false, "suffix" : "" }, { "dropping-particle" : "", "family" : "Donaldson", "given" : "Peter T", "non-dropping-particle" : "", "parse-names" : false, "suffix" : "" }, { "dropping-particle" : "", "family" : "Rela", "given" : "Mohamed", "non-dropping-particle" : "", "parse-names" : false, "suffix" : "" }, { "dropping-particle" : "", "family" : "Heaton", "given" : "Nigel D", "non-dropping-particle" : "", "parse-names" : false, "suffix" : "" }, { "dropping-particle" : "", "family" : "Vergani", "given" : "Diego", "non-dropping-particle" : "", "parse-names" : false, "suffix" : "" }, { "dropping-particle" : "", "family" : "Mieli-Vergani", "given" : "G", "non-dropping-particle" : "", "parse-names" : false, "suffix" : "" } ], "container-title" : "Lancet", "id" : "ITEM-1", "issue" : "9100", "issued" : { "date-parts" : [ [ "1998" ] ] }, "page" : "409-13", "title" : "De-novo autoimmune hepatitis after liver transplantation.", "type" : "article-journal", "volume" : "351" }, "uris" : [ "http://www.mendeley.com/documents/?uuid=7ed2d62b-fe84-4a08-9618-a081c8dda556" ] } ], "mendeley" : { "formattedCitation" : "&lt;sup&gt;[9]&lt;/sup&gt;", "plainTextFormattedCitation" : "[9]", "previouslyFormattedCitation" : "&lt;sup&gt;[9]&lt;/sup&gt;"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[9]</w:t>
      </w:r>
      <w:r w:rsidR="001D26D7" w:rsidRPr="00783FEF">
        <w:rPr>
          <w:rFonts w:ascii="Book Antiqua" w:hAnsi="Book Antiqua"/>
        </w:rPr>
        <w:fldChar w:fldCharType="end"/>
      </w:r>
      <w:r w:rsidRPr="00783FEF">
        <w:rPr>
          <w:rFonts w:ascii="Book Antiqua" w:hAnsi="Book Antiqua"/>
        </w:rPr>
        <w:t xml:space="preserve"> (herein, ‘</w:t>
      </w:r>
      <w:r w:rsidRPr="00783FEF">
        <w:rPr>
          <w:rFonts w:ascii="Book Antiqua" w:hAnsi="Book Antiqua"/>
          <w:i/>
        </w:rPr>
        <w:t>de novo’</w:t>
      </w:r>
      <w:r w:rsidRPr="00783FEF">
        <w:rPr>
          <w:rFonts w:ascii="Book Antiqua" w:hAnsi="Book Antiqua"/>
        </w:rPr>
        <w:t xml:space="preserve"> followed by the acronym AIH will be used), but has also been called post-LT AIH-like hepatitis</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"10.1016/j.humpath.2006.08.028", "ISSN" : "0046-8177 (Print)", "PMID" : "17188331", "abstract" : "Clinicopathologic trends of recurrent hepatitis C after liver transplantation (LT) in hepatitis C (HCV) patients seem to have changed in recent years. Our aims were to define the current post-LT patterns of HCV recurrence and identify features of diagnostic and/or prognostic significance. Detailed analysis was performed on 92 HCV patients who underwent LT from June 1999 to December 2003 and survived early post-LT period. The study patients were grouped, as follows: no histologic recurrence (n = 31), \"typical\" recurrent HCV (n = 52), and post-LT autoimmune-like hepatitis (\"AIH-like\") (n = 9). The typical and AIH-like groups had mostly common features with post-LT progressive fibrosis (stage &gt; or =2) more frequent in the latter. Based on post-LT progressive fibrosis (stage &gt; or =2), the 2 post-LT hepatitis categories were regrouped as progressive (n = 24) and nonprogressive (n = 37). High viral counts, HCV genotype 1, and native liver inflammation grade 2 or higher with plasmacytic periseptitis were more frequent in progressive cases than nonprogressive or nonrecurrent cases. Sex mismatch of male recipient and female donor was more common in nonrecurrent group. Overall, death rate was comparable in all groups; however, post-LT HCV-related deaths were more common in progressive cases. In conclusion (1) two thirds (66.2%) of HCV patients developed histologic hepatitis after LT with either typical or AIH-like features; (2) progressive fibrosis was seen in 39.3% of patients with post-LT hepatitis and 26% of the entire study group and was more frequent in AIH-like cases; (3) inflammation grade 2 or higher with plasmacytic periseptitis in native livers may be a predictor of post-LT progressive fibrosis; and (4) male recipient/female donor combination was more common in nonrecurrent cases.", "author" : [ { "dropping-particle" : "", "family" : "Khettry", "given" : "Urmila", "non-dropping-particle" : "", "parse-names" : false, "suffix" : "" }, { "dropping-particle" : "", "family" : "Huang", "given" : "Weei-Yuan", "non-dropping-particle" : "", "parse-names" : false, "suffix" : "" }, { "dropping-particle" : "", "family" : "Simpson", "given" : "Mary Ann", "non-dropping-particle" : "", "parse-names" : false, "suffix" : "" }, { "dropping-particle" : "", "family" : "Pomfret", "given" : "Elizabeth A", "non-dropping-particle" : "", "parse-names" : false, "suffix" : "" }, { "dropping-particle" : "", "family" : "Pomposelli", "given" : "James J", "non-dropping-particle" : "", "parse-names" : false, "suffix" : "" }, { "dropping-particle" : "", "family" : "Lewis", "given" : "W David", "non-dropping-particle" : "", "parse-names" : false, "suffix" : "" }, { "dropping-particle" : "", "family" : "Jenkins", "given" : "Roger L", "non-dropping-particle" : "", "parse-names" : false, "suffix" : "" }, { "dropping-particle" : "", "family" : "Gordon", "given" : "Fredric D", "non-dropping-particle" : "", "parse-names" : false, "suffix" : "" } ], "container-title" : "Human pathology", "id" : "ITEM-1", "issue" : "3", "issued" : { "date-parts" : [ [ "2007", "3" ] ] }, "language" : "eng", "page" : "443-452", "publisher-place" : "United States", "title" : "Patterns of recurrent hepatitis C after liver transplantation in a recent cohort  of patients.", "type" : "article-journal", "volume" : "38" }, "uris" : [ "http://www.mendeley.com/documents/?uuid=3dedff63-75a7-4f97-977a-d6fc39ac460b" ] } ], "mendeley" : { "formattedCitation" : "&lt;sup&gt;[10]&lt;/sup&gt;", "plainTextFormattedCitation" : "[10]", "previouslyFormattedCitation" : "&lt;sup&gt;[10]&lt;/sup&gt;"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[10]</w:t>
      </w:r>
      <w:r w:rsidR="001D26D7" w:rsidRPr="00783FEF">
        <w:rPr>
          <w:rFonts w:ascii="Book Antiqua" w:hAnsi="Book Antiqua"/>
        </w:rPr>
        <w:fldChar w:fldCharType="end"/>
      </w:r>
      <w:r w:rsidRPr="00783FEF">
        <w:rPr>
          <w:rFonts w:ascii="Book Antiqua" w:hAnsi="Book Antiqua"/>
        </w:rPr>
        <w:t>, graft dysfunction mimicking AIH</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"10.1053/jhep.2001.26756", "ISSN" : "02709139", "PMID" : "11526530", "abstract" : "In children, a type of graft dysfunction associated with autoimmune features has been described. We have identified 7 adult liver-transplant (LT) recipients from a series of over 1,000 consecutive transplant recipients who presented between 0.3 years and 7.2 years following transplantation with characteristic symptoms, autoantibody profiles, and histologic findings of autoimmune disease. The indications for transplantation were Ecstasy overdose, alcohol-related cirrhosis, primary sclerosing cholangitis (PSC) (2), primary biliary cirrhosis (PBC), hepatitis C cirrhosis, and cryptogenic cirrhosis. Two patterns of de novo autoantibody development were noted; anti-liver-kidney-microsome (LKM) antibody development at high titer in association with an aspartate transaminase (AST) &gt; 500 and antinuclear (ANA) and antismooth muscle (AMA) antibody development at titers &gt;1/80 with lower AST levels. All cases had elevated IgG. Liver biopsies showed changes of an autoimmune-type hepatitis with portal and periportal hepatitis in association with a marked infiltrate of plasma cells, lymphocytes, and bridging collapse. Two patients lost their grafts because of the disease. Patients were treated with reintroduction of steroids and azathioprine in cases in which it had been withdrawn. Major histocompatibility class I and II mismatching did not incur risk. Eight of 12 liver allografts were acquired from either DRB*0301- or DRB*0401-positive donors, and 4 recipients were DRB*0301-positive. This series illustrates that both symptoms and histologic findings of graft dysfunction compatible with autoimmune hepatitis (AIH) exist in adult LT recipients. Graft loses may be a consequence. This entity may represent a specific type of rejection that should currently be classified as \"graft dysfunction mimicking autoimmune hepatitis\".", "author" : [ { "dropping-particle" : "", "family" : "Heneghan", "given" : "M. a.", "non-dropping-particle" : "", "parse-names" : false, "suffix" : "" }, { "dropping-particle" : "", "family" : "Portmann", "given" : "B. C.", "non-dropping-particle" : "", "parse-names" : false, "suffix" : "" }, { "dropping-particle" : "", "family" : "Norris", "given" : "S. M.", "non-dropping-particle" : "", "parse-names" : false, "suffix" : "" }, { "dropping-particle" : "", "family" : "Williams", "given" : "R.", "non-dropping-particle" : "", "parse-names" : false, "suffix" : "" }, { "dropping-particle" : "", "family" : "Muiesan", "given" : "P.", "non-dropping-particle" : "", "parse-names" : false, "suffix" : "" }, { "dropping-particle" : "", "family" : "Rela", "given" : "M.", "non-dropping-particle" : "", "parse-names" : false, "suffix" : "" }, { "dropping-particle" : "", "family" : "Heaton", "given" : "N. D.", "non-dropping-particle" : "", "parse-names" : false, "suffix" : "" }, { "dropping-particle" : "", "family" : "O'Grady", "given" : "J. G.", "non-dropping-particle" : "", "parse-names" : false, "suffix" : "" } ], "container-title" : "Hepatology", "id" : "ITEM-1", "issue" : "3", "issued" : { "date-parts" : [ [ "2001" ] ] }, "page" : "464-470", "title" : "Graft dysfunction mimicking autoimmune hepatitis following liver transplantation in adults", "type" : "article-journal", "volume" : "34" }, "uris" : [ "http://www.mendeley.com/documents/?uuid=6f0b6328-8f8f-4c49-8265-2bbc56ca0f8b" ] } ], "mendeley" : { "formattedCitation" : "&lt;sup&gt;[11]&lt;/sup&gt;", "plainTextFormattedCitation" : "[11]", "previouslyFormattedCitation" : "&lt;sup&gt;[11]&lt;/sup&gt;"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[11]</w:t>
      </w:r>
      <w:r w:rsidR="001D26D7" w:rsidRPr="00783FEF">
        <w:rPr>
          <w:rFonts w:ascii="Book Antiqua" w:hAnsi="Book Antiqua"/>
        </w:rPr>
        <w:fldChar w:fldCharType="end"/>
      </w:r>
      <w:r w:rsidRPr="00783FEF">
        <w:rPr>
          <w:rFonts w:ascii="Book Antiqua" w:hAnsi="Book Antiqua"/>
        </w:rPr>
        <w:t>, posttransplant immune hepatitis</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"ISSN" : "0041-1337 (Print)", "PMID" : "11477351", "abstract" : "BACKGROUND: Cases of so-called autoimmune hepatitis (AH) have been reported after liver transplantation. Our aim was to evaluate the incidence in a series of 471 pediatric liver transplant recipients. METHODS: Between 1984 and 1998, 471 children had orthotopic liver transplantation (OLT). Children are followed up on a regular basis, with full clinical, biochemical, and histologic evaluation at 6 months, 1, 2, 5, 7, and 10 years after OLT. Children with unexplained abnormal liver tests were screened for autoimmune markers (total gamma-globulins, smooth muscle antibodies [SMA], liver kidney microsome antibodies [LKM], antinuclear factor [ANA]). From January of 1998 until December of 1998, autoimmune markers were prospectively searched in all children admitted for regular posttransplant follow-up (n = 118). RESULTS: Eleven of 471 children (2.35%) were found with autoimmune hepatitis, 9 retrospectively and 2 prospectively. None had previous autoimmune liver disease. Patients had a history of steroid-dependent hepatitis. Histology showed variable degree of portal and lobular inflammation, piecemeal necrosis, and bridging collapse. Mean (+/-SDS) aspartate aminotransferase (AST) and alanine aminotransferase (ALT) activities at diagnosis were 173+/-145 and 196+/-157 IU/L, respectively (nl&lt;32). Median gamma-globulin levels reached 1365 mg/dl versus 931 mg/dl in controls (P&lt;0.05). Nine had ANA (titer 1/80 up to 1/10,000), 1 SMA (1/320), and 2 LKM1 antibodies (1/1280). Patients did not respond to increasing charge of cyclosporine (n=10) or tacrolimus (n=1). Eleven received steroids (prednisolone: 2 mg/kg per day, then tapered) and azathioprine (1.5 to 2.5 mg/kg per day). All patients normalized within 3 months (mean AST/ALT levels of 26+/-8 and 30+/-9 IU/L). Three had mild to moderate relapse with increase of ALT thereafter. Gamma-globulins decreased to 1190 mg/dl (ns). Amongst the 116 remaining prospectively evaluated patients, 85 had normal evaluation, despite low titers of autoantibodies in 15 (SMA&lt; or =1/40, ANA 1/80). Thirty-one patients had graft dysfunction, related to well-explained posttransplant causes, among which 7 had similar low levels of autoantibodies. CONCLUSIONS: A total of 2.35% of our transplant children present evidence of immune hepatitis after transplantation. Patients do not respond to increasing cyclosporine or tacrolimus levels and require steroid and azathioprine. In view of this specific treatment, systematic screening for \"autoimmune\" \u2026", "author" : [ { "dropping-particle" : "", "family" : "Andries", "given" : "S", "non-dropping-particle" : "", "parse-names" : false, "suffix" : "" }, { "dropping-particle" : "", "family" : "Casamayou", "given" : "L", "non-dropping-particle" : "", "parse-names" : false, "suffix" : "" }, { "dropping-particle" : "", "family" : "Sempoux", "given" : "C", "non-dropping-particle" : "", "parse-names" : false, "suffix" : "" }, { "dropping-particle" : "", "family" : "Burlet", "given" : "M", "non-dropping-particle" : "", "parse-names" : false, "suffix" : "" }, { "dropping-particle" : "", "family" : "Reding", "given" : "R", "non-dropping-particle" : "", "parse-names" : false, "suffix" : "" }, { "dropping-particle" : "", "family" : "Bernard Otte", "given" : "J", "non-dropping-particle" : "", "parse-names" : false, "suffix" : "" }, { "dropping-particle" : "", "family" : "Buts", "given" : "J P", "non-dropping-particle" : "", "parse-names" : false, "suffix" : "" }, { "dropping-particle" : "", "family" : "Sokal", "given" : "E", "non-dropping-particle" : "", "parse-names" : false, "suffix" : "" } ], "container-title" : "Transplantation", "id" : "ITEM-1", "issue" : "2", "issued" : { "date-parts" : [ [ "2001", "7" ] ] }, "language" : "eng", "page" : "267-272", "publisher-place" : "United States", "title" : "Posttransplant immune hepatitis in pediatric liver transplant recipients: incidence and maintenance therapy with azathioprine.", "type" : "article-journal", "volume" : "72" }, "uris" : [ "http://www.mendeley.com/documents/?uuid=4b790a5f-2a94-4034-8def-239651cff510" ] } ], "mendeley" : { "formattedCitation" : "&lt;sup&gt;[12]&lt;/sup&gt;", "plainTextFormattedCitation" : "[12]", "previouslyFormattedCitation" : "&lt;sup&gt;[12]&lt;/sup&gt;"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[12]</w:t>
      </w:r>
      <w:r w:rsidR="001D26D7" w:rsidRPr="00783FEF">
        <w:rPr>
          <w:rFonts w:ascii="Book Antiqua" w:hAnsi="Book Antiqua"/>
        </w:rPr>
        <w:fldChar w:fldCharType="end"/>
      </w:r>
      <w:r w:rsidRPr="00783FEF">
        <w:rPr>
          <w:rFonts w:ascii="Book Antiqua" w:hAnsi="Book Antiqua"/>
        </w:rPr>
        <w:t>, plasma-cell hepatitis</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"10.1002/lt.21949", "ISSN" : "1527-6473 (Electronic)", "PMID" : "19938116", "abstract" : "Plasma cell hepatitis (PCH) is characterized by plasma cell infiltration seen in  allografts of patients who underwent liver transplantation (LT) for conditions other than autoimmune hepatitis. We identified 40 PCH patients who underwent LT for hepatitis C virus (HCV) by searching our pathology database (1994-2006) for the keywords liver allograft, lymphoplasmacytic, and plasma cell(s). We selected 2 control patients who received LT for HCV for each PCH case. The control patients were matched according to date of LT and availability of biopsy material at the time interval to development of PCH in PCH patients. Explant and post-LT biopsy slides were blindly reviewed by 2 liver pathologists and the severity of the plasma cell infiltrate was scored. A score of 3 (plasma cells composing &gt;30% of the infiltrate) defined PCH in allograft biopsies. Five random areas of dense inflammation were also examined in explant livers and the highest score was used. Poor outcome was defined as death or advanced fibrosis (stage &gt;or= 4 of 6). We found that PCH patients were more likely to have worse outcomes than control patients (65% versus 40%, P &lt; 0.01), including increased mortality (50% versus 30%, P &lt; 0.05). Kaplan-Meier survival analysis showed significantly worse survival for PCH patients from 4 to 10 years post-LT (P &lt; 0.05). Explants from 40% of PCH patients had a score of 3 compared to 18% of control patients (P &lt; 0.01). We found that the development of PCH is associated with poor outcome in patients undergoing LT for HCV. The association of significant plasma cell infiltrates in native livers of HCV patients developing PCH suggests that some patients may have a predisposition to developing PCH.", "author" : [ { "dropping-particle" : "", "family" : "Ward", "given" : "Stephen C", "non-dropping-particle" : "", "parse-names" : false, "suffix" : "" }, { "dropping-particle" : "", "family" : "Schiano", "given" : "Thomas D", "non-dropping-particle" : "", "parse-names" : false, "suffix" : "" }, { "dropping-particle" : "", "family" : "Thung", "given" : "Swan N", "non-dropping-particle" : "", "parse-names" : false, "suffix" : "" }, { "dropping-particle" : "", "family" : "Fiel", "given" : "M Isabel", "non-dropping-particle" : "", "parse-names" : false, "suffix" : "" } ], "container-title" : "Liver transplantation : official publication of the American Association for the  Study of Liver Diseases and the International Liver Transplantation Society", "id" : "ITEM-1", "issue" : "12", "issued" : { "date-parts" : [ [ "2009", "12" ] ] }, "language" : "eng", "page" : "1826-1833", "publisher-place" : "United States", "title" : "Plasma cell hepatitis in hepatitis C virus patients post-liver transplantation: case-control study showing poor outcome and predictive features in the liver explant.", "type" : "article-journal", "volume" : "15" }, "uris" : [ "http://www.mendeley.com/documents/?uuid=b85f37a3-7c7a-4db4-b5d7-bcbd9f1756e1" ] }, { "id" : "ITEM-2", "itemData" : { "DOI" : "10.1002/lt.21447", "ISSN" : "1527-6473", "PMID" : "18508382", "abstract" : "De novo autoimmune hepatitis has been described in both pediatric and adult liver transplantation (LT) recipients. Studies of small numbers of patients have proposed it to be an alloimmune hepatitis or form of chronic rejection. We have recently noted an increasing number of patients with post-LT recurrent hepatitis C virus (HCV) developing this, with an apparent negative impact on outcome and survival. We term this entity posttransplant plasma cell hepatitis (PCH). A search of our institution's pathology database was performed with the terms \"plasma cell(s),\" \"lymphoplasmacytic infiltrate,\" and \"liver allograft.\" A histological scoring system was devised to more reliably diagnose PCH in the setting of recurrent HCV. Thirty-eight patients were identified, and their clinical data were analyzed. Sixty percent had a negative outcome as defined by the development of cirrhosis, need for retransplantation, or death. Eighty-two percent had recent lowering of immunosuppression or subtherapeutic calcineurin inhibitor levels; 58% developed PCH within 2 years post-LT. Histologic resolution of PCH was associated with good outcome (P &lt; 0.001). Patients not receiving treatment had a negative outcome (P = 0.007) as did patients receiving corticosteroids as therapy (P = 0.02). Persistence (P = 0.007) or recurrence of PCH was associated with negative outcome. In conclusion, PCH is a histologic variant of rejection. On liver biopsy, PCH can at times be difficult to diagnose, and the use of a standardized scoring system is recommended to differentiate it from other forms of allograft dysfunction. Treatment by optimization of immunosuppression without the use of corticosteroids appears effective. The development of PCH in the setting of recurrent HCV is a negative prognostic factor for patient outcome and allograft failure.", "author" : [ { "dropping-particle" : "", "family" : "Fiel", "given" : "M Isabel", "non-dropping-particle" : "", "parse-names" : false, "suffix" : "" }, { "dropping-particle" : "", "family" : "Agarwal", "given" : "Kaushik", "non-dropping-particle" : "", "parse-names" : false, "suffix" : "" }, { "dropping-particle" : "", "family" : "Stanca", "given" : "Carmen", "non-dropping-particle" : "", "parse-names" : false, "suffix" : "" }, { "dropping-particle" : "", "family" : "Elhajj", "given" : "Nassim", "non-dropping-particle" : "", "parse-names" : false, "suffix" : "" }, { "dropping-particle" : "", "family" : "Kontorinis", "given" : "Nikolas", "non-dropping-particle" : "", "parse-names" : false, "suffix" : "" }, { "dropping-particle" : "", "family" : "Thung", "given" : "Swan N", "non-dropping-particle" : "", "parse-names" : false, "suffix" : "" }, { "dropping-particle" : "", "family" : "Schiano", "given" : "Thomas D", "non-dropping-particle" : "", "parse-names" : false, "suffix" : "" } ], "container-title" : "Liver transplantation : official publication of the American Association for the Study of Liver Diseases and the International Liver Transplantation Society", "id" : "ITEM-2", "issue" : "6", "issued" : { "date-parts" : [ [ "2008", "6", "1" ] ] }, "language" : "en", "page" : "861-71", "publisher" : "Wiley Subscription Services, Inc., A Wiley Company", "title" : "Posttransplant plasma cell hepatitis (de novo autoimmune hepatitis) is a variant of rejection and may lead to a negative outcome in patients with hepatitis C virus.", "type" : "article-journal", "volume" : "14" }, "uris" : [ "http://www.mendeley.com/documents/?uuid=4bcaf04a-c236-45e7-9e79-94978d828161" ] } ], "mendeley" : { "formattedCitation" : "&lt;sup&gt;[4,13]&lt;/sup&gt;", "plainTextFormattedCitation" : "[4,13]", "previouslyFormattedCitation" : "&lt;sup&gt;[4,13]&lt;/sup&gt;"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[4,13]</w:t>
      </w:r>
      <w:r w:rsidR="001D26D7" w:rsidRPr="00783FEF">
        <w:rPr>
          <w:rFonts w:ascii="Book Antiqua" w:hAnsi="Book Antiqua"/>
        </w:rPr>
        <w:fldChar w:fldCharType="end"/>
      </w:r>
      <w:r w:rsidRPr="00783FEF">
        <w:rPr>
          <w:rFonts w:ascii="Book Antiqua" w:hAnsi="Book Antiqua"/>
        </w:rPr>
        <w:t xml:space="preserve">, and </w:t>
      </w:r>
      <w:r w:rsidRPr="00783FEF">
        <w:rPr>
          <w:rFonts w:ascii="Book Antiqua" w:hAnsi="Book Antiqua"/>
          <w:i/>
        </w:rPr>
        <w:t xml:space="preserve">de </w:t>
      </w:r>
      <w:r w:rsidRPr="00783FEF">
        <w:rPr>
          <w:rFonts w:ascii="Book Antiqua" w:hAnsi="Book Antiqua"/>
          <w:i/>
        </w:rPr>
        <w:lastRenderedPageBreak/>
        <w:t>novo</w:t>
      </w:r>
      <w:r w:rsidRPr="00783FEF">
        <w:rPr>
          <w:rFonts w:ascii="Book Antiqua" w:hAnsi="Book Antiqua"/>
        </w:rPr>
        <w:t xml:space="preserve"> immune hepatitis</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"ISSN" : "0009-9104 (Print)", "PMID" : "11737073", "abstract" : "Four patients of 283 liver-transplant recipients (1.4%) developed de novo immune-mediated hepatitis approximately 2 years after transplantation. Antibodies showing an unusual liver/kidney cytoplasmic staining pattern were detected in the sera of all four patients and one of them was used to screen a human liver cDNA expression library with the aim of identifying the antigenic target of these newly developed antibodies. After cloning and sequencing the gene, it was identified as the gene encoding the glutathion-S-transferase T1 (GSTT1), a 29-kD molecular weight protein, expressed abundantly in liver and kidney. Sera from the other three patients also contained anti-GSTT1 antibodies, two of them demonstrated by immunoblot analysis against the recombinant antigen and the other, which was negative by immunoblot, gave a positive reaction when used directly to screen the same library, suggesting it to be directed to a conformational epitope. The GSTT1 enzyme is the product of a single polymorphic gene that is absent from 20% of the Caucasian population. When we analysed the GSTT1 genotype of the four patients described above, we found that this gene is absent from all of them. Three donor paraffin embedded DNA samples were available and were shown to be positive for GSSTT1 genotype. In accordance with these results, we suggest that this form of post-transplant de novo immune hepatitis, that has been reported as autoimmune hepatitis by others, could be the result of an antigraft reaction in individuals lacking the GSTT1 phenotype, in which the immune system recognizes the GSTT1 protein as a non-self antigen, being the graft dysfunction not the result of an autoimmune reaction, but the consequence of an alo-reactive immune response.", "author" : [ { "dropping-particle" : "", "family" : "Aguilera", "given" : "I", "non-dropping-particle" : "", "parse-names" : false, "suffix" : "" }, { "dropping-particle" : "", "family" : "Wichmann", "given" : "I", "non-dropping-particle" : "", "parse-names" : false, "suffix" : "" }, { "dropping-particle" : "", "family" : "Sousa", "given" : "J M", "non-dropping-particle" : "", "parse-names" : false, "suffix" : "" }, { "dropping-particle" : "", "family" : "Bernardos", "given" : "A", "non-dropping-particle" : "", "parse-names" : false, "suffix" : "" }, { "dropping-particle" : "", "family" : "Franco", "given" : "E", "non-dropping-particle" : "", "parse-names" : false, "suffix" : "" }, { "dropping-particle" : "", "family" : "Garcia-Lozano", "given" : "J R", "non-dropping-particle" : "", "parse-names" : false, "suffix" : "" }, { "dropping-particle" : "", "family" : "Nunez-Roldan", "given" : "A", "non-dropping-particle" : "", "parse-names" : false, "suffix" : "" } ], "container-title" : "Clinical and experimental immunology", "id" : "ITEM-1", "issue" : "3", "issued" : { "date-parts" : [ [ "2001", "12" ] ] }, "language" : "eng", "page" : "535-539", "publisher-place" : "England", "title" : "Antibodies against glutathione S-transferase T1 (GSTT1) in patients with de novo  immune hepatitis following liver transplantation.", "type" : "article-journal", "volume" : "126" }, "uris" : [ "http://www.mendeley.com/documents/?uuid=7a3f5104-d0c3-47a2-ae83-a35ef24bff01" ] } ], "mendeley" : { "formattedCitation" : "&lt;sup&gt;[14]&lt;/sup&gt;", "plainTextFormattedCitation" : "[14]", "previouslyFormattedCitation" : "&lt;sup&gt;[14]&lt;/sup&gt;"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[14]</w:t>
      </w:r>
      <w:r w:rsidR="001D26D7" w:rsidRPr="00783FEF">
        <w:rPr>
          <w:rFonts w:ascii="Book Antiqua" w:hAnsi="Book Antiqua"/>
        </w:rPr>
        <w:fldChar w:fldCharType="end"/>
      </w:r>
      <w:r w:rsidRPr="00783FEF">
        <w:rPr>
          <w:rFonts w:ascii="Book Antiqua" w:hAnsi="Book Antiqua"/>
        </w:rPr>
        <w:t xml:space="preserve">. The earliest descriptions of </w:t>
      </w:r>
      <w:r w:rsidRPr="00783FEF">
        <w:rPr>
          <w:rFonts w:ascii="Book Antiqua" w:hAnsi="Book Antiqua"/>
          <w:i/>
        </w:rPr>
        <w:t>de novo</w:t>
      </w:r>
      <w:r w:rsidRPr="00783FEF">
        <w:rPr>
          <w:rFonts w:ascii="Book Antiqua" w:hAnsi="Book Antiqua"/>
        </w:rPr>
        <w:t xml:space="preserve"> AIH were reported in 1998 in pediatric patients and in 1999 in adult LT recipients who presented laboratory, autoimmune and histological features consistent with classic AIH</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"10.1016/S0140-6736(97)06478-7", "ISSN" : "0140-6736", "PMID" : "9482295", "abstract" : "Late graft dysfunction that does not result from recognised causes, such as rejection, infection, or vascular or biliary complications, can occur after liver transplantation. We investigated a particular type of unexplained graft dysfunction that is associated with autoimmune features in children who underwent transplantation at our unit between 1991 and 1996.", "author" : [ { "dropping-particle" : "", "family" : "Kerkar", "given" : "Nanda", "non-dropping-particle" : "", "parse-names" : false, "suffix" : "" }, { "dropping-particle" : "", "family" : "Hadzi\u0107", "given" : "N", "non-dropping-particle" : "", "parse-names" : false, "suffix" : "" }, { "dropping-particle" : "", "family" : "Davies", "given" : "Edward T", "non-dropping-particle" : "", "parse-names" : false, "suffix" : "" }, { "dropping-particle" : "", "family" : "Portmann", "given" : "Bernard", "non-dropping-particle" : "", "parse-names" : false, "suffix" : "" }, { "dropping-particle" : "", "family" : "Donaldson", "given" : "Peter T", "non-dropping-particle" : "", "parse-names" : false, "suffix" : "" }, { "dropping-particle" : "", "family" : "Rela", "given" : "Mohamed", "non-dropping-particle" : "", "parse-names" : false, "suffix" : "" }, { "dropping-particle" : "", "family" : "Heaton", "given" : "Nigel D", "non-dropping-particle" : "", "parse-names" : false, "suffix" : "" }, { "dropping-particle" : "", "family" : "Vergani", "given" : "Diego", "non-dropping-particle" : "", "parse-names" : false, "suffix" : "" }, { "dropping-particle" : "", "family" : "Mieli-Vergani", "given" : "G", "non-dropping-particle" : "", "parse-names" : false, "suffix" : "" } ], "container-title" : "Lancet", "id" : "ITEM-1", "issue" : "9100", "issued" : { "date-parts" : [ [ "1998" ] ] }, "page" : "409-13", "title" : "De-novo autoimmune hepatitis after liver transplantation.", "type" : "article-journal", "volume" : "351" }, "uris" : [ "http://www.mendeley.com/documents/?uuid=7ed2d62b-fe84-4a08-9618-a081c8dda556" ] }, { "id" : "ITEM-2", "itemData" : { "author" : [ { "dropping-particle" : "", "family" : "Jones", "given" : "De", "non-dropping-particle" : "", "parse-names" : false, "suffix" : "" }, { "dropping-particle" : "", "family" : "James", "given" : "of", "non-dropping-particle" : "", "parse-names" : false, "suffix" : "" }, { "dropping-particle" : "", "family" : "Portmann", "given" : "B", "non-dropping-particle" : "", "parse-names" : false, "suffix" : "" }, { "dropping-particle" : "", "family" : "Burt", "given" : "Ad", "non-dropping-particle" : "", "parse-names" : false, "suffix" : "" }, { "dropping-particle" : "", "family" : "Williams", "given" : "R", "non-dropping-particle" : "", "parse-names" : false, "suffix" : "" }, { "dropping-particle" : "", "family" : "Hudson", "given" : "M", "non-dropping-particle" : "", "parse-names" : false, "suffix" : "" } ], "id" : "ITEM-2", "issued" : { "date-parts" : [ [ "1999" ] ] }, "page" : "0-4", "title" : "Development of autoimmune hepatitis following liver transplantation for primary biliary cirrhosis", "type" : "article-journal" }, "uris" : [ "http://www.mendeley.com/documents/?uuid=0802267b-96c8-407c-889c-4711dbbb2515" ] } ], "mendeley" : { "formattedCitation" : "&lt;sup&gt;[9,15]&lt;/sup&gt;", "plainTextFormattedCitation" : "[9,15]", "previouslyFormattedCitation" : "&lt;sup&gt;[9,15]&lt;/sup&gt;"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[9,15]</w:t>
      </w:r>
      <w:r w:rsidR="001D26D7" w:rsidRPr="00783FEF">
        <w:rPr>
          <w:rFonts w:ascii="Book Antiqua" w:hAnsi="Book Antiqua"/>
        </w:rPr>
        <w:fldChar w:fldCharType="end"/>
      </w:r>
      <w:r w:rsidRPr="00783FEF">
        <w:rPr>
          <w:rFonts w:ascii="Book Antiqua" w:hAnsi="Book Antiqua"/>
        </w:rPr>
        <w:t>. A series of subsequent reports and studies increased the awareness of this disease in both children</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"10.1111/j.1600-6143.2005.00801.x", "ISBN" : "1600-6135", "ISSN" : "16006135", "PMID" : "15816890", "abstract" : "Rapamycin (Rapa), one of the newer immunosuppressants has been found to control and prevent autoimmune features in animal models. This is the first report describing the successful control of post-transplant autoimmune hepatitis (AIH) with Rapa. Post-transplant AIH is diagnosed in the presence of raised transaminases, elevated immunoglobulin G, presence of autoantibodies and histologic changes consistent with AIH on liver biopsy. It may represent a recurrence of the original AIH that led to transplantation or present as a de novo AIH after liver transplant. Post-transplant AIH has conventionally been treated with Prednisolone (Pred) and Azathioprine (AZA). In this report, tailoring of immunosuppression after diagnosis of post-transplant AIH is described with special emphasis on those treated successfully with Rapa. Fifteen of 21 patients responded to treatment with an increase in dose of Pred and addition of AZA or Mycophenolate Mofetil (MMF) to calcineurin inhibitor. Five non-responders and one other patient with post-transplant AIH were treated with addition of Rapa. All six responded to treatment but drug was withdrawn in one patient. Adverse events were minimal. Rapa may prove to be an important addition in the control of autoimmune liver disease.", "author" : [ { "dropping-particle" : "", "family" : "Kerkar", "given" : "Nanda", "non-dropping-particle" : "", "parse-names" : false, "suffix" : "" }, { "dropping-particle" : "", "family" : "Dugan", "given" : "Christina", "non-dropping-particle" : "", "parse-names" : false, "suffix" : "" }, { "dropping-particle" : "", "family" : "Rumbo", "given" : "Carolina", "non-dropping-particle" : "", "parse-names" : false, "suffix" : "" }, { "dropping-particle" : "", "family" : "Morotti", "given" : "Raffaella a.", "non-dropping-particle" : "", "parse-names" : false, "suffix" : "" }, { "dropping-particle" : "", "family" : "Gondolesi", "given" : "Gabriel", "non-dropping-particle" : "", "parse-names" : false, "suffix" : "" }, { "dropping-particle" : "", "family" : "Shneider", "given" : "Benjamin L.", "non-dropping-particle" : "", "parse-names" : false, "suffix" : "" }, { "dropping-particle" : "", "family" : "Emre", "given" : "Sukru", "non-dropping-particle" : "", "parse-names" : false, "suffix" : "" } ], "container-title" : "American Journal of Transplantation", "id" : "ITEM-1", "issue" : "5", "issued" : { "date-parts" : [ [ "2005" ] ] }, "page" : "1085-1089", "title" : "Rapamycin successfully treats post-transplant autoimmune hepatitis", "type" : "article-journal", "volume" : "5" }, "uris" : [ "http://www.mendeley.com/documents/?uuid=d0e0a639-ea65-4f7d-ac0c-0195b5998b17" ] }, { "id" : "ITEM-2", "itemData" : { "DOI" : "10.1111/j.1600-6143.2006.01717.x", "ISBN" : "1600-6135", "ISSN" : "16006135", "PMID" : "17391135", "abstract" : "Posttransplant de novo autoimmune hepatitis (d-AIH) is increasingly described as a long-term complication after pediatric liver transplantation (LT). d-AIH is characterized by graft dysfunction, the development of autoimmune antibodies and histologic evidence of hepatitis in liver transplant recipients without previous history of autoimmune liver disease. This study is a matched case-control, univariate analysis aimed at identifying risk factors for the development of d-AIH and evaluating response to treatment. From 1984 to 2003, 619 children received 788 LTs at a single center. Forty-one patients developed d-AIH and were matched with controls for year of LT, age at time of LT and diagnosis. The following variables were insignificant in the development of d-AIH: age, gender, race, initial diagnosis, ischemia time, graft type, Epstein-Barr virus and cytomegalovirus status, HLA typing and primary immunosuppression. Compared to controls, d-AIH patients were less likely to be on monotherapy immunosuppression or weaned off prednisone at the time of diagnosis. The d-AIH group relative to the controls had statistically significant greater numbers of rejection episodes. d-AIH was treated with prednisone and/or MMF in 39 of 41 patients and lead to significant improvements in liver function tests. Thirty-nine patients are alive at a mean of 4.0 years follow-up after diagnosis. Three have required retransplantation.", "author" : [ { "dropping-particle" : "", "family" : "Venick", "given" : "R. S.", "non-dropping-particle" : "", "parse-names" : false, "suffix" : "" }, { "dropping-particle" : "V.", "family" : "McDiarmid", "given" : "S.", "non-dropping-particle" : "", "parse-names" : false, "suffix" : "" }, { "dropping-particle" : "", "family" : "Farmer", "given" : "D. G.", "non-dropping-particle" : "", "parse-names" : false, "suffix" : "" }, { "dropping-particle" : "", "family" : "Gornbein", "given" : "J.", "non-dropping-particle" : "", "parse-names" : false, "suffix" : "" }, { "dropping-particle" : "", "family" : "Martin", "given" : "M. G.", "non-dropping-particle" : "", "parse-names" : false, "suffix" : "" }, { "dropping-particle" : "", "family" : "Vargas", "given" : "J. H.", "non-dropping-particle" : "", "parse-names" : false, "suffix" : "" }, { "dropping-particle" : "", "family" : "Ament", "given" : "M. E.", "non-dropping-particle" : "", "parse-names" : false, "suffix" : "" }, { "dropping-particle" : "", "family" : "Busuttil", "given" : "R. W.", "non-dropping-particle" : "", "parse-names" : false, "suffix" : "" } ], "container-title" : "American Journal of Transplantation", "id" : "ITEM-2", "issue" : "4", "issued" : { "date-parts" : [ [ "2007" ] ] }, "page" : "955-963", "title" : "Rejection and steroid dependence: Unique risk factors in the development of pediatric posttransplant de novo autoimmune hepatitis", "type" : "article-journal", "volume" : "7" }, "uris" : [ "http://www.mendeley.com/documents/?uuid=7d399a00-b1ec-4b07-8b5a-44c3f7a678a4" ] }, { "id" : "ITEM-3", "itemData" : { "ISSN" : "0041-1337", "abstract" : "Background. Late graft dysfunction after orthotopic liver transplantation is commonly due to chronic rejection, recurrence of primary disease, sepsis, lymphoproliferative disease, or vascular or biliary complications. Herein we describe a subset of pediatric liver transplant patients in whom late graft dysfunction was associated with autoimmune markers, bile ductular proliferation, and portal infiltrates, which progress to fibrosis. This subset of patients has not been previously described.\nMethods. Six of the 115 children followed for greater than 5 years after transplantation developed this unusual form of graft dysfunction. All children were on a low-dose single immunosuppressive therapy (mean trough cyclosporine concentration 89 \u03bcg/L) and had been tapered off steroids for a median duration of 1.5 year. Liver biopsies were performed in all children to evaluate the graft dysfunction, and the histologic findings were interpreted by an experienced hepato-pathologist. All patients were tested for antibodies to hepatitis C virus, hepatitis B surface antigen, and IgM antibodies to hepatitis A. Smooth muscle antibody, antinuclear antibody, and antibody to liver/kidney microsome type 1 were sought by indirect immunofluorescence. International Autoimmune Hepatitis Group scores were calculated. All patients underwent ultrasonography with doppler studies at the onset of graft dysfunction. Three patients with marked bile duct proliferation on histology had cholangiograms.\nResults. Histology in all patients showed mononuclear cell infiltrates in the portal area with interface hepatitis, portal fibrosis, and ductular proliferation without duct damage or loss. All six patients had positive antinuclear antibody or smooth muscle antibody titers. Viral studies for hepatitis A, B, and C were negative in all patients. On the International Autoimmune Hepatitis Group scoring system, five patients had probable autoimmune hepatitis (score of 10\u201315) and one had definite autoimmune hepatitis (score &gt;15) at the onset of graft dysfunction. All were treated with azathioprine and prednisone similar to treatment for autoimmune hepatitis. However, despite aggressive treatment, four patients developed bridging portal fibrosis resulting in graft loss in two patients.\nConclusion. This clinical constellation is associated with worse outcome then that previously described for pediatric patients with posttransplantation de novo autoimmune hepatitis. Further studies are needed to find an \u2026", "author" : [ { "dropping-particle" : "", "family" : "Gupta", "given" : "Puneet", "non-dropping-particle" : "", "parse-names" : false, "suffix" : "" }, { "dropping-particle" : "", "family" : "Hart", "given" : "John", "non-dropping-particle" : "", "parse-names" : false, "suffix" : "" }, { "dropping-particle" : "", "family" : "Millis", "given" : "J Michael", "non-dropping-particle" : "", "parse-names" : false, "suffix" : "" }, { "dropping-particle" : "", "family" : "Cronin", "given" : "David", "non-dropping-particle" : "", "parse-names" : false, "suffix" : "" }, { "dropping-particle" : "", "family" : "Brady", "given" : "Lynda", "non-dropping-particle" : "", "parse-names" : false, "suffix" : "" } ], "container-title" : "Transplantation", "id" : "ITEM-3", "issue" : "5", "issued" : { "date-parts" : [ [ "2001" ] ] }, "title" : "DE NOVO HEPATITIS WITH AUTOIMMUNE ANTIBODIES AND ATYPICAL HISTOLOGY: A Rare Cause of Late Graft Dysfunction after Pediatric Liver Transplantation", "type" : "article-journal", "volume" : "71" }, "uris" : [ "http://www.mendeley.com/documents/?uuid=3470a41e-b208-4851-a074-10e467445dfb" ] }, { "id" : "ITEM-4", "itemData" : { "ISBN" : "0277-2116", "ISSN" : "0277-2116", "PMID" : "11321380", "abstract" : "BACKGROUND: The development of de novo autoimmune hepatitis as a long-term complication after liver transplantation has been recently reported. The authors describe five liver allograft recipients who developed chronic hepatitis associated with autoimmune features. METHODS: Five of 155 liver transplant recipients at risk (2.5%) developed this particular form of graft dysfunction. The authors review the clinical records, liver histology, therapy, and outcome of these five patients. RESULTS: Patients included two boys and three girls. Median age at transplantation was 3.5 years (range, 0.5-14 years), median age at presentation was 9 years (range, 2-17 years), and median interval after transplantation was 5.1 years (range, 1.5-9 years). Indications for liver transplant included biliary atresia in four patients and primary sclerosing cholangitis in one patient. At the time of presentation, all patients were receiving cyclosporine as their primary immunosuppressive agent. Only one patient had a history of rejection, which had resolved. All patients presented with increased transaminase levels, and one had a mildly elevated conjugated bilirubin level. Only one patient had constitutional complaints. Acute and chronic rejection, viral hepatitis, vascular insufficiency, and biliary tract obstruction were excluded. Antinuclear antibody levels were elevated in four patients (titer range, 1:160-1:640), one of whom also had positive antismooth muscle antibody (titer 1:80) results. The fifth patient had an elevated serum total protein level. Histologic analysis of liver biopsy samples from the five patients showed findings consistent with chronic autoimmune hepatitis. All patients were treated with standard therapy for autoimmune hepatitis, which included daily steroids and azathioprine. Cyclosporine doses were reduced in three patients and eliminated in two. All patients responded with normalization (n = 2) or improvement (n = 3) of liver transaminases within the first 3 months of therapy. Histologic analysis of the 3-month follow-up liver biopsy was normal (n = 2) or showed improvement in inflammation (n = 2). Two patients developed acute allograft rejection within 6 to 12 months after discontinuation or reduction in cyclosporine. CONCLUSIONS: Autoimmune hepatitis occurs after liver transplantation in patients without a previous history of autoimmune hepatitis. The risk of developing autoimmune hepatitis appears to be greater in children after liver transplantation\u2026", "author" : [ { "dropping-particle" : "", "family" : "Hernandez", "given" : "H M", "non-dropping-particle" : "", "parse-names" : false, "suffix" : "" }, { "dropping-particle" : "", "family" : "Kovarik", "given" : "P", "non-dropping-particle" : "", "parse-names" : false, "suffix" : "" }, { "dropping-particle" : "", "family" : "Whitington", "given" : "P F", "non-dropping-particle" : "", "parse-names" : false, "suffix" : "" }, { "dropping-particle" : "", "family" : "Alonso", "given" : "E M", "non-dropping-particle" : "", "parse-names" : false, "suffix" : "" } ], "container-title" : "Journal of pediatric gastroenterology and nutrition", "id" : "ITEM-4", "issue" : "2", "issued" : { "date-parts" : [ [ "2001" ] ] }, "page" : "131-136", "title" : "Autoimmune hepatitis as a late complication of liver transplantation.", "type" : "article-journal", "volume" : "32" }, "uris" : [ "http://www.mendeley.com/documents/?uuid=d05d07c2-ba05-473a-9dfc-4bd314bb2791" ] }, { "id" : "ITEM-5", "itemData" : { "DOI" : "10.1016/S0009-8981(01)00509-5", "ISSN" : "00098981", "author" : [ { "dropping-particle" : "", "family" : "Tamaro", "given" : "Giorgio", "non-dropping-particle" : "", "parse-names" : false, "suffix" : "" }, { "dropping-particle" : "", "family" : "Sonzogni", "given" : "Aurelio", "non-dropping-particle" : "", "parse-names" : false, "suffix" : "" }, { "dropping-particle" : "", "family" : "Torre", "given" : "Giuliano", "non-dropping-particle" : "", "parse-names" : false, "suffix" : "" } ], "container-title" : "Clinica Chimica Acta", "id" : "ITEM-5", "issue" : "1", "issued" : { "date-parts" : [ [ "2001", "8" ] ] }, "page" : "25-29", "title" : "Monitoring \u201cde novo\u201d autoimmune hepatitis (LKM positive) by serum type-IV collagen after liver transplant: a paediatric case", "type" : "article-journal", "volume" : "310" }, "uris" : [ "http://www.mendeley.com/documents/?uuid=1f671931-11b1-43f6-90bf-a2c4bc276cc0" ] }, { "id" : "ITEM-6", "itemData" : { "DOI" : "10.1111/j.1399-3046.2005.00470.x", "ISSN" : "1399-3046", "author" : [ { "dropping-particle" : "", "family" : "Gibelli", "given" : "Nelson E", "non-dropping-particle" : "", "parse-names" : false, "suffix" : "" }, { "dropping-particle" : "", "family" : "Tannuri", "given" : "Uenis", "non-dropping-particle" : "", "parse-names" : false, "suffix" : "" }, { "dropping-particle" : "", "family" : "Mello", "given" : "Evandro S", "non-dropping-particle" : "", "parse-names" : false, "suffix" : "" }, { "dropping-particle" : "", "family" : "Can\u00e7ado", "given" : "Eduardo R", "non-dropping-particle" : "", "parse-names" : false, "suffix" : "" }, { "dropping-particle" : "", "family" : "Santos", "given" : "Maria M", "non-dropping-particle" : "", "parse-names" : false, "suffix" : "" }, { "dropping-particle" : "", "family" : "Ayoub", "given" : "Ali A", "non-dropping-particle" : "", "parse-names" : false, "suffix" : "" }, { "dropping-particle" : "", "family" : "Maksoud-Filho", "given" : "Jo\u00e3o G", "non-dropping-particle" : "", "parse-names" : false, "suffix" : "" }, { "dropping-particle" : "", "family" : "Velhote", "given" : "Manoel C P", "non-dropping-particle" : "", "parse-names" : false, "suffix" : "" }, { "dropping-particle" : "", "family" : "Silva", "given" : "Marcos M", "non-dropping-particle" : "", "parse-names" : false, "suffix" : "" }, { "dropping-particle" : "", "family" : "Pinho-Apezzato", "given" : "Maria L", "non-dropping-particle" : "", "parse-names" : false, "suffix" : "" }, { "dropping-particle" : "", "family" : "Maksoud", "given" : "Jo\u00e3o G", "non-dropping-particle" : "", "parse-names" : false, "suffix" : "" } ], "container-title" : "Pediatric Transplantation", "id" : "ITEM-6", "issue" : "3", "issued" : { "date-parts" : [ [ "2006", "5", "1" ] ] }, "page" : "371-376", "publisher" : "Blackwell Publishing Inc", "title" : "Successful treatment of de novo autoimmune hepatitis and cirrhosis after pediatric liver transplantation", "type" : "article-journal", "volume" : "10" }, "uris" : [ "http://www.mendeley.com/documents/?uuid=50356b99-d40e-47f5-8694-733c5160f212" ] }, { "id" : "ITEM-7", "itemData" : { "DOI" : "10.1002/hep.21152", "ISBN" : "0270-9139", "ISSN" : "02709139", "PMID" : "16628633", "abstract" : "The long-term histological outcome after pediatric liver transplantation (OLT) is not yet fully understood. De novo autoimmune hepatitis, consisting of histological chronic hepatitis associated with autoantibody formation and allograft dysfunction, is increasingly recognized as an important complication of liver transplantation, particularly in the pediatric population. In this study, 158 asymptomatic children with 5-year graft survival underwent protocol liver biopsies (113, 135, and 64 at 1, 5, and 10 years after OLT, respectively). Histological changes we re correlated with dinical,biochemical, and serological findings. All patients received cydosporine A as primary immunosuppression with withdrawal of corticosteroids at 3 months post OLT. Normal or near-normal histology was reported in 77 of 113 (68%), 61 of 135 (45%), and 20 of 64 (31%) at 1, 5, and 10 years, respectively. The commonest histological abnormality was chronic hepatitis (CH), the incidence of which increased with time [25/113 (22%), 58/135 (43%), and 41/64 (64%) at 1, 5, and 10 years, respectively) (P &lt; .0001)]. The incidence of fibrosis associatedwith CH increasedwith time [13/25 (52%), 47/58 (81%), and 37/41 (91%) at 1, 5, and 10 years, respectively) (P &lt; .0001)]. The severity of fibrosis associated with CH also increased with time, such that by 10 years 15% had progressed to cirrhosis. Aspartate aminotransfemse (AST) levels were slightly elevated in children with CH (median levels 52 IU/L, 63 IU/L, and 48 IU/L at 1, 5, and 10 years, respectively), but this did not reach statistical significance compared with those with normal histology. On multivariate analysis, the only factor predictive of chronic hepatitis was autoantibody positivity (present in 13% and 10% of children with normal biopsies at 5 and 10 years, respectively, and 72% and 80% of those with CH at 5 and 10 years, respectively) (P &lt; .0001). Four children with CH and autoantibodies, who also had raised immunoglobulin G (IgG) levels and AST greater than 1.5 x normal fulfilled the diagnostic criteria for de novo autoimmune hepatitis (AIH). Another two were found to be hepatitis C positive. No definite cause for CH could be identified in the other cases. In condusion, chronic hepatitis is a common finding in children after liver transplantation and is associated with a high risk of developing progressive fibrosis, leading to cirrhosis. Standard liver biochemical tests cannot be relied on either in the diagnosis or in the mon\u2026", "author" : [ { "dropping-particle" : "", "family" : "Evans", "given" : "Helen M.", "non-dropping-particle" : "", "parse-names" : false, "suffix" : "" }, { "dropping-particle" : "", "family" : "Kelly", "given" : "Deirdre a.", "non-dropping-particle" : "", "parse-names" : false, "suffix" : "" }, { "dropping-particle" : "", "family" : "McKiernan", "given" : "Patrick J.", "non-dropping-particle" : "", "parse-names" : false, "suffix" : "" }, { "dropping-particle" : "", "family" : "H\u00fcbscher", "given" : "Stefan", "non-dropping-particle" : "", "parse-names" : false, "suffix" : "" } ], "container-title" : "Hepatology", "id" : "ITEM-7", "issue" : "5", "issued" : { "date-parts" : [ [ "2006" ] ] }, "page" : "1109-1117", "title" : "Progressive histological damage in liver allografts following pediatric liver transplantation", "type" : "article-journal", "volume" : "43" }, "uris" : [ "http://www.mendeley.com/documents/?uuid=f7f2efd0-5ee4-4f33-9c26-d7c27638603d" ] }, { "id" : "ITEM-8", "itemData" : { "DOI" : "10.1002/lt.21444", "ISSN" : "1527-6473", "PMID" : "18581476", "abstract" : "Chronic graft dysfunction, manifesting with elevated liver enzymes and histological features of interface hepatitis (IH), is being increasingly recognized as a long-term problem after liver transplantation. The aim of this study was to characterize our group of post-orthotopic liver transplantation (OLT) patients with respect to clinical, laboratory, and histological signs of IH. A retrospective study of charts and liver biopsy specimens from patients transplanted between 1986 and 1999 was used. Histological features of IH were found in 29/119 patients at a median interval of 23.9 months (95% confidence interval -28.2 to 52.6) after OLT. All patients with IH had risk factors for chronic rejection, such as steroid-resistant rejection, acute rejection later than 3 months post-OLT, female receiver of male graft, or pretransplant cytomegalovirus (CMV)-positive serology with a CMV-negative donor liver. None of the 29 had features favoring a diagnosis of de novo autoimmune hepatitis, but 4 had isolated hypergammaglobulinemia, and 4 had non-organ-specific autoantibodies without hyperimmunoglobulin G. Sixteen of 29 patients also had features of chronic rejection, such as foam cell arteriopathy, loss of bile ducts, or pericentral fibrosis. After abnormal biopsy, all but 1 patient were switched to tacrolimus. During a median follow-up of 12 years, death occurred in 5, retransplantation occurred in 7, and definite cirrhosis occurred in 4. In conclusion, IH was detected in 24.4% of our patients and was associated with a high degree of fibrosis development. Most likely, IH represents a form of chronic rejection directed against periportal hepatocytes.", "author" : [ { "dropping-particle" : "", "family" : "Herzog", "given" : "Denise", "non-dropping-particle" : "", "parse-names" : false, "suffix" : "" }, { "dropping-particle" : "", "family" : "Soglio", "given" : "Doroth\u00e9e Bouron-Dal", "non-dropping-particle" : "", "parse-names" : false, "suffix" : "" }, { "dropping-particle" : "", "family" : "Fournet", "given" : "Jean-Christophe", "non-dropping-particle" : "", "parse-names" : false, "suffix" : "" }, { "dropping-particle" : "", "family" : "Martin", "given" : "Steven", "non-dropping-particle" : "", "parse-names" : false, "suffix" : "" }, { "dropping-particle" : "", "family" : "Marleau", "given" : "Denis", "non-dropping-particle" : "", "parse-names" : false, "suffix" : "" }, { "dropping-particle" : "", "family" : "Alvarez", "given" : "Fernando", "non-dropping-particle" : "", "parse-names" : false, "suffix" : "" } ], "container-title" : "Liver transplantation : official publication of the American Association for the Study of Liver Diseases and the International Liver Transplantation Society", "id" : "ITEM-8", "issue" : "7", "issued" : { "date-parts" : [ [ "2008", "7", "1" ] ] }, "language" : "en", "page" : "946-55", "publisher" : "Wiley Subscription Services, Inc., A Wiley Company", "title" : "Interface hepatitis is associated with a high incidence of late graft fibrosis in a group of tightly monitored pediatric orthotopic liver transplantation patients.", "type" : "article-journal", "volume" : "14" }, "uris" : [ "http://www.mendeley.com/documents/?uuid=392dc810-35af-4ef5-a643-38a9c4870d80" ] }, { "id" : "ITEM-9", "itemData" : { "DOI" : "10.1016/j.transproceed.2008.10.031", "ISSN" : "0041-1345 (Print)", "PMID" : "19249573", "abstract" : "De novo autoimmune hepatitis (AIH) has been described recently as a new type of graft dysfunction in pediatric patients receiving liver transplantation. Herein we have reported the case of a boy, diagnosed as neonatal hemochromatosis, who received a reduced left lateral graft 25 days after birth. Pretransplantation autoantibodies and serological tests were negative. The postoperative course was smooth. No episode of vascular or biliary complication or acute cellular rejection was observed. The maintenance immunosuppressant was tacrolimus only. Liver dysfunction occurred 13 months after living donor liver transplantation. Liver biopsies showed no acute cellular rejection, but severe apoptosis and regeneration of liver cells at the centrolobular area. At that time, various autoantibodies including anti-nuclear, anti-double-stranded DNA, and anti-smooth muscle antibodies were positive. In addition, serum immunoglobulin G (IgG) was elevated. Based on these findings, he was diagnosed as de novo AIH. The treatment consisted of reducing the tacrolimus dose and reintroduction of steroids. After 12 months of treatment, liver dysfunction improved, serum autoantibodies became negative, and serum IgG level normalized. Currently his immunosuppressive therapy consists of low-dose tacrolimus and prednisolone. In conclusion, the present case demonstrated that de novo AIH can appear in living donor liver transplant patients despite appropriate immunosuppression. Reducing the tacrolimus dose and reintroduction of prednisolone sustained the graft and prevented retransplantation.", "author" : [ { "dropping-particle" : "", "family" : "Oya", "given" : "H", "non-dropping-particle" : "", "parse-names" : false, "suffix" : "" }, { "dropping-particle" : "", "family" : "Sato", "given" : "Y", "non-dropping-particle" : "", "parse-names" : false, "suffix" : "" }, { "dropping-particle" : "", "family" : "Yamamoto", "given" : "S", "non-dropping-particle" : "", "parse-names" : false, "suffix" : "" }, { "dropping-particle" : "", "family" : "Kobayashi", "given" : "T", "non-dropping-particle" : "", "parse-names" : false, "suffix" : "" }, { "dropping-particle" : "", "family" : "Watanabe", "given" : "T", "non-dropping-particle" : "", "parse-names" : false, "suffix" : "" }, { "dropping-particle" : "", "family" : "Kokai", "given" : "H", "non-dropping-particle" : "", "parse-names" : false, "suffix" : "" }, { "dropping-particle" : "", "family" : "Hatakeyama", "given" : "K", "non-dropping-particle" : "", "parse-names" : false, "suffix" : "" } ], "container-title" : "Transplantation proceedings", "id" : "ITEM-9", "issue" : "1", "issued" : { "date-parts" : [ [ "2009" ] ] }, "language" : "eng", "page" : "433-434", "publisher-place" : "United States", "title" : "De novo autoimmune hepatitis after living donor liver transplantation in a 25-day-old newborn baby: a case report.", "type" : "article-journal", "volume" : "41" }, "uris" : [ "http://www.mendeley.com/documents/?uuid=296ce0f7-aa31-4573-881d-90636250f3b4" ] }, { "id" : "ITEM-10", "itemData" : { "ISSN" : "0041-1345 (Print)", "PMID" : "11267495", "author" : [ { "dropping-particle" : "", "family" : "Spada", "given" : "M", "non-dropping-particle" : "", "parse-names" : false, "suffix" : "" }, { "dropping-particle" : "", "family" : "Bertani", "given" : "A", "non-dropping-particle" : "", "parse-names" : false, "suffix" : "" }, { "dropping-particle" : "", "family" : "Sonzogni", "given" : "A", "non-dropping-particle" : "", "parse-names" : false, "suffix" : "" }, { "dropping-particle" : "", "family" : "Petz", "given" : "W", "non-dropping-particle" : "", "parse-names" : false, "suffix" : "" }, { "dropping-particle" : "", "family" : "Riva", "given" : "S", "non-dropping-particle" : "", "parse-names" : false, "suffix" : "" }, { "dropping-particle" : "", "family" : "Torre", "given" : "G", "non-dropping-particle" : "", "parse-names" : false, "suffix" : "" }, { "dropping-particle" : "", "family" : "Melzi", "given" : "M L", "non-dropping-particle" : "", "parse-names" : false, "suffix" : "" }, { "dropping-particle" : "", "family" : "Alberti", "given" : "D", "non-dropping-particle" : "", "parse-names" : false, "suffix" : "" }, { "dropping-particle" : "", "family" : "Colledan", "given" : "M", "non-dropping-particle" : "", "parse-names" : false, "suffix" : "" }, { "dropping-particle" : "", "family" : "Segalin", "given" : "A", "non-dropping-particle" : "", "parse-names" : false, "suffix" : "" }, { "dropping-particle" : "", "family" : "Lucianetti", "given" : "A", "non-dropping-particle" : "", "parse-names" : false, "suffix" : "" }, { "dropping-particle" : "", "family" : "Gridelli", "given" : "B", "non-dropping-particle" : "", "parse-names" : false, "suffix" : "" } ], "container-title" : "Transplantation proceedings", "id" : "ITEM-10", "issue" : "1-2", "issued" : { "date-parts" : [ [ "2001" ] ] }, "language" : "eng", "page" : "1747-1748", "publisher-place" : "United States", "title" : "A cause of late graft dysfunction after liver transplantation in children: de-novo autoimmune hepatitis.", "type" : "article-journal", "volume" : "33" }, "uris" : [ "http://www.mendeley.com/documents/?uuid=f03d6ab1-eea1-4951-b81c-5696fc86ad82" ] }, { "id" : "ITEM-11", "itemData" : { "ISSN" : "0041-1345 (Print)", "PMID" : "12176643", "author" : [ { "dropping-particle" : "", "family" : "Petz", "given" : "W", "non-dropping-particle" : "", "parse-names" : false, "suffix" : "" }, { "dropping-particle" : "", "family" : "Sonzogni", "given" : "A", "non-dropping-particle" : "", "parse-names" : false, "suffix" : "" }, { "dropping-particle" : "", "family" : "Bertani", "given" : "A", "non-dropping-particle" : "", "parse-names" : false, "suffix" : "" }, { "dropping-particle" : "", "family" : "Spada", "given" : "M", "non-dropping-particle" : "", "parse-names" : false, "suffix" : "" }, { "dropping-particle" : "", "family" : "Lucianetti", "given" : "A", "non-dropping-particle" : "", "parse-names" : false, "suffix" : "" }, { "dropping-particle" : "", "family" : "Colledan", "given" : "M", "non-dropping-particle" : "", "parse-names" : false, "suffix" : "" }, { "dropping-particle" : "", "family" : "Gridelli", "given" : "B", "non-dropping-particle" : "", "parse-names" : false, "suffix" : "" } ], "container-title" : "Transplantation proceedings", "id" : "ITEM-11", "issue" : "5", "issued" : { "date-parts" : [ [ "2002", "8" ] ] }, "language" : "eng", "page" : "1958-1959", "publisher-place" : "United States", "title" : "A cause of late graft dysfunction after pediatric liver transplantation: de novo  autoimmune hepatitis.", "type" : "article-journal", "volume" : "34" }, "uris" : [ "http://www.mendeley.com/documents/?uuid=d8632e5f-c0ed-48ce-b307-ce08d592fc3f" ] }, { "id" : "ITEM-12", "itemData" : { "DOI" : "10.1002/lt.20673", "ISSN" : "1527-6465", "PMID" : "16555335", "abstract" : "Late graft dysfunction (GD) associated with the development of autoantibodies is a common event after pediatric liver transplantation (OLTx) and can present in 2 clinicohistological subsets: de novo autoimmune hepatitis (DNAH) and early chronic rejection (ECR). Sixty out of 247 children developed autoantibodies after OLTx. GD was demonstrated in 22 (37%); based on histology, patients were divided in a DNAH and an ECR group. Portal/periportal inflammatory infiltrate with interface/lobular hepatitis was suggestive for DNAH. Pericentral hepatocytes confluent dropout with a variable degree of central vein endothelitis, but not with ductopenia (loss of &gt;50% of interlobular bile ducts), was diagnosed as ECR. Nine patients had DNAH and 13 ECR. Five out of 9 in the DNAH group were on cyclosporin (CsA) and 4/9 were on tacrolimus (Tac). In the ECR group, 11 children were treated with CsA and 2 with Tac. All DNAH patients had normal liver function tests on steroids and azathioprine (AZA). Five patients with ECR recovered by increasing calcineurin inhibitors (CNIs) dosage, but in 8/13, including 7 switched from CsA to Tac, AZA and steroids were added to obtain remission of disease. Two patients developed late chronic rejection. DNAH and ECR associated with autoantibodies are forms of late GD after OLTx. DNAH improves after standard treatment of autoimmune hepatitis. ECR has a good response to increased doses of CNIs, although ductopenic chronic rejection may occur. In conclusion, the early differential diagnosis of these conditions and an appropriate treatment seem to allow good overall results reflected by a graft survival of more than 90%.", "author" : [ { "dropping-particle" : "", "family" : "Riva", "given" : "Silvia", "non-dropping-particle" : "", "parse-names" : false, "suffix" : "" }, { "dropping-particle" : "", "family" : "Sonzogni", "given" : "Aurelio", "non-dropping-particle" : "", "parse-names" : false, "suffix" : "" }, { "dropping-particle" : "", "family" : "Bravi", "given" : "Michela", "non-dropping-particle" : "", "parse-names" : false, "suffix" : "" }, { "dropping-particle" : "", "family" : "Bertani", "given" : "Alessandro", "non-dropping-particle" : "", "parse-names" : false, "suffix" : "" }, { "dropping-particle" : "", "family" : "Alessio", "given" : "Maria Grazia", "non-dropping-particle" : "", "parse-names" : false, "suffix" : "" }, { "dropping-particle" : "", "family" : "Candusso", "given" : "Manila", "non-dropping-particle" : "", "parse-names" : false, "suffix" : "" }, { "dropping-particle" : "", "family" : "Stroppa", "given" : "Paola", "non-dropping-particle" : "", "parse-names" : false, "suffix" : "" }, { "dropping-particle" : "", "family" : "Melzi", "given" : "Maria L", "non-dropping-particle" : "", "parse-names" : false, "suffix" : "" }, { "dropping-particle" : "", "family" : "Spada", "given" : "Marco", "non-dropping-particle" : "", "parse-names" : false, "suffix" : "" }, { "dropping-particle" : "", "family" : "Gridelli", "given" : "Bruno", "non-dropping-particle" : "", "parse-names" : false, "suffix" : "" }, { "dropping-particle" : "", "family" : "Colledan", "given" : "Michele", "non-dropping-particle" : "", "parse-names" : false, "suffix" : "" }, { "dropping-particle" : "", "family" : "Torre", "given" : "Giuliano", "non-dropping-particle" : "", "parse-names" : false, "suffix" : "" } ], "container-title" : "Liver transplantation : official publication of the American Association for the Study of Liver Diseases and the International Liver Transplantation Society", "id" : "ITEM-12", "issue" : "4", "issued" : { "date-parts" : [ [ "2006", "4", "1" ] ] }, "language" : "en", "page" : "573-7", "publisher" : "Wiley Subscription Services, Inc., A Wiley Company", "title" : "Late graft dysfunction and autoantibodies after liver transplantation in children: preliminary results of an Italian experience.", "type" : "article-journal", "volume" : "12" }, "uris" : [ "http://www.mendeley.com/documents/?uuid=fad1f2db-40ee-4a6e-bbd1-94f699320220" ] }, { "id" : "ITEM-13", "itemData" : { "DOI" : "10.1016/j.transproceed.2011.05.030", "ISSN" : "1873-2623 (Electronic)", "PMID" : "21839275", "abstract" : "INTRODUCTION: De novo autoimmune hepatitis (AIH) after orthotopic liver transplantation (OLT) has been described as a new type of late graft dysfunction in children who have not undergone transplantation for previous autoimmune liver disease. The purpose of this study was to evaluate the clinical aspects of de novo AIH among children following OLT. PATIENTS AND METHODS: Between January 1994 and May 2007, 149 children underwent OLT, including 1 with recurrent AIH who was excluded from this study, whereas 4 others developed de novo AIH (2.7%; n = 4/148). We analyzed the demographics, laboratory characteristics, and response to treatment of the 4 children with de novo AIH following OLT. RESULTS: The 4 patients were all girls with a median interval after OLT to presentation of 6.5 years (range, 0.7-8.8 years). The median age when de novo AIH developed was 12.4 years (range, 8.7-17.3 years). All cases were detected by abnormal liver function tests, namely, increased aspartate aminotransferase (AST; median, 322 IU/L; range, 181-919 IU/L). One patient showed elevated immunoglobulin G. Three patients displayed positive antinuclear antibodies. All were seronegative for smooth muscle antibody and liver-kidney microsomal type 1 antibody. One patient showed anti-mitochondrial antibody. All patients were treated with steroids with or without azathioprine. The liver function tests in these 4 patients, improved by at least 50% during the first month of treatment, responding to steroid treatment with or without azathioprine. CONCLUSION: In preadolescent or adolescent female patients with unexplained graft dysfunction after OLT, it is important to recognize de novo AIH rapidly and to develop an adequate diagnostic strategy, including evaluation of serum autoantibodies, immunoglobulin G, and liver biopsy.", "author" : [ { "dropping-particle" : "", "family" : "Cho", "given" : "J M", "non-dropping-particle" : "", "parse-names" : false, "suffix" : "" }, { "dropping-particle" : "", "family" : "Kim", "given" : "K M", "non-dropping-particle" : "", "parse-names" : false, "suffix" : "" }, { "dropping-particle" : "", "family" : "Oh", "given" : "S H", "non-dropping-particle" : "", "parse-names" : false, "suffix" : "" }, { "dropping-particle" : "", "family" : "Lee", "given" : "Y J", "non-dropping-particle" : "", "parse-names" : false, "suffix" : "" }, { "dropping-particle" : "", "family" : "Rhee", "given" : "K W", "non-dropping-particle" : "", "parse-names" : false, "suffix" : "" }, { "dropping-particle" : "", "family" : "Yu", "given" : "E", "non-dropping-particle" : "", "parse-names" : false, "suffix" : "" } ], "container-title" : "Transplantation proceedings", "id" : "ITEM-13", "issue" : "6", "issued" : { "date-parts" : [ [ "2011" ] ] }, "language" : "eng", "page" : "2394-2396", "publisher-place" : "United States", "title" : "De novo autoimmune hepatitis in Korean children after liver transplantation: a single institution's experience.", "type" : "article-journal", "volume" : "43" }, "uris" : [ "http://www.mendeley.com/documents/?uuid=d162e1aa-7d12-4a64-bc97-12ac271b3335" ] }, { "id" : "ITEM-14", "itemData" : { "ISSN" : "0041-1337 (Print)", "PMID" : "11477351", "abstract" : "BACKGROUND: Cases of so-called autoimmune hepatitis (AH) have been reported after liver transplantation. Our aim was to evaluate the incidence in a series of 471 pediatric liver transplant recipients. METHODS: Between 1984 and 1998, 471 children had orthotopic liver transplantation (OLT). Children are followed up on a regular basis, with full clinical, biochemical, and histologic evaluation at 6 months, 1, 2, 5, 7, and 10 years after OLT. Children with unexplained abnormal liver tests were screened for autoimmune markers (total gamma-globulins, smooth muscle antibodies [SMA], liver kidney microsome antibodies [LKM], antinuclear factor [ANA]). From January of 1998 until December of 1998, autoimmune markers were prospectively searched in all children admitted for regular posttransplant follow-up (n = 118). RESULTS: Eleven of 471 children (2.35%) were found with autoimmune hepatitis, 9 retrospectively and 2 prospectively. None had previous autoimmune liver disease. Patients had a history of steroid-dependent hepatitis. Histology showed variable degree of portal and lobular inflammation, piecemeal necrosis, and bridging collapse. Mean (+/-SDS) aspartate aminotransferase (AST) and alanine aminotransferase (ALT) activities at diagnosis were 173+/-145 and 196+/-157 IU/L, respectively (nl&lt;32). Median gamma-globulin levels reached 1365 mg/dl versus 931 mg/dl in controls (P&lt;0.05). Nine had ANA (titer 1/80 up to 1/10,000), 1 SMA (1/320), and 2 LKM1 antibodies (1/1280). Patients did not respond to increasing charge of cyclosporine (n=10) or tacrolimus (n=1). Eleven received steroids (prednisolone: 2 mg/kg per day, then tapered) and azathioprine (1.5 to 2.5 mg/kg per day). All patients normalized within 3 months (mean AST/ALT levels of 26+/-8 and 30+/-9 IU/L). Three had mild to moderate relapse with increase of ALT thereafter. Gamma-globulins decreased to 1190 mg/dl (ns). Amongst the 116 remaining prospectively evaluated patients, 85 had normal evaluation, despite low titers of autoantibodies in 15 (SMA&lt; or =1/40, ANA 1/80). Thirty-one patients had graft dysfunction, related to well-explained posttransplant causes, among which 7 had similar low levels of autoantibodies. CONCLUSIONS: A total of 2.35% of our transplant children present evidence of immune hepatitis after transplantation. Patients do not respond to increasing cyclosporine or tacrolimus levels and require steroid and azathioprine. In view of this specific treatment, systematic screening for \"autoimmune\" \u2026", "author" : [ { "dropping-particle" : "", "family" : "Andries", "given" : "S", "non-dropping-particle" : "", "parse-names" : false, "suffix" : "" }, { "dropping-particle" : "", "family" : "Casamayou", "given" : "L", "non-dropping-particle" : "", "parse-names" : false, "suffix" : "" }, { "dropping-particle" : "", "family" : "Sempoux", "given" : "C", "non-dropping-particle" : "", "parse-names" : false, "suffix" : "" }, { "dropping-particle" : "", "family" : "Burlet", "given" : "M", "non-dropping-particle" : "", "parse-names" : false, "suffix" : "" }, { "dropping-particle" : "", "family" : "Reding", "given" : "R", "non-dropping-particle" : "", "parse-names" : false, "suffix" : "" }, { "dropping-particle" : "", "family" : "Bernard Otte", "given" : "J", "non-dropping-particle" : "", "parse-names" : false, "suffix" : "" }, { "dropping-particle" : "", "family" : "Buts", "given" : "J P", "non-dropping-particle" : "", "parse-names" : false, "suffix" : "" }, { "dropping-particle" : "", "family" : "Sokal", "given" : "E", "non-dropping-particle" : "", "parse-names" : false, "suffix" : "" } ], "container-title" : "Transplantation", "id" : "ITEM-14", "issue" : "2", "issued" : { "date-parts" : [ [ "2001", "7" ] ] }, "language" : "eng", "page" : "267-272", "publisher-place" : "United States", "title" : "Posttransplant immune hepatitis in pediatric liver transplant recipients: incidence and maintenance therapy with azathioprine.", "type" : "article-journal", "volume" : "72" }, "uris" : [ "http://www.mendeley.com/documents/?uuid=4b790a5f-2a94-4034-8def-239651cff510" ] }, { "id" : "ITEM-15", "itemData" : { "DOI" : "10.1111/j.1399-3046.2012.01723.x", "ISBN" : "1397-3142", "ISSN" : "13973142", "PMID" : "22672703", "abstract" : "We have investigated the inflammatory infiltrate in post-transplant dn-AIH, a form of late insidious graft rejection, focusing on transcription factors defining effector and T-regs, using an antigen retrieval immunohistochemical method on archived liver tissue, and compared it with ACR and classical AIH. Paraffin-embedded liver biopsies from pediatric patients with dn-AIH (n = 10), ACR (n = 10), and AIH (n = 13) were selected randomly and stained using antibodies directed to CD4, CD8, T-bet (marker of Th1 polarization), GATA-3 (marker of Th2 polarization), FOXP3 (marker for T regulatory cells), IL-17, CD56 (NK cells), and perforin. Portal and lobular lymphocytic infiltrate was assessed semi-quantitatively. Prominent CD4, CD8, and T-bet positivity were present in both the lobular and portal infiltrate of all three conditions. Overall T-bet score of lobular inflammation in the dn-AIH group was lower than in the ACR and AIH groups (p = 0.02). In contrast, most samples showed absent or minimal GATA-3 positivity. FOXP3, CD56, IL-17, and perforin staining of mild to moderate severity were present in all three groups in both the portal and lobular infiltrate. A Th1 polarization of the inflammatory infiltrate characterizes dn-AIH, but also ACR and AIH.", "author" : [ { "dropping-particle" : "", "family" : "Had\u017ei\u0107", "given" : "Nedim", "non-dropping-particle" : "", "parse-names" : false, "suffix" : "" }, { "dropping-particle" : "", "family" : "Quaglia", "given" : "Alberto", "non-dropping-particle" : "", "parse-names" : false, "suffix" : "" }, { "dropping-particle" : "", "family" : "Cotoi", "given" : "Corina", "non-dropping-particle" : "", "parse-names" : false, "suffix" : "" }, { "dropping-particle" : "", "family" : "Hussain", "given" : "Munther J.", "non-dropping-particle" : "", "parse-names" : false, "suffix" : "" }, { "dropping-particle" : "", "family" : "Brown", "given" : "Nigel", "non-dropping-particle" : "", "parse-names" : false, "suffix" : "" }, { "dropping-particle" : "", "family" : "Vergani", "given" : "Diego", "non-dropping-particle" : "", "parse-names" : false, "suffix" : "" }, { "dropping-particle" : "", "family" : "Mieli-Vergani", "given" : "Giorgina", "non-dropping-particle" : "", "parse-names" : false, "suffix" : "" } ], "container-title" : "Pediatric Transplantation", "id" : "ITEM-15", "issue" : "5", "issued" : { "date-parts" : [ [ "2012" ] ] }, "page" : "501-510", "title" : "Immunohistochemical phenotyping of the inflammatory infiltrate in de novo autoimmune hepatitis after liver transplantation in children", "type" : "article-journal", "volume" : "16" }, "uris" : [ "http://www.mendeley.com/documents/?uuid=78048448-9819-4171-bf0a-f2491fde3afc" ] }, { "id" : "ITEM-16", "itemData" : { "DOI" : "10.1097/TP.0000000000000796", "ISSN" : "1534-6080 (Electronic)", "PMID" : "26038872", "abstract" : "BACKGROUND: The role of donor-specific HLA antibodies (DSA) after pediatric liver transplantation (LTx) is not clearly established. We completed a cross-sectional study to characterize DSA in long-term survivors of pediatric LTx and assess the impact of C1q-binding DSA on allograft outcomes. METHODS: Serum samples were collected at routine clinic visits from 50 pediatric LTx recipients classified into 3 clinical phenotypes: nontolerant (n = 18) with de novo autoimmune hepatitis (DAIH) and/or late acute cellular rejection (ACR); stable (n = 25) on maintenance tacrolimus; operationally tolerant (n = 7). Samples were blinded, and antibody detection was performed using Luminex single antigen class I and II beads. Patients with positive DSA were tested for C1q-binding DSA. RESULTS: DSA were detected in 54% (n = 27) of the patients, with the majority directed at HLA class II antigens (DR, 41%; DQ, 53%). Patients with DSA were younger at the time of LTx (P = 0.016) and time of study (P = 0.024). Mean aspartate aminotransferase, alanine aminotransferase, total bilirubin, and gamma glutamyl transferase were higher in DSA-positive patients, though did not reach statistical significance. Nontolerant patients were significantly more likely to have DQ DSA (61%) compared to stable (20%) and tolerant (29%) patients (P = 0.021). The nontolerant phenotype was associated with DSA and C1q-binding DSA, with odds ratios of 13 (P = 0.015) and 8.6 (P = 0.006), respectively. The presence of DQ DSA was associated with DAIH and late ACR, with odds ratios of 12.5 (P = 0.004) and 10.8 (P = 0.006), respectively. CONCLUSIONS: Allograft dysfunction is not always evident in patients with DSA, but DQ DSA are strongly associated with DAIH, late ACR, and chronic rejection.", "author" : [ { "dropping-particle" : "", "family" : "Wozniak", "given" : "Laura J", "non-dropping-particle" : "", "parse-names" : false, "suffix" : "" }, { "dropping-particle" : "", "family" : "Hickey", "given" : "Michelle J", "non-dropping-particle" : "", "parse-names" : false, "suffix" : "" }, { "dropping-particle" : "", "family" : "Venick", "given" : "Robert S", "non-dropping-particle" : "", "parse-names" : false, "suffix" : "" }, { "dropping-particle" : "", "family" : "Vargas", "given" : "Jorge H", "non-dropping-particle" : "", "parse-names" : false, "suffix" : "" }, { "dropping-particle" : "", "family" : "Farmer", "given" : "Douglas G", "non-dropping-particle" : "", "parse-names" : false, "suffix" : "" }, { "dropping-particle" : "", "family" : "Busuttil", "given" : "Ronald W", "non-dropping-particle" : "", "parse-names" : false, "suffix" : "" }, { "dropping-particle" : "V", "family" : "McDiarmid", "given" : "Sue", "non-dropping-particle" : "", "parse-names" : false, "suffix" : "" }, { "dropping-particle" : "", "family" : "Reed", "given" : "Elaine F", "non-dropping-particle" : "", "parse-names" : false, "suffix" : "" } ], "container-title" : "Transplantation", "id" : "ITEM-16", "issue" : "7", "issued" : { "date-parts" : [ [ "2015", "7" ] ] }, "language" : "eng", "page" : "1416-1422", "publisher-place" : "United States", "title" : "Donor-specific HLA Antibodies Are Associated With Late Allograft Dysfunction After Pediatric Liver Transplantation.", "type" : "article-journal", "volume" : "99" }, "uris" : [ "http://www.mendeley.com/documents/?uuid=8af2da8e-d09a-4eb7-a448-dc5cdfea5fc7" ] } ], "mendeley" : { "formattedCitation" : "&lt;sup&gt;[12,16\u201330]&lt;/sup&gt;", "plainTextFormattedCitation" : "[12,16\u201330]", "previouslyFormattedCitation" : "&lt;sup&gt;[12,16\u201330]&lt;/sup&gt;"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[12,16–30]</w:t>
      </w:r>
      <w:r w:rsidR="001D26D7" w:rsidRPr="00783FEF">
        <w:rPr>
          <w:rFonts w:ascii="Book Antiqua" w:hAnsi="Book Antiqua"/>
        </w:rPr>
        <w:fldChar w:fldCharType="end"/>
      </w:r>
      <w:r w:rsidRPr="00783FEF">
        <w:rPr>
          <w:rFonts w:ascii="Book Antiqua" w:hAnsi="Book Antiqua"/>
        </w:rPr>
        <w:t xml:space="preserve"> and adults</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"10.1111/j.1440-1827.2005.01886.x", "ISBN" : "1320-5463", "ISSN" : "13205463", "PMID" : "16185298", "abstract" : "The development of de novo autoimmune liver disease after liver transplantation (LT) has been described in both children and adults. Reported herein is a case that is best characterized as post-LT de novo hepatitis with features of autoimmune hepatitis (AIH)-primary biliary cirrhosis (PBC) overlap. A 56-year-old man underwent LT for decompensated liver disease secondary to non-alcoholic steatohepatitis. His liver function tests became markedly abnormal 8 months after LT. Sequential liver transplant biopsy findings were confusing and shared findings seen with both AIH and PBC. Although standard autoimmune serological tests were negative, a dramatic biochemical response was observed to a regimen consisting of prednisone, mycophenolate mofetil, and ursodeoxycholic acid added to maintainance tacrolimus. The donor was histocompatibility leukocyte antigen, DR4, positive, a haplotype associated with the development of AIH-PBC overlap syndrome. In conclusion the authors believe that this may be a case of post-LT de novo overlap syndrome of AIH-PBC, a novel 'autoimmune-type' response.", "author" : [ { "dropping-particle" : "", "family" : "Keaveny", "given" : "Andrew P.", "non-dropping-particle" : "", "parse-names" : false, "suffix" : "" }, { "dropping-particle" : "", "family" : "Gordon", "given" : "Fredric D.", "non-dropping-particle" : "", "parse-names" : false, "suffix" : "" }, { "dropping-particle" : "", "family" : "Khettry", "given" : "Urmila", "non-dropping-particle" : "", "parse-names" : false, "suffix" : "" } ], "container-title" : "Pathology International", "id" : "ITEM-1", "issue" : "10", "issued" : { "date-parts" : [ [ "2005" ] ] }, "page" : "660-664", "title" : "Post-liver transplantation de novo hepatitis with overlap features", "type" : "article-journal", "volume" : "55" }, "uris" : [ "http://www.mendeley.com/documents/?uuid=199a2c09-0565-41b9-8415-d418eb4a030b" ] }, { "id" : "ITEM-2", "itemData" : { "DOI" : "10.1136/gut.2006.092064", "ISSN" : "0017-5749", "PMID" : "16798778", "abstract" : "BACKGROUND: Interferon may trigger autoimmune disorders, including autoimmune hepatitis, in immunocompetent patients. To date, no such disorders have been described in liver transplanted patients. METHODS: 9 of 44 liver transplanted patients who had been receiving pegylated-interferon alpha-2b and ribavirin for at least 6 months for hepatitis C virus (HCV) recurrence, developed graft dysfunction despite on-treatment HCV-RNA clearance in all but one case. Laboratory, microbiological, imaging and histological evaluations were performed to identify the origin of graft dysfunction. The International Autoimmune Hepatitis scoring system was also applied. RESULTS: In all cases infections, anastomoses complications and rejection were excluded, whereas the autoimmune hepatitis score suggested a \"probable autoimmune hepatitis\" (score from 10 to 14). Three patients developed other definite autoimmune disorders (overlap anti-mitochondrial antibodies (AMA)-positive cholangitis, autoimmune thyroiditis and systemic lupus erythematosus, respectively). In all cases, pre-existing autoimmune hepatitis was excluded. Anti-lymphocyte antibodies in immunosuppressive induction treatment correlated with the development of the disorder, whereas the use of granulocyte colony-stimulating factor to treat interferon-induced neutropenia showed a protective role. Withdrawal of antiviral treatment and treatment with prednisone resulted in different outcomes (five remissions and four graft failures with two deaths). CONCLUSIONS: De novo autoimmune hepatitis should be considered in differential diagnosis along with rejection in liver transplanted patients developing graft dysfunction while on treatment with interferon.", "author" : [ { "dropping-particle" : "", "family" : "Berardi", "given" : "S", "non-dropping-particle" : "", "parse-names" : false, "suffix" : "" }, { "dropping-particle" : "", "family" : "Lodato", "given" : "F", "non-dropping-particle" : "", "parse-names" : false, "suffix" : "" }, { "dropping-particle" : "", "family" : "Gramenzi", "given" : "a", "non-dropping-particle" : "", "parse-names" : false, "suffix" : "" }, { "dropping-particle" : "", "family" : "D'Errico", "given" : "a", "non-dropping-particle" : "", "parse-names" : false, "suffix" : "" }, { "dropping-particle" : "", "family" : "Lenzi", "given" : "M", "non-dropping-particle" : "", "parse-names" : false, "suffix" : "" }, { "dropping-particle" : "", "family" : "Bontadini", "given" : "a", "non-dropping-particle" : "", "parse-names" : false, "suffix" : "" }, { "dropping-particle" : "", "family" : "Morelli", "given" : "M C", "non-dropping-particle" : "", "parse-names" : false, "suffix" : "" }, { "dropping-particle" : "", "family" : "Tam\u00e8", "given" : "M R", "non-dropping-particle" : "", "parse-names" : false, "suffix" : "" }, { "dropping-particle" : "", "family" : "Piscaglia", "given" : "F", "non-dropping-particle" : "", "parse-names" : false, "suffix" : "" }, { "dropping-particle" : "", "family" : "Biselli", "given" : "M", "non-dropping-particle" : "", "parse-names" : false, "suffix" : "" }, { "dropping-particle" : "", "family" : "Sama", "given" : "C", "non-dropping-particle" : "", "parse-names" : false, "suffix" : "" }, { "dropping-particle" : "", "family" : "Mazzella", "given" : "G", "non-dropping-particle" : "", "parse-names" : false, "suffix" : "" }, { "dropping-particle" : "", "family" : "Pinna", "given" : "a D", "non-dropping-particle" : "", "parse-names" : false, "suffix" : "" }, { "dropping-particle" : "", "family" : "Grazi", "given" : "G", "non-dropping-particle" : "", "parse-names" : false, "suffix" : "" }, { "dropping-particle" : "", "family" : "Bernardi", "given" : "M", "non-dropping-particle" : "", "parse-names" : false, "suffix" : "" }, { "dropping-particle" : "", "family" : "Andreone", "given" : "P", "non-dropping-particle" : "", "parse-names" : false, "suffix" : "" } ], "container-title" : "Gut", "id" : "ITEM-2", "issue" : "2", "issued" : { "date-parts" : [ [ "2007" ] ] }, "page" : "237-242", "title" : "High incidence of allograft dysfunction in liver transplanted patients treated with pegylated-interferon alpha-2b and ribavirin for hepatitis C recurrence: possible de novo autoimmune hepatitis?", "type" : "article-journal", "volume" : "56" }, "uris" : [ "http://www.mendeley.com/documents/?uuid=42bffa44-db78-459b-98c3-6d01b899b9e2" ] }, { "id" : "ITEM-3", "itemData" : { "DOI" : "10.1111/j.1440-1746.2008.05347.x", "ISBN" : "1440-1746 (Electronic)\\n0815-9319 (Linking)", "ISSN" : "08159319", "PMID" : "18505414", "abstract" : "BACKGROUND AND AIM: Recently, we reported that immunoglobulin subtype 4 (IgG4) is involved in autoimmune hepatobiliary diseases, such as autoimmune hepatitis, sclerosing cholangitis, and pancreatitis. However, the association of IgG4 with autoimmune hepatic disease after living donor liver transplantation (LDLT) has not been investigated. METHODS: Of the 72 LDLT recipients, four patients (5.6%) were suspected of having autoimmune-related hepatic disease after LDLT. The diagnosis was made based on a histological diagnosis following an examination of a biopsy liver specimen in three cases, while in one case a pemphigoid appeared in the flank with liver fibrosis of unknown cause. Human leukocyte antigen (HLA) mismatches were 3, 2, 2, and 2, respectively. The serum level of IgG4 in the patients was measured, and IgG4 immunohistochemical staining in the liver biopsy specimens was also performed. RESULTS: In all cases, steroid pulse therapy or recycle treatment and subsequent increased steroid dose as well as additional azathioprine or mycophenolate mofetil were effective. While a few positive-stained cells for IgG4 were observed in the liver of one case, negative staining for IgG4 was observed in the other cases. All serum subclasses of IgG4 were within normal limits. CONCLUSION: In our series of LDLT, IgG4-related immune disorder is unlikely to be involved in post-transplant, autoimmune-related liver disease.", "author" : [ { "dropping-particle" : "", "family" : "Eguchi", "given" : "Susumu", "non-dropping-particle" : "", "parse-names" : false, "suffix" : "" }, { "dropping-particle" : "", "family" : "Takatsuki", "given" : "Mitsuhisa", "non-dropping-particle" : "", "parse-names" : false, "suffix" : "" }, { "dropping-particle" : "", "family" : "Hidaka", "given" : "Masaaki", "non-dropping-particle" : "", "parse-names" : false, "suffix" : "" }, { "dropping-particle" : "", "family" : "Tajima", "given" : "Yoshitsugu", "non-dropping-particle" : "", "parse-names" : false, "suffix" : "" }, { "dropping-particle" : "", "family" : "Zen", "given" : "Yoh", "non-dropping-particle" : "", "parse-names" : false, "suffix" : "" }, { "dropping-particle" : "", "family" : "Nakanuma", "given" : "Yasuni", "non-dropping-particle" : "", "parse-names" : false, "suffix" : "" }, { "dropping-particle" : "", "family" : "Kanematsu", "given" : "Takashi", "non-dropping-particle" : "", "parse-names" : false, "suffix" : "" } ], "container-title" : "Journal of Gastroenterology and Hepatology (Australia)", "id" : "ITEM-3", "issue" : "7 PT2", "issued" : { "date-parts" : [ [ "2008" ] ] }, "page" : "165-169", "title" : "De novo autoimmune hepatitis after living donor liver transplantation is unlikely to be related to immunoglobulin subtype 4-related immune disease", "type" : "article-journal", "volume" : "23" }, "uris" : [ "http://www.mendeley.com/documents/?uuid=5cb40cc0-0d9c-4ac3-a212-fa5aebc42b2a" ] }, { "id" : "ITEM-4", "itemData" : { "DOI" : "10.1002/lt.21447", "ISSN" : "1527-6473", "PMID" : "18508382", "abstract" : "De novo autoimmune hepatitis has been described in both pediatric and adult liver transplantation (LT) recipients. Studies of small numbers of patients have proposed it to be an alloimmune hepatitis or form of chronic rejection. We have recently noted an increasing number of patients with post-LT recurrent hepatitis C virus (HCV) developing this, with an apparent negative impact on outcome and survival. We term this entity posttransplant plasma cell hepatitis (PCH). A search of our institution's pathology database was performed with the terms \"plasma cell(s),\" \"lymphoplasmacytic infiltrate,\" and \"liver allograft.\" A histological scoring system was devised to more reliably diagnose PCH in the setting of recurrent HCV. Thirty-eight patients were identified, and their clinical data were analyzed. Sixty percent had a negative outcome as defined by the development of cirrhosis, need for retransplantation, or death. Eighty-two percent had recent lowering of immunosuppression or subtherapeutic calcineurin inhibitor levels; 58% developed PCH within 2 years post-LT. Histologic resolution of PCH was associated with good outcome (P &lt; 0.001). Patients not receiving treatment had a negative outcome (P = 0.007) as did patients receiving corticosteroids as therapy (P = 0.02). Persistence (P = 0.007) or recurrence of PCH was associated with negative outcome. In conclusion, PCH is a histologic variant of rejection. On liver biopsy, PCH can at times be difficult to diagnose, and the use of a standardized scoring system is recommended to differentiate it from other forms of allograft dysfunction. Treatment by optimization of immunosuppression without the use of corticosteroids appears effective. The development of PCH in the setting of recurrent HCV is a negative prognostic factor for patient outcome and allograft failure.", "author" : [ { "dropping-particle" : "", "family" : "Fiel", "given" : "M Isabel", "non-dropping-particle" : "", "parse-names" : false, "suffix" : "" }, { "dropping-particle" : "", "family" : "Agarwal", "given" : "Kaushik", "non-dropping-particle" : "", "parse-names" : false, "suffix" : "" }, { "dropping-particle" : "", "family" : "Stanca", "given" : "Carmen", "non-dropping-particle" : "", "parse-names" : false, "suffix" : "" }, { "dropping-particle" : "", "family" : "Elhajj", "given" : "Nassim", "non-dropping-particle" : "", "parse-names" : false, "suffix" : "" }, { "dropping-particle" : "", "family" : "Kontorinis", "given" : "Nikolas", "non-dropping-particle" : "", "parse-names" : false, "suffix" : "" }, { "dropping-particle" : "", "family" : "Thung", "given" : "Swan N", "non-dropping-particle" : "", "parse-names" : false, "suffix" : "" }, { "dropping-particle" : "", "family" : "Schiano", "given" : "Thomas D", "non-dropping-particle" : "", "parse-names" : false, "suffix" : "" } ], "container-title" : "Liver transplantation : official publication of the American Association for the Study of Liver Diseases and the International Liver Transplantation Society", "id" : "ITEM-4", "issue" : "6", "issued" : { "date-parts" : [ [ "2008", "6", "1" ] ] }, "language" : "en", "page" : "861-71", "publisher" : "Wiley Subscription Services, Inc., A Wiley Company", "title" : "Posttransplant plasma cell hepatitis (de novo autoimmune hepatitis) is a variant of rejection and may lead to a negative outcome in patients with hepatitis C virus.", "type" : "article-journal", "volume" : "14" }, "uris" : [ "http://www.mendeley.com/documents/?uuid=4bcaf04a-c236-45e7-9e79-94978d828161" ] }, { "id" : "ITEM-5", "itemData" : { "DOI" : "10.1016/j.dld.2008.09.015", "ISSN" : "15908658", "PMID" : "19162574", "abstract" : "Background: The recurrence of hepatitis C after liver transplantation is extremely frequent. Antiviral therapy combining pegylated-interferon with ribavirin is therefore increasingly used in these patients. It has been recently reported, however, that during antiviral treatment a hepatic immune-mediated liver dysfunction, similar to \"de novo\" autoimmune hepatitis, may develop in a few transplanted patients. Patients and methods: Three patients, treated with pegylated-interferon \u03b1-2a and ribavirin for recurrent hepatitis C after liver transplantation, developed an aggressive hepatitis with clinical, biochemical, and histological features similar to those of autoimmune hepatitis. Results: In all three patients, a liver enzymes increase was evident after hepatitis C virus-RNA had become undetectable. Diagnosis of \"de novo\" autoimmune hepatitis was proposed, based on the presence of high-titre circulating autoantibodies and liver histology features. Following the introduction of a steroid therapy, clinical and biochemical parameters progressively improved. Hepatitis C virus infection, however, relapsed after a few months in all the patients. Conclusions: Following liver transplantation, antiviral therapy with pegylated-interferon \u03b1-2a and ribavirin for recurrent hepatitis C may be associated, in a few patients, with severe immune-mediated graft dysfunction similar to autoimmune hepatitis. \u00a9 2008 Editrice Gastroenterologica Italiana S.r.l.", "author" : [ { "dropping-particle" : "", "family" : "Merli", "given" : "M.", "non-dropping-particle" : "", "parse-names" : false, "suffix" : "" }, { "dropping-particle" : "", "family" : "Gentili", "given" : "F.", "non-dropping-particle" : "", "parse-names" : false, "suffix" : "" }, { "dropping-particle" : "", "family" : "Giusto", "given" : "M.", "non-dropping-particle" : "", "parse-names" : false, "suffix" : "" }, { "dropping-particle" : "", "family" : "Attili", "given" : "a. F.", "non-dropping-particle" : "", "parse-names" : false, "suffix" : "" }, { "dropping-particle" : "", "family" : "Corradini", "given" : "S. G.", "non-dropping-particle" : "", "parse-names" : false, "suffix" : "" }, { "dropping-particle" : "", "family" : "Mennini", "given" : "G.", "non-dropping-particle" : "", "parse-names" : false, "suffix" : "" }, { "dropping-particle" : "", "family" : "Rossi", "given" : "M.", "non-dropping-particle" : "", "parse-names" : false, "suffix" : "" }, { "dropping-particle" : "", "family" : "Corsi", "given" : "a.", "non-dropping-particle" : "", "parse-names" : false, "suffix" : "" }, { "dropping-particle" : "", "family" : "Bianco", "given" : "P.", "non-dropping-particle" : "", "parse-names" : false, "suffix" : "" } ], "container-title" : "Digestive and Liver Disease", "id" : "ITEM-5", "issue" : "5", "issued" : { "date-parts" : [ [ "2009" ] ] }, "page" : "345-349", "title" : "Immune-mediated liver dysfunction after antiviral treatment in liver transplanted patients with hepatitis c: Allo or autoimmune de novo hepatitis?", "type" : "article-journal", "volume" : "41" }, "uris" : [ "http://www.mendeley.com/documents/?uuid=c8caa876-4fde-484b-b1d3-5f66d081c299" ] }, { "id" : "ITEM-6", "itemData" : { "DOI" : "10.1016/j.transproceed.2012.02.049", "ISSN" : "0041-1345", "author" : [ { "dropping-particle" : "", "family" : "Zhao", "given" : "X", "non-dropping-particle" : "", "parse-names" : false, "suffix" : "" }, { "dropping-particle" : "", "family" : "Rakhda", "given" : "M I a", "non-dropping-particle" : "", "parse-names" : false, "suffix" : "" }, { "dropping-particle" : "", "family" : "Wang", "given" : "T", "non-dropping-particle" : "", "parse-names" : false, "suffix" : "" }, { "dropping-particle" : "", "family" : "Jia", "given" : "J", "non-dropping-particle" : "", "parse-names" : false, "suffix" : "" } ], "container-title" : "Tps", "id" : "ITEM-6", "issue" : "2", "issued" : { "date-parts" : [ [ "2013" ] ] }, "page" : "824-827", "publisher" : "Elsevier Inc.", "title" : "Liver Transplantation for Chronic Hepatitis B- and C-Related Cirrhosis and Hepatocellular Carcinoma : A Case Report With Literature Review", "type" : "article-journal", "volume" : "45" }, "uris" : [ "http://www.mendeley.com/documents/?uuid=82bc9fad-af9e-4438-a5d1-e10667610802" ] }, { "id" : "ITEM-7", "itemData" : { "DOI" : "10.1111/ctr.12498", "ISSN" : "09020063", "author" : [ { "dropping-particle" : "", "family" : "Foschi", "given" : "Antonella", "non-dropping-particle" : "", "parse-names" : false, "suffix" : "" }, { "dropping-particle" : "", "family" : "Zavaglia", "given" : "Claudio Antonio", "non-dropping-particle" : "", "parse-names" : false, "suffix" : "" }, { "dropping-particle" : "", "family" : "Fanti", "given" : "Diana", "non-dropping-particle" : "", "parse-names" : false, "suffix" : "" }, { "dropping-particle" : "", "family" : "Mazzarelli", "given" : "Chiara", "non-dropping-particle" : "", "parse-names" : false, "suffix" : "" }, { "dropping-particle" : "", "family" : "Perricone", "given" : "Giovanni", "non-dropping-particle" : "", "parse-names" : false, "suffix" : "" }, { "dropping-particle" : "", "family" : "Vangeli", "given" : "Marcello", "non-dropping-particle" : "", "parse-names" : false, "suffix" : "" }, { "dropping-particle" : "", "family" : "Vigan\u00f2", "given" : "Raffaella", "non-dropping-particle" : "", "parse-names" : false, "suffix" : "" }, { "dropping-particle" : "", "family" : "Belli", "given" : "Luca Saverio", "non-dropping-particle" : "", "parse-names" : false, "suffix" : "" } ], "container-title" : "Clinical Transplantation", "id" : "ITEM-7", "issue" : "2", "issued" : { "date-parts" : [ [ "2015" ] ] }, "page" : "161-166", "title" : "Autoimmunity after liver transplantation: a frequent event but a rare clinical problem", "type" : "article-journal", "volume" : "29" }, "uris" : [ "http://www.mendeley.com/documents/?uuid=7fd5b5d6-edb9-41a7-980f-ec75ef7ffeef" ] }, { "id" : "ITEM-8", "itemData" : { "DOI" : "10.1111/ajt.12413", "ISBN" : "1600-6143", "ISSN" : "16006135", "PMID" : "24011021", "abstract" : "Plasma cell hepatitis (PCH), also known as \"de novo autoimmune\" hepatitis, is an increasingly recognized, but suboptimally named and poorly understood, category of late allograft dysfunction strongly resembling autoimmune hepatitis (AIH): They share plasma-cell-rich necro-inflammatory activity on biopsy, autoantibodies and steroid responsiveness, but overlap with rejection is problematic. A retrospective study of clinical, serological, histopathological and IgG4 immunohistological features of PCH (n\u2009=\u200920) in liver allograft recipients, native liver AIH (n\u2009=\u200919) and plasma-cell-rich renal allograft rejection (n\u2009=\u200920) showed: (1) high frequency (44%) of HLA-DR15; (2) less female predominance (p\u2009=\u20090.03) and (3) n\u2009=\u20099/20 PCH recipients showed &gt;25 IgG4+ plasma cells/high-power field (IgG4+ PCH) versus AIH (n\u2009=\u20091/19, p\u2009=\u20090.008) or plasma-cell-rich kidney rejection (n\u2009=\u20092/20, p\u2009=\u20090.03). The IgG4+ PCH (n\u2009=\u20099) subgroup showed lower alanine transaminase (ALT) (p\u2009&lt;\u20090.01) and aspartate transaminase (AST) (p\u2009&lt;\u20090.05) at index biopsy but (a) higher plasma cell number/percentage, (b) more aggressive-appearing portal/periportal and perivenular necro-inflammatory activity and (c) more severe portal/periportal fibrosis than IgG4- PCH (n\u2009=\u200911). Significant demographic, histopathologic and plasma cell phenotype differences between PCH and AIH suggest distinct pathogenic mechanisms for at least the IgG4+ PCH subgroup likely representing an overlap between allo- and auto-immunity. IgG4+ PCH was associated with fibrosis, but also highly responsive to increased immunosuppression.", "author" : [ { "dropping-particle" : "", "family" : "Castillo-Rama", "given" : "M.", "non-dropping-particle" : "", "parse-names" : false, "suffix" : "" }, { "dropping-particle" : "", "family" : "Sebagh", "given" : "M.", "non-dropping-particle" : "", "parse-names" : false, "suffix" : "" }, { "dropping-particle" : "", "family" : "Sasatomi", "given" : "E.", "non-dropping-particle" : "", "parse-names" : false, "suffix" : "" }, { "dropping-particle" : "", "family" : "Randhawa", "given" : "P.", "non-dropping-particle" : "", "parse-names" : false, "suffix" : "" }, { "dropping-particle" : "", "family" : "Isse", "given" : "K.", "non-dropping-particle" : "", "parse-names" : false, "suffix" : "" }, { "dropping-particle" : "", "family" : "Salgarkar", "given" : "a. D.", "non-dropping-particle" : "", "parse-names" : false, "suffix" : "" }, { "dropping-particle" : "", "family" : "Ruppert", "given" : "K.", "non-dropping-particle" : "", "parse-names" : false, "suffix" : "" }, { "dropping-particle" : "", "family" : "Humar", "given" : "a.", "non-dropping-particle" : "", "parse-names" : false, "suffix" : "" }, { "dropping-particle" : "", "family" : "Demetris", "given" : "a. J.", "non-dropping-particle" : "", "parse-names" : false, "suffix" : "" } ], "container-title" : "American Journal of Transplantation", "id" : "ITEM-8", "issue" : "11", "issued" : { "date-parts" : [ [ "2013" ] ] }, "page" : "2966-2977", "title" : "\"plasma cell hepatitis\" in liver allografts: Identification and characterization of an IgG4-rich cohort", "type" : "article-journal", "volume" : "13" }, "uris" : [ "http://www.mendeley.com/documents/?uuid=cb0c0bb6-9c8d-4408-a1a8-67f8c0224e99" ] }, { "id" : "ITEM-9", "itemData" : { "DOI" : "10.1016/j.jhep.2013.10.037", "ISSN" : "0168-8278", "author" : [ { "dropping-particle" : "", "family" : "Ikegami", "given" : "Toru", "non-dropping-particle" : "", "parse-names" : false, "suffix" : "" }, { "dropping-particle" : "", "family" : "Yoshizumi", "given" : "Tomoharu", "non-dropping-particle" : "", "parse-names" : false, "suffix" : "" }, { "dropping-particle" : "", "family" : "Shirabe", "given" : "Ken", "non-dropping-particle" : "", "parse-names" : false, "suffix" : "" }, { "dropping-particle" : "", "family" : "Maehara", "given" : "Yoshihiko", "non-dropping-particle" : "", "parse-names" : false, "suffix" : "" } ], "container-title" : "JOURNAL OF HEPATOLOGY", "id" : "ITEM-9", "issued" : { "date-parts" : [ [ "2013" ] ] }, "page" : "1-3", "publisher" : "European Association for the Study of the Liver", "title" : "Letter to the Editor Frequent plasma cell hepatitis during telaprevir-based triple therapy for hepatitis C after liver transplantation", "type" : "article-journal", "volume" : "xxx" }, "uris" : [ "http://www.mendeley.com/documents/?uuid=65b72d0c-4850-4ff7-aead-8fa124a95bd0" ] }, { "id" : "ITEM-10", "itemData" : { "DOI" : "10.1053/jhep.2001.26756", "ISSN" : "02709139", "PMID" : "11526530", "abstract" : "In children, a type of graft dysfunction associated with autoimmune features has been described. We have identified 7 adult liver-transplant (LT) recipients from a series of over 1,000 consecutive transplant recipients who presented between 0.3 years and 7.2 years following transplantation with characteristic symptoms, autoantibody profiles, and histologic findings of autoimmune disease. The indications for transplantation were Ecstasy overdose, alcohol-related cirrhosis, primary sclerosing cholangitis (PSC) (2), primary biliary cirrhosis (PBC), hepatitis C cirrhosis, and cryptogenic cirrhosis. Two patterns of de novo autoantibody development were noted; anti-liver-kidney-microsome (LKM) antibody development at high titer in association with an aspartate transaminase (AST) &gt; 500 and antinuclear (ANA) and antismooth muscle (AMA) antibody development at titers &gt;1/80 with lower AST levels. All cases had elevated IgG. Liver biopsies showed changes of an autoimmune-type hepatitis with portal and periportal hepatitis in association with a marked infiltrate of plasma cells, lymphocytes, and bridging collapse. Two patients lost their grafts because of the disease. Patients were treated with reintroduction of steroids and azathioprine in cases in which it had been withdrawn. Major histocompatibility class I and II mismatching did not incur risk. Eight of 12 liver allografts were acquired from either DRB*0301- or DRB*0401-positive donors, and 4 recipients were DRB*0301-positive. This series illustrates that both symptoms and histologic findings of graft dysfunction compatible with autoimmune hepatitis (AIH) exist in adult LT recipients. Graft loses may be a consequence. This entity may represent a specific type of rejection that should currently be classified as \"graft dysfunction mimicking autoimmune hepatitis\".", "author" : [ { "dropping-particle" : "", "family" : "Heneghan", "given" : "M. a.", "non-dropping-particle" : "", "parse-names" : false, "suffix" : "" }, { "dropping-particle" : "", "family" : "Portmann", "given" : "B. C.", "non-dropping-particle" : "", "parse-names" : false, "suffix" : "" }, { "dropping-particle" : "", "family" : "Norris", "given" : "S. M.", "non-dropping-particle" : "", "parse-names" : false, "suffix" : "" }, { "dropping-particle" : "", "family" : "Williams", "given" : "R.", "non-dropping-particle" : "", "parse-names" : false, "suffix" : "" }, { "dropping-particle" : "", "family" : "Muiesan", "given" : "P.", "non-dropping-particle" : "", "parse-names" : false, "suffix" : "" }, { "dropping-particle" : "", "family" : "Rela", "given" : "M.", "non-dropping-particle" : "", "parse-names" : false, "suffix" : "" }, { "dropping-particle" : "", "family" : "Heaton", "given" : "N. D.", "non-dropping-particle" : "", "parse-names" : false, "suffix" : "" }, { "dropping-particle" : "", "family" : "O'Grady", "given" : "J. G.", "non-dropping-particle" : "", "parse-names" : false, "suffix" : "" } ], "container-title" : "Hepatology", "id" : "ITEM-10", "issue" : "3", "issued" : { "date-parts" : [ [ "2001" ] ] }, "page" : "464-470", "title" : "Graft dysfunction mimicking autoimmune hepatitis following liver transplantation in adults", "type" : "article-journal", "volume" : "34" }, "uris" : [ "http://www.mendeley.com/documents/?uuid=6f0b6328-8f8f-4c49-8265-2bbc56ca0f8b" ] }, { "id" : "ITEM-11", "itemData" : { "DOI" : "10.1016/j.transproceed.2006.03.071", "ISSN" : "0041-1345 (Print)", "PMID" : "16797335", "abstract" : "De novo autoimmune hepatitis (AIH) is a rare disorder first described in 1998. It appears in patients with liver transplants for non-AIH etiology. The few cases in the literature make it a little known entity due to mechanisms that are unclear. We present the case of a woman with a liver transplant whose graft developed de novo AIH. Diagnosed with primary biliary cirrhosis, the patient underwent liver transplantation for refractory pruritus. Sixteen months after transplantation, we detected alterations in the hepatic profile with hypertransaminasemia and elevated alkaline phosphatase, together with elevated antinuclear antibodies. IgG levels were normal. Histological findings indicated AIH. The patient responded rapidly to treatment with prednisolone and azathioprine. De novo AIH in patients transplanted for PBC may cause graft dysfunction. This report also analyzes the case with respect to the other four reported cases, discussing etiologic hypotheses.", "author" : [ { "dropping-particle" : "", "family" : "Rodriguez-Diaz", "given" : "Y", "non-dropping-particle" : "", "parse-names" : false, "suffix" : "" }, { "dropping-particle" : "", "family" : "Reyes-Rodriguez", "given" : "R", "non-dropping-particle" : "", "parse-names" : false, "suffix" : "" }, { "dropping-particle" : "", "family" : "Dorta-Francisco", "given" : "M C", "non-dropping-particle" : "", "parse-names" : false, "suffix" : "" }, { "dropping-particle" : "", "family" : "Aguilera", "given" : "I", "non-dropping-particle" : "", "parse-names" : false, "suffix" : "" }, { "dropping-particle" : "", "family" : "Perera-Molinero", "given" : "A", "non-dropping-particle" : "", "parse-names" : false, "suffix" : "" }, { "dropping-particle" : "", "family" : "Moneva-Arce", "given" : "E", "non-dropping-particle" : "", "parse-names" : false, "suffix" : "" }, { "dropping-particle" : "", "family" : "Aviles-Ruiz", "given" : "J F", "non-dropping-particle" : "", "parse-names" : false, "suffix" : "" } ], "container-title" : "Transplantation proceedings", "id" : "ITEM-11", "issue" : "5", "issued" : { "date-parts" : [ [ "2006", "6" ] ] }, "language" : "eng", "page" : "1467-1470", "publisher-place" : "United States", "title" : "De novo autoimmune hepatitis following liver transplantation for primary biliary  cirrhosis.", "type" : "article-journal", "volume" : "38" }, "uris" : [ "http://www.mendeley.com/documents/?uuid=a81804eb-ef77-46cd-a78f-38643c120339" ] }, { "id" : "ITEM-12", "itemData" : { "DOI" : "10.1097/01.tp.0000196716.07188.c4", "ISSN" : "0041-1337 (Print)", "PMID" : "16477242", "author" : [ { "dropping-particle" : "", "family" : "Cholongitas", "given" : "Evangelos", "non-dropping-particle" : "", "parse-names" : false, "suffix" : "" }, { "dropping-particle" : "", "family" : "Samonakis", "given" : "Dimitrios", "non-dropping-particle" : "", "parse-names" : false, "suffix" : "" }, { "dropping-particle" : "", "family" : "Patch", "given" : "David", "non-dropping-particle" : "", "parse-names" : false, "suffix" : "" }, { "dropping-particle" : "", "family" : "Senzolo", "given" : "Marco", "non-dropping-particle" : "", "parse-names" : false, "suffix" : "" }, { "dropping-particle" : "", "family" : "Burroughs", "given" : "Andrew Kenneth", "non-dropping-particle" : "", "parse-names" : false, "suffix" : "" }, { "dropping-particle" : "", "family" : "Quaglia", "given" : "Alberto", "non-dropping-particle" : "", "parse-names" : false, "suffix" : "" }, { "dropping-particle" : "", "family" : "Dhillon", "given" : "Amar", "non-dropping-particle" : "", "parse-names" : false, "suffix" : "" } ], "container-title" : "Transplantation", "id" : "ITEM-12", "issue" : "3", "issued" : { "date-parts" : [ [ "2006", "2" ] ] }, "language" : "eng", "page" : "488-490", "publisher-place" : "United States", "title" : "Induction of autoimmune hepatitis by pegylated interferon in a liver transplant patient with recurrent hepatitis C virus.", "type" : "article", "volume" : "81" }, "uris" : [ "http://www.mendeley.com/documents/?uuid=676f1caf-7d5b-44e0-8fd6-8e93af1f9c80" ] }, { "id" : "ITEM-13", "itemData" : { "DOI" : "10.1002/lt.20706", "ISSN" : "1527-6465 (Print)", "PMID" : "16628699", "abstract" : "A 55-year-old Caucasian male developed a well characterized autoimmune hepatitis  after completing treatment with pegylated interferon and ribavirin for recurrent hepatitis C. We hypothesize that pegylated interferon triggered a severe form of immune-mediated hepatitis.", "author" : [ { "dropping-particle" : "", "family" : "Kontorinis", "given" : "Nickolas", "non-dropping-particle" : "", "parse-names" : false, "suffix" : "" }, { "dropping-particle" : "", "family" : "Agarwal", "given" : "Kaushik", "non-dropping-particle" : "", "parse-names" : false, "suffix" : "" }, { "dropping-particle" : "", "family" : "Elhajj", "given" : "Nassim", "non-dropping-particle" : "", "parse-names" : false, "suffix" : "" }, { "dropping-particle" : "", "family" : "Fiel", "given" : "M Isabel", "non-dropping-particle" : "", "parse-names" : false, "suffix" : "" }, { "dropping-particle" : "", "family" : "Schiano", "given" : "Thomas D", "non-dropping-particle" : "", "parse-names" : false, "suffix" : "" } ], "container-title" : "Liver transplantation : official publication of the American Association for the  Study of Liver Diseases and the International Liver Transplantation Society", "id" : "ITEM-13", "issue" : "5", "issued" : { "date-parts" : [ [ "2006", "5" ] ] }, "language" : "eng", "page" : "827-830", "publisher-place" : "United States", "title" : "Pegylated interferon-induced immune-mediated hepatitis post-liver transplantation.", "type" : "article-journal", "volume" : "12" }, "uris" : [ "http://www.mendeley.com/documents/?uuid=366f659e-624c-4357-9a67-c62d29ed28bc" ] }, { "id" : "ITEM-14", "itemData" : { "DOI" : "10.1002/lt.21949", "ISSN" : "1527-6473 (Electronic)", "PMID" : "19938116", "abstract" : "Plasma cell hepatitis (PCH) is characterized by plasma cell infiltration seen in  allografts of patients who underwent liver transplantation (LT) for conditions other than autoimmune hepatitis. We identified 40 PCH patients who underwent LT for hepatitis C virus (HCV) by searching our pathology database (1994-2006) for the keywords liver allograft, lymphoplasmacytic, and plasma cell(s). We selected 2 control patients who received LT for HCV for each PCH case. The control patients were matched according to date of LT and availability of biopsy material at the time interval to development of PCH in PCH patients. Explant and post-LT biopsy slides were blindly reviewed by 2 liver pathologists and the severity of the plasma cell infiltrate was scored. A score of 3 (plasma cells composing &gt;30% of the infiltrate) defined PCH in allograft biopsies. Five random areas of dense inflammation were also examined in explant livers and the highest score was used. Poor outcome was defined as death or advanced fibrosis (stage &gt;or= 4 of 6). We found that PCH patients were more likely to have worse outcomes than control patients (65% versus 40%, P &lt; 0.01), including increased mortality (50% versus 30%, P &lt; 0.05). Kaplan-Meier survival analysis showed significantly worse survival for PCH patients from 4 to 10 years post-LT (P &lt; 0.05). Explants from 40% of PCH patients had a score of 3 compared to 18% of control patients (P &lt; 0.01). We found that the development of PCH is associated with poor outcome in patients undergoing LT for HCV. The association of significant plasma cell infiltrates in native livers of HCV patients developing PCH suggests that some patients may have a predisposition to developing PCH.", "author" : [ { "dropping-particle" : "", "family" : "Ward", "given" : "Stephen C", "non-dropping-particle" : "", "parse-names" : false, "suffix" : "" }, { "dropping-particle" : "", "family" : "Schiano", "given" : "Thomas D", "non-dropping-particle" : "", "parse-names" : false, "suffix" : "" }, { "dropping-particle" : "", "family" : "Thung", "given" : "Swan N", "non-dropping-particle" : "", "parse-names" : false, "suffix" : "" }, { "dropping-particle" : "", "family" : "Fiel", "given" : "M Isabel", "non-dropping-particle" : "", "parse-names" : false, "suffix" : "" } ], "container-title" : "Liver transplantation : official publication of the American Association for the  Study of Liver Diseases and the International Liver Transplantation Society", "id" : "ITEM-14", "issue" : "12", "issued" : { "date-parts" : [ [ "2009", "12" ] ] }, "language" : "eng", "page" : "1826-1833", "publisher-place" : "United States", "title" : "Plasma cell hepatitis in hepatitis C virus patients post-liver transplantation: case-control study showing poor outcome and predictive features in the liver explant.", "type" : "article-journal", "volume" : "15" }, "uris" : [ "http://www.mendeley.com/documents/?uuid=b85f37a3-7c7a-4db4-b5d7-bcbd9f1756e1" ] }, { "id" : "ITEM-15", "itemData" : { "DOI" : "10.1007/s00595-010-4392-z", "ISSN" : "1436-2813 (Electronic)", "PMID" : "21748625", "abstract" : "Interferon (IFN), which is the only possible agent for recurrent hepatitis C after liver transplantation, may cause serious immune-related disorders. We report a case of de novo autoimmune hepatitis (AIH), which developed subsequent to switching from 2b pegylated interferon-alpha (peg-IFN) to 2a peg-IFN after living donor liver transplantation (LDLT). A 51-year-old man with hepatitis C-associated liver cirrhosis underwent LDLT. About 13 months after the initiation of antiviral therapy, in the form of type 2b peg-IFN with ribavirin, a negative serum hepatitis C virus (HCV)-RNA titer was confirmed. Thereafter, the 2b peg-IFN was switched to 2a peg-IFN, 3 months after which severe liver dysfunction developed, despite a constantly negative HCV-RNA. Liver biopsy showed portal and periportal inflammatory infiltrates including numerous plasma cells, indicating AIH. He was treated with steroid pulse treatment, followed by high-level immunosuppression maintenance, but eventually died of Pneumocystis pneumonitis 4 months after the diagnosis of de novo AIH.", "author" : [ { "dropping-particle" : "", "family" : "Takeishi", "given" : "Kazuki", "non-dropping-particle" : "", "parse-names" : false, "suffix" : "" }, { "dropping-particle" : "", "family" : "Shirabe", "given" : "Ken", "non-dropping-particle" : "", "parse-names" : false, "suffix" : "" }, { "dropping-particle" : "", "family" : "Toshima", "given" : "Takeo", "non-dropping-particle" : "", "parse-names" : false, "suffix" : "" }, { "dropping-particle" : "", "family" : "Ikegami", "given" : "Toru", "non-dropping-particle" : "", "parse-names" : false, "suffix" : "" }, { "dropping-particle" : "", "family" : "Morita", "given" : "Kazutoyo", "non-dropping-particle" : "", "parse-names" : false, "suffix" : "" }, { "dropping-particle" : "", "family" : "Fukuhara", "given" : "Takasuke", "non-dropping-particle" : "", "parse-names" : false, "suffix" : "" }, { "dropping-particle" : "", "family" : "Motomura", "given" : "Takashi", "non-dropping-particle" : "", "parse-names" : false, "suffix" : "" }, { "dropping-particle" : "", "family" : "Mano", "given" : "Yohei", "non-dropping-particle" : "", "parse-names" : false, "suffix" : "" }, { "dropping-particle" : "", "family" : "Uchiyama", "given" : "Hideaki", "non-dropping-particle" : "", "parse-names" : false, "suffix" : "" }, { "dropping-particle" : "", "family" : "Soejima", "given" : "Yuji", "non-dropping-particle" : "", "parse-names" : false, "suffix" : "" }, { "dropping-particle" : "", "family" : "Taketomi", "given" : "Akinobu", "non-dropping-particle" : "", "parse-names" : false, "suffix" : "" }, { "dropping-particle" : "", "family" : "Maehara", "given" : "Yoshihiko", "non-dropping-particle" : "", "parse-names" : false, "suffix" : "" } ], "container-title" : "Surgery today", "id" : "ITEM-15", "issue" : "7", "issued" : { "date-parts" : [ [ "2011", "7" ] ] }, "language" : "eng", "page" : "1016-1019", "publisher-place" : "Japan", "title" : "De novo autoimmune hepatitis subsequent to switching from type 2b to type 2a alpha-pegylated interferon treatment for recurrent hepatitis C after liver transplantation: report of a case.", "type" : "article-journal", "volume" : "41" }, "uris" : [ "http://www.mendeley.com/documents/?uuid=9247e2fc-0439-43d2-a08a-53e8ae84a204" ] }, { "id" : "ITEM-16", "itemData" : { "DOI" : "10.1053/j.gastro.2012.01.030", "ISSN" : "1528-0012 (Electronic)", "PMID" : "22285805", "abstract" : "BACKGROUND &amp; AIMS: Patients with recurrent hepatitis C virus infection treated with pegylated interferon (PEG) after liver transplantation can develop severe immune-mediated graft dysfunction (IGD) characterized by plasma cell hepatitis or rejection. METHODS: We conducted a multicenter case-control study of 52 liver transplant recipients with hepatitis C to assess the incidence of, risk factors for, and outcomes of PEG-IGD. Data from each patient were compared with those from 2 matched patients who did not develop PEG-IGD (n = 104). We performed a multivariate analysis of risk factors and analyzed treatment and outcomes of graft dysfunction subtypes. RESULTS: Overall incidence of PEG-IGD during a 10-year study period was 7.2%. Risk factors included no prior PEG therapy (odds ratio = 5.3; P &lt; .0001), therapy with PEGalpha-2a (odds ratio = 4.7; P = .03), and immune features (mainly plasma cell hepatitis) on pre-PEG therapy liver biopsies (odds ratio = 3.9; P = .005). The PEG-IGD group had lower long-term patient (61.5% vs 91.3% of controls) and graft (38.5% vs 85.6% of controls) survival and higher rates of retransplantation (34.6% vs 6.7% of controls) (all, P &lt; .0001), without increases in sustained virologic response. Variables associated with increased mortality included acute rejection as the PEG-IGD sub-type (hazard ratio [HR] = 2.4; P = .002), a high level of alkaline phosphatase at PEG initiation (HR = 1.003; P = .005), and lack of a sustained virologic response (HR = 3.3; P = .04). Variables associated with graft failure included a high level of alkaline phosphatase at PEG initiation (HR = 1.002; P = .04) and lack of a sustained virologic response (HR = 2.1; P = .04). CONCLUSIONS: PEG-IGD has high morbidity and mortality and is not associated with increased rates of virologic response. It is important to avoid PEG therapy in liver transplant recipients with specific clinical, biochemical, and histologic risk factors for PEG-IGD.", "author" : [ { "dropping-particle" : "", "family" : "Levitsky", "given" : "Josh", "non-dropping-particle" : "", "parse-names" : false, "suffix" : "" }, { "dropping-particle" : "", "family" : "Fiel", "given" : "Maria Isabel", "non-dropping-particle" : "", "parse-names" : false, "suffix" : "" }, { "dropping-particle" : "", "family" : "Norvell", "given" : "John P", "non-dropping-particle" : "", "parse-names" : false, "suffix" : "" }, { "dropping-particle" : "", "family" : "Wang", "given" : "Edward", "non-dropping-particle" : "", "parse-names" : false, "suffix" : "" }, { "dropping-particle" : "", "family" : "Watt", "given" : "Kymberly D", "non-dropping-particle" : "", "parse-names" : false, "suffix" : "" }, { "dropping-particle" : "", "family" : "Curry", "given" : "Michael P", "non-dropping-particle" : "", "parse-names" : false, "suffix" : "" }, { "dropping-particle" : "", "family" : "Tewani", "given" : "Sumeet", "non-dropping-particle" : "", "parse-names" : false, "suffix" : "" }, { "dropping-particle" : "", "family" : "McCashland", "given" : "Timothy M", "non-dropping-particle" : "", "parse-names" : false, "suffix" : "" }, { "dropping-particle" : "", "family" : "Hoteit", "given" : "Maarouf A", "non-dropping-particle" : "", "parse-names" : false, "suffix" : "" }, { "dropping-particle" : "", "family" : "Shaked", "given" : "Abraham", "non-dropping-particle" : "", "parse-names" : false, "suffix" : "" }, { "dropping-particle" : "", "family" : "Saab", "given" : "Samuel", "non-dropping-particle" : "", "parse-names" : false, "suffix" : "" }, { "dropping-particle" : "", "family" : "Chi", "given" : "Amanda C", "non-dropping-particle" : "", "parse-names" : false, "suffix" : "" }, { "dropping-particle" : "", "family" : "Tien", "given" : "Amy", "non-dropping-particle" : "", "parse-names" : false, "suffix" : "" }, { "dropping-particle" : "", "family" : "Schiano", "given" : "Thomas D", "non-dropping-particle" : "", "parse-names" : false, "suffix" : "" } ], "container-title" : "Gastroenterology", "id" : "ITEM-16", "issue" : "5", "issued" : { "date-parts" : [ [ "2012", "5" ] ] }, "language" : "eng", "page" : "1132-1139.e1", "publisher-place" : "United States", "title" : "Risk for immune-mediated graft dysfunction in liver transplant recipients with recurrent HCV infection treated with pegylated interferon.", "type" : "article-journal", "volume" : "142" }, "uris" : [ "http://www.mendeley.com/documents/?uuid=452eb432-a328-413e-a7f1-fb417e2c60d9" ] }, { "id" : "ITEM-17", "itemData" : { "DOI" : "10.1053/jhep.2002.31167", "ISSN" : "02709139", "PMID" : "11826408", "abstract" : "Graft dysfunction associated with autoimmune phenomena has been recently described in liver transplant recipients without previous autoimmune disease. However, the natural history, diagnostic criteria, and definitive therapeutic approach of de novo autoimmune hepatitis (de novo AIH) are poorly understood. We report 12 cases of de novo AIH 27.9 \u00b1 24.5 months after liver transplantation: the outcome of 7 patients treated with steroids is compared with a group of 5 nontreated patients. Nontreated patients lost the graft after 5.8 \u00b1 2.6 months from de novo AIH onset. All treated patients were alive after 48.4 \u00b1 14 (29-65) months from de novo AIH onset, and none of them lost the graft. However, 5 patients relapsed in relation to steroid tapering. All patients presented an atypical antiliver/kidney cytosolic autoantibody, associated to classical autoantibodies in 10 cases. Histological study showed several degrees of lobular necrosis and inflammatory infiltrate. HLA antigen frequencies and matching were compared with 2 control groups (16 orthotopic liver transplantation [LTX] patients without de novo AIH and 929 healthy blood donors); de novo AIH patients showed a higher prevalence of HLA-DR3 (54.5% vs. 25.9%, P = .04) than healthy controls, which was not observed in LTX patients without de novo AIH. In conclusion, this new disease should be included in the differential diagnosis of unexplained graft dysfunction. In addition, treatment with steroids results in a dramatically improved outcome. However, maintenance therapy is usually required.", "author" : [ { "dropping-particle" : "", "family" : "Salcedo", "given" : "Magdalena", "non-dropping-particle" : "", "parse-names" : false, "suffix" : "" }, { "dropping-particle" : "", "family" : "Vaquero", "given" : "Javier", "non-dropping-particle" : "", "parse-names" : false, "suffix" : "" }, { "dropping-particle" : "", "family" : "Baares", "given" : "Rafael", "non-dropping-particle" : "", "parse-names" : false, "suffix" : "" }, { "dropping-particle" : "", "family" : "Rodr\u00edguez-Mahou", "given" : "Margarita", "non-dropping-particle" : "", "parse-names" : false, "suffix" : "" }, { "dropping-particle" : "", "family" : "Alvarez", "given" : "Emilio", "non-dropping-particle" : "", "parse-names" : false, "suffix" : "" }, { "dropping-particle" : "", "family" : "Vicario", "given" : "Jose Luis", "non-dropping-particle" : "", "parse-names" : false, "suffix" : "" }, { "dropping-particle" : "", "family" : "Hern\u00e1ndez-Alb\u00fajar", "given" : "Alicia", "non-dropping-particle" : "", "parse-names" : false, "suffix" : "" }, { "dropping-particle" : "", "family" : "T\u00edscar", "given" : "Jos\u00e9 Luis R", "non-dropping-particle" : "", "parse-names" : false, "suffix" : "" }, { "dropping-particle" : "", "family" : "Rinc\u00f3n", "given" : "Diego", "non-dropping-particle" : "", "parse-names" : false, "suffix" : "" }, { "dropping-particle" : "", "family" : "Alonso", "given" : "Sonia", "non-dropping-particle" : "", "parse-names" : false, "suffix" : "" }, { "dropping-particle" : "", "family" : "Diego", "given" : "Alejandro", "non-dropping-particle" : "De", "parse-names" : false, "suffix" : "" }, { "dropping-particle" : "", "family" : "Clemente", "given" : "Gerardo", "non-dropping-particle" : "", "parse-names" : false, "suffix" : "" } ], "container-title" : "Hepatology", "id" : "ITEM-17", "issue" : "2", "issued" : { "date-parts" : [ [ "2002" ] ] }, "page" : "349-356", "title" : "Response to steroids in de novo autoimmune hepatitis after liver transplantation", "type" : "article-journal", "volume" : "35" }, "uris" : [ "http://www.mendeley.com/documents/?uuid=c3c3e9ef-5c1d-4160-bdbc-3a15fd0c93c9" ] }, { "id" : "ITEM-18", "itemData" : { "DOI" : "10.1053/jlts.2001.23792", "ISBN" : "1527-6465", "ISSN" : "15276465", "PMID" : "11349269", "abstract" : "Primary biliary cirrhosis (PBC) is well known to recur after liver transplantation (LT). The recurrence is usually subclinical and evident only on histological examination. Recently, a new entity of de novo autoimmune hepatitis (AIH) has emerged that occurs after LT in patients who underwent transplantation for diseases other than AIH. This new condition occurs more often in children; however, there was a recent report of the first 2 cases in adults who originally underwent LT for PBC. We report the first case of concurrent de novo AIH and recurrence of PBC documented on the liver biopsy of an adult patient who underwent LT for end-stage PBC. Unlike the earlier report of 2 adults, our patient manifested an antinuclear antibody titer of more than 1/800 from a previously negative titer pre-LT, as well as fulfilled the International AIH Group criteria for a definite diagnosis of AIH. PBC recurrence was evidenced by typical florid duct lesion, antimitochondrial antibody titer increasing from 1/40 to greater than 1/800, and an elevated serum immunoglobulin M level. After the addition of azathioprine to baseline immunosuppression of tacrolimus and prednisolone, the patient responded rapidly, with complete normalization of liver test results.", "author" : [ { "dropping-particle" : "", "family" : "Tan", "given" : "Chee Kiat", "non-dropping-particle" : "", "parse-names" : false, "suffix" : "" }, { "dropping-particle" : "", "family" : "Sian Ho", "given" : "Jean May", "non-dropping-particle" : "", "parse-names" : false, "suffix" : "" } ], "container-title" : "Liver Transplantation", "id" : "ITEM-18", "issue" : "5", "issued" : { "date-parts" : [ [ "2001" ] ] }, "page" : "461-465", "title" : "Concurrent de novo autoimmune hepatitis and recurrence of primary biliary cirrhosis post-liver transplantation", "type" : "article-journal", "volume" : "7" }, "uris" : [ "http://www.mendeley.com/documents/?uuid=06428ce6-9032-4698-94c0-0d54a22a5dc1" ] }, { "id" : "ITEM-19", "itemData" : { "DOI" : "10.1111/j.1399-0012.2007.00787.x", "ISSN" : "1399-0012 (Electronic)", "PMID" : "18190552", "abstract" : "Since first being described in 1998, de novo autoimmune hepatitis (AIH) after liver transplantation has been reported in several cases suffering from non-autoimmune liver diseases and primary biliary cirrhosis (PBC). Glutathione S-transferase (GST) T1 genotype mismatches between donor and recipient have also been suggested to constitute a risk factor for de novo AIH. Here, we report a 33-yr-old woman who presented complaining of marked fatigue and jaundice four yr after living-donor liver transplantation for PBC. On examination, transaminase levels were highly elevated and ANA and antimitochondrial antibody M2 were positive. Histological findings showed zonal necrosis with lymphoplasmacytic infiltration closely resembling AIH. She had pretreatment AIH score of 16 and 19 points after relapse of de novo AIH. Two color fluorescence in situ hybridization with X and Y chromosome-specific probes clearly revealed that the hepatocytes were of donor origin and lymphocytes were of patient origin. The GSTT1 genotype of the patient and the donor were the same null type, suggesting that mechanisms other than GSTT1 mismatches may exist in de novo AIH development. In conclusion, recipient immune cells attacked the allogeneic transplanted liver of the patient via de novo AIH, although the exact participation of autoimmune mechanisms is unclear.", "author" : [ { "dropping-particle" : "", "family" : "Yoshizawa", "given" : "Kaname", "non-dropping-particle" : "", "parse-names" : false, "suffix" : "" }, { "dropping-particle" : "", "family" : "Shirakawa", "given" : "Haruaki", "non-dropping-particle" : "", "parse-names" : false, "suffix" : "" }, { "dropping-particle" : "", "family" : "Ichijo", "given" : "Tetsuya", "non-dropping-particle" : "", "parse-names" : false, "suffix" : "" }, { "dropping-particle" : "", "family" : "Umemura", "given" : "Takeji", "non-dropping-particle" : "", "parse-names" : false, "suffix" : "" }, { "dropping-particle" : "", "family" : "Tanaka", "given" : "Eiji", "non-dropping-particle" : "", "parse-names" : false, "suffix" : "" }, { "dropping-particle" : "", "family" : "Kiyosawa", "given" : "Kendo", "non-dropping-particle" : "", "parse-names" : false, "suffix" : "" }, { "dropping-particle" : "", "family" : "Imagawa", "given" : "Eri", "non-dropping-particle" : "", "parse-names" : false, "suffix" : "" }, { "dropping-particle" : "", "family" : "Matsuda", "given" : "Kazuyuki", "non-dropping-particle" : "", "parse-names" : false, "suffix" : "" }, { "dropping-particle" : "", "family" : "Hidaka", "given" : "Eiko", "non-dropping-particle" : "", "parse-names" : false, "suffix" : "" }, { "dropping-particle" : "", "family" : "Sano", "given" : "Kenji", "non-dropping-particle" : "", "parse-names" : false, "suffix" : "" }, { "dropping-particle" : "", "family" : "Nakazawa", "given" : "Yuichi", "non-dropping-particle" : "", "parse-names" : false, "suffix" : "" }, { "dropping-particle" : "", "family" : "Ikegami", "given" : "Toshihiko", "non-dropping-particle" : "", "parse-names" : false, "suffix" : "" }, { "dropping-particle" : "", "family" : "Hashikura", "given" : "Yasuhiko", "non-dropping-particle" : "", "parse-names" : false, "suffix" : "" }, { "dropping-particle" : "", "family" : "Miyagawa", "given" : "Shinichi", "non-dropping-particle" : "", "parse-names" : false, "suffix" : "" }, { "dropping-particle" : "", "family" : "Ota", "given" : "Masao", "non-dropping-particle" : "", "parse-names" : false, "suffix" : "" }, { "dropping-particle" : "", "family" : "Nakano", "given" : "Masayuki", "non-dropping-particle" : "", "parse-names" : false, "suffix" : "" } ], "container-title" : "Clinical transplantation", "id" : "ITEM-19", "issue" : "3", "issued" : { "date-parts" : [ [ "2008" ] ] }, "language" : "eng", "page" : "385-390", "publisher-place" : "Denmark", "title" : "De novo autoimmune hepatitis following living-donor liver transplantation for primary biliary cirrhosis.", "type" : "article-journal", "volume" : "22" }, "uris" : [ "http://www.mendeley.com/documents/?uuid=5ec8397f-ade5-4f60-84dd-9f57086085bc" ] }, { "id" : "ITEM-20", "itemData" : { "DOI" : "10.1002/lt.20404", "ISBN" : "1527-6465", "ISSN" : "15276465", "PMID" : "15838910", "abstract" : "Graft dysfunction mimicking autoimmune hepatitis rarely develops after liver transplantation for nonautoimmune disease. The mechanism(s) and causes of de novo autoimmune hepatitis are unknown. We examined autoantibodies serially in a patient with de novo autoimmune hepatitis and in patients without de novo autoimmune hepatitis after liver transplantation. Anticytokeratin 8/18 antibodies were detected in the first patient's sera after the onset of de novo autoimmune hepatitis, whereas other patients without de novo autoimmune hepatitis were seronegative throughout the follow-up period even with acute cellular rejection or other cause of liver dysfunction. In conclusion, the changes in cytokeratin 8/18 in hepatocytes might be one of the sources of pathogenesis of de novo autoimmune hepatitis after liver transplantation.", "author" : [ { "dropping-particle" : "", "family" : "Inui", "given" : "Ayano", "non-dropping-particle" : "", "parse-names" : false, "suffix" : "" }, { "dropping-particle" : "", "family" : "Sogo", "given" : "Tsuyoshi", "non-dropping-particle" : "", "parse-names" : false, "suffix" : "" }, { "dropping-particle" : "", "family" : "Komatsu", "given" : "Haruki", "non-dropping-particle" : "", "parse-names" : false, "suffix" : "" }, { "dropping-particle" : "", "family" : "Miyakawa", "given" : "Hiroshi", "non-dropping-particle" : "", "parse-names" : false, "suffix" : "" }, { "dropping-particle" : "", "family" : "Fujisawa", "given" : "Tomoo", "non-dropping-particle" : "", "parse-names" : false, "suffix" : "" } ], "container-title" : "Liver Transplantation", "id" : "ITEM-20", "issue" : "5", "issued" : { "date-parts" : [ [ "2005" ] ] }, "page" : "504-507", "title" : "Antibodies against cytokeratin 8/18 in a patient with de novo autoimmune hepatitis after living-donor liver transplantation", "type" : "article-journal", "volume" : "11" }, "uris" : [ "http://www.mendeley.com/documents/?uuid=2fd2d0eb-66ac-44f1-9680-57091011b680" ] }, { "id" : "ITEM-21", "itemData" : { "DOI" : "10.1016/j.transproceed.2010.08.062", "ISSN" : "1873-2623 (Electronic)", "PMID" : "21094869", "abstract" : "De novo autoimmune hepatitis (AIH) occurred in patients who underwent liver transplantation for a different etiology. This 55-year-old woman was transplanted due to PBC. One year after liver transplantation, she complained of fatigue. Liver function tests showed markedly elevated serum alanine transaminase (ALT) and globulin levels. She also tested positive for anti-nuclear antibodies (ANA). Liver biopsy showed lymphocytic and plasmacytic infiltration in the portal and periportal areas, with numerous areas of bridging centrilobular necrosis, indicating AIH. She had a pretreatment AIH score of 16 points, and a posttreatment score of 18 points according to the scoring system of the International AIH Group (IAHG). The patient was treated effectively with prednisone, but then suffered two further episodes of AIH as a result of decreasing the prednisone dose. Histological features on liver biopsy were similar to those on initial presentation. Treatment with prednisone and azathioprine resulted in a dramatically improved outcome. Her liver function and globulin levels rapidly returned to normal and have remained so thereafter.", "author" : [ { "dropping-particle" : "", "family" : "Zhang", "given" : "Y", "non-dropping-particle" : "", "parse-names" : false, "suffix" : "" }, { "dropping-particle" : "", "family" : "Wang", "given" : "B", "non-dropping-particle" : "", "parse-names" : false, "suffix" : "" }, { "dropping-particle" : "", "family" : "Wang", "given" : "T", "non-dropping-particle" : "", "parse-names" : false, "suffix" : "" } ], "container-title" : "Transplantation proceedings", "id" : "ITEM-21", "issue" : "9", "issued" : { "date-parts" : [ [ "2010", "11" ] ] }, "language" : "eng", "page" : "3854-3857", "publisher-place" : "United States", "title" : "De novo autoimmune hepatitis with centrilobular necrosis following liver transplantation for primary biliary cirrhosis: a case report.", "type" : "article-journal", "volume" : "42" }, "uris" : [ "http://www.mendeley.com/documents/?uuid=c7211103-308b-4b2d-a237-07a4bb910e9a" ] }, { "id" : "ITEM-22", "itemData" : { "DOI" : "10.1016/j.transproceed.2012.01.007", "ISSN" : "1873-2623 (Electronic)", "PMID" : "22410071", "abstract" : "BACKGROUND: De novo autoimmune hepatitis (AIH) after liver transplantation (OLT)  has been reported; however, de novo ulcerative colitis (UC) combined with AIH after OLT is rare. MATERIALS AND METHODS: We report a patient who suffered de novo UC with AIH after living related OLT (LRLT) due to fulminant hepatitis using a cytomegalovirus (CMV)-positive donor to a CMV-negative recipient. RESULTS: A 32-year-old man underwent LRLT due to fuluminant hepatis 4 years prior. He was admitted for colitis with diarrhea, abdominal pain, and high fever in March 2010. The abdominal computed tomography revealed severe jejunal edema. Anti-infectious therapies for bacterial, fungal, and CMV cases were ineffective. Small bowel endoscopy demonstrated erosion, redness, ulceration, and edema from the stomach to the jejunum. However, the origin of the colitis was not clear. Thereafter he displayed melena with a high fever and abdominal pain. The colon revealed diffuse inflammation with pseudopolyposis. De novo UC or CMV infection was suspected. His symptoms improved upon administration of salazopyrin and denosine. Moreover, he suffered de novo AIH, which was diagnosed by liver biopsy 3 months after the de novo UC. Steroid therapy improved the AIH. CONCLUSIONS: It has been reported that CMV is involved with UC and rejection. Our case suggested that CMV might induce de novo UC or AIH in CMV-negative recipients.", "author" : [ { "dropping-particle" : "", "family" : "Sakamoto", "given" : "T", "non-dropping-particle" : "", "parse-names" : false, "suffix" : "" }, { "dropping-particle" : "", "family" : "Sato", "given" : "Y", "non-dropping-particle" : "", "parse-names" : false, "suffix" : "" }, { "dropping-particle" : "", "family" : "Yamamoto", "given" : "S", "non-dropping-particle" : "", "parse-names" : false, "suffix" : "" }, { "dropping-particle" : "", "family" : "Oya", "given" : "H", "non-dropping-particle" : "", "parse-names" : false, "suffix" : "" }, { "dropping-particle" : "", "family" : "Hatakeyama", "given" : "K", "non-dropping-particle" : "", "parse-names" : false, "suffix" : "" } ], "container-title" : "Transplantation proceedings", "id" : "ITEM-22", "issue" : "2", "issued" : { "date-parts" : [ [ "2012", "3" ] ] }, "language" : "eng", "page" : "570-573", "publisher-place" : "United States", "title" : "De novo ulcerative colitis and autoimmune hepatitis after living related liver transplantation from cytomegalovirus-positive donor to cytomegalovirus-negative recipient: a case report.", "type" : "article-journal", "volume" : "44" }, "uris" : [ "http://www.mendeley.com/documents/?uuid=047a0f2f-412a-4d8e-a4e3-e1e54106b860" ] }, { "id" : "ITEM-23", "itemData" : { "ISSN" : "0041-1337 (Print)", "PMID" : "15257051", "abstract" : "BACKGROUND: Graft dysfunction mimicking autoimmune hepatitis (AIH) develops only  rarely after liver transplantation for nonautoimmune liver disease. The long-term prognosis and risk factors of de novo AIH after living-donor liver transplantation (LDLT) are unknown. METHODS: We review our LDLT series to investigate the incidence and outcome of this form of graft dysfunction, focusing on follow-up histology. RESULTS: Of 633 patients who underwent LDLT at Kyoto University from 1990 to 2002, 13 (2.1%) developed graft dysfunction with interface hepatitis resembling AIH (2 males, 11 females). The median age at LDLT of these 13 patients was 10 years (8 months to 26 years). All received tacrolimus-based immunosuppression. The dysfunction presented at a median interval of 3.1 (0.7-9.5) years after LDLT. Nine had definite AIH, and four had probable AIH at the onset of hepatitis. Patients were followed after a median of 3.5 (0.1-8) years from the onset of de novo AIH. Of 11 patients who underwent follow-up histologic evaluation, 3 underwent retransplantation, and 8 continued to have similar findings on subsequent biopsies, with fluctuations in the amount of necroinflammatory activity and an increase in fibrosis despite treatment. In a multivariate analysis, acute rejection episodes and recipient age between 11 and 15 years at LDLT independently had predictive value for the development of de novo AIH. Human leukocyte antigen-A, B, and DR mismatches and sex mismatch did not influence the occurrence of de novo AIH. CONCLUSION: This series highlights the more severe histologic outcome of de novo AIH with longer follow-up despite immunosuppressive treatment. De novo AIH may arise from alloimmunologic injury, marked by clinically obvious episodes of acute rejection.", "author" : [ { "dropping-particle" : "", "family" : "Miyagawa-Hayashino", "given" : "Aya", "non-dropping-particle" : "", "parse-names" : false, "suffix" : "" }, { "dropping-particle" : "", "family" : "Haga", "given" : "Hironori", "non-dropping-particle" : "", "parse-names" : false, "suffix" : "" }, { "dropping-particle" : "", "family" : "Egawa", "given" : "Hiroto", "non-dropping-particle" : "", "parse-names" : false, "suffix" : "" }, { "dropping-particle" : "", "family" : "Hayashino", "given" : "Yasuaki", "non-dropping-particle" : "", "parse-names" : false, "suffix" : "" }, { "dropping-particle" : "", "family" : "Sakurai", "given" : "Takaki", "non-dropping-particle" : "", "parse-names" : false, "suffix" : "" }, { "dropping-particle" : "", "family" : "Minamiguchi", "given" : "Sachiko", "non-dropping-particle" : "", "parse-names" : false, "suffix" : "" }, { "dropping-particle" : "", "family" : "Tanaka", "given" : "Koichi", "non-dropping-particle" : "", "parse-names" : false, "suffix" : "" }, { "dropping-particle" : "", "family" : "Manabe", "given" : "Toshiaki", "non-dropping-particle" : "", "parse-names" : false, "suffix" : "" } ], "container-title" : "Transplantation", "id" : "ITEM-23", "issue" : "1", "issued" : { "date-parts" : [ [ "2004", "7" ] ] }, "language" : "eng", "page" : "128-135", "publisher-place" : "United States", "title" : "Outcome and risk factors of de novo autoimmune hepatitis in living-donor liver transplantation.", "type" : "article-journal", "volume" : "78" }, "uris" : [ "http://www.mendeley.com/documents/?uuid=9696d951-cf5b-4966-a88f-2bed899dc9d0" ] }, { "id" : "ITEM-24", "itemData" : { "DOI" : "10.1097/01.TP.0000072338.88465.59", "ISSN" : "0041-1337 (Print)", "PMID" : "12865828", "author" : [ { "dropping-particle" : "", "family" : "Miyagawa-Hayashino", "given" : "Aya", "non-dropping-particle" : "", "parse-names" : false, "suffix" : "" }, { "dropping-particle" : "", "family" : "Haga", "given" : "Hironori", "non-dropping-particle" : "", "parse-names" : false, "suffix" : "" }, { "dropping-particle" : "", "family" : "Sakurai", "given" : "Takaki", "non-dropping-particle" : "", "parse-names" : false, "suffix" : "" }, { "dropping-particle" : "", "family" : "Shirase", "given" : "Tomoyuki", "non-dropping-particle" : "", "parse-names" : false, "suffix" : "" }, { "dropping-particle" : "", "family" : "Manabe", "given" : "Toshiaki", "non-dropping-particle" : "", "parse-names" : false, "suffix" : "" }, { "dropping-particle" : "", "family" : "Egawa", "given" : "Hiroto", "non-dropping-particle" : "", "parse-names" : false, "suffix" : "" } ], "container-title" : "Transplantation", "id" : "ITEM-24", "issue" : "1", "issued" : { "date-parts" : [ [ "2003", "7" ] ] }, "language" : "eng", "page" : "271-272", "publisher-place" : "United States", "title" : "De novo autoimmune hepatitis affecting allograft but not the native liver in auxiliary partial orthotopic liver transplantation.", "type" : "article", "volume" : "76" }, "uris" : [ "http://www.mendeley.com/documents/?uuid=8f8fb657-af29-4d2f-b45f-cda06c36b795" ] }, { "id" : "ITEM-25", "itemData" : { "DOI" : "10.1016/j.transproceed.2011.05.028", "ISSN" : "1873-2623 (Electronic)", "PMID" : "21839242", "abstract" : "Treatment of recurrent hepatitis C after liver transplantation is indicated in selected cases. During the combined treatment with pegylated interferon and ribavirin, some patients develop immune-mediated liver dysfunction similar to the previously described \"de novo\" autoimmune hepatitis. Herein we have presented three liver transplant patients who during or after combined antiviral treatment were diagnosed as autoimmune hepatitis related to interferon based on their clinical, biochemical, and liver histology features. There were two women and one man, of ages 49, 52, and 49 years who were transplanted due to cirrhosis related to hepatitis C virus genotype 1. In two patients, elevated liver enzymes occurred during antiviral therapy and in the third, after the therapy. The diagnosis of autoimmune hepatitis was reached after excluding other possible causes. One patient had a sustained viral response; and two cases were nonresponders. Antinuclear antibodies were present in two subjects and antinuclear antibodies and anti-smooth muscle antibodies in the other case. First-line treatment of autoimmune hepatitis with prednisone and azathioprine stabilized clinical and biochemical parameters'. In order to avoid the long-term use of prednisone, everolimus was introduced in the three patients. Interestingly, hepatitis C did not progress and clinical, biochemical, as well as histological parameters stabilized. In one patient, the liver fibrosis stage as assessed by histology showed improvement. However, one subject experienced repeated cerebral hemorrhage and died. Although this is heterogeneous population with partially known characteristics, with a difficult differential diagnosis, the objectives of preserving liver function and avoiding recurrent progressive hepatitis C seemed to be achieved by adding everolimus. In addition, we totally stopped prednisone therapy. In conclusion, treatment with everolimus in combination with cyclosporine achieved a partial remission in two liver transplan cases of autoimmune hepatitis related to interferon therapy.", "author" : [ { "dropping-particle" : "", "family" : "Casanovas", "given" : "T", "non-dropping-particle" : "", "parse-names" : false, "suffix" : "" }, { "dropping-particle" : "", "family" : "Argudo", "given" : "A", "non-dropping-particle" : "", "parse-names" : false, "suffix" : "" }, { "dropping-particle" : "", "family" : "Pena-Cala", "given" : "M C", "non-dropping-particle" : "", "parse-names" : false, "suffix" : "" } ], "container-title" : "Transplantation proceedings", "id" : "ITEM-25", "issue" : "6", "issued" : { "date-parts" : [ [ "2011" ] ] }, "language" : "eng", "page" : "2233-2236", "publisher-place" : "United States", "title" : "Effectiveness and safety of everolimus in the treatment of autoimmune hepatitis related to anti-hepatitis C virus therapy after liver transplant: three case reports.", "type" : "article-journal", "volume" : "43" }, "uris" : [ "http://www.mendeley.com/documents/?uuid=379f2d8d-b01d-48e7-a61e-a2de80945d1c" ] }, { "id" : "ITEM-26", "itemData" : { "DOI" : "10.1097/TP.0b013e31829eda7f", "ISSN" : "1534-6080 (Electronic)", "PMID" : "23982338", "abstract" : "BACKGROUND: Autoimmune hepatitis (AIH) after liver transplantation has been defined histologically as a \"hepatitic\" pattern of injury, characterized by lymphoplasmacytic inflammation with necroinflammatory activity (NIA), comparable with findings seen in native livers. This definition, however, is difficult to apply in practice because specific histologic criteria are not clearly delineated. This study aimed to determine which histologic features correlated best with clinical and serologic features of dAIH. METHODS: Index liver biopsies from patients with autoimmune-like hepatitis transplanted for non-AIH in two centers (n=35 and 20) were reviewed. Histologic features were correlated with the clinical diagnosis of AIH based on a retrospective review of clinical and serologic data, including therapeutic response. RESULTS: A clinical diagnosis of AIH was retrospectively assigned to 24 of 35 (68%) and 18 of 20 (90%) patients, respectively (P=0.10). In multivariate analysis, centrilobular NIA and centrilobular plasma cell (PC) ratio of 30% to 50% were independently discriminating for a clinical diagnosis of AIH (P=0.04 and 0.05, respectively). The best level of predictability (99.6%) was mathematically achieved when severe centrilobular NIA and centrilobular PC ratio of 30% to 50% were both present. CONCLUSION: A histologic pattern of centrilobular injury including increased NIA and increased PC infiltration correlates with measurements of autoimmunity in liver recipients. It could be used to segregate cases for further study and introduced into the AIH scoring systems when applied in the context of liver transplantation.", "author" : [ { "dropping-particle" : "", "family" : "Sebagh", "given" : "Mylene", "non-dropping-particle" : "", "parse-names" : false, "suffix" : "" }, { "dropping-particle" : "", "family" : "Castillo-Rama", "given" : "Marcela", "non-dropping-particle" : "", "parse-names" : false, "suffix" : "" }, { "dropping-particle" : "", "family" : "Azoulay", "given" : "Daniel", "non-dropping-particle" : "", "parse-names" : false, "suffix" : "" }, { "dropping-particle" : "", "family" : "Coilly", "given" : "Audrey", "non-dropping-particle" : "", "parse-names" : false, "suffix" : "" }, { "dropping-particle" : "", "family" : "Delvart", "given" : "Valerie", "non-dropping-particle" : "", "parse-names" : false, "suffix" : "" }, { "dropping-particle" : "", "family" : "Allard", "given" : "Marc-Antoine", "non-dropping-particle" : "", "parse-names" : false, "suffix" : "" }, { "dropping-particle" : "", "family" : "Santos", "given" : "Alexandre", "non-dropping-particle" : "Dos", "parse-names" : false, "suffix" : "" }, { "dropping-particle" : "", "family" : "Johanet", "given" : "Catherine", "non-dropping-particle" : "", "parse-names" : false, "suffix" : "" }, { "dropping-particle" : "", "family" : "Roque-Afonso", "given" : "Anne-Marie", "non-dropping-particle" : "", "parse-names" : false, "suffix" : "" }, { "dropping-particle" : "", "family" : "Saliba", "given" : "Faouzi", "non-dropping-particle" : "", "parse-names" : false, "suffix" : "" }, { "dropping-particle" : "", "family" : "Duclos-Vallee", "given" : "Jean-Charles", "non-dropping-particle" : "", "parse-names" : false, "suffix" : "" }, { "dropping-particle" : "", "family" : "Samuel", "given" : "Didier", "non-dropping-particle" : "", "parse-names" : false, "suffix" : "" }, { "dropping-particle" : "", "family" : "Demetris", "given" : "Anthony Jack", "non-dropping-particle" : "", "parse-names" : false, "suffix" : "" } ], "container-title" : "Transplantation", "id" : "ITEM-26", "issue" : "7", "issued" : { "date-parts" : [ [ "2013", "10" ] ] }, "language" : "eng", "page" : "670-678", "publisher-place" : "United States", "title" : "Histologic findings predictive of a diagnosis of de novo autoimmune hepatitis after liver transplantation in adults.", "type" : "article-journal", "volume" : "96" }, "uris" : [ "http://www.mendeley.com/documents/?uuid=70a0288d-b38e-4876-ae93-4640de6e6856" ] }, { "id" : "ITEM-27", "itemData" : { "ISSN" : "0009-9104 (Print)", "PMID" : "11737073", "abstract" : "Four patients of 283 liver-transplant recipients (1.4%) developed de novo immune-mediated hepatitis approximately 2 years after transplantation. Antibodies showing an unusual liver/kidney cytoplasmic staining pattern were detected in the sera of all four patients and one of them was used to screen a human liver cDNA expression library with the aim of identifying the antigenic target of these newly developed antibodies. After cloning and sequencing the gene, it was identified as the gene encoding the glutathion-S-transferase T1 (GSTT1), a 29-kD molecular weight protein, expressed abundantly in liver and kidney. Sera from the other three patients also contained anti-GSTT1 antibodies, two of them demonstrated by immunoblot analysis against the recombinant antigen and the other, which was negative by immunoblot, gave a positive reaction when used directly to screen the same library, suggesting it to be directed to a conformational epitope. The GSTT1 enzyme is the product of a single polymorphic gene that is absent from 20% of the Caucasian population. When we analysed the GSTT1 genotype of the four patients described above, we found that this gene is absent from all of them. Three donor paraffin embedded DNA samples were available and were shown to be positive for GSSTT1 genotype. In accordance with these results, we suggest that this form of post-transplant de novo immune hepatitis, that has been reported as autoimmune hepatitis by others, could be the result of an antigraft reaction in individuals lacking the GSTT1 phenotype, in which the immune system recognizes the GSTT1 protein as a non-self antigen, being the graft dysfunction not the result of an autoimmune reaction, but the consequence of an alo-reactive immune response.", "author" : [ { "dropping-particle" : "", "family" : "Aguilera", "given" : "I", "non-dropping-particle" : "", "parse-names" : false, "suffix" : "" }, { "dropping-particle" : "", "family" : "Wichmann", "given" : "I", "non-dropping-particle" : "", "parse-names" : false, "suffix" : "" }, { "dropping-particle" : "", "family" : "Sousa", "given" : "J M", "non-dropping-particle" : "", "parse-names" : false, "suffix" : "" }, { "dropping-particle" : "", "family" : "Bernardos", "given" : "A", "non-dropping-particle" : "", "parse-names" : false, "suffix" : "" }, { "dropping-particle" : "", "family" : "Franco", "given" : "E", "non-dropping-particle" : "", "parse-names" : false, "suffix" : "" }, { "dropping-particle" : "", "family" : "Garcia-Lozano", "given" : "J R", "non-dropping-particle" : "", "parse-names" : false, "suffix" : "" }, { "dropping-particle" : "", "family" : "Nunez-Roldan", "given" : "A", "non-dropping-particle" : "", "parse-names" : false, "suffix" : "" } ], "container-title" : "Clinical and experimental immunology", "id" : "ITEM-27", "issue" : "3", "issued" : { "date-parts" : [ [ "2001", "12" ] ] }, "language" : "eng", "page" : "535-539", "publisher-place" : "England", "title" : "Antibodies against glutathione S-transferase T1 (GSTT1) in patients with de novo  immune hepatitis following liver transplantation.", "type" : "article-journal", "volume" : "126" }, "uris" : [ "http://www.mendeley.com/documents/?uuid=7a3f5104-d0c3-47a2-ae83-a35ef24bff01" ] } ], "mendeley" : { "formattedCitation" : "&lt;sup&gt;[4,11,13,14,31\u201353]&lt;/sup&gt;", "plainTextFormattedCitation" : "[4,11,13,14,31\u201353]", "previouslyFormattedCitation" : "&lt;sup&gt;[4,11,13,14,31\u201353]&lt;/sup&gt;"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[4,11,13,14,31–53]</w:t>
      </w:r>
      <w:r w:rsidR="001D26D7" w:rsidRPr="00783FEF">
        <w:rPr>
          <w:rFonts w:ascii="Book Antiqua" w:hAnsi="Book Antiqua"/>
        </w:rPr>
        <w:fldChar w:fldCharType="end"/>
      </w:r>
      <w:r w:rsidRPr="00783FEF">
        <w:rPr>
          <w:rFonts w:ascii="Book Antiqua" w:hAnsi="Book Antiqua"/>
        </w:rPr>
        <w:t>. The experiences published thus far appear to be very heterogeneous in terms of methodology, patient identification and population size.</w:t>
      </w:r>
    </w:p>
    <w:p w:rsidR="00B74213" w:rsidRPr="00783FEF" w:rsidRDefault="00A049A8" w:rsidP="00F41E66">
      <w:pPr>
        <w:spacing w:line="360" w:lineRule="auto"/>
        <w:ind w:firstLineChars="100" w:firstLine="240"/>
        <w:jc w:val="both"/>
        <w:rPr>
          <w:rFonts w:ascii="Book Antiqua" w:hAnsi="Book Antiqua"/>
          <w:b/>
        </w:rPr>
      </w:pPr>
      <w:r w:rsidRPr="00783FEF">
        <w:rPr>
          <w:rFonts w:ascii="Book Antiqua" w:hAnsi="Book Antiqua"/>
        </w:rPr>
        <w:t>The earliest description of autoimmunity-related graft dysfunction in children</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"10.1016/S0140-6736(97)06478-7", "ISSN" : "0140-6736", "PMID" : "9482295", "abstract" : "Late graft dysfunction that does not result from recognised causes, such as rejection, infection, or vascular or biliary complications, can occur after liver transplantation. We investigated a particular type of unexplained graft dysfunction that is associated with autoimmune features in children who underwent transplantation at our unit between 1991 and 1996.", "author" : [ { "dropping-particle" : "", "family" : "Kerkar", "given" : "Nanda", "non-dropping-particle" : "", "parse-names" : false, "suffix" : "" }, { "dropping-particle" : "", "family" : "Hadzi\u0107", "given" : "N", "non-dropping-particle" : "", "parse-names" : false, "suffix" : "" }, { "dropping-particle" : "", "family" : "Davies", "given" : "Edward T", "non-dropping-particle" : "", "parse-names" : false, "suffix" : "" }, { "dropping-particle" : "", "family" : "Portmann", "given" : "Bernard", "non-dropping-particle" : "", "parse-names" : false, "suffix" : "" }, { "dropping-particle" : "", "family" : "Donaldson", "given" : "Peter T", "non-dropping-particle" : "", "parse-names" : false, "suffix" : "" }, { "dropping-particle" : "", "family" : "Rela", "given" : "Mohamed", "non-dropping-particle" : "", "parse-names" : false, "suffix" : "" }, { "dropping-particle" : "", "family" : "Heaton", "given" : "Nigel D", "non-dropping-particle" : "", "parse-names" : false, "suffix" : "" }, { "dropping-particle" : "", "family" : "Vergani", "given" : "Diego", "non-dropping-particle" : "", "parse-names" : false, "suffix" : "" }, { "dropping-particle" : "", "family" : "Mieli-Vergani", "given" : "G", "non-dropping-particle" : "", "parse-names" : false, "suffix" : "" } ], "container-title" : "Lancet", "id" : "ITEM-1", "issue" : "9100", "issued" : { "date-parts" : [ [ "1998" ] ] }, "page" : "409-13", "title" : "De-novo autoimmune hepatitis after liver transplantation.", "type" : "article-journal", "volume" : "351" }, "uris" : [ "http://www.mendeley.com/documents/?uuid=7ed2d62b-fe84-4a08-9618-a081c8dda556" ] } ], "mendeley" : { "formattedCitation" : "&lt;sup&gt;[9]&lt;/sup&gt;", "plainTextFormattedCitation" : "[9]", "previouslyFormattedCitation" : "&lt;sup&gt;[9]&lt;/sup&gt;"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[9]</w:t>
      </w:r>
      <w:r w:rsidR="001D26D7" w:rsidRPr="00783FEF">
        <w:rPr>
          <w:rFonts w:ascii="Book Antiqua" w:hAnsi="Book Antiqua"/>
        </w:rPr>
        <w:fldChar w:fldCharType="end"/>
      </w:r>
      <w:r w:rsidRPr="00783FEF">
        <w:rPr>
          <w:rFonts w:ascii="Book Antiqua" w:hAnsi="Book Antiqua"/>
        </w:rPr>
        <w:t xml:space="preserve"> concerned 7/180 children who were observed for at least 5 years after LT. All seven of the patients presented histological features that were suggestive of </w:t>
      </w:r>
      <w:r w:rsidRPr="00783FEF">
        <w:rPr>
          <w:rFonts w:ascii="Book Antiqua" w:hAnsi="Book Antiqua"/>
          <w:i/>
        </w:rPr>
        <w:t>de novo</w:t>
      </w:r>
      <w:r w:rsidRPr="00783FEF">
        <w:rPr>
          <w:rFonts w:ascii="Book Antiqua" w:hAnsi="Book Antiqua"/>
        </w:rPr>
        <w:t xml:space="preserve"> AIH, hypergammaglobulinemia, had high titers of </w:t>
      </w:r>
      <w:r w:rsidR="00CD698F" w:rsidRPr="00783FEF">
        <w:rPr>
          <w:rFonts w:ascii="Book Antiqua" w:hAnsi="Book Antiqua"/>
        </w:rPr>
        <w:t>antinuclear antibodies (</w:t>
      </w:r>
      <w:r w:rsidRPr="00783FEF">
        <w:rPr>
          <w:rFonts w:ascii="Book Antiqua" w:hAnsi="Book Antiqua"/>
        </w:rPr>
        <w:t>ANA</w:t>
      </w:r>
      <w:r w:rsidR="00CD698F" w:rsidRPr="00783FEF">
        <w:rPr>
          <w:rFonts w:ascii="Book Antiqua" w:hAnsi="Book Antiqua"/>
        </w:rPr>
        <w:t>)</w:t>
      </w:r>
      <w:r w:rsidRPr="00783FEF">
        <w:rPr>
          <w:rFonts w:ascii="Book Antiqua" w:hAnsi="Book Antiqua"/>
        </w:rPr>
        <w:t xml:space="preserve">, and/or </w:t>
      </w:r>
      <w:r w:rsidR="00CD698F" w:rsidRPr="00783FEF">
        <w:rPr>
          <w:rFonts w:ascii="Book Antiqua" w:hAnsi="Book Antiqua"/>
        </w:rPr>
        <w:t>smooth muscle antibodies (</w:t>
      </w:r>
      <w:r w:rsidRPr="00783FEF">
        <w:rPr>
          <w:rFonts w:ascii="Book Antiqua" w:hAnsi="Book Antiqua"/>
        </w:rPr>
        <w:t>SMA</w:t>
      </w:r>
      <w:r w:rsidR="00CD698F" w:rsidRPr="00783FEF">
        <w:rPr>
          <w:rFonts w:ascii="Book Antiqua" w:hAnsi="Book Antiqua"/>
        </w:rPr>
        <w:t>)</w:t>
      </w:r>
      <w:r w:rsidRPr="00783FEF">
        <w:rPr>
          <w:rFonts w:ascii="Book Antiqua" w:hAnsi="Book Antiqua"/>
        </w:rPr>
        <w:t xml:space="preserve"> and/or </w:t>
      </w:r>
      <w:r w:rsidR="00CD698F" w:rsidRPr="00783FEF">
        <w:rPr>
          <w:rFonts w:ascii="Book Antiqua" w:hAnsi="Book Antiqua"/>
        </w:rPr>
        <w:t>liver kidney microsomal (</w:t>
      </w:r>
      <w:r w:rsidRPr="00783FEF">
        <w:rPr>
          <w:rFonts w:ascii="Book Antiqua" w:hAnsi="Book Antiqua"/>
        </w:rPr>
        <w:t>LKM</w:t>
      </w:r>
      <w:r w:rsidR="00CD698F" w:rsidRPr="00783FEF">
        <w:rPr>
          <w:rFonts w:ascii="Book Antiqua" w:hAnsi="Book Antiqua"/>
        </w:rPr>
        <w:t>)</w:t>
      </w:r>
      <w:r w:rsidRPr="00783FEF">
        <w:rPr>
          <w:rFonts w:ascii="Book Antiqua" w:hAnsi="Book Antiqua"/>
        </w:rPr>
        <w:t xml:space="preserve"> or even “atypical” LKM (only kidney stained) autoantibodies, and 6/7 exhibited satisfactory responses to steroids and azathioprine</w:t>
      </w:r>
      <w:r w:rsidR="001D26D7" w:rsidRPr="00783FEF">
        <w:rPr>
          <w:rFonts w:ascii="Book Antiqua" w:hAnsi="Book Antiqua"/>
        </w:rPr>
        <w:fldChar w:fldCharType="begin" w:fldLock="1"/>
      </w:r>
      <w:r w:rsidR="00894B02" w:rsidRPr="00783FEF">
        <w:rPr>
          <w:rFonts w:ascii="Book Antiqua" w:hAnsi="Book Antiqua"/>
        </w:rPr>
        <w:instrText>ADDIN CSL_CITATION { "citationItems" : [ { "id" : "ITEM-1", "itemData" : { "DOI" : "10.1016/S0140-6736(97)06478-7", "ISSN" : "0140-6736", "PMID" : "9482295", "abstract" : "Late graft dysfunction that does not result from recognised causes, such as rejection, infection, or vascular or biliary complications, can occur after liver transplantation. We investigated a particular type of unexplained graft dysfunction that is associated with autoimmune features in children who underwent transplantation at our unit between 1991 and 1996.", "author" : [ { "dropping-particle" : "", "family" : "Kerkar", "given" : "Nanda", "non-dropping-particle" : "", "parse-names" : false, "suffix" : "" }, { "dropping-particle" : "", "family" : "Hadzi\u0107", "given" : "N", "non-dropping-particle" : "", "parse-names" : false, "suffix" : "" }, { "dropping-particle" : "", "family" : "Davies", "given" : "Edward T", "non-dropping-particle" : "", "parse-names" : false, "suffix" : "" }, { "dropping-particle" : "", "family" : "Portmann", "given" : "Bernard", "non-dropping-particle" : "", "parse-names" : false, "suffix" : "" }, { "dropping-particle" : "", "family" : "Donaldson", "given" : "Peter T", "non-dropping-particle" : "", "parse-names" : false, "suffix" : "" }, { "dropping-particle" : "", "family" : "Rela", "given" : "Mohamed", "non-dropping-particle" : "", "parse-names" : false, "suffix" : "" }, { "dropping-particle" : "", "family" : "Heaton", "given" : "Nigel D", "non-dropping-particle" : "", "parse-names" : false, "suffix" : "" }, { "dropping-particle" : "", "family" : "Vergani", "given" : "Diego", "non-dropping-particle" : "", "parse-names" : false, "suffix" : "" }, { "dropping-particle" : "", "family" : "Mieli-Vergani", "given" : "G", "non-dropping-particle" : "", "parse-names" : false, "suffix" : "" } ], "container-title" : "Lancet", "id" : "ITEM-1", "issue" : "9100", "issued" : { "date-parts" : [ [ "1998" ] ] }, "page" : "409-13", "title" : "De-novo autoimmune hepatitis after liver transplantation.", "type" : "article-journal", "volume" : "351" }, "uris" : [ "http://www.mendeley.com/documents/?uuid=7ed2d62b-fe84-4a08-9618-a081c8dda556" ] } ], "mendeley" : { "formattedCitation" : "&lt;sup&gt;[9]&lt;/sup&gt;", "plainTextFormattedCitation" : "[9]", "previouslyFormattedCitation" : "&lt;sup&gt;[9]&lt;/sup&gt;" }, "properties" : { "noteIndex" : 0 }, "schema" : "https://github.com/citation-style-language/schema/raw/master/csl-citation.json" }</w:instrText>
      </w:r>
      <w:r w:rsidR="001D26D7" w:rsidRPr="00783FEF">
        <w:rPr>
          <w:rFonts w:ascii="Book Antiqua" w:hAnsi="Book Antiqua"/>
        </w:rPr>
        <w:fldChar w:fldCharType="separate"/>
      </w:r>
      <w:r w:rsidR="00894B02" w:rsidRPr="00783FEF">
        <w:rPr>
          <w:rFonts w:ascii="Book Antiqua" w:hAnsi="Book Antiqua"/>
          <w:noProof/>
          <w:vertAlign w:val="superscript"/>
        </w:rPr>
        <w:t>[9]</w:t>
      </w:r>
      <w:r w:rsidR="001D26D7" w:rsidRPr="00783FEF">
        <w:rPr>
          <w:rFonts w:ascii="Book Antiqua" w:hAnsi="Book Antiqua"/>
        </w:rPr>
        <w:fldChar w:fldCharType="end"/>
      </w:r>
      <w:r w:rsidRPr="00783FEF">
        <w:rPr>
          <w:rFonts w:ascii="Book Antiqua" w:hAnsi="Book Antiqua"/>
        </w:rPr>
        <w:t>. In</w:t>
      </w:r>
      <w:r w:rsidR="00CA3247" w:rsidRPr="00783FEF">
        <w:rPr>
          <w:rFonts w:ascii="Book Antiqua" w:hAnsi="Book Antiqua"/>
        </w:rPr>
        <w:t xml:space="preserve"> this cohort</w:t>
      </w:r>
      <w:r w:rsidRPr="00783FEF">
        <w:rPr>
          <w:rFonts w:ascii="Book Antiqua" w:hAnsi="Book Antiqua"/>
        </w:rPr>
        <w:t xml:space="preserve">, 5/7 patients had donor- </w:t>
      </w:r>
      <w:hyperlink r:id="rId10" w:history="1">
        <w:r w:rsidR="00D70FE8" w:rsidRPr="00783FEF">
          <w:rPr>
            <w:rStyle w:val="Hyperlink"/>
            <w:rFonts w:ascii="Book Antiqua" w:hAnsi="Book Antiqua"/>
            <w:color w:val="auto"/>
            <w:u w:val="none"/>
            <w:shd w:val="clear" w:color="auto" w:fill="FFFFFF"/>
          </w:rPr>
          <w:t>HLA-DRB1*03:01 and/or HLA-DRB1*04:01</w:t>
        </w:r>
      </w:hyperlink>
      <w:r w:rsidRPr="00783FEF">
        <w:rPr>
          <w:rFonts w:ascii="Book Antiqua" w:hAnsi="Book Antiqua"/>
        </w:rPr>
        <w:t xml:space="preserve"> allele for human leukocyte antigen (HLA)</w:t>
      </w:r>
      <w:r w:rsidR="001D26D7" w:rsidRPr="00783FEF">
        <w:rPr>
          <w:rFonts w:ascii="Book Antiqua" w:hAnsi="Book Antiqua"/>
        </w:rPr>
        <w:fldChar w:fldCharType="begin" w:fldLock="1"/>
      </w:r>
      <w:r w:rsidR="00894B02" w:rsidRPr="00783FEF">
        <w:rPr>
          <w:rFonts w:ascii="Book Antiqua" w:hAnsi="Book Antiqua"/>
        </w:rPr>
        <w:instrText>ADDIN CSL_CITATION { "citationItems" : [ { "id" : "ITEM-1", "itemData" : { "DOI" : "10.1016/S0140-6736(97)06478-7", "ISSN" : "0140-6736", "PMID" : "9482295", "abstract" : "Late graft dysfunction that does not result from recognised causes, such as rejection, infection, or vascular or biliary complications, can occur after liver transplantation. We investigated a particular type of unexplained graft dysfunction that is associated with autoimmune features in children who underwent transplantation at our unit between 1991 and 1996.", "author" : [ { "dropping-particle" : "", "family" : "Kerkar", "given" : "Nanda", "non-dropping-particle" : "", "parse-names" : false, "suffix" : "" }, { "dropping-particle" : "", "family" : "Hadzi\u0107", "given" : "N", "non-dropping-particle" : "", "parse-names" : false, "suffix" : "" }, { "dropping-particle" : "", "family" : "Davies", "given" : "Edward T", "non-dropping-particle" : "", "parse-names" : false, "suffix" : "" }, { "dropping-particle" : "", "family" : "Portmann", "given" : "Bernard", "non-dropping-particle" : "", "parse-names" : false, "suffix" : "" }, { "dropping-particle" : "", "family" : "Donaldson", "given" : "Peter T", "non-dropping-particle" : "", "parse-names" : false, "suffix" : "" }, { "dropping-particle" : "", "family" : "Rela", "given" : "Mohamed", "non-dropping-particle" : "", "parse-names" : false, "suffix" : "" }, { "dropping-particle" : "", "family" : "Heaton", "given" : "Nigel D", "non-dropping-particle" : "", "parse-names" : false, "suffix" : "" }, { "dropping-particle" : "", "family" : "Vergani", "given" : "Diego", "non-dropping-particle" : "", "parse-names" : false, "suffix" : "" }, { "dropping-particle" : "", "family" : "Mieli-Vergani", "given" : "G", "non-dropping-particle" : "", "parse-names" : false, "suffix" : "" } ], "container-title" : "Lancet", "id" : "ITEM-1", "issue" : "9100", "issued" : { "date-parts" : [ [ "1998" ] ] }, "page" : "409-13", "title" : "De-novo autoimmune hepatitis after liver transplantation.", "type" : "article-journal", "volume" : "351" }, "uris" : [ "http://www.mendeley.com/documents/?uuid=7ed2d62b-fe84-4a08-9618-a081c8dda556" ] } ], "mendeley" : { "formattedCitation" : "&lt;sup&gt;[9]&lt;/sup&gt;", "plainTextFormattedCitation" : "[9]", "previouslyFormattedCitation" : "&lt;sup&gt;[9]&lt;/sup&gt;" }, "properties" : { "noteIndex" : 0 }, "schema" : "https://github.com/citation-style-language/schema/raw/master/csl-citation.json" }</w:instrText>
      </w:r>
      <w:r w:rsidR="001D26D7" w:rsidRPr="00783FEF">
        <w:rPr>
          <w:rFonts w:ascii="Book Antiqua" w:hAnsi="Book Antiqua"/>
        </w:rPr>
        <w:fldChar w:fldCharType="separate"/>
      </w:r>
      <w:r w:rsidR="00894B02" w:rsidRPr="00783FEF">
        <w:rPr>
          <w:rFonts w:ascii="Book Antiqua" w:hAnsi="Book Antiqua"/>
          <w:noProof/>
          <w:vertAlign w:val="superscript"/>
        </w:rPr>
        <w:t>[9]</w:t>
      </w:r>
      <w:r w:rsidR="001D26D7" w:rsidRPr="00783FEF">
        <w:rPr>
          <w:rFonts w:ascii="Book Antiqua" w:hAnsi="Book Antiqua"/>
        </w:rPr>
        <w:fldChar w:fldCharType="end"/>
      </w:r>
      <w:r w:rsidRPr="00783FEF">
        <w:rPr>
          <w:rFonts w:ascii="Book Antiqua" w:hAnsi="Book Antiqua"/>
        </w:rPr>
        <w:t xml:space="preserve">, </w:t>
      </w:r>
      <w:r w:rsidR="00CA3247" w:rsidRPr="00783FEF">
        <w:rPr>
          <w:rFonts w:ascii="Book Antiqua" w:hAnsi="Book Antiqua"/>
        </w:rPr>
        <w:t>but the frequency was similar to the control group</w:t>
      </w:r>
      <w:r w:rsidRPr="00783FEF">
        <w:rPr>
          <w:rFonts w:ascii="Book Antiqua" w:hAnsi="Book Antiqua"/>
        </w:rPr>
        <w:t xml:space="preserve">. Shortly after this description, a particularly severe course of </w:t>
      </w:r>
      <w:r w:rsidRPr="00783FEF">
        <w:rPr>
          <w:rFonts w:ascii="Book Antiqua" w:hAnsi="Book Antiqua"/>
          <w:i/>
        </w:rPr>
        <w:t>de novo</w:t>
      </w:r>
      <w:r w:rsidRPr="00783FEF">
        <w:rPr>
          <w:rFonts w:ascii="Book Antiqua" w:hAnsi="Book Antiqua"/>
        </w:rPr>
        <w:t xml:space="preserve"> AIH in a pediatric population was described by Gupta et al.</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"ISSN" : "0041-1337", "abstract" : "Background. Late graft dysfunction after orthotopic liver transplantation is commonly due to chronic rejection, recurrence of primary disease, sepsis, lymphoproliferative disease, or vascular or biliary complications. Herein we describe a subset of pediatric liver transplant patients in whom late graft dysfunction was associated with autoimmune markers, bile ductular proliferation, and portal infiltrates, which progress to fibrosis. This subset of patients has not been previously described.\nMethods. Six of the 115 children followed for greater than 5 years after transplantation developed this unusual form of graft dysfunction. All children were on a low-dose single immunosuppressive therapy (mean trough cyclosporine concentration 89 \u03bcg/L) and had been tapered off steroids for a median duration of 1.5 year. Liver biopsies were performed in all children to evaluate the graft dysfunction, and the histologic findings were interpreted by an experienced hepato-pathologist. All patients were tested for antibodies to hepatitis C virus, hepatitis B surface antigen, and IgM antibodies to hepatitis A. Smooth muscle antibody, antinuclear antibody, and antibody to liver/kidney microsome type 1 were sought by indirect immunofluorescence. International Autoimmune Hepatitis Group scores were calculated. All patients underwent ultrasonography with doppler studies at the onset of graft dysfunction. Three patients with marked bile duct proliferation on histology had cholangiograms.\nResults. Histology in all patients showed mononuclear cell infiltrates in the portal area with interface hepatitis, portal fibrosis, and ductular proliferation without duct damage or loss. All six patients had positive antinuclear antibody or smooth muscle antibody titers. Viral studies for hepatitis A, B, and C were negative in all patients. On the International Autoimmune Hepatitis Group scoring system, five patients had probable autoimmune hepatitis (score of 10\u201315) and one had definite autoimmune hepatitis (score &gt;15) at the onset of graft dysfunction. All were treated with azathioprine and prednisone similar to treatment for autoimmune hepatitis. However, despite aggressive treatment, four patients developed bridging portal fibrosis resulting in graft loss in two patients.\nConclusion. This clinical constellation is associated with worse outcome then that previously described for pediatric patients with posttransplantation de novo autoimmune hepatitis. Further studies are needed to find an \u2026", "author" : [ { "dropping-particle" : "", "family" : "Gupta", "given" : "Puneet", "non-dropping-particle" : "", "parse-names" : false, "suffix" : "" }, { "dropping-particle" : "", "family" : "Hart", "given" : "John", "non-dropping-particle" : "", "parse-names" : false, "suffix" : "" }, { "dropping-particle" : "", "family" : "Millis", "given" : "J Michael", "non-dropping-particle" : "", "parse-names" : false, "suffix" : "" }, { "dropping-particle" : "", "family" : "Cronin", "given" : "David", "non-dropping-particle" : "", "parse-names" : false, "suffix" : "" }, { "dropping-particle" : "", "family" : "Brady", "given" : "Lynda", "non-dropping-particle" : "", "parse-names" : false, "suffix" : "" } ], "container-title" : "Transplantation", "id" : "ITEM-1", "issue" : "5", "issued" : { "date-parts" : [ [ "2001" ] ] }, "title" : "DE NOVO HEPATITIS WITH AUTOIMMUNE ANTIBODIES AND ATYPICAL HISTOLOGY: A Rare Cause of Late Graft Dysfunction after Pediatric Liver Transplantation", "type" : "article-journal", "volume" : "71" }, "uris" : [ "http://www.mendeley.com/documents/?uuid=3470a41e-b208-4851-a074-10e467445dfb" ] } ], "mendeley" : { "formattedCitation" : "&lt;sup&gt;[18]&lt;/sup&gt;", "plainTextFormattedCitation" : "[18]", "previouslyFormattedCitation" : "&lt;sup&gt;[18]&lt;/sup&gt;"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[18]</w:t>
      </w:r>
      <w:r w:rsidR="001D26D7" w:rsidRPr="00783FEF">
        <w:rPr>
          <w:rFonts w:ascii="Book Antiqua" w:hAnsi="Book Antiqua"/>
        </w:rPr>
        <w:fldChar w:fldCharType="end"/>
      </w:r>
      <w:r w:rsidRPr="00783FEF">
        <w:rPr>
          <w:rFonts w:ascii="Book Antiqua" w:hAnsi="Book Antiqua"/>
        </w:rPr>
        <w:t xml:space="preserve"> in 2001. These authors reported on 6/115 LT recipients with at least 5 years of post-LT observation who developed </w:t>
      </w:r>
      <w:r w:rsidRPr="00783FEF">
        <w:rPr>
          <w:rFonts w:ascii="Book Antiqua" w:hAnsi="Book Antiqua"/>
          <w:i/>
        </w:rPr>
        <w:t>de novo</w:t>
      </w:r>
      <w:r w:rsidRPr="00783FEF">
        <w:rPr>
          <w:rFonts w:ascii="Book Antiqua" w:hAnsi="Book Antiqua"/>
        </w:rPr>
        <w:t xml:space="preserve"> AIH</w:t>
      </w:r>
      <w:r w:rsidR="001D26D7" w:rsidRPr="00783FEF">
        <w:rPr>
          <w:rFonts w:ascii="Book Antiqua" w:hAnsi="Book Antiqua"/>
        </w:rPr>
        <w:fldChar w:fldCharType="begin" w:fldLock="1"/>
      </w:r>
      <w:r w:rsidR="00894B02" w:rsidRPr="00783FEF">
        <w:rPr>
          <w:rFonts w:ascii="Book Antiqua" w:hAnsi="Book Antiqua"/>
        </w:rPr>
        <w:instrText>ADDIN CSL_CITATION { "citationItems" : [ { "id" : "ITEM-1", "itemData" : { "ISSN" : "0041-1337", "abstract" : "Background. Late graft dysfunction after orthotopic liver transplantation is commonly due to chronic rejection, recurrence of primary disease, sepsis, lymphoproliferative disease, or vascular or biliary complications. Herein we describe a subset of pediatric liver transplant patients in whom late graft dysfunction was associated with autoimmune markers, bile ductular proliferation, and portal infiltrates, which progress to fibrosis. This subset of patients has not been previously described.\nMethods. Six of the 115 children followed for greater than 5 years after transplantation developed this unusual form of graft dysfunction. All children were on a low-dose single immunosuppressive therapy (mean trough cyclosporine concentration 89 \u03bcg/L) and had been tapered off steroids for a median duration of 1.5 year. Liver biopsies were performed in all children to evaluate the graft dysfunction, and the histologic findings were interpreted by an experienced hepato-pathologist. All patients were tested for antibodies to hepatitis C virus, hepatitis B surface antigen, and IgM antibodies to hepatitis A. Smooth muscle antibody, antinuclear antibody, and antibody to liver/kidney microsome type 1 were sought by indirect immunofluorescence. International Autoimmune Hepatitis Group scores were calculated. All patients underwent ultrasonography with doppler studies at the onset of graft dysfunction. Three patients with marked bile duct proliferation on histology had cholangiograms.\nResults. Histology in all patients showed mononuclear cell infiltrates in the portal area with interface hepatitis, portal fibrosis, and ductular proliferation without duct damage or loss. All six patients had positive antinuclear antibody or smooth muscle antibody titers. Viral studies for hepatitis A, B, and C were negative in all patients. On the International Autoimmune Hepatitis Group scoring system, five patients had probable autoimmune hepatitis (score of 10\u201315) and one had definite autoimmune hepatitis (score &gt;15) at the onset of graft dysfunction. All were treated with azathioprine and prednisone similar to treatment for autoimmune hepatitis. However, despite aggressive treatment, four patients developed bridging portal fibrosis resulting in graft loss in two patients.\nConclusion. This clinical constellation is associated with worse outcome then that previously described for pediatric patients with posttransplantation de novo autoimmune hepatitis. Further studies are needed to find an \u2026", "author" : [ { "dropping-particle" : "", "family" : "Gupta", "given" : "Puneet", "non-dropping-particle" : "", "parse-names" : false, "suffix" : "" }, { "dropping-particle" : "", "family" : "Hart", "given" : "John", "non-dropping-particle" : "", "parse-names" : false, "suffix" : "" }, { "dropping-particle" : "", "family" : "Millis", "given" : "J Michael", "non-dropping-particle" : "", "parse-names" : false, "suffix" : "" }, { "dropping-particle" : "", "family" : "Cronin", "given" : "David", "non-dropping-particle" : "", "parse-names" : false, "suffix" : "" }, { "dropping-particle" : "", "family" : "Brady", "given" : "Lynda", "non-dropping-particle" : "", "parse-names" : false, "suffix" : "" } ], "container-title" : "Transplantation", "id" : "ITEM-1", "issue" : "5", "issued" : { "date-parts" : [ [ "2001" ] ] }, "title" : "DE NOVO HEPATITIS WITH AUTOIMMUNE ANTIBODIES AND ATYPICAL HISTOLOGY: A Rare Cause of Late Graft Dysfunction after Pediatric Liver Transplantation", "type" : "article-journal", "volume" : "71" }, "uris" : [ "http://www.mendeley.com/documents/?uuid=3470a41e-b208-4851-a074-10e467445dfb" ] } ], "mendeley" : { "formattedCitation" : "&lt;sup&gt;[18]&lt;/sup&gt;", "plainTextFormattedCitation" : "[18]", "previouslyFormattedCitation" : "&lt;sup&gt;[18]&lt;/sup&gt;" }, "properties" : { "noteIndex" : 0 }, "schema" : "https://github.com/citation-style-language/schema/raw/master/csl-citation.json" }</w:instrText>
      </w:r>
      <w:r w:rsidR="001D26D7" w:rsidRPr="00783FEF">
        <w:rPr>
          <w:rFonts w:ascii="Book Antiqua" w:hAnsi="Book Antiqua"/>
        </w:rPr>
        <w:fldChar w:fldCharType="separate"/>
      </w:r>
      <w:r w:rsidR="00894B02" w:rsidRPr="00783FEF">
        <w:rPr>
          <w:rFonts w:ascii="Book Antiqua" w:hAnsi="Book Antiqua"/>
          <w:noProof/>
          <w:vertAlign w:val="superscript"/>
        </w:rPr>
        <w:t>[18]</w:t>
      </w:r>
      <w:r w:rsidR="001D26D7" w:rsidRPr="00783FEF">
        <w:rPr>
          <w:rFonts w:ascii="Book Antiqua" w:hAnsi="Book Antiqua"/>
        </w:rPr>
        <w:fldChar w:fldCharType="end"/>
      </w:r>
      <w:r w:rsidRPr="00783FEF">
        <w:rPr>
          <w:rFonts w:ascii="Book Antiqua" w:hAnsi="Book Antiqua"/>
        </w:rPr>
        <w:t>. The diagnosis was definitively confirmed by International Autoimmune Hepatitis Group (IAHG)</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"ISSN" : "0168-8278 (Print)", "PMID" : "10580593", "author" : [ { "dropping-particle" : "", "family" : "Alvarez", "given" : "F", "non-dropping-particle" : "", "parse-names" : false, "suffix" : "" }, { "dropping-particle" : "", "family" : "Berg", "given" : "P A", "non-dropping-particle" : "", "parse-names" : false, "suffix" : "" }, { "dropping-particle" : "", "family" : "Bianchi", "given" : "F B", "non-dropping-particle" : "", "parse-names" : false, "suffix" : "" }, { "dropping-particle" : "", "family" : "Bianchi", "given" : "L", "non-dropping-particle" : "", "parse-names" : false, "suffix" : "" }, { "dropping-particle" : "", "family" : "Burroughs", "given" : "A K", "non-dropping-particle" : "", "parse-names" : false, "suffix" : "" }, { "dropping-particle" : "", "family" : "Cancado", "given" : "E L", "non-dropping-particle" : "", "parse-names" : false, "suffix" : "" }, { "dropping-particle" : "", "family" : "Chapman", "given" : "R W", "non-dropping-particle" : "", "parse-names" : false, "suffix" : "" }, { "dropping-particle" : "", "family" : "Cooksley", "given" : "W G", "non-dropping-particle" : "", "parse-names" : false, "suffix" : "" }, { "dropping-particle" : "", "family" : "Czaja", "given" : "A J", "non-dropping-particle" : "", "parse-names" : false, "suffix" : "" }, { "dropping-particle" : "", "family" : "Desmet", "given" : "V J", "non-dropping-particle" : "", "parse-names" : false, "suffix" : "" }, { "dropping-particle" : "", "family" : "Donaldson", "given" : "P T", "non-dropping-particle" : "", "parse-names" : false, "suffix" : "" }, { "dropping-particle" : "", "family" : "Eddleston", "given" : "A L", "non-dropping-particle" : "", "parse-names" : false, "suffix" : "" }, { "dropping-particle" : "", "family" : "Fainboim", "given" : "L", "non-dropping-particle" : "", "parse-names" : false, "suffix" : "" }, { "dropping-particle" : "", "family" : "Heathcote", "given" : "J", "non-dropping-particle" : "", "parse-names" : false, "suffix" : "" }, { "dropping-particle" : "", "family" : "Homberg", "given" : "J C", "non-dropping-particle" : "", "parse-names" : false, "suffix" : "" }, { "dropping-particle" : "", "family" : "Hoofnagle", "given" : "J H", "non-dropping-particle" : "", "parse-names" : false, "suffix" : "" }, { "dropping-particle" : "", "family" : "Kakumu", "given" : "S", "non-dropping-particle" : "", "parse-names" : false, "suffix" : "" }, { "dropping-particle" : "", "family" : "Krawitt", "given" : "E L", "non-dropping-particle" : "", "parse-names" : false, "suffix" : "" }, { "dropping-particle" : "", "family" : "Mackay", "given" : "I R", "non-dropping-particle" : "", "parse-names" : false, "suffix" : "" }, { "dropping-particle" : "", "family" : "MacSween", "given" : "R N", "non-dropping-particle" : "", "parse-names" : false, "suffix" : "" }, { "dropping-particle" : "", "family" : "Maddrey", "given" : "W C", "non-dropping-particle" : "", "parse-names" : false, "suffix" : "" }, { "dropping-particle" : "", "family" : "Manns", "given" : "M P", "non-dropping-particle" : "", "parse-names" : false, "suffix" : "" }, { "dropping-particle" : "", "family" : "McFarlane", "given" : "I G", "non-dropping-particle" : "", "parse-names" : false, "suffix" : "" }, { "dropping-particle" : "", "family" : "Meyer zum Buschenfelde", "given" : "K H", "non-dropping-particle" : "", "parse-names" : false, "suffix" : "" }, { "dropping-particle" : "", "family" : "Zeniya", "given" : "M", "non-dropping-particle" : "", "parse-names" : false, "suffix" : "" } ], "container-title" : "Journal of hepatology", "id" : "ITEM-1", "issue" : "5", "issued" : { "date-parts" : [ [ "1999", "11" ] ] }, "language" : "eng", "page" : "929-938", "publisher-place" : "DENMARK", "title" : "International Autoimmune Hepatitis Group Report: review of criteria for diagnosis of autoimmune hepatitis.", "type" : "article-journal", "volume" : "31" }, "uris" : [ "http://www.mendeley.com/documents/?uuid=dee62e4b-7b08-4ea4-8f68-01f86575f248" ] }, { "id" : "ITEM-2", "itemData" : { "ISSN" : "0270-9139 (Print)", "PMID" : "8406375", "author" : [ { "dropping-particle" : "", "family" : "Johnson", "given" : "P J", "non-dropping-particle" : "", "parse-names" : false, "suffix" : "" }, { "dropping-particle" : "", "family" : "McFarlane", "given" : "I G", "non-dropping-particle" : "", "parse-names" : false, "suffix" : "" } ], "container-title" : "Hepatology (Baltimore, Md.)", "id" : "ITEM-2", "issue" : "4", "issued" : { "date-parts" : [ [ "1993", "10" ] ] }, "language" : "eng", "page" : "998-1005", "publisher-place" : "UNITED STATES", "title" : "Meeting report: International Autoimmune Hepatitis Group.", "type" : "article", "volume" : "18" }, "uris" : [ "http://www.mendeley.com/documents/?uuid=72f8a8a1-0b99-4e8e-9ca9-0713f444015a" ] } ], "mendeley" : { "formattedCitation" : "&lt;sup&gt;[54,55]&lt;/sup&gt;", "plainTextFormattedCitation" : "[54,55]", "previouslyFormattedCitation" : "&lt;sup&gt;[54,55]&lt;/sup&gt;"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[54,55]</w:t>
      </w:r>
      <w:r w:rsidR="001D26D7" w:rsidRPr="00783FEF">
        <w:rPr>
          <w:rFonts w:ascii="Book Antiqua" w:hAnsi="Book Antiqua"/>
        </w:rPr>
        <w:fldChar w:fldCharType="end"/>
      </w:r>
      <w:r w:rsidRPr="00783FEF">
        <w:rPr>
          <w:rFonts w:ascii="Book Antiqua" w:hAnsi="Book Antiqua"/>
        </w:rPr>
        <w:t xml:space="preserve"> score in only one child, and the results from the other children indicated probable </w:t>
      </w:r>
      <w:r w:rsidRPr="00783FEF">
        <w:rPr>
          <w:rFonts w:ascii="Book Antiqua" w:hAnsi="Book Antiqua"/>
          <w:i/>
        </w:rPr>
        <w:t>de novo</w:t>
      </w:r>
      <w:r w:rsidRPr="00783FEF">
        <w:rPr>
          <w:rFonts w:ascii="Book Antiqua" w:hAnsi="Book Antiqua"/>
        </w:rPr>
        <w:t xml:space="preserve"> AIH</w:t>
      </w:r>
      <w:r w:rsidR="001D26D7" w:rsidRPr="00783FEF">
        <w:rPr>
          <w:rFonts w:ascii="Book Antiqua" w:hAnsi="Book Antiqua"/>
        </w:rPr>
        <w:fldChar w:fldCharType="begin" w:fldLock="1"/>
      </w:r>
      <w:r w:rsidR="00894B02" w:rsidRPr="00783FEF">
        <w:rPr>
          <w:rFonts w:ascii="Book Antiqua" w:hAnsi="Book Antiqua"/>
        </w:rPr>
        <w:instrText>ADDIN CSL_CITATION { "citationItems" : [ { "id" : "ITEM-1", "itemData" : { "ISSN" : "0041-1337", "abstract" : "Background. Late graft dysfunction after orthotopic liver transplantation is commonly due to chronic rejection, recurrence of primary disease, sepsis, lymphoproliferative disease, or vascular or biliary complications. Herein we describe a subset of pediatric liver transplant patients in whom late graft dysfunction was associated with autoimmune markers, bile ductular proliferation, and portal infiltrates, which progress to fibrosis. This subset of patients has not been previously described.\nMethods. Six of the 115 children followed for greater than 5 years after transplantation developed this unusual form of graft dysfunction. All children were on a low-dose single immunosuppressive therapy (mean trough cyclosporine concentration 89 \u03bcg/L) and had been tapered off steroids for a median duration of 1.5 year. Liver biopsies were performed in all children to evaluate the graft dysfunction, and the histologic findings were interpreted by an experienced hepato-pathologist. All patients were tested for antibodies to hepatitis C virus, hepatitis B surface antigen, and IgM antibodies to hepatitis A. Smooth muscle antibody, antinuclear antibody, and antibody to liver/kidney microsome type 1 were sought by indirect immunofluorescence. International Autoimmune Hepatitis Group scores were calculated. All patients underwent ultrasonography with doppler studies at the onset of graft dysfunction. Three patients with marked bile duct proliferation on histology had cholangiograms.\nResults. Histology in all patients showed mononuclear cell infiltrates in the portal area with interface hepatitis, portal fibrosis, and ductular proliferation without duct damage or loss. All six patients had positive antinuclear antibody or smooth muscle antibody titers. Viral studies for hepatitis A, B, and C were negative in all patients. On the International Autoimmune Hepatitis Group scoring system, five patients had probable autoimmune hepatitis (score of 10\u201315) and one had definite autoimmune hepatitis (score &gt;15) at the onset of graft dysfunction. All were treated with azathioprine and prednisone similar to treatment for autoimmune hepatitis. However, despite aggressive treatment, four patients developed bridging portal fibrosis resulting in graft loss in two patients.\nConclusion. This clinical constellation is associated with worse outcome then that previously described for pediatric patients with posttransplantation de novo autoimmune hepatitis. Further studies are needed to find an \u2026", "author" : [ { "dropping-particle" : "", "family" : "Gupta", "given" : "Puneet", "non-dropping-particle" : "", "parse-names" : false, "suffix" : "" }, { "dropping-particle" : "", "family" : "Hart", "given" : "John", "non-dropping-particle" : "", "parse-names" : false, "suffix" : "" }, { "dropping-particle" : "", "family" : "Millis", "given" : "J Michael", "non-dropping-particle" : "", "parse-names" : false, "suffix" : "" }, { "dropping-particle" : "", "family" : "Cronin", "given" : "David", "non-dropping-particle" : "", "parse-names" : false, "suffix" : "" }, { "dropping-particle" : "", "family" : "Brady", "given" : "Lynda", "non-dropping-particle" : "", "parse-names" : false, "suffix" : "" } ], "container-title" : "Transplantation", "id" : "ITEM-1", "issue" : "5", "issued" : { "date-parts" : [ [ "2001" ] ] }, "title" : "DE NOVO HEPATITIS WITH AUTOIMMUNE ANTIBODIES AND ATYPICAL HISTOLOGY: A Rare Cause of Late Graft Dysfunction after Pediatric Liver Transplantation", "type" : "article-journal", "volume" : "71" }, "uris" : [ "http://www.mendeley.com/documents/?uuid=3470a41e-b208-4851-a074-10e467445dfb" ] } ], "mendeley" : { "formattedCitation" : "&lt;sup&gt;[18]&lt;/sup&gt;", "plainTextFormattedCitation" : "[18]", "previouslyFormattedCitation" : "&lt;sup&gt;[18]&lt;/sup&gt;" }, "properties" : { "noteIndex" : 0 }, "schema" : "https://github.com/citation-style-language/schema/raw/master/csl-citation.json" }</w:instrText>
      </w:r>
      <w:r w:rsidR="001D26D7" w:rsidRPr="00783FEF">
        <w:rPr>
          <w:rFonts w:ascii="Book Antiqua" w:hAnsi="Book Antiqua"/>
        </w:rPr>
        <w:fldChar w:fldCharType="separate"/>
      </w:r>
      <w:r w:rsidR="00894B02" w:rsidRPr="00783FEF">
        <w:rPr>
          <w:rFonts w:ascii="Book Antiqua" w:hAnsi="Book Antiqua"/>
          <w:noProof/>
          <w:vertAlign w:val="superscript"/>
        </w:rPr>
        <w:t>[18]</w:t>
      </w:r>
      <w:r w:rsidR="001D26D7" w:rsidRPr="00783FEF">
        <w:rPr>
          <w:rFonts w:ascii="Book Antiqua" w:hAnsi="Book Antiqua"/>
        </w:rPr>
        <w:fldChar w:fldCharType="end"/>
      </w:r>
      <w:r w:rsidRPr="00783FEF">
        <w:rPr>
          <w:rFonts w:ascii="Book Antiqua" w:hAnsi="Book Antiqua"/>
        </w:rPr>
        <w:t>. Regardless, severe progression to bridging fibrosis occurred in 80% of the patients, and graft loss occurred in 33% despite steroid and azathioprine treatment</w:t>
      </w:r>
      <w:r w:rsidR="001D26D7" w:rsidRPr="00783FEF">
        <w:rPr>
          <w:rFonts w:ascii="Book Antiqua" w:hAnsi="Book Antiqua"/>
        </w:rPr>
        <w:fldChar w:fldCharType="begin" w:fldLock="1"/>
      </w:r>
      <w:r w:rsidR="00894B02" w:rsidRPr="00783FEF">
        <w:rPr>
          <w:rFonts w:ascii="Book Antiqua" w:hAnsi="Book Antiqua"/>
        </w:rPr>
        <w:instrText>ADDIN CSL_CITATION { "citationItems" : [ { "id" : "ITEM-1", "itemData" : { "ISSN" : "0041-1337", "abstract" : "Background. Late graft dysfunction after orthotopic liver transplantation is commonly due to chronic rejection, recurrence of primary disease, sepsis, lymphoproliferative disease, or vascular or biliary complications. Herein we describe a subset of pediatric liver transplant patients in whom late graft dysfunction was associated with autoimmune markers, bile ductular proliferation, and portal infiltrates, which progress to fibrosis. This subset of patients has not been previously described.\nMethods. Six of the 115 children followed for greater than 5 years after transplantation developed this unusual form of graft dysfunction. All children were on a low-dose single immunosuppressive therapy (mean trough cyclosporine concentration 89 \u03bcg/L) and had been tapered off steroids for a median duration of 1.5 year. Liver biopsies were performed in all children to evaluate the graft dysfunction, and the histologic findings were interpreted by an experienced hepato-pathologist. All patients were tested for antibodies to hepatitis C virus, hepatitis B surface antigen, and IgM antibodies to hepatitis A. Smooth muscle antibody, antinuclear antibody, and antibody to liver/kidney microsome type 1 were sought by indirect immunofluorescence. International Autoimmune Hepatitis Group scores were calculated. All patients underwent ultrasonography with doppler studies at the onset of graft dysfunction. Three patients with marked bile duct proliferation on histology had cholangiograms.\nResults. Histology in all patients showed mononuclear cell infiltrates in the portal area with interface hepatitis, portal fibrosis, and ductular proliferation without duct damage or loss. All six patients had positive antinuclear antibody or smooth muscle antibody titers. Viral studies for hepatitis A, B, and C were negative in all patients. On the International Autoimmune Hepatitis Group scoring system, five patients had probable autoimmune hepatitis (score of 10\u201315) and one had definite autoimmune hepatitis (score &gt;15) at the onset of graft dysfunction. All were treated with azathioprine and prednisone similar to treatment for autoimmune hepatitis. However, despite aggressive treatment, four patients developed bridging portal fibrosis resulting in graft loss in two patients.\nConclusion. This clinical constellation is associated with worse outcome then that previously described for pediatric patients with posttransplantation de novo autoimmune hepatitis. Further studies are needed to find an \u2026", "author" : [ { "dropping-particle" : "", "family" : "Gupta", "given" : "Puneet", "non-dropping-particle" : "", "parse-names" : false, "suffix" : "" }, { "dropping-particle" : "", "family" : "Hart", "given" : "John", "non-dropping-particle" : "", "parse-names" : false, "suffix" : "" }, { "dropping-particle" : "", "family" : "Millis", "given" : "J Michael", "non-dropping-particle" : "", "parse-names" : false, "suffix" : "" }, { "dropping-particle" : "", "family" : "Cronin", "given" : "David", "non-dropping-particle" : "", "parse-names" : false, "suffix" : "" }, { "dropping-particle" : "", "family" : "Brady", "given" : "Lynda", "non-dropping-particle" : "", "parse-names" : false, "suffix" : "" } ], "container-title" : "Transplantation", "id" : "ITEM-1", "issue" : "5", "issued" : { "date-parts" : [ [ "2001" ] ] }, "title" : "DE NOVO HEPATITIS WITH AUTOIMMUNE ANTIBODIES AND ATYPICAL HISTOLOGY: A Rare Cause of Late Graft Dysfunction after Pediatric Liver Transplantation", "type" : "article-journal", "volume" : "71" }, "uris" : [ "http://www.mendeley.com/documents/?uuid=3470a41e-b208-4851-a074-10e467445dfb" ] } ], "mendeley" : { "formattedCitation" : "&lt;sup&gt;[18]&lt;/sup&gt;", "plainTextFormattedCitation" : "[18]", "previouslyFormattedCitation" : "&lt;sup&gt;[18]&lt;/sup&gt;" }, "properties" : { "noteIndex" : 0 }, "schema" : "https://github.com/citation-style-language/schema/raw/master/csl-citation.json" }</w:instrText>
      </w:r>
      <w:r w:rsidR="001D26D7" w:rsidRPr="00783FEF">
        <w:rPr>
          <w:rFonts w:ascii="Book Antiqua" w:hAnsi="Book Antiqua"/>
        </w:rPr>
        <w:fldChar w:fldCharType="separate"/>
      </w:r>
      <w:r w:rsidR="00894B02" w:rsidRPr="00783FEF">
        <w:rPr>
          <w:rFonts w:ascii="Book Antiqua" w:hAnsi="Book Antiqua"/>
          <w:noProof/>
          <w:vertAlign w:val="superscript"/>
        </w:rPr>
        <w:t>[18]</w:t>
      </w:r>
      <w:r w:rsidR="001D26D7" w:rsidRPr="00783FEF">
        <w:rPr>
          <w:rFonts w:ascii="Book Antiqua" w:hAnsi="Book Antiqua"/>
        </w:rPr>
        <w:fldChar w:fldCharType="end"/>
      </w:r>
      <w:r w:rsidRPr="00783FEF">
        <w:rPr>
          <w:rFonts w:ascii="Book Antiqua" w:hAnsi="Book Antiqua"/>
        </w:rPr>
        <w:t xml:space="preserve">. </w:t>
      </w:r>
      <w:r w:rsidR="00DE7E49" w:rsidRPr="00783FEF">
        <w:rPr>
          <w:rFonts w:ascii="Book Antiqua" w:hAnsi="Book Antiqua"/>
        </w:rPr>
        <w:t>In the past decades, t</w:t>
      </w:r>
      <w:r w:rsidRPr="00783FEF">
        <w:rPr>
          <w:rFonts w:ascii="Book Antiqua" w:hAnsi="Book Antiqua"/>
        </w:rPr>
        <w:t xml:space="preserve">he monitoring of graft dysfunction with possible autoimmune etiology was </w:t>
      </w:r>
      <w:r w:rsidR="00DE7E49" w:rsidRPr="00783FEF">
        <w:rPr>
          <w:rFonts w:ascii="Book Antiqua" w:hAnsi="Book Antiqua"/>
        </w:rPr>
        <w:t>globally</w:t>
      </w:r>
      <w:r w:rsidR="00894B02" w:rsidRPr="00783FEF">
        <w:rPr>
          <w:rFonts w:ascii="Book Antiqua" w:hAnsi="Book Antiqua"/>
        </w:rPr>
        <w:t xml:space="preserve"> sensitized for adult LT recipients</w:t>
      </w:r>
      <w:r w:rsidR="00B74213" w:rsidRPr="00783FEF">
        <w:rPr>
          <w:rFonts w:ascii="Book Antiqua" w:hAnsi="Book Antiqua"/>
        </w:rPr>
        <w:t>.</w:t>
      </w:r>
      <w:r w:rsidR="00894B02" w:rsidRPr="00783FEF">
        <w:rPr>
          <w:rFonts w:ascii="Book Antiqua" w:hAnsi="Book Antiqua"/>
        </w:rPr>
        <w:t xml:space="preserve"> </w:t>
      </w:r>
      <w:r w:rsidR="00B74213" w:rsidRPr="00783FEF">
        <w:rPr>
          <w:rFonts w:ascii="Book Antiqua" w:hAnsi="Book Antiqua"/>
        </w:rPr>
        <w:t>Pa</w:t>
      </w:r>
      <w:r w:rsidRPr="00783FEF">
        <w:rPr>
          <w:rFonts w:ascii="Book Antiqua" w:hAnsi="Book Antiqua"/>
        </w:rPr>
        <w:t xml:space="preserve">rticular </w:t>
      </w:r>
      <w:r w:rsidR="00894B02" w:rsidRPr="00783FEF">
        <w:rPr>
          <w:rFonts w:ascii="Book Antiqua" w:hAnsi="Book Antiqua"/>
        </w:rPr>
        <w:t xml:space="preserve">focus </w:t>
      </w:r>
      <w:r w:rsidR="00B74213" w:rsidRPr="00783FEF">
        <w:rPr>
          <w:rFonts w:ascii="Book Antiqua" w:hAnsi="Book Antiqua"/>
        </w:rPr>
        <w:t xml:space="preserve">was put </w:t>
      </w:r>
      <w:r w:rsidR="00894B02" w:rsidRPr="00783FEF">
        <w:rPr>
          <w:rFonts w:ascii="Book Antiqua" w:hAnsi="Book Antiqua"/>
        </w:rPr>
        <w:t>on</w:t>
      </w:r>
      <w:r w:rsidR="00B74213" w:rsidRPr="00783FEF">
        <w:rPr>
          <w:rFonts w:ascii="Book Antiqua" w:hAnsi="Book Antiqua"/>
        </w:rPr>
        <w:t xml:space="preserve"> patients with HCV </w:t>
      </w:r>
      <w:r w:rsidRPr="00783FEF">
        <w:rPr>
          <w:rFonts w:ascii="Book Antiqua" w:hAnsi="Book Antiqua"/>
        </w:rPr>
        <w:t xml:space="preserve">recurrence who developed </w:t>
      </w:r>
      <w:r w:rsidRPr="00783FEF">
        <w:rPr>
          <w:rFonts w:ascii="Book Antiqua" w:hAnsi="Book Antiqua"/>
          <w:i/>
        </w:rPr>
        <w:t>de novo</w:t>
      </w:r>
      <w:r w:rsidRPr="00783FEF">
        <w:rPr>
          <w:rFonts w:ascii="Book Antiqua" w:hAnsi="Book Antiqua"/>
        </w:rPr>
        <w:t xml:space="preserve"> AIH features during or following </w:t>
      </w:r>
      <w:r w:rsidR="00B74213" w:rsidRPr="00783FEF">
        <w:rPr>
          <w:rFonts w:ascii="Book Antiqua" w:hAnsi="Book Antiqua"/>
        </w:rPr>
        <w:t xml:space="preserve">an </w:t>
      </w:r>
      <w:r w:rsidRPr="00783FEF">
        <w:rPr>
          <w:rFonts w:ascii="Book Antiqua" w:hAnsi="Book Antiqua"/>
        </w:rPr>
        <w:t>interferon-based antiviral treatment course. At our hospital</w:t>
      </w:r>
      <w:r w:rsidR="005133B6" w:rsidRPr="00783FEF">
        <w:rPr>
          <w:rFonts w:ascii="Book Antiqua" w:hAnsi="Book Antiqua"/>
        </w:rPr>
        <w:t>,</w:t>
      </w:r>
      <w:r w:rsidRPr="00783FEF">
        <w:rPr>
          <w:rFonts w:ascii="Book Antiqua" w:hAnsi="Book Antiqua"/>
        </w:rPr>
        <w:t xml:space="preserve"> 9/44 LT patients who were treated from 2001 to 2004 with pegylated interferon </w:t>
      </w:r>
      <w:r w:rsidR="00E949C4" w:rsidRPr="00783FEF">
        <w:rPr>
          <w:rFonts w:ascii="Book Antiqua" w:hAnsi="Book Antiqua"/>
        </w:rPr>
        <w:t xml:space="preserve">(Peg-IFN) </w:t>
      </w:r>
      <w:r w:rsidRPr="00783FEF">
        <w:rPr>
          <w:rFonts w:ascii="Book Antiqua" w:hAnsi="Book Antiqua"/>
        </w:rPr>
        <w:t xml:space="preserve">and ribarivin </w:t>
      </w:r>
      <w:r w:rsidR="00E949C4" w:rsidRPr="00783FEF">
        <w:rPr>
          <w:rFonts w:ascii="Book Antiqua" w:hAnsi="Book Antiqua"/>
        </w:rPr>
        <w:t xml:space="preserve">(RBV) </w:t>
      </w:r>
      <w:r w:rsidRPr="00783FEF">
        <w:rPr>
          <w:rFonts w:ascii="Book Antiqua" w:hAnsi="Book Antiqua"/>
        </w:rPr>
        <w:t xml:space="preserve">for HCV recurrence experienced graft dysfunction compatible with </w:t>
      </w:r>
      <w:r w:rsidRPr="00783FEF">
        <w:rPr>
          <w:rFonts w:ascii="Book Antiqua" w:hAnsi="Book Antiqua"/>
          <w:i/>
        </w:rPr>
        <w:t>de novo</w:t>
      </w:r>
      <w:r w:rsidRPr="00783FEF">
        <w:rPr>
          <w:rFonts w:ascii="Book Antiqua" w:hAnsi="Book Antiqua"/>
        </w:rPr>
        <w:t xml:space="preserve"> AIH</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"10.1136/gut.2006.092064", "ISSN" : "0017-5749", "PMID" : "16798778", "abstract" : "BACKGROUND: Interferon may trigger autoimmune disorders, including autoimmune hepatitis, in immunocompetent patients. To date, no such disorders have been described in liver transplanted patients. METHODS: 9 of 44 liver transplanted patients who had been receiving pegylated-interferon alpha-2b and ribavirin for at least 6 months for hepatitis C virus (HCV) recurrence, developed graft dysfunction despite on-treatment HCV-RNA clearance in all but one case. Laboratory, microbiological, imaging and histological evaluations were performed to identify the origin of graft dysfunction. The International Autoimmune Hepatitis scoring system was also applied. RESULTS: In all cases infections, anastomoses complications and rejection were excluded, whereas the autoimmune hepatitis score suggested a \"probable autoimmune hepatitis\" (score from 10 to 14). Three patients developed other definite autoimmune disorders (overlap anti-mitochondrial antibodies (AMA)-positive cholangitis, autoimmune thyroiditis and systemic lupus erythematosus, respectively). In all cases, pre-existing autoimmune hepatitis was excluded. Anti-lymphocyte antibodies in immunosuppressive induction treatment correlated with the development of the disorder, whereas the use of granulocyte colony-stimulating factor to treat interferon-induced neutropenia showed a protective role. Withdrawal of antiviral treatment and treatment with prednisone resulted in different outcomes (five remissions and four graft failures with two deaths). CONCLUSIONS: De novo autoimmune hepatitis should be considered in differential diagnosis along with rejection in liver transplanted patients developing graft dysfunction while on treatment with interferon.", "author" : [ { "dropping-particle" : "", "family" : "Berardi", "given" : "S", "non-dropping-particle" : "", "parse-names" : false, "suffix" : "" }, { "dropping-particle" : "", "family" : "Lodato", "given" : "F", "non-dropping-particle" : "", "parse-names" : false, "suffix" : "" }, { "dropping-particle" : "", "family" : "Gramenzi", "given" : "a", "non-dropping-particle" : "", "parse-names" : false, "suffix" : "" }, { "dropping-particle" : "", "family" : "D'Errico", "given" : "a", "non-dropping-particle" : "", "parse-names" : false, "suffix" : "" }, { "dropping-particle" : "", "family" : "Lenzi", "given" : "M", "non-dropping-particle" : "", "parse-names" : false, "suffix" : "" }, { "dropping-particle" : "", "family" : "Bontadini", "given" : "a", "non-dropping-particle" : "", "parse-names" : false, "suffix" : "" }, { "dropping-particle" : "", "family" : "Morelli", "given" : "M C", "non-dropping-particle" : "", "parse-names" : false, "suffix" : "" }, { "dropping-particle" : "", "family" : "Tam\u00e8", "given" : "M R", "non-dropping-particle" : "", "parse-names" : false, "suffix" : "" }, { "dropping-particle" : "", "family" : "Piscaglia", "given" : "F", "non-dropping-particle" : "", "parse-names" : false, "suffix" : "" }, { "dropping-particle" : "", "family" : "Biselli", "given" : "M", "non-dropping-particle" : "", "parse-names" : false, "suffix" : "" }, { "dropping-particle" : "", "family" : "Sama", "given" : "C", "non-dropping-particle" : "", "parse-names" : false, "suffix" : "" }, { "dropping-particle" : "", "family" : "Mazzella", "given" : "G", "non-dropping-particle" : "", "parse-names" : false, "suffix" : "" }, { "dropping-particle" : "", "family" : "Pinna", "given" : "a D", "non-dropping-particle" : "", "parse-names" : false, "suffix" : "" }, { "dropping-particle" : "", "family" : "Grazi", "given" : "G", "non-dropping-particle" : "", "parse-names" : false, "suffix" : "" }, { "dropping-particle" : "", "family" : "Bernardi", "given" : "M", "non-dropping-particle" : "", "parse-names" : false, "suffix" : "" }, { "dropping-particle" : "", "family" : "Andreone", "given" : "P", "non-dropping-particle" : "", "parse-names" : false, "suffix" : "" } ], "container-title" : "Gut", "id" : "ITEM-1", "issue" : "2", "issued" : { "date-parts" : [ [ "2007" ] ] }, "page" : "237-242", "title" : "High incidence of allograft dysfunction in liver transplanted patients treated with pegylated-interferon alpha-2b and ribavirin for hepatitis C recurrence: possible de novo autoimmune hepatitis?", "type" : "article-journal", "volume" : "56" }, "uris" : [ "http://www.mendeley.com/documents/?uuid=42bffa44-db78-459b-98c3-6d01b899b9e2" ] } ], "mendeley" : { "formattedCitation" : "&lt;sup&gt;[32]&lt;/sup&gt;", "plainTextFormattedCitation" : "[32]", "previouslyFormattedCitation" : "&lt;sup&gt;[32]&lt;/sup&gt;"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[32]</w:t>
      </w:r>
      <w:r w:rsidR="001D26D7" w:rsidRPr="00783FEF">
        <w:rPr>
          <w:rFonts w:ascii="Book Antiqua" w:hAnsi="Book Antiqua"/>
        </w:rPr>
        <w:fldChar w:fldCharType="end"/>
      </w:r>
      <w:r w:rsidRPr="00783FEF">
        <w:rPr>
          <w:rFonts w:ascii="Book Antiqua" w:hAnsi="Book Antiqua"/>
        </w:rPr>
        <w:t xml:space="preserve">. </w:t>
      </w:r>
      <w:r w:rsidRPr="00783FEF">
        <w:rPr>
          <w:rFonts w:ascii="Book Antiqua" w:hAnsi="Book Antiqua"/>
        </w:rPr>
        <w:lastRenderedPageBreak/>
        <w:t xml:space="preserve">Despite prompt treatment, 2/9 of these patients died, one had graft failure, and one required re-LT. Among the 5 patients for whom remission was obtained, 3 experienced HCV-RNA relapse. In this series, no association was observed between the HLA type and the development of </w:t>
      </w:r>
      <w:r w:rsidRPr="00783FEF">
        <w:rPr>
          <w:rFonts w:ascii="Book Antiqua" w:hAnsi="Book Antiqua"/>
          <w:i/>
        </w:rPr>
        <w:t>de novo</w:t>
      </w:r>
      <w:r w:rsidRPr="00783FEF">
        <w:rPr>
          <w:rFonts w:ascii="Book Antiqua" w:hAnsi="Book Antiqua"/>
        </w:rPr>
        <w:t xml:space="preserve"> AIH. In contrast, the administration of granulocyte colony-stimulating factor (GCSF) for the treatment of neutropenia appeared to be a protective factor while the use of anti-lymphocyte antibodies was significantly correlated with the development of </w:t>
      </w:r>
      <w:r w:rsidRPr="00783FEF">
        <w:rPr>
          <w:rFonts w:ascii="Book Antiqua" w:hAnsi="Book Antiqua"/>
          <w:i/>
        </w:rPr>
        <w:t>de novo</w:t>
      </w:r>
      <w:r w:rsidRPr="00783FEF">
        <w:rPr>
          <w:rFonts w:ascii="Book Antiqua" w:hAnsi="Book Antiqua"/>
        </w:rPr>
        <w:t xml:space="preserve"> AIH in this cohor</w:t>
      </w:r>
      <w:r w:rsidR="00B74213" w:rsidRPr="00783FEF">
        <w:rPr>
          <w:rFonts w:ascii="Book Antiqua" w:hAnsi="Book Antiqua"/>
        </w:rPr>
        <w:t>t</w:t>
      </w:r>
      <w:r w:rsidR="001D26D7" w:rsidRPr="00783FEF">
        <w:rPr>
          <w:rFonts w:ascii="Book Antiqua" w:hAnsi="Book Antiqua"/>
        </w:rPr>
        <w:fldChar w:fldCharType="begin" w:fldLock="1"/>
      </w:r>
      <w:r w:rsidR="00B74213" w:rsidRPr="00783FEF">
        <w:rPr>
          <w:rFonts w:ascii="Book Antiqua" w:hAnsi="Book Antiqua"/>
        </w:rPr>
        <w:instrText>ADDIN CSL_CITATION { "citationItems" : [ { "id" : "ITEM-1", "itemData" : { "DOI" : "10.1136/gut.2006.092064", "ISSN" : "0017-5749", "PMID" : "16798778", "abstract" : "BACKGROUND: Interferon may trigger autoimmune disorders, including autoimmune hepatitis, in immunocompetent patients. To date, no such disorders have been described in liver transplanted patients. METHODS: 9 of 44 liver transplanted patients who had been receiving pegylated-interferon alpha-2b and ribavirin for at least 6 months for hepatitis C virus (HCV) recurrence, developed graft dysfunction despite on-treatment HCV-RNA clearance in all but one case. Laboratory, microbiological, imaging and histological evaluations were performed to identify the origin of graft dysfunction. The International Autoimmune Hepatitis scoring system was also applied. RESULTS: In all cases infections, anastomoses complications and rejection were excluded, whereas the autoimmune hepatitis score suggested a \"probable autoimmune hepatitis\" (score from 10 to 14). Three patients developed other definite autoimmune disorders (overlap anti-mitochondrial antibodies (AMA)-positive cholangitis, autoimmune thyroiditis and systemic lupus erythematosus, respectively). In all cases, pre-existing autoimmune hepatitis was excluded. Anti-lymphocyte antibodies in immunosuppressive induction treatment correlated with the development of the disorder, whereas the use of granulocyte colony-stimulating factor to treat interferon-induced neutropenia showed a protective role. Withdrawal of antiviral treatment and treatment with prednisone resulted in different outcomes (five remissions and four graft failures with two deaths). CONCLUSIONS: De novo autoimmune hepatitis should be considered in differential diagnosis along with rejection in liver transplanted patients developing graft dysfunction while on treatment with interferon.", "author" : [ { "dropping-particle" : "", "family" : "Berardi", "given" : "S", "non-dropping-particle" : "", "parse-names" : false, "suffix" : "" }, { "dropping-particle" : "", "family" : "Lodato", "given" : "F", "non-dropping-particle" : "", "parse-names" : false, "suffix" : "" }, { "dropping-particle" : "", "family" : "Gramenzi", "given" : "a", "non-dropping-particle" : "", "parse-names" : false, "suffix" : "" }, { "dropping-particle" : "", "family" : "D'Errico", "given" : "a", "non-dropping-particle" : "", "parse-names" : false, "suffix" : "" }, { "dropping-particle" : "", "family" : "Lenzi", "given" : "M", "non-dropping-particle" : "", "parse-names" : false, "suffix" : "" }, { "dropping-particle" : "", "family" : "Bontadini", "given" : "a", "non-dropping-particle" : "", "parse-names" : false, "suffix" : "" }, { "dropping-particle" : "", "family" : "Morelli", "given" : "M C", "non-dropping-particle" : "", "parse-names" : false, "suffix" : "" }, { "dropping-particle" : "", "family" : "Tam\u00e8", "given" : "M R", "non-dropping-particle" : "", "parse-names" : false, "suffix" : "" }, { "dropping-particle" : "", "family" : "Piscaglia", "given" : "F", "non-dropping-particle" : "", "parse-names" : false, "suffix" : "" }, { "dropping-particle" : "", "family" : "Biselli", "given" : "M", "non-dropping-particle" : "", "parse-names" : false, "suffix" : "" }, { "dropping-particle" : "", "family" : "Sama", "given" : "C", "non-dropping-particle" : "", "parse-names" : false, "suffix" : "" }, { "dropping-particle" : "", "family" : "Mazzella", "given" : "G", "non-dropping-particle" : "", "parse-names" : false, "suffix" : "" }, { "dropping-particle" : "", "family" : "Pinna", "given" : "a D", "non-dropping-particle" : "", "parse-names" : false, "suffix" : "" }, { "dropping-particle" : "", "family" : "Grazi", "given" : "G", "non-dropping-particle" : "", "parse-names" : false, "suffix" : "" }, { "dropping-particle" : "", "family" : "Bernardi", "given" : "M", "non-dropping-particle" : "", "parse-names" : false, "suffix" : "" }, { "dropping-particle" : "", "family" : "Andreone", "given" : "P", "non-dropping-particle" : "", "parse-names" : false, "suffix" : "" } ], "container-title" : "Gut", "id" : "ITEM-1", "issue" : "2", "issued" : { "date-parts" : [ [ "2007" ] ] }, "page" : "237-242", "title" : "High incidence of allograft dysfunction in liver transplanted patients treated with pegylated-interferon alpha-2b and ribavirin for hepatitis C recurrence: possible de novo autoimmune hepatitis?", "type" : "article-journal", "volume" : "56" }, "uris" : [ "http://www.mendeley.com/documents/?uuid=42bffa44-db78-459b-98c3-6d01b899b9e2" ] } ], "mendeley" : { "formattedCitation" : "&lt;sup&gt;[32]&lt;/sup&gt;", "plainTextFormattedCitation" : "[32]", "previouslyFormattedCitation" : "&lt;sup&gt;[32]&lt;/sup&gt;" }, "properties" : { "noteIndex" : 0 }, "schema" : "https://github.com/citation-style-language/schema/raw/master/csl-citation.json" }</w:instrText>
      </w:r>
      <w:r w:rsidR="001D26D7" w:rsidRPr="00783FEF">
        <w:rPr>
          <w:rFonts w:ascii="Book Antiqua" w:hAnsi="Book Antiqua"/>
        </w:rPr>
        <w:fldChar w:fldCharType="separate"/>
      </w:r>
      <w:r w:rsidR="00B74213" w:rsidRPr="00783FEF">
        <w:rPr>
          <w:rFonts w:ascii="Book Antiqua" w:hAnsi="Book Antiqua"/>
          <w:noProof/>
          <w:vertAlign w:val="superscript"/>
        </w:rPr>
        <w:t>[32]</w:t>
      </w:r>
      <w:r w:rsidR="001D26D7" w:rsidRPr="00783FEF">
        <w:rPr>
          <w:rFonts w:ascii="Book Antiqua" w:hAnsi="Book Antiqua"/>
        </w:rPr>
        <w:fldChar w:fldCharType="end"/>
      </w:r>
      <w:r w:rsidRPr="00783FEF">
        <w:rPr>
          <w:rFonts w:ascii="Book Antiqua" w:hAnsi="Book Antiqua"/>
        </w:rPr>
        <w:t xml:space="preserve">. Fiel </w:t>
      </w:r>
      <w:r w:rsidRPr="00F41E66">
        <w:rPr>
          <w:rFonts w:ascii="Book Antiqua" w:hAnsi="Book Antiqua"/>
          <w:i/>
        </w:rPr>
        <w:t>et al</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"10.1002/lt.21447", "ISSN" : "1527-6473", "PMID" : "18508382", "abstract" : "De novo autoimmune hepatitis has been described in both pediatric and adult liver transplantation (LT) recipients. Studies of small numbers of patients have proposed it to be an alloimmune hepatitis or form of chronic rejection. We have recently noted an increasing number of patients with post-LT recurrent hepatitis C virus (HCV) developing this, with an apparent negative impact on outcome and survival. We term this entity posttransplant plasma cell hepatitis (PCH). A search of our institution's pathology database was performed with the terms \"plasma cell(s),\" \"lymphoplasmacytic infiltrate,\" and \"liver allograft.\" A histological scoring system was devised to more reliably diagnose PCH in the setting of recurrent HCV. Thirty-eight patients were identified, and their clinical data were analyzed. Sixty percent had a negative outcome as defined by the development of cirrhosis, need for retransplantation, or death. Eighty-two percent had recent lowering of immunosuppression or subtherapeutic calcineurin inhibitor levels; 58% developed PCH within 2 years post-LT. Histologic resolution of PCH was associated with good outcome (P &lt; 0.001). Patients not receiving treatment had a negative outcome (P = 0.007) as did patients receiving corticosteroids as therapy (P = 0.02). Persistence (P = 0.007) or recurrence of PCH was associated with negative outcome. In conclusion, PCH is a histologic variant of rejection. On liver biopsy, PCH can at times be difficult to diagnose, and the use of a standardized scoring system is recommended to differentiate it from other forms of allograft dysfunction. Treatment by optimization of immunosuppression without the use of corticosteroids appears effective. The development of PCH in the setting of recurrent HCV is a negative prognostic factor for patient outcome and allograft failure.", "author" : [ { "dropping-particle" : "", "family" : "Fiel", "given" : "M Isabel", "non-dropping-particle" : "", "parse-names" : false, "suffix" : "" }, { "dropping-particle" : "", "family" : "Agarwal", "given" : "Kaushik", "non-dropping-particle" : "", "parse-names" : false, "suffix" : "" }, { "dropping-particle" : "", "family" : "Stanca", "given" : "Carmen", "non-dropping-particle" : "", "parse-names" : false, "suffix" : "" }, { "dropping-particle" : "", "family" : "Elhajj", "given" : "Nassim", "non-dropping-particle" : "", "parse-names" : false, "suffix" : "" }, { "dropping-particle" : "", "family" : "Kontorinis", "given" : "Nikolas", "non-dropping-particle" : "", "parse-names" : false, "suffix" : "" }, { "dropping-particle" : "", "family" : "Thung", "given" : "Swan N", "non-dropping-particle" : "", "parse-names" : false, "suffix" : "" }, { "dropping-particle" : "", "family" : "Schiano", "given" : "Thomas D", "non-dropping-particle" : "", "parse-names" : false, "suffix" : "" } ], "container-title" : "Liver transplantation : official publication of the American Association for the Study of Liver Diseases and the International Liver Transplantation Society", "id" : "ITEM-1", "issue" : "6", "issued" : { "date-parts" : [ [ "2008", "6", "1" ] ] }, "language" : "en", "page" : "861-71", "publisher" : "Wiley Subscription Services, Inc., A Wiley Company", "title" : "Posttransplant plasma cell hepatitis (de novo autoimmune hepatitis) is a variant of rejection and may lead to a negative outcome in patients with hepatitis C virus.", "type" : "article-journal", "volume" : "14" }, "uris" : [ "http://www.mendeley.com/documents/?uuid=4bcaf04a-c236-45e7-9e79-94978d828161" ] } ], "mendeley" : { "formattedCitation" : "&lt;sup&gt;[4]&lt;/sup&gt;", "plainTextFormattedCitation" : "[4]", "previouslyFormattedCitation" : "&lt;sup&gt;[4]&lt;/sup&gt;"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[4]</w:t>
      </w:r>
      <w:r w:rsidR="001D26D7" w:rsidRPr="00783FEF">
        <w:rPr>
          <w:rFonts w:ascii="Book Antiqua" w:hAnsi="Book Antiqua"/>
        </w:rPr>
        <w:fldChar w:fldCharType="end"/>
      </w:r>
      <w:r w:rsidRPr="00783FEF">
        <w:rPr>
          <w:rFonts w:ascii="Book Antiqua" w:hAnsi="Book Antiqua"/>
        </w:rPr>
        <w:t xml:space="preserve"> reported series of 214 biopsies from 38 LT recipients between 1994 and 2006 that met the criteria for plasma-cell hepatitis. A high rate (55%) of acute graft rejection was reported in this population. The patients received one of the following treatments either alone or in combination:</w:t>
      </w:r>
      <w:r w:rsidR="00F41E66">
        <w:rPr>
          <w:rFonts w:ascii="Book Antiqua" w:hAnsi="Book Antiqua" w:hint="eastAsia"/>
          <w:lang w:eastAsia="zh-CN"/>
        </w:rPr>
        <w:t xml:space="preserve"> </w:t>
      </w:r>
      <w:r w:rsidRPr="00783FEF">
        <w:rPr>
          <w:rFonts w:ascii="Book Antiqua" w:hAnsi="Book Antiqua"/>
        </w:rPr>
        <w:t>azathioprine, 6-mercaptopurine, prednisone, methyl-prednisolone, mycophenolate mofetil (MMF), and increased doses of a calcineurin inhibitor. Satisfactory outcomes were observed in 40% of the patients, and among the remaining patients, 10 died, 3 underwent re-LT, and 10 developed disease progression to cirrhosis</w:t>
      </w:r>
      <w:r w:rsidR="001D26D7" w:rsidRPr="00783FEF">
        <w:rPr>
          <w:rFonts w:ascii="Book Antiqua" w:hAnsi="Book Antiqua"/>
        </w:rPr>
        <w:fldChar w:fldCharType="begin" w:fldLock="1"/>
      </w:r>
      <w:r w:rsidR="00B74213" w:rsidRPr="00783FEF">
        <w:rPr>
          <w:rFonts w:ascii="Book Antiqua" w:hAnsi="Book Antiqua"/>
        </w:rPr>
        <w:instrText>ADDIN CSL_CITATION { "citationItems" : [ { "id" : "ITEM-1", "itemData" : { "DOI" : "10.1002/lt.21447", "ISSN" : "1527-6473", "PMID" : "18508382", "abstract" : "De novo autoimmune hepatitis has been described in both pediatric and adult liver transplantation (LT) recipients. Studies of small numbers of patients have proposed it to be an alloimmune hepatitis or form of chronic rejection. We have recently noted an increasing number of patients with post-LT recurrent hepatitis C virus (HCV) developing this, with an apparent negative impact on outcome and survival. We term this entity posttransplant plasma cell hepatitis (PCH). A search of our institution's pathology database was performed with the terms \"plasma cell(s),\" \"lymphoplasmacytic infiltrate,\" and \"liver allograft.\" A histological scoring system was devised to more reliably diagnose PCH in the setting of recurrent HCV. Thirty-eight patients were identified, and their clinical data were analyzed. Sixty percent had a negative outcome as defined by the development of cirrhosis, need for retransplantation, or death. Eighty-two percent had recent lowering of immunosuppression or subtherapeutic calcineurin inhibitor levels; 58% developed PCH within 2 years post-LT. Histologic resolution of PCH was associated with good outcome (P &lt; 0.001). Patients not receiving treatment had a negative outcome (P = 0.007) as did patients receiving corticosteroids as therapy (P = 0.02). Persistence (P = 0.007) or recurrence of PCH was associated with negative outcome. In conclusion, PCH is a histologic variant of rejection. On liver biopsy, PCH can at times be difficult to diagnose, and the use of a standardized scoring system is recommended to differentiate it from other forms of allograft dysfunction. Treatment by optimization of immunosuppression without the use of corticosteroids appears effective. The development of PCH in the setting of recurrent HCV is a negative prognostic factor for patient outcome and allograft failure.", "author" : [ { "dropping-particle" : "", "family" : "Fiel", "given" : "M Isabel", "non-dropping-particle" : "", "parse-names" : false, "suffix" : "" }, { "dropping-particle" : "", "family" : "Agarwal", "given" : "Kaushik", "non-dropping-particle" : "", "parse-names" : false, "suffix" : "" }, { "dropping-particle" : "", "family" : "Stanca", "given" : "Carmen", "non-dropping-particle" : "", "parse-names" : false, "suffix" : "" }, { "dropping-particle" : "", "family" : "Elhajj", "given" : "Nassim", "non-dropping-particle" : "", "parse-names" : false, "suffix" : "" }, { "dropping-particle" : "", "family" : "Kontorinis", "given" : "Nikolas", "non-dropping-particle" : "", "parse-names" : false, "suffix" : "" }, { "dropping-particle" : "", "family" : "Thung", "given" : "Swan N", "non-dropping-particle" : "", "parse-names" : false, "suffix" : "" }, { "dropping-particle" : "", "family" : "Schiano", "given" : "Thomas D", "non-dropping-particle" : "", "parse-names" : false, "suffix" : "" } ], "container-title" : "Liver transplantation : official publication of the American Association for the Study of Liver Diseases and the International Liver Transplantation Society", "id" : "ITEM-1", "issue" : "6", "issued" : { "date-parts" : [ [ "2008", "6", "1" ] ] }, "language" : "en", "page" : "861-71", "publisher" : "Wiley Subscription Services, Inc., A Wiley Company", "title" : "Posttransplant plasma cell hepatitis (de novo autoimmune hepatitis) is a variant of rejection and may lead to a negative outcome in patients with hepatitis C virus.", "type" : "article-journal", "volume" : "14" }, "uris" : [ "http://www.mendeley.com/documents/?uuid=4bcaf04a-c236-45e7-9e79-94978d828161" ] } ], "mendeley" : { "formattedCitation" : "&lt;sup&gt;[4]&lt;/sup&gt;", "plainTextFormattedCitation" : "[4]", "previouslyFormattedCitation" : "&lt;sup&gt;[4]&lt;/sup&gt;" }, "properties" : { "noteIndex" : 0 }, "schema" : "https://github.com/citation-style-language/schema/raw/master/csl-citation.json" }</w:instrText>
      </w:r>
      <w:r w:rsidR="001D26D7" w:rsidRPr="00783FEF">
        <w:rPr>
          <w:rFonts w:ascii="Book Antiqua" w:hAnsi="Book Antiqua"/>
        </w:rPr>
        <w:fldChar w:fldCharType="separate"/>
      </w:r>
      <w:r w:rsidR="00B74213" w:rsidRPr="00783FEF">
        <w:rPr>
          <w:rFonts w:ascii="Book Antiqua" w:hAnsi="Book Antiqua"/>
          <w:noProof/>
          <w:vertAlign w:val="superscript"/>
        </w:rPr>
        <w:t>[4]</w:t>
      </w:r>
      <w:r w:rsidR="001D26D7" w:rsidRPr="00783FEF">
        <w:rPr>
          <w:rFonts w:ascii="Book Antiqua" w:hAnsi="Book Antiqua"/>
        </w:rPr>
        <w:fldChar w:fldCharType="end"/>
      </w:r>
      <w:r w:rsidRPr="00783FEF">
        <w:rPr>
          <w:rFonts w:ascii="Book Antiqua" w:hAnsi="Book Antiqua"/>
        </w:rPr>
        <w:t xml:space="preserve">. More recently, cases of plasma-cell hepatitis during or after triple antiviral therapy with Peg-IFN, RBV and telaprevir have been described. Ikegami </w:t>
      </w:r>
      <w:r w:rsidRPr="00F41E66">
        <w:rPr>
          <w:rFonts w:ascii="Book Antiqua" w:hAnsi="Book Antiqua"/>
          <w:i/>
        </w:rPr>
        <w:t>et al</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"10.1016/j.jhep.2013.10.037", "ISSN" : "0168-8278", "author" : [ { "dropping-particle" : "", "family" : "Ikegami", "given" : "Toru", "non-dropping-particle" : "", "parse-names" : false, "suffix" : "" }, { "dropping-particle" : "", "family" : "Yoshizumi", "given" : "Tomoharu", "non-dropping-particle" : "", "parse-names" : false, "suffix" : "" }, { "dropping-particle" : "", "family" : "Shirabe", "given" : "Ken", "non-dropping-particle" : "", "parse-names" : false, "suffix" : "" }, { "dropping-particle" : "", "family" : "Maehara", "given" : "Yoshihiko", "non-dropping-particle" : "", "parse-names" : false, "suffix" : "" } ], "container-title" : "JOURNAL OF HEPATOLOGY", "id" : "ITEM-1", "issued" : { "date-parts" : [ [ "2013" ] ] }, "page" : "1-3", "publisher" : "European Association for the Study of the Liver", "title" : "Letter to the Editor Frequent plasma cell hepatitis during telaprevir-based triple therapy for hepatitis C after liver transplantation", "type" : "article-journal", "volume" : "xxx" }, "uris" : [ "http://www.mendeley.com/documents/?uuid=65b72d0c-4850-4ff7-aead-8fa124a95bd0" ] } ], "mendeley" : { "formattedCitation" : "&lt;sup&gt;[38]&lt;/sup&gt;", "plainTextFormattedCitation" : "[38]", "previouslyFormattedCitation" : "&lt;sup&gt;[38]&lt;/sup&gt;"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[38]</w:t>
      </w:r>
      <w:r w:rsidR="001D26D7" w:rsidRPr="00783FEF">
        <w:rPr>
          <w:rFonts w:ascii="Book Antiqua" w:hAnsi="Book Antiqua"/>
        </w:rPr>
        <w:fldChar w:fldCharType="end"/>
      </w:r>
      <w:r w:rsidRPr="00783FEF">
        <w:rPr>
          <w:rFonts w:ascii="Book Antiqua" w:hAnsi="Book Antiqua"/>
          <w:vertAlign w:val="superscript"/>
        </w:rPr>
        <w:t xml:space="preserve"> </w:t>
      </w:r>
      <w:r w:rsidRPr="00783FEF">
        <w:rPr>
          <w:rFonts w:ascii="Book Antiqua" w:hAnsi="Book Antiqua"/>
        </w:rPr>
        <w:t xml:space="preserve">reported 3 cases of plasma-cell hepatitis development during </w:t>
      </w:r>
      <w:r w:rsidR="00E949C4" w:rsidRPr="00783FEF">
        <w:rPr>
          <w:rFonts w:ascii="Book Antiqua" w:hAnsi="Book Antiqua"/>
        </w:rPr>
        <w:t>Peg-IFN</w:t>
      </w:r>
      <w:r w:rsidRPr="00783FEF">
        <w:rPr>
          <w:rFonts w:ascii="Book Antiqua" w:hAnsi="Book Antiqua"/>
        </w:rPr>
        <w:t xml:space="preserve"> and </w:t>
      </w:r>
      <w:r w:rsidR="00E949C4" w:rsidRPr="00783FEF">
        <w:rPr>
          <w:rFonts w:ascii="Book Antiqua" w:hAnsi="Book Antiqua"/>
        </w:rPr>
        <w:t>RBV</w:t>
      </w:r>
      <w:r w:rsidRPr="00783FEF">
        <w:rPr>
          <w:rFonts w:ascii="Book Antiqua" w:hAnsi="Book Antiqua"/>
        </w:rPr>
        <w:t xml:space="preserve"> treatment, shortly after the completion of triple regimen with telaprevir. Because significant drug-drug interactions are known to occur between calcineurin inhibitors and telaprevir, the patients received reduced doses of cyclosporine during telaprevir co-administration and were closely monitored for cyclosporine levels</w:t>
      </w:r>
      <w:r w:rsidR="001D26D7" w:rsidRPr="00783FEF">
        <w:rPr>
          <w:rFonts w:ascii="Book Antiqua" w:hAnsi="Book Antiqua"/>
        </w:rPr>
        <w:fldChar w:fldCharType="begin" w:fldLock="1"/>
      </w:r>
      <w:r w:rsidR="00B74213" w:rsidRPr="00783FEF">
        <w:rPr>
          <w:rFonts w:ascii="Book Antiqua" w:hAnsi="Book Antiqua"/>
        </w:rPr>
        <w:instrText>ADDIN CSL_CITATION { "citationItems" : [ { "id" : "ITEM-1", "itemData" : { "DOI" : "10.1016/j.jhep.2013.10.037", "ISSN" : "0168-8278", "author" : [ { "dropping-particle" : "", "family" : "Ikegami", "given" : "Toru", "non-dropping-particle" : "", "parse-names" : false, "suffix" : "" }, { "dropping-particle" : "", "family" : "Yoshizumi", "given" : "Tomoharu", "non-dropping-particle" : "", "parse-names" : false, "suffix" : "" }, { "dropping-particle" : "", "family" : "Shirabe", "given" : "Ken", "non-dropping-particle" : "", "parse-names" : false, "suffix" : "" }, { "dropping-particle" : "", "family" : "Maehara", "given" : "Yoshihiko", "non-dropping-particle" : "", "parse-names" : false, "suffix" : "" } ], "container-title" : "JOURNAL OF HEPATOLOGY", "id" : "ITEM-1", "issued" : { "date-parts" : [ [ "2013" ] ] }, "page" : "1-3", "publisher" : "European Association for the Study of the Liver", "title" : "Letter to the Editor Frequent plasma cell hepatitis during telaprevir-based triple therapy for hepatitis C after liver transplantation", "type" : "article-journal", "volume" : "xxx" }, "uris" : [ "http://www.mendeley.com/documents/?uuid=65b72d0c-4850-4ff7-aead-8fa124a95bd0" ] } ], "mendeley" : { "formattedCitation" : "&lt;sup&gt;[38]&lt;/sup&gt;", "plainTextFormattedCitation" : "[38]", "previouslyFormattedCitation" : "&lt;sup&gt;[38]&lt;/sup&gt;" }, "properties" : { "noteIndex" : 0 }, "schema" : "https://github.com/citation-style-language/schema/raw/master/csl-citation.json" }</w:instrText>
      </w:r>
      <w:r w:rsidR="001D26D7" w:rsidRPr="00783FEF">
        <w:rPr>
          <w:rFonts w:ascii="Book Antiqua" w:hAnsi="Book Antiqua"/>
        </w:rPr>
        <w:fldChar w:fldCharType="separate"/>
      </w:r>
      <w:r w:rsidR="00B74213" w:rsidRPr="00783FEF">
        <w:rPr>
          <w:rFonts w:ascii="Book Antiqua" w:hAnsi="Book Antiqua"/>
          <w:noProof/>
          <w:vertAlign w:val="superscript"/>
        </w:rPr>
        <w:t>[38]</w:t>
      </w:r>
      <w:r w:rsidR="001D26D7" w:rsidRPr="00783FEF">
        <w:rPr>
          <w:rFonts w:ascii="Book Antiqua" w:hAnsi="Book Antiqua"/>
        </w:rPr>
        <w:fldChar w:fldCharType="end"/>
      </w:r>
      <w:r w:rsidRPr="00783FEF">
        <w:rPr>
          <w:rFonts w:ascii="Book Antiqua" w:hAnsi="Book Antiqua"/>
        </w:rPr>
        <w:t xml:space="preserve">. Following the onset of plasma-cell hepatitis, all cases were rescued with immunosuppressive regimen optimization </w:t>
      </w:r>
      <w:r w:rsidRPr="00F41E66">
        <w:rPr>
          <w:rFonts w:ascii="Book Antiqua" w:hAnsi="Book Antiqua"/>
          <w:i/>
        </w:rPr>
        <w:t>via</w:t>
      </w:r>
      <w:r w:rsidRPr="00783FEF">
        <w:rPr>
          <w:rFonts w:ascii="Book Antiqua" w:hAnsi="Book Antiqua"/>
        </w:rPr>
        <w:t xml:space="preserve"> steroid pulses, increased cyclosporine doses, and/or the addition of MMF. In one case, the antiviral treatment was stopped for safety issues</w:t>
      </w:r>
      <w:r w:rsidR="001D26D7" w:rsidRPr="00783FEF">
        <w:rPr>
          <w:rFonts w:ascii="Book Antiqua" w:hAnsi="Book Antiqua"/>
        </w:rPr>
        <w:fldChar w:fldCharType="begin" w:fldLock="1"/>
      </w:r>
      <w:r w:rsidR="00B74213" w:rsidRPr="00783FEF">
        <w:rPr>
          <w:rFonts w:ascii="Book Antiqua" w:hAnsi="Book Antiqua"/>
        </w:rPr>
        <w:instrText>ADDIN CSL_CITATION { "citationItems" : [ { "id" : "ITEM-1", "itemData" : { "DOI" : "10.1016/j.jhep.2013.10.037", "ISSN" : "0168-8278", "author" : [ { "dropping-particle" : "", "family" : "Ikegami", "given" : "Toru", "non-dropping-particle" : "", "parse-names" : false, "suffix" : "" }, { "dropping-particle" : "", "family" : "Yoshizumi", "given" : "Tomoharu", "non-dropping-particle" : "", "parse-names" : false, "suffix" : "" }, { "dropping-particle" : "", "family" : "Shirabe", "given" : "Ken", "non-dropping-particle" : "", "parse-names" : false, "suffix" : "" }, { "dropping-particle" : "", "family" : "Maehara", "given" : "Yoshihiko", "non-dropping-particle" : "", "parse-names" : false, "suffix" : "" } ], "container-title" : "JOURNAL OF HEPATOLOGY", "id" : "ITEM-1", "issued" : { "date-parts" : [ [ "2013" ] ] }, "page" : "1-3", "publisher" : "European Association for the Study of the Liver", "title" : "Letter to the Editor Frequent plasma cell hepatitis during telaprevir-based triple therapy for hepatitis C after liver transplantation", "type" : "article-journal", "volume" : "xxx" }, "uris" : [ "http://www.mendeley.com/documents/?uuid=65b72d0c-4850-4ff7-aead-8fa124a95bd0" ] } ], "mendeley" : { "formattedCitation" : "&lt;sup&gt;[38]&lt;/sup&gt;", "plainTextFormattedCitation" : "[38]", "previouslyFormattedCitation" : "&lt;sup&gt;[38]&lt;/sup&gt;" }, "properties" : { "noteIndex" : 0 }, "schema" : "https://github.com/citation-style-language/schema/raw/master/csl-citation.json" }</w:instrText>
      </w:r>
      <w:r w:rsidR="001D26D7" w:rsidRPr="00783FEF">
        <w:rPr>
          <w:rFonts w:ascii="Book Antiqua" w:hAnsi="Book Antiqua"/>
        </w:rPr>
        <w:fldChar w:fldCharType="separate"/>
      </w:r>
      <w:r w:rsidR="00B74213" w:rsidRPr="00783FEF">
        <w:rPr>
          <w:rFonts w:ascii="Book Antiqua" w:hAnsi="Book Antiqua"/>
          <w:noProof/>
          <w:vertAlign w:val="superscript"/>
        </w:rPr>
        <w:t>[38]</w:t>
      </w:r>
      <w:r w:rsidR="001D26D7" w:rsidRPr="00783FEF">
        <w:rPr>
          <w:rFonts w:ascii="Book Antiqua" w:hAnsi="Book Antiqua"/>
        </w:rPr>
        <w:fldChar w:fldCharType="end"/>
      </w:r>
      <w:r w:rsidRPr="00783FEF">
        <w:rPr>
          <w:rFonts w:ascii="Book Antiqua" w:hAnsi="Book Antiqua"/>
        </w:rPr>
        <w:t>.</w:t>
      </w:r>
    </w:p>
    <w:p w:rsidR="0049674D" w:rsidRPr="00783FEF" w:rsidRDefault="0049674D" w:rsidP="00783FEF">
      <w:pPr>
        <w:spacing w:line="360" w:lineRule="auto"/>
        <w:jc w:val="both"/>
        <w:rPr>
          <w:rFonts w:ascii="Book Antiqua" w:hAnsi="Book Antiqua"/>
          <w:b/>
          <w:lang w:eastAsia="zh-CN"/>
        </w:rPr>
      </w:pPr>
    </w:p>
    <w:p w:rsidR="00A049A8" w:rsidRPr="00FC6252" w:rsidRDefault="00FC6252" w:rsidP="00783FEF">
      <w:pPr>
        <w:spacing w:line="360" w:lineRule="auto"/>
        <w:jc w:val="both"/>
        <w:rPr>
          <w:rFonts w:ascii="Book Antiqua" w:hAnsi="Book Antiqua"/>
          <w:b/>
          <w:lang w:eastAsia="zh-CN"/>
        </w:rPr>
      </w:pPr>
      <w:r w:rsidRPr="00FC6252">
        <w:rPr>
          <w:rFonts w:ascii="Book Antiqua" w:hAnsi="Book Antiqua"/>
          <w:b/>
        </w:rPr>
        <w:t>PATHOGENESIS INSIGHTS</w:t>
      </w:r>
    </w:p>
    <w:p w:rsidR="00A049A8" w:rsidRPr="00783FEF" w:rsidRDefault="00A049A8" w:rsidP="00783FEF">
      <w:pPr>
        <w:autoSpaceDE w:val="0"/>
        <w:autoSpaceDN w:val="0"/>
        <w:adjustRightInd w:val="0"/>
        <w:spacing w:line="360" w:lineRule="auto"/>
        <w:jc w:val="both"/>
        <w:rPr>
          <w:rFonts w:ascii="Book Antiqua" w:hAnsi="Book Antiqua"/>
        </w:rPr>
      </w:pPr>
      <w:r w:rsidRPr="00783FEF">
        <w:rPr>
          <w:rFonts w:ascii="Book Antiqua" w:hAnsi="Book Antiqua"/>
        </w:rPr>
        <w:t xml:space="preserve">Although the pathogenesis of </w:t>
      </w:r>
      <w:r w:rsidRPr="00783FEF">
        <w:rPr>
          <w:rFonts w:ascii="Book Antiqua" w:hAnsi="Book Antiqua"/>
          <w:i/>
        </w:rPr>
        <w:t>de novo</w:t>
      </w:r>
      <w:r w:rsidRPr="00783FEF">
        <w:rPr>
          <w:rFonts w:ascii="Book Antiqua" w:hAnsi="Book Antiqua"/>
        </w:rPr>
        <w:t xml:space="preserve"> AIH in LT has not yet been fully clarified, it is generally accepted that this entity shares similar </w:t>
      </w:r>
      <w:r w:rsidRPr="00783FEF">
        <w:rPr>
          <w:rFonts w:ascii="Book Antiqua" w:hAnsi="Book Antiqua"/>
          <w:i/>
        </w:rPr>
        <w:t>movens</w:t>
      </w:r>
      <w:r w:rsidRPr="00783FEF">
        <w:rPr>
          <w:rFonts w:ascii="Book Antiqua" w:hAnsi="Book Antiqua"/>
        </w:rPr>
        <w:t xml:space="preserve"> mechanisms with classical AIH</w:t>
      </w:r>
      <w:r w:rsidR="00054D84" w:rsidRPr="00783FEF">
        <w:rPr>
          <w:rFonts w:ascii="Book Antiqua" w:hAnsi="Book Antiqua"/>
        </w:rPr>
        <w:t xml:space="preserve">. </w:t>
      </w:r>
      <w:r w:rsidR="00F167A6" w:rsidRPr="00783FEF">
        <w:rPr>
          <w:rFonts w:ascii="Book Antiqua" w:hAnsi="Book Antiqua"/>
        </w:rPr>
        <w:lastRenderedPageBreak/>
        <w:t>T</w:t>
      </w:r>
      <w:r w:rsidR="00054D84" w:rsidRPr="00783FEF">
        <w:rPr>
          <w:rFonts w:ascii="Book Antiqua" w:hAnsi="Book Antiqua"/>
        </w:rPr>
        <w:t xml:space="preserve">he </w:t>
      </w:r>
      <w:r w:rsidR="00BA386F" w:rsidRPr="00783FEF">
        <w:rPr>
          <w:rFonts w:ascii="Book Antiqua" w:hAnsi="Book Antiqua"/>
        </w:rPr>
        <w:t>susceptible</w:t>
      </w:r>
      <w:r w:rsidR="00054D84" w:rsidRPr="00783FEF">
        <w:rPr>
          <w:rFonts w:ascii="Book Antiqua" w:hAnsi="Book Antiqua"/>
        </w:rPr>
        <w:t xml:space="preserve"> genetic milieu given by </w:t>
      </w:r>
      <w:r w:rsidR="00BA386F" w:rsidRPr="00783FEF">
        <w:rPr>
          <w:rFonts w:ascii="Book Antiqua" w:hAnsi="Book Antiqua"/>
        </w:rPr>
        <w:t xml:space="preserve">HLA DRB1*0301 and/or DRB1*0401 alleles </w:t>
      </w:r>
      <w:r w:rsidR="00054D84" w:rsidRPr="00783FEF">
        <w:rPr>
          <w:rFonts w:ascii="Book Antiqua" w:hAnsi="Book Antiqua"/>
        </w:rPr>
        <w:t xml:space="preserve">has been implicated in AIH pathogensis while its role in </w:t>
      </w:r>
      <w:r w:rsidR="00BA386F" w:rsidRPr="00783FEF">
        <w:rPr>
          <w:rFonts w:ascii="Book Antiqua" w:hAnsi="Book Antiqua"/>
          <w:i/>
        </w:rPr>
        <w:t>de novo</w:t>
      </w:r>
      <w:r w:rsidR="00BA386F" w:rsidRPr="00783FEF">
        <w:rPr>
          <w:rFonts w:ascii="Book Antiqua" w:hAnsi="Book Antiqua"/>
        </w:rPr>
        <w:t xml:space="preserve"> AIH is inconclusive</w:t>
      </w:r>
      <w:r w:rsidRPr="00783FEF">
        <w:rPr>
          <w:rFonts w:ascii="Book Antiqua" w:hAnsi="Book Antiqua"/>
        </w:rPr>
        <w:t>. It is thought that the presentation of antigens, either by the recipient or donor-presenting cells, triggers the memory T cells of the host’s immune system, which results in consequent self-directed immune reactions</w:t>
      </w:r>
      <w:r w:rsidR="001D26D7" w:rsidRPr="00783FEF">
        <w:rPr>
          <w:rFonts w:ascii="Book Antiqua" w:hAnsi="Book Antiqua"/>
        </w:rPr>
        <w:fldChar w:fldCharType="begin" w:fldLock="1"/>
      </w:r>
      <w:r w:rsidR="00C736BC" w:rsidRPr="00783FEF">
        <w:rPr>
          <w:rFonts w:ascii="Book Antiqua" w:hAnsi="Book Antiqua"/>
        </w:rPr>
        <w:instrText>ADDIN CSL_CITATION { "citationItems" : [ { "id" : "ITEM-1", "itemData" : { "DOI" : "10.1016/j.cgh.2011.10.028", "ISSN" : "15423565", "abstract" : "Liver transplantation is an effective treatment for patients with end-stage acute and chronic autoimmune hepatitis. However, despite the good outcomes reported, disease recurrence is relatively common in the allograft. In addition, autoimmunity and autoimmune liver disease can arise de novo after transplantation for non-autoimmune liver disorders. Little is known about the mechanisms by which autoimmune diseases develop after liver transplantation, but genetic factors, molecular mimicry, impaired regulatory T-cell responses, and exposures to new alloantigens might be involved. Regardless of the pathogenic mechanisms, it is important to remain aware of the existence of recurrent and de novo autoimmune hepatitis after liver transplantation; these disorders are similar to classic autoimmune hepatitis and are therefore not treated with standard antirejection strategies. ?? 2012 AGA Institute.", "author" : [ { "dropping-particle" : "", "family" : "Liberal", "given" : "Rodrigo", "non-dropping-particle" : "", "parse-names" : false, "suffix" : "" }, { "dropping-particle" : "", "family" : "Longhi", "given" : "Maria Serena", "non-dropping-particle" : "", "parse-names" : false, "suffix" : "" }, { "dropping-particle" : "", "family" : "Grant", "given" : "Charlotte R.", "non-dropping-particle" : "", "parse-names" : false, "suffix" : "" }, { "dropping-particle" : "", "family" : "Mieli-Vergani", "given" : "Giorgina", "non-dropping-particle" : "", "parse-names" : false, "suffix" : "" }, { "dropping-particle" : "", "family" : "Vergani", "given" : "Diego", "non-dropping-particle" : "", "parse-names" : false, "suffix" : "" } ], "container-title" : "Clinical Gastroenterology and Hepatology", "id" : "ITEM-1", "issue" : "4", "issued" : { "date-parts" : [ [ "2012" ] ] }, "page" : "346-353", "publisher" : "Elsevier Inc.", "title" : "Autoimmune Hepatitis After Liver Transplantation", "type" : "article-journal", "volume" : "10" }, "uris" : [ "http://www.mendeley.com/documents/?uuid=961af2c0-e818-4648-b705-fe6245913a22" ] }, { "id" : "ITEM-2", "itemData" : { "DOI" : "10.1002/lt.23749", "ISSN" : "1527-6473 (Electronic)", "PMID" : "24108496", "author" : [ { "dropping-particle" : "", "family" : "Sanchez-Fueyo", "given" : "Alberto", "non-dropping-particle" : "", "parse-names" : false, "suffix" : "" } ], "container-title" : "Liver transplantation : official publication of the American Association for the  Study of Liver Diseases and the International Liver Transplantation Society", "id" : "ITEM-2", "issued" : { "date-parts" : [ [ "2013", "11" ] ] }, "language" : "eng", "page" : "S44-8", "publisher-place" : "United States", "title" : "Tolerance profiles and immunosuppression.", "type" : "article-journal", "volume" : "19 Suppl 2" }, "uris" : [ "http://www.mendeley.com/documents/?uuid=602df6a8-6ff7-44bf-842d-726374b9cede" ] }, { "id" : "ITEM-3", "itemData" : { "ISSN" : "0168-8278 (Print)", "PMID" : "14672607", "author" : [ { "dropping-particle" : "", "family" : "Mieli-Vergani", "given" : "Giorgina", "non-dropping-particle" : "", "parse-names" : false, "suffix" : "" }, { "dropping-particle" : "", "family" : "Vergani", "given" : "Diego", "non-dropping-particle" : "", "parse-names" : false, "suffix" : "" } ], "container-title" : "Journal of hepatology", "id" : "ITEM-3", "issue" : "1", "issued" : { "date-parts" : [ [ "2004", "1" ] ] }, "language" : "eng", "page" : "3-7", "publisher-place" : "England", "title" : "De novo autoimmune hepatitis after liver transplantation.", "type" : "article-journal", "volume" : "40" }, "uris" : [ "http://www.mendeley.com/documents/?uuid=fcbe3663-1f0a-4128-b570-a4b8dd957671" ] } ], "mendeley" : { "formattedCitation" : "&lt;sup&gt;[8,57,58]&lt;/sup&gt;", "plainTextFormattedCitation" : "[8,57,58]", "previouslyFormattedCitation" : "&lt;sup&gt;[8,57,58]&lt;/sup&gt;" }, "properties" : { "noteIndex" : 0 }, "schema" : "https://github.com/citation-style-language/schema/raw/master/csl-citation.json" }</w:instrText>
      </w:r>
      <w:r w:rsidR="001D26D7" w:rsidRPr="00783FEF">
        <w:rPr>
          <w:rFonts w:ascii="Book Antiqua" w:hAnsi="Book Antiqua"/>
        </w:rPr>
        <w:fldChar w:fldCharType="separate"/>
      </w:r>
      <w:r w:rsidR="00B74213" w:rsidRPr="00783FEF">
        <w:rPr>
          <w:rFonts w:ascii="Book Antiqua" w:hAnsi="Book Antiqua"/>
          <w:noProof/>
          <w:vertAlign w:val="superscript"/>
        </w:rPr>
        <w:t>[8,</w:t>
      </w:r>
      <w:r w:rsidR="001D26D7" w:rsidRPr="00783FEF">
        <w:rPr>
          <w:rFonts w:ascii="Book Antiqua" w:hAnsi="Book Antiqua"/>
        </w:rPr>
        <w:fldChar w:fldCharType="begin" w:fldLock="1"/>
      </w:r>
      <w:r w:rsidR="00F167A6" w:rsidRPr="00783FEF">
        <w:rPr>
          <w:rFonts w:ascii="Book Antiqua" w:hAnsi="Book Antiqua"/>
        </w:rPr>
        <w:instrText>ADDIN CSL_CITATION { "citationItems" : [ { "id" : "ITEM-1", "itemData" : { "DOI" : "10.1055/s-0031-1272834", "ISSN" : "1098-8971 (Electronic)", "PMID" : "21344352", "abstract" : "Allograft dysfunction with clinical, serologic, and histologic features resembling autoimmune hepatitis (AIH) may develop in pediatric and adult patients who have received a liver transplant (LT) for end-stage diseases other than AIH. This condition is now known as de novo AIH, although its pathophysiology is still uncertain and whether it represents a specific type of rejection or a genuine form of AIH is under debate. The occurrence of de novo AIH seems to be unrelated to the etiology of the disease necessitating liver transplantation, but it has been correlated with antiviral treatment in cases of hepatitis C virus (HCV) infection recurring after LT. Several investigators have reported adverse outcome of de novo AIH, including graft failure, particularly in cases with late diagnosis. Prompt treatment with prednisone, with or without azathioprine (in addition to the basic immunosuppressive regimen), seems to be the best option. The histology of de novo AIH is characterized by an infiltrate rich in plasma cells with significant interface hepatitis and perivenular necro-inflammatory activity. These features are not specific for autoimmune damage; therefore, other causes of graft dysfunction must be excluded. The final diagnosis may be a challenge in patients with recurrent hepatitis C, and requires careful clinical and pathologic assessment.", "author" : [ { "dropping-particle" : "", "family" : "Guido", "given" : "Maria", "non-dropping-particle" : "", "parse-names" : false, "suffix" : "" }, { "dropping-particle" : "", "family" : "Burra", "given" : "Patrizia", "non-dropping-particle" : "", "parse-names" : false, "suffix" : "" } ], "container-title" : "Seminars in liver disease", "id" : "ITEM-1", "issue" : "1", "issued" : { "date-parts" : [ [ "2011", "2" ] ] }, "language" : "eng", "page" : "71-81", "publisher-place" : "United States", "title" : "De novo autoimmune hepatitis after liver transplantation.", "type" : "article-journal", "volume" : "31" }, "uris" : [ "http://www.mendeley.com/documents/?uuid=a54ab5eb-2307-4dc4-a0fa-92a26ddbff12" ] } ], "mendeley" : { "formattedCitation" : "&lt;sup&gt;[56]&lt;/sup&gt;", "plainTextFormattedCitation" : "[56]", "previouslyFormattedCitation" : "&lt;sup&gt;[56]&lt;/sup&gt;" }, "properties" : { "noteIndex" : 0 }, "schema" : "https://github.com/citation-style-language/schema/raw/master/csl-citation.json" }</w:instrText>
      </w:r>
      <w:r w:rsidR="001D26D7" w:rsidRPr="00783FEF">
        <w:rPr>
          <w:rFonts w:ascii="Book Antiqua" w:hAnsi="Book Antiqua"/>
        </w:rPr>
        <w:fldChar w:fldCharType="separate"/>
      </w:r>
      <w:r w:rsidR="00F167A6" w:rsidRPr="00783FEF">
        <w:rPr>
          <w:rFonts w:ascii="Book Antiqua" w:hAnsi="Book Antiqua"/>
          <w:noProof/>
          <w:vertAlign w:val="superscript"/>
        </w:rPr>
        <w:t>56</w:t>
      </w:r>
      <w:r w:rsidR="001D26D7" w:rsidRPr="00783FEF">
        <w:rPr>
          <w:rFonts w:ascii="Book Antiqua" w:hAnsi="Book Antiqua"/>
        </w:rPr>
        <w:fldChar w:fldCharType="end"/>
      </w:r>
      <w:r w:rsidR="00F167A6" w:rsidRPr="00783FEF">
        <w:rPr>
          <w:rFonts w:ascii="Book Antiqua" w:hAnsi="Book Antiqua"/>
          <w:vertAlign w:val="superscript"/>
        </w:rPr>
        <w:t>-5</w:t>
      </w:r>
      <w:r w:rsidR="00B74213" w:rsidRPr="00783FEF">
        <w:rPr>
          <w:rFonts w:ascii="Book Antiqua" w:hAnsi="Book Antiqua"/>
          <w:noProof/>
          <w:vertAlign w:val="superscript"/>
        </w:rPr>
        <w:t>8]</w:t>
      </w:r>
      <w:r w:rsidR="001D26D7" w:rsidRPr="00783FEF">
        <w:rPr>
          <w:rFonts w:ascii="Book Antiqua" w:hAnsi="Book Antiqua"/>
        </w:rPr>
        <w:fldChar w:fldCharType="end"/>
      </w:r>
      <w:r w:rsidRPr="00783FEF">
        <w:rPr>
          <w:rFonts w:ascii="Book Antiqua" w:hAnsi="Book Antiqua"/>
        </w:rPr>
        <w:t xml:space="preserve">. The auto-reactivity of the T cells is stimulated by a cause that is independent of chronic inflammatory </w:t>
      </w:r>
      <w:r w:rsidRPr="00783FEF">
        <w:rPr>
          <w:rFonts w:ascii="Book Antiqua" w:hAnsi="Book Antiqua"/>
          <w:i/>
        </w:rPr>
        <w:t xml:space="preserve">noxa </w:t>
      </w:r>
      <w:r w:rsidRPr="00783FEF">
        <w:rPr>
          <w:rFonts w:ascii="Book Antiqua" w:hAnsi="Book Antiqua"/>
        </w:rPr>
        <w:t>and possibly leads to the endogenous presentation of self-epitopes</w:t>
      </w:r>
      <w:r w:rsidR="001D26D7" w:rsidRPr="00783FEF">
        <w:rPr>
          <w:rFonts w:ascii="Book Antiqua" w:hAnsi="Book Antiqua"/>
        </w:rPr>
        <w:fldChar w:fldCharType="begin" w:fldLock="1"/>
      </w:r>
      <w:r w:rsidR="00C736BC" w:rsidRPr="00783FEF">
        <w:rPr>
          <w:rFonts w:ascii="Book Antiqua" w:hAnsi="Book Antiqua"/>
        </w:rPr>
        <w:instrText>ADDIN CSL_CITATION { "citationItems" : [ { "id" : "ITEM-1", "itemData" : { "DOI" : "10.1111/imr.12091", "ISSN" : "1600-065X (Electronic)", "PMID" : "23947356", "abstract" : "As a group of disorders, autoimmunity ranks as the third most prevalent cause of  morbidity and mortality in the Western World. However, the etiology of most autoimmune diseases remains unknown. Although genetic linkage studies support a critical underlying role for genetics, the geographic distribution of these disorders as well as the low concordance rates in monozygotic twins suggest that a combination of other factors including environmental ones are involved. Virus infection is a primary factor that has been implicated in the initiation of autoimmune disease. Infection triggers a robust and usually well-coordinated immune response that is critical for viral clearance. However, in some instances, immune regulatory mechanisms may falter, culminating in the breakdown of self-tolerance, resulting in immune-mediated attack directed against both viral and self-antigens. Traditionally, cross-reactive T-cell recognition, known as molecular mimicry, as well as bystander T-cell activation, culminating in epitope spreading, have been the predominant mechanisms elucidated through which infection may culminate in an T-cell-mediated autoimmune response. However, other hypotheses including virus-induced decoy of the immune system also warrant discussion in regard to their potential for triggering autoimmunity. In this review, we discuss the mechanisms by which virus infection and antiviral immunity contribute to the development of autoimmunity.", "author" : [ { "dropping-particle" : "", "family" : "Getts", "given" : "Daniel R", "non-dropping-particle" : "", "parse-names" : false, "suffix" : "" }, { "dropping-particle" : "", "family" : "Chastain", "given" : "Emily M L", "non-dropping-particle" : "", "parse-names" : false, "suffix" : "" }, { "dropping-particle" : "", "family" : "Terry", "given" : "Rachael L", "non-dropping-particle" : "", "parse-names" : false, "suffix" : "" }, { "dropping-particle" : "", "family" : "Miller", "given" : "Stephen D", "non-dropping-particle" : "", "parse-names" : false, "suffix" : "" } ], "container-title" : "Immunological reviews", "id" : "ITEM-1", "issue" : "1", "issued" : { "date-parts" : [ [ "2013", "9" ] ] }, "language" : "eng", "page" : "197-209", "publisher-place" : "England", "title" : "Virus infection, antiviral immunity, and autoimmunity.", "type" : "article-journal", "volume" : "255" }, "uris" : [ "http://www.mendeley.com/documents/?uuid=1737e4d0-b784-4386-b3d2-95076feebbbf" ] } ], "mendeley" : { "formattedCitation" : "&lt;sup&gt;[59]&lt;/sup&gt;", "plainTextFormattedCitation" : "[59]", "previouslyFormattedCitation" : "&lt;sup&gt;[59]&lt;/sup&gt;" }, "properties" : { "noteIndex" : 0 }, "schema" : "https://github.com/citation-style-language/schema/raw/master/csl-citation.json" }</w:instrText>
      </w:r>
      <w:r w:rsidR="001D26D7" w:rsidRPr="00783FEF">
        <w:rPr>
          <w:rFonts w:ascii="Book Antiqua" w:hAnsi="Book Antiqua"/>
        </w:rPr>
        <w:fldChar w:fldCharType="separate"/>
      </w:r>
      <w:r w:rsidR="00C736BC" w:rsidRPr="00783FEF">
        <w:rPr>
          <w:rFonts w:ascii="Book Antiqua" w:hAnsi="Book Antiqua"/>
          <w:noProof/>
          <w:vertAlign w:val="superscript"/>
        </w:rPr>
        <w:t>[59]</w:t>
      </w:r>
      <w:r w:rsidR="001D26D7" w:rsidRPr="00783FEF">
        <w:rPr>
          <w:rFonts w:ascii="Book Antiqua" w:hAnsi="Book Antiqua"/>
        </w:rPr>
        <w:fldChar w:fldCharType="end"/>
      </w:r>
      <w:r w:rsidRPr="00783FEF">
        <w:rPr>
          <w:rFonts w:ascii="Book Antiqua" w:hAnsi="Book Antiqua"/>
        </w:rPr>
        <w:t>. This phenomenon is known as ‘epitope spreading’</w:t>
      </w:r>
      <w:r w:rsidR="001D26D7" w:rsidRPr="00783FEF">
        <w:rPr>
          <w:rFonts w:ascii="Book Antiqua" w:hAnsi="Book Antiqua"/>
        </w:rPr>
        <w:fldChar w:fldCharType="begin" w:fldLock="1"/>
      </w:r>
      <w:r w:rsidR="008B2555" w:rsidRPr="00783FEF">
        <w:rPr>
          <w:rFonts w:ascii="Book Antiqua" w:hAnsi="Book Antiqua"/>
        </w:rPr>
        <w:instrText>ADDIN CSL_CITATION { "citationItems" : [ { "id" : "ITEM-1", "itemData" : { "DOI" : "10.1016/S0952-7915(96)80012-4", "ISSN" : "09527915", "abstract" : "Epitope (determinant) spreading is the development of immune responses to endogenous epitopes secondary to the release of self antigens during a chronic autoimmune or inflammatory response. The past year has seen considerable advances in our understanding of the contribution of epitope spreading to the chronic pathogenesis of experimental T-cell-mediated and antibody-mediated autoimmune diseases. Most significantly, conclusive functional evidence for a major role for epitope spreading in the chronic pathogenesis of murine relapsing-remitting experimental autoimmune encephalomyelitis, a CD4+ T-cell-mediated model of multiple sclerosis, was forthcoming.", "author" : [ { "dropping-particle" : "", "family" : "Vanderlugt", "given" : "Carol J", "non-dropping-particle" : "", "parse-names" : false, "suffix" : "" }, { "dropping-particle" : "", "family" : "Miller", "given" : "Stephen D", "non-dropping-particle" : "", "parse-names" : false, "suffix" : "" } ], "container-title" : "Current Opinion in Immunology", "id" : "ITEM-1", "issue" : "6", "issued" : { "date-parts" : [ [ "1996", "12" ] ] }, "page" : "831-836", "title" : "Epitope spreading", "type" : "article-journal", "volume" : "8" }, "uris" : [ "http://www.mendeley.com/documents/?uuid=6b6360ca-bfdd-457a-8594-fbc623dbad31" ] }, { "id" : "ITEM-2", "itemData" : { "ISSN" : "1474-1733", "author" : [ { "dropping-particle" : "", "family" : "Vanderlugt", "given" : "Carol L", "non-dropping-particle" : "", "parse-names" : false, "suffix" : "" }, { "dropping-particle" : "", "family" : "Miller", "given" : "Stephen D", "non-dropping-particle" : "", "parse-names" : false, "suffix" : "" } ], "container-title" : "Nat Rev Immunol", "id" : "ITEM-2", "issue" : "2", "issued" : { "date-parts" : [ [ "2002", "2" ] ] }, "note" : "10.1038/nri724", "page" : "85-95", "publisher" : "Nature Publishing Group", "title" : "Epitope spreading in immune-mediated diseases: implications for immunotherapy", "type" : "article-journal", "volume" : "2" }, "uris" : [ "http://www.mendeley.com/documents/?uuid=c7ed39af-c842-4baf-9253-503cd203fbf6" ] }, { "id" : "ITEM-3", "itemData" : { "DOI" : "10.1111/imr.12091", "ISSN" : "1600-065X (Electronic)", "PMID" : "23947356", "abstract" : "As a group of disorders, autoimmunity ranks as the third most prevalent cause of  morbidity and mortality in the Western World. However, the etiology of most autoimmune diseases remains unknown. Although genetic linkage studies support a critical underlying role for genetics, the geographic distribution of these disorders as well as the low concordance rates in monozygotic twins suggest that a combination of other factors including environmental ones are involved. Virus infection is a primary factor that has been implicated in the initiation of autoimmune disease. Infection triggers a robust and usually well-coordinated immune response that is critical for viral clearance. However, in some instances, immune regulatory mechanisms may falter, culminating in the breakdown of self-tolerance, resulting in immune-mediated attack directed against both viral and self-antigens. Traditionally, cross-reactive T-cell recognition, known as molecular mimicry, as well as bystander T-cell activation, culminating in epitope spreading, have been the predominant mechanisms elucidated through which infection may culminate in an T-cell-mediated autoimmune response. However, other hypotheses including virus-induced decoy of the immune system also warrant discussion in regard to their potential for triggering autoimmunity. In this review, we discuss the mechanisms by which virus infection and antiviral immunity contribute to the development of autoimmunity.", "author" : [ { "dropping-particle" : "", "family" : "Getts", "given" : "Daniel R", "non-dropping-particle" : "", "parse-names" : false, "suffix" : "" }, { "dropping-particle" : "", "family" : "Chastain", "given" : "Emily M L", "non-dropping-particle" : "", "parse-names" : false, "suffix" : "" }, { "dropping-particle" : "", "family" : "Terry", "given" : "Rachael L", "non-dropping-particle" : "", "parse-names" : false, "suffix" : "" }, { "dropping-particle" : "", "family" : "Miller", "given" : "Stephen D", "non-dropping-particle" : "", "parse-names" : false, "suffix" : "" } ], "container-title" : "Immunological reviews", "id" : "ITEM-3", "issue" : "1", "issued" : { "date-parts" : [ [ "2013", "9" ] ] }, "language" : "eng", "page" : "197-209", "publisher-place" : "England", "title" : "Virus infection, antiviral immunity, and autoimmunity.", "type" : "article-journal", "volume" : "255" }, "uris" : [ "http://www.mendeley.com/documents/?uuid=1737e4d0-b784-4386-b3d2-95076feebbbf" ] } ], "mendeley" : { "formattedCitation" : "&lt;sup&gt;[59\u201361]&lt;/sup&gt;", "plainTextFormattedCitation" : "[59\u201361]", "previouslyFormattedCitation" : "&lt;sup&gt;[59\u201361]&lt;/sup&gt;" }, "properties" : { "noteIndex" : 0 }, "schema" : "https://github.com/citation-style-language/schema/raw/master/csl-citation.json" }</w:instrText>
      </w:r>
      <w:r w:rsidR="001D26D7" w:rsidRPr="00783FEF">
        <w:rPr>
          <w:rFonts w:ascii="Book Antiqua" w:hAnsi="Book Antiqua"/>
        </w:rPr>
        <w:fldChar w:fldCharType="separate"/>
      </w:r>
      <w:r w:rsidR="00C50962" w:rsidRPr="00783FEF">
        <w:rPr>
          <w:rFonts w:ascii="Book Antiqua" w:hAnsi="Book Antiqua"/>
          <w:noProof/>
          <w:vertAlign w:val="superscript"/>
        </w:rPr>
        <w:t>[59–61]</w:t>
      </w:r>
      <w:r w:rsidR="001D26D7" w:rsidRPr="00783FEF">
        <w:rPr>
          <w:rFonts w:ascii="Book Antiqua" w:hAnsi="Book Antiqua"/>
        </w:rPr>
        <w:fldChar w:fldCharType="end"/>
      </w:r>
      <w:r w:rsidRPr="00783FEF">
        <w:rPr>
          <w:rFonts w:ascii="Book Antiqua" w:hAnsi="Book Antiqua"/>
        </w:rPr>
        <w:t>. The mechanisms that are thought to contribute to the genesis of liver graft autoimmunity are at least in part induced by immunosuppressive agents</w:t>
      </w:r>
      <w:r w:rsidR="001D26D7" w:rsidRPr="00783FEF">
        <w:rPr>
          <w:rFonts w:ascii="Book Antiqua" w:hAnsi="Book Antiqua"/>
        </w:rPr>
        <w:fldChar w:fldCharType="begin" w:fldLock="1"/>
      </w:r>
      <w:r w:rsidR="00B8382C" w:rsidRPr="00783FEF">
        <w:rPr>
          <w:rFonts w:ascii="Book Antiqua" w:hAnsi="Book Antiqua"/>
        </w:rPr>
        <w:instrText>ADDIN CSL_CITATION { "citationItems" : [ { "id" : "ITEM-1", "itemData" : { "DOI" : "10.1016/j.cgh.2011.10.028", "ISSN" : "15423565", "abstract" : "Liver transplantation is an effective treatment for patients with end-stage acute and chronic autoimmune hepatitis. However, despite the good outcomes reported, disease recurrence is relatively common in the allograft. In addition, autoimmunity and autoimmune liver disease can arise de novo after transplantation for non-autoimmune liver disorders. Little is known about the mechanisms by which autoimmune diseases develop after liver transplantation, but genetic factors, molecular mimicry, impaired regulatory T-cell responses, and exposures to new alloantigens might be involved. Regardless of the pathogenic mechanisms, it is important to remain aware of the existence of recurrent and de novo autoimmune hepatitis after liver transplantation; these disorders are similar to classic autoimmune hepatitis and are therefore not treated with standard antirejection strategies. ?? 2012 AGA Institute.", "author" : [ { "dropping-particle" : "", "family" : "Liberal", "given" : "Rodrigo", "non-dropping-particle" : "", "parse-names" : false, "suffix" : "" }, { "dropping-particle" : "", "family" : "Longhi", "given" : "Maria Serena", "non-dropping-particle" : "", "parse-names" : false, "suffix" : "" }, { "dropping-particle" : "", "family" : "Grant", "given" : "Charlotte R.", "non-dropping-particle" : "", "parse-names" : false, "suffix" : "" }, { "dropping-particle" : "", "family" : "Mieli-Vergani", "given" : "Giorgina", "non-dropping-particle" : "", "parse-names" : false, "suffix" : "" }, { "dropping-particle" : "", "family" : "Vergani", "given" : "Diego", "non-dropping-particle" : "", "parse-names" : false, "suffix" : "" } ], "container-title" : "Clinical Gastroenterology and Hepatology", "id" : "ITEM-1", "issue" : "4", "issued" : { "date-parts" : [ [ "2012" ] ] }, "page" : "346-353", "publisher" : "Elsevier Inc.", "title" : "Autoimmune Hepatitis After Liver Transplantation", "type" : "article-journal", "volume" : "10" }, "uris" : [ "http://www.mendeley.com/documents/?uuid=961af2c0-e818-4648-b705-fe6245913a22" ] } ], "mendeley" : { "formattedCitation" : "&lt;sup&gt;[8]&lt;/sup&gt;", "plainTextFormattedCitation" : "[8]", "previouslyFormattedCitation" : "&lt;sup&gt;[8]&lt;/sup&gt;" }, "properties" : { "noteIndex" : 0 }, "schema" : "https://github.com/citation-style-language/schema/raw/master/csl-citation.json" }</w:instrText>
      </w:r>
      <w:r w:rsidR="001D26D7" w:rsidRPr="00783FEF">
        <w:rPr>
          <w:rFonts w:ascii="Book Antiqua" w:hAnsi="Book Antiqua"/>
        </w:rPr>
        <w:fldChar w:fldCharType="separate"/>
      </w:r>
      <w:r w:rsidR="008B2555" w:rsidRPr="00783FEF">
        <w:rPr>
          <w:rFonts w:ascii="Book Antiqua" w:hAnsi="Book Antiqua"/>
          <w:noProof/>
          <w:vertAlign w:val="superscript"/>
        </w:rPr>
        <w:t>[8]</w:t>
      </w:r>
      <w:r w:rsidR="001D26D7" w:rsidRPr="00783FEF">
        <w:rPr>
          <w:rFonts w:ascii="Book Antiqua" w:hAnsi="Book Antiqua"/>
        </w:rPr>
        <w:fldChar w:fldCharType="end"/>
      </w:r>
      <w:r w:rsidRPr="00783FEF">
        <w:rPr>
          <w:rFonts w:ascii="Book Antiqua" w:hAnsi="Book Antiqua"/>
        </w:rPr>
        <w:t>. Calcineurin inhibitors may cause the impairment of T-reg cells function</w:t>
      </w:r>
      <w:r w:rsidR="001D26D7" w:rsidRPr="00783FEF">
        <w:rPr>
          <w:rFonts w:ascii="Book Antiqua" w:hAnsi="Book Antiqua"/>
          <w:vertAlign w:val="superscript"/>
        </w:rPr>
        <w:fldChar w:fldCharType="begin" w:fldLock="1"/>
      </w:r>
      <w:r w:rsidRPr="00783FEF">
        <w:rPr>
          <w:rFonts w:ascii="Book Antiqua" w:hAnsi="Book Antiqua"/>
          <w:vertAlign w:val="superscript"/>
        </w:rPr>
        <w:instrText>ADDIN CSL_CITATION { "citationItems" : [ { "id" : "ITEM-1", "itemData" : { "DOI" : "10.1016/j.cgh.2011.10.028", "ISSN" : "15423565", "abstract" : "Liver transplantation is an effective treatment for patients with end-stage acute and chronic autoimmune hepatitis. However, despite the good outcomes reported, disease recurrence is relatively common in the allograft. In addition, autoimmunity and autoimmune liver disease can arise de novo after transplantation for non-autoimmune liver disorders. Little is known about the mechanisms by which autoimmune diseases develop after liver transplantation, but genetic factors, molecular mimicry, impaired regulatory T-cell responses, and exposures to new alloantigens might be involved. Regardless of the pathogenic mechanisms, it is important to remain aware of the existence of recurrent and de novo autoimmune hepatitis after liver transplantation; these disorders are similar to classic autoimmune hepatitis and are therefore not treated with standard antirejection strategies. ?? 2012 AGA Institute.", "author" : [ { "dropping-particle" : "", "family" : "Liberal", "given" : "Rodrigo", "non-dropping-particle" : "", "parse-names" : false, "suffix" : "" }, { "dropping-particle" : "", "family" : "Longhi", "given" : "Maria Serena", "non-dropping-particle" : "", "parse-names" : false, "suffix" : "" }, { "dropping-particle" : "", "family" : "Grant", "given" : "Charlotte R.", "non-dropping-particle" : "", "parse-names" : false, "suffix" : "" }, { "dropping-particle" : "", "family" : "Mieli-Vergani", "given" : "Giorgina", "non-dropping-particle" : "", "parse-names" : false, "suffix" : "" }, { "dropping-particle" : "", "family" : "Vergani", "given" : "Diego", "non-dropping-particle" : "", "parse-names" : false, "suffix" : "" } ], "container-title" : "Clinical Gastroenterology and Hepatology", "id" : "ITEM-1", "issue" : "4", "issued" : { "date-parts" : [ [ "2012" ] ] }, "page" : "346-353", "publisher" : "Elsevier Inc.", "title" : "Autoimmune Hepatitis After Liver Transplantation", "type" : "article-journal", "volume" : "10" }, "uris" : [ "http://www.mendeley.com/documents/?uuid=961af2c0-e818-4648-b705-fe6245913a22" ] } ], "mendeley" : { "formattedCitation" : "&lt;sup&gt;[8]&lt;/sup&gt;", "plainTextFormattedCitation" : "[8]", "previouslyFormattedCitation" : "&lt;sup&gt;[8]&lt;/sup&gt;" }, "properties" : { "noteIndex" : 0 }, "schema" : "https://github.com/citation-style-language/schema/raw/master/csl-citation.json" }</w:instrText>
      </w:r>
      <w:r w:rsidR="001D26D7" w:rsidRPr="00783FEF">
        <w:rPr>
          <w:rFonts w:ascii="Book Antiqua" w:hAnsi="Book Antiqua"/>
          <w:vertAlign w:val="superscript"/>
        </w:rPr>
        <w:fldChar w:fldCharType="separate"/>
      </w:r>
      <w:r w:rsidRPr="00783FEF">
        <w:rPr>
          <w:rFonts w:ascii="Book Antiqua" w:hAnsi="Book Antiqua"/>
          <w:noProof/>
          <w:vertAlign w:val="superscript"/>
        </w:rPr>
        <w:t>[8]</w:t>
      </w:r>
      <w:r w:rsidR="001D26D7" w:rsidRPr="00783FEF">
        <w:rPr>
          <w:rFonts w:ascii="Book Antiqua" w:hAnsi="Book Antiqua"/>
          <w:vertAlign w:val="superscript"/>
        </w:rPr>
        <w:fldChar w:fldCharType="end"/>
      </w:r>
      <w:r w:rsidRPr="00783FEF">
        <w:rPr>
          <w:rFonts w:ascii="Book Antiqua" w:hAnsi="Book Antiqua"/>
        </w:rPr>
        <w:t xml:space="preserve"> </w:t>
      </w:r>
      <w:r w:rsidRPr="00F41E66">
        <w:rPr>
          <w:rFonts w:ascii="Book Antiqua" w:hAnsi="Book Antiqua"/>
          <w:i/>
        </w:rPr>
        <w:t>via</w:t>
      </w:r>
      <w:r w:rsidRPr="00783FEF">
        <w:rPr>
          <w:rFonts w:ascii="Book Antiqua" w:hAnsi="Book Antiqua"/>
        </w:rPr>
        <w:t xml:space="preserve"> the recognition of self-antigens of the type II major histocompatibility complex (MHC) by the T cells in a manner similar to that of observed in graft-versus-host disease</w:t>
      </w:r>
      <w:r w:rsidR="00E949C4" w:rsidRPr="00783FEF">
        <w:rPr>
          <w:rFonts w:ascii="Book Antiqua" w:hAnsi="Book Antiqua"/>
        </w:rPr>
        <w:t>,</w:t>
      </w:r>
      <w:r w:rsidRPr="00783FEF">
        <w:rPr>
          <w:rFonts w:ascii="Book Antiqua" w:hAnsi="Book Antiqua"/>
        </w:rPr>
        <w:t xml:space="preserve"> by inducing a reduction in the production of interleukin-2 which is normally required for the survival and the proliferation of T-reg cells</w:t>
      </w:r>
      <w:r w:rsidR="001D26D7" w:rsidRPr="00783FEF">
        <w:rPr>
          <w:rFonts w:ascii="Book Antiqua" w:hAnsi="Book Antiqua"/>
        </w:rPr>
        <w:fldChar w:fldCharType="begin" w:fldLock="1"/>
      </w:r>
      <w:r w:rsidR="00C736BC" w:rsidRPr="00783FEF">
        <w:rPr>
          <w:rFonts w:ascii="Book Antiqua" w:hAnsi="Book Antiqua"/>
        </w:rPr>
        <w:instrText>ADDIN CSL_CITATION { "citationItems" : [ { "id" : "ITEM-1", "itemData" : { "DOI" : "10.1111/j.1600-6143.2007.01881.x", "ISBN" : "1600-6135 (Print)\\n1600-6135 (Linking)", "ISSN" : "16006135", "PMID" : "17617853", "abstract" : "Allograft(dagger) transplant outcome, rejection or tolerance, depends upon striking a balance between the pertinent cytopathic and regulatory T cells. The drug cyclosporine is a widely used immunosuppressive agent among transplant recipients. Previous studies have demonstrated that cyclosporine blocks apoptosis of activated T cells and the ability of costimulation blockade based regimens to create peripheral transplant tolerance. We now test the hypothesis that the mechanism by which cyclosporine blocks tolerance induction is IL-2 dependent, and linked to a detrimental effect upon T(reg) function. Our study demonstrates that cyclosporine blocks IL-2 gene expression and activation induced cell death (AICD) of alloreactive T effector cells. We also show that cyclosporine abolishes the beneficial effects of a donor specific transfusion (DST) plus anti-CD154 monoclonal antibody (alpha CD154) regimen on enhanced T(regs) function and allograft tolerance induction. Interestingly, provision of IL-2/Fc, a long-lived form of IL-2, completely reverses the detrimental effects of this adjunctive cyclosporine treatment on AICD of alloreactive T effectors, T(regs) function and tolerance induction. Furthermore, in a MHC mismatched islet allograft model, the combination of cyclosporine with IL-2/Fc permitted long-term allograft survival and induced alloantigen specific allograft tolerance. The combination of IL-2/Fc and cyclosporine treatment may provide a new clinical strategy to promote transplant tolerance.", "author" : [ { "dropping-particle" : "", "family" : "Kang", "given" : "H. G.", "non-dropping-particle" : "", "parse-names" : false, "suffix" : "" }, { "dropping-particle" : "", "family" : "Zhang", "given" : "D.", "non-dropping-particle" : "", "parse-names" : false, "suffix" : "" }, { "dropping-particle" : "", "family" : "Degauque", "given" : "N.", "non-dropping-particle" : "", "parse-names" : false, "suffix" : "" }, { "dropping-particle" : "", "family" : "Mariat", "given" : "C.", "non-dropping-particle" : "", "parse-names" : false, "suffix" : "" }, { "dropping-particle" : "", "family" : "Alexopoulos", "given" : "S.", "non-dropping-particle" : "", "parse-names" : false, "suffix" : "" }, { "dropping-particle" : "", "family" : "Zheng", "given" : "X. X.", "non-dropping-particle" : "", "parse-names" : false, "suffix" : "" } ], "container-title" : "American Journal of Transplantation", "id" : "ITEM-1", "issue" : "8", "issued" : { "date-parts" : [ [ "2007" ] ] }, "page" : "1907-1916", "title" : "Effects of cyclosporine on transplant tolerance: The role of IL-2", "type" : "article-journal", "volume" : "7" }, "uris" : [ "http://www.mendeley.com/documents/?uuid=227a91e6-74b0-462a-9f9a-1a2ce912a993" ] } ], "mendeley" : { "formattedCitation" : "&lt;sup&gt;[62]&lt;/sup&gt;", "plainTextFormattedCitation" : "[62]", "previouslyFormattedCitation" : "&lt;sup&gt;[62]&lt;/sup&gt;" }, "properties" : { "noteIndex" : 0 }, "schema" : "https://github.com/citation-style-language/schema/raw/master/csl-citation.json" }</w:instrText>
      </w:r>
      <w:r w:rsidR="001D26D7" w:rsidRPr="00783FEF">
        <w:rPr>
          <w:rFonts w:ascii="Book Antiqua" w:hAnsi="Book Antiqua"/>
        </w:rPr>
        <w:fldChar w:fldCharType="separate"/>
      </w:r>
      <w:r w:rsidR="00B74213" w:rsidRPr="00783FEF">
        <w:rPr>
          <w:rFonts w:ascii="Book Antiqua" w:hAnsi="Book Antiqua"/>
          <w:noProof/>
          <w:vertAlign w:val="superscript"/>
        </w:rPr>
        <w:t>[62]</w:t>
      </w:r>
      <w:r w:rsidR="001D26D7" w:rsidRPr="00783FEF">
        <w:rPr>
          <w:rFonts w:ascii="Book Antiqua" w:hAnsi="Book Antiqua"/>
        </w:rPr>
        <w:fldChar w:fldCharType="end"/>
      </w:r>
      <w:r w:rsidRPr="00783FEF">
        <w:rPr>
          <w:rFonts w:ascii="Book Antiqua" w:hAnsi="Book Antiqua"/>
        </w:rPr>
        <w:t>. Notably, interactions between immunosuppressors and the maturation of the T cells have been hypothesized to exert even greater influence on immature immunity than that which occurs in child LT recipients</w:t>
      </w:r>
      <w:r w:rsidR="001D26D7" w:rsidRPr="00783FEF">
        <w:rPr>
          <w:rFonts w:ascii="Book Antiqua" w:hAnsi="Book Antiqua"/>
        </w:rPr>
        <w:fldChar w:fldCharType="begin" w:fldLock="1"/>
      </w:r>
      <w:r w:rsidR="00C736BC" w:rsidRPr="00783FEF">
        <w:rPr>
          <w:rFonts w:ascii="Book Antiqua" w:hAnsi="Book Antiqua"/>
        </w:rPr>
        <w:instrText>ADDIN CSL_CITATION { "citationItems" : [ { "id" : "ITEM-1", "itemData" : { "DOI" : "10.1111/j.1432-2277.2008.00729.x", "ISSN" : "09340874", "PMID" : "18662365", "abstract" : "Primary biliary cirrhosis (PBC), primary sclerosing cholangitis (PSC) and autoimmune hepatitis (AIH) may all recur after liver transplant. Diagnosis of rPBC is defined by histology; rAIH by serology, biochemistry and histology; rPSC by histology and/or imaging of the biliary tree and exclusion of other causes of nonanastomotic biliary strictures. Criteria for recurrent disease (RD) may differ from those used in similar disease in the native liver: frequent use of immunosuppressive therapy changes the pattern and natural history of RD and can co-exist with other transplant-related causes of graft damage. RD may occur in the presence of normal liver tests; the reported incidence will depend on the way in which diagnostic tests (especially protocol biopsies) are applied. The risk of RD increases with time, but does not correlate with the rate of graft loss. Treatment is largely unproven: ursodeoxycholic acid will improve serology and may slow progression of rPSC and rPBC; introduction or increased dose of corticosteroids may reduce progression of rAIH. Risk factors for rPBC include use of tacrolimus compared with cyclosporine; for rPSC include absence of colon peri-transplantation and for rAIH possible associations with some HLA haplotypes have been suggested.", "author" : [ { "dropping-particle" : "", "family" : "Schreuder", "given" : "Tim C M a", "non-dropping-particle" : "", "parse-names" : false, "suffix" : "" }, { "dropping-particle" : "", "family" : "H\u00fcbscher", "given" : "Stefan G.", "non-dropping-particle" : "", "parse-names" : false, "suffix" : "" }, { "dropping-particle" : "", "family" : "Neuberger", "given" : "James", "non-dropping-particle" : "", "parse-names" : false, "suffix" : "" } ], "container-title" : "Transplant International", "id" : "ITEM-1", "issue" : "2", "issued" : { "date-parts" : [ [ "2009" ] ] }, "page" : "144-152", "title" : "Autoimmune liver diseases and recurrence after orthotopic liver transplantation: What have we learned so far?", "type" : "article-journal", "volume" : "22" }, "uris" : [ "http://www.mendeley.com/documents/?uuid=b2682029-432f-4b25-ad1f-24fb8c83c30c" ] } ], "mendeley" : { "formattedCitation" : "&lt;sup&gt;[63]&lt;/sup&gt;", "plainTextFormattedCitation" : "[63]", "previouslyFormattedCitation" : "&lt;sup&gt;[63]&lt;/sup&gt;" }, "properties" : { "noteIndex" : 0 }, "schema" : "https://github.com/citation-style-language/schema/raw/master/csl-citation.json" }</w:instrText>
      </w:r>
      <w:r w:rsidR="001D26D7" w:rsidRPr="00783FEF">
        <w:rPr>
          <w:rFonts w:ascii="Book Antiqua" w:hAnsi="Book Antiqua"/>
        </w:rPr>
        <w:fldChar w:fldCharType="separate"/>
      </w:r>
      <w:r w:rsidR="00B74213" w:rsidRPr="00783FEF">
        <w:rPr>
          <w:rFonts w:ascii="Book Antiqua" w:hAnsi="Book Antiqua"/>
          <w:noProof/>
          <w:vertAlign w:val="superscript"/>
        </w:rPr>
        <w:t>[63]</w:t>
      </w:r>
      <w:r w:rsidR="001D26D7" w:rsidRPr="00783FEF">
        <w:rPr>
          <w:rFonts w:ascii="Book Antiqua" w:hAnsi="Book Antiqua"/>
        </w:rPr>
        <w:fldChar w:fldCharType="end"/>
      </w:r>
      <w:r w:rsidRPr="00783FEF">
        <w:rPr>
          <w:rFonts w:ascii="Book Antiqua" w:hAnsi="Book Antiqua"/>
        </w:rPr>
        <w:t>.</w:t>
      </w:r>
    </w:p>
    <w:p w:rsidR="00A049A8" w:rsidRPr="00783FEF" w:rsidRDefault="00A049A8" w:rsidP="00F41E66">
      <w:pPr>
        <w:autoSpaceDE w:val="0"/>
        <w:autoSpaceDN w:val="0"/>
        <w:adjustRightInd w:val="0"/>
        <w:spacing w:line="360" w:lineRule="auto"/>
        <w:ind w:firstLineChars="100" w:firstLine="240"/>
        <w:jc w:val="both"/>
        <w:rPr>
          <w:rFonts w:ascii="Book Antiqua" w:hAnsi="Book Antiqua"/>
        </w:rPr>
      </w:pPr>
      <w:r w:rsidRPr="00783FEF">
        <w:rPr>
          <w:rFonts w:ascii="Book Antiqua" w:hAnsi="Book Antiqua"/>
        </w:rPr>
        <w:t xml:space="preserve">Moreover, viral molecular mimicry is believed to be among the potential causes of </w:t>
      </w:r>
      <w:r w:rsidRPr="00783FEF">
        <w:rPr>
          <w:rFonts w:ascii="Book Antiqua" w:hAnsi="Book Antiqua"/>
          <w:i/>
        </w:rPr>
        <w:t>de novo</w:t>
      </w:r>
      <w:r w:rsidRPr="00783FEF">
        <w:rPr>
          <w:rFonts w:ascii="Book Antiqua" w:hAnsi="Book Antiqua"/>
        </w:rPr>
        <w:t xml:space="preserve"> autoimmunity</w:t>
      </w:r>
      <w:r w:rsidR="001D26D7" w:rsidRPr="00783FEF">
        <w:rPr>
          <w:rFonts w:ascii="Book Antiqua" w:hAnsi="Book Antiqua"/>
        </w:rPr>
        <w:fldChar w:fldCharType="begin" w:fldLock="1"/>
      </w:r>
      <w:r w:rsidR="00C736BC" w:rsidRPr="00783FEF">
        <w:rPr>
          <w:rFonts w:ascii="Book Antiqua" w:hAnsi="Book Antiqua"/>
        </w:rPr>
        <w:instrText>ADDIN CSL_CITATION { "citationItems" : [ { "id" : "ITEM-1", "itemData" : { "DOI" : "10.1111/imr.12091", "ISSN" : "1600-065X (Electronic)", "PMID" : "23947356", "abstract" : "As a group of disorders, autoimmunity ranks as the third most prevalent cause of  morbidity and mortality in the Western World. However, the etiology of most autoimmune diseases remains unknown. Although genetic linkage studies support a critical underlying role for genetics, the geographic distribution of these disorders as well as the low concordance rates in monozygotic twins suggest that a combination of other factors including environmental ones are involved. Virus infection is a primary factor that has been implicated in the initiation of autoimmune disease. Infection triggers a robust and usually well-coordinated immune response that is critical for viral clearance. However, in some instances, immune regulatory mechanisms may falter, culminating in the breakdown of self-tolerance, resulting in immune-mediated attack directed against both viral and self-antigens. Traditionally, cross-reactive T-cell recognition, known as molecular mimicry, as well as bystander T-cell activation, culminating in epitope spreading, have been the predominant mechanisms elucidated through which infection may culminate in an T-cell-mediated autoimmune response. However, other hypotheses including virus-induced decoy of the immune system also warrant discussion in regard to their potential for triggering autoimmunity. In this review, we discuss the mechanisms by which virus infection and antiviral immunity contribute to the development of autoimmunity.", "author" : [ { "dropping-particle" : "", "family" : "Getts", "given" : "Daniel R", "non-dropping-particle" : "", "parse-names" : false, "suffix" : "" }, { "dropping-particle" : "", "family" : "Chastain", "given" : "Emily M L", "non-dropping-particle" : "", "parse-names" : false, "suffix" : "" }, { "dropping-particle" : "", "family" : "Terry", "given" : "Rachael L", "non-dropping-particle" : "", "parse-names" : false, "suffix" : "" }, { "dropping-particle" : "", "family" : "Miller", "given" : "Stephen D", "non-dropping-particle" : "", "parse-names" : false, "suffix" : "" } ], "container-title" : "Immunological reviews", "id" : "ITEM-1", "issue" : "1", "issued" : { "date-parts" : [ [ "2013", "9" ] ] }, "language" : "eng", "page" : "197-209", "publisher-place" : "England", "title" : "Virus infection, antiviral immunity, and autoimmunity.", "type" : "article-journal", "volume" : "255" }, "uris" : [ "http://www.mendeley.com/documents/?uuid=1737e4d0-b784-4386-b3d2-95076feebbbf" ] } ], "mendeley" : { "formattedCitation" : "&lt;sup&gt;[59]&lt;/sup&gt;", "plainTextFormattedCitation" : "[59]", "previouslyFormattedCitation" : "&lt;sup&gt;[59]&lt;/sup&gt;" }, "properties" : { "noteIndex" : 0 }, "schema" : "https://github.com/citation-style-language/schema/raw/master/csl-citation.json" }</w:instrText>
      </w:r>
      <w:r w:rsidR="001D26D7" w:rsidRPr="00783FEF">
        <w:rPr>
          <w:rFonts w:ascii="Book Antiqua" w:hAnsi="Book Antiqua"/>
        </w:rPr>
        <w:fldChar w:fldCharType="separate"/>
      </w:r>
      <w:r w:rsidR="00C736BC" w:rsidRPr="00783FEF">
        <w:rPr>
          <w:rFonts w:ascii="Book Antiqua" w:hAnsi="Book Antiqua"/>
          <w:noProof/>
          <w:vertAlign w:val="superscript"/>
        </w:rPr>
        <w:t>[59]</w:t>
      </w:r>
      <w:r w:rsidR="001D26D7" w:rsidRPr="00783FEF">
        <w:rPr>
          <w:rFonts w:ascii="Book Antiqua" w:hAnsi="Book Antiqua"/>
        </w:rPr>
        <w:fldChar w:fldCharType="end"/>
      </w:r>
      <w:r w:rsidRPr="00783FEF">
        <w:rPr>
          <w:rFonts w:ascii="Book Antiqua" w:hAnsi="Book Antiqua"/>
        </w:rPr>
        <w:t xml:space="preserve">, particularly the one exhibited by ubiquitous viruses, such as cytomegalovirus, Epstein-Barr virus and parvovirus, which are often found to infect immunosuppressed subjects and have been confirmed to be involved in a series of LT developing autoimmune features </w:t>
      </w:r>
      <w:r w:rsidR="001D26D7" w:rsidRPr="00783FEF">
        <w:rPr>
          <w:rFonts w:ascii="Book Antiqua" w:hAnsi="Book Antiqua"/>
        </w:rPr>
        <w:fldChar w:fldCharType="begin" w:fldLock="1"/>
      </w:r>
      <w:r w:rsidR="00C736BC" w:rsidRPr="00783FEF">
        <w:rPr>
          <w:rFonts w:ascii="Book Antiqua" w:hAnsi="Book Antiqua"/>
        </w:rPr>
        <w:instrText>ADDIN CSL_CITATION { "citationItems" : [ { "id" : "ITEM-1", "itemData" : { "DOI" : "10.1016/j.transproceed.2012.01.007", "ISSN" : "1873-2623 (Electronic)", "PMID" : "22410071", "abstract" : "BACKGROUND: De novo autoimmune hepatitis (AIH) after liver transplantation (OLT)  has been reported; however, de novo ulcerative colitis (UC) combined with AIH after OLT is rare. MATERIALS AND METHODS: We report a patient who suffered de novo UC with AIH after living related OLT (LRLT) due to fulminant hepatitis using a cytomegalovirus (CMV)-positive donor to a CMV-negative recipient. RESULTS: A 32-year-old man underwent LRLT due to fuluminant hepatis 4 years prior. He was admitted for colitis with diarrhea, abdominal pain, and high fever in March 2010. The abdominal computed tomography revealed severe jejunal edema. Anti-infectious therapies for bacterial, fungal, and CMV cases were ineffective. Small bowel endoscopy demonstrated erosion, redness, ulceration, and edema from the stomach to the jejunum. However, the origin of the colitis was not clear. Thereafter he displayed melena with a high fever and abdominal pain. The colon revealed diffuse inflammation with pseudopolyposis. De novo UC or CMV infection was suspected. His symptoms improved upon administration of salazopyrin and denosine. Moreover, he suffered de novo AIH, which was diagnosed by liver biopsy 3 months after the de novo UC. Steroid therapy improved the AIH. CONCLUSIONS: It has been reported that CMV is involved with UC and rejection. Our case suggested that CMV might induce de novo UC or AIH in CMV-negative recipients.", "author" : [ { "dropping-particle" : "", "family" : "Sakamoto", "given" : "T", "non-dropping-particle" : "", "parse-names" : false, "suffix" : "" }, { "dropping-particle" : "", "family" : "Sato", "given" : "Y", "non-dropping-particle" : "", "parse-names" : false, "suffix" : "" }, { "dropping-particle" : "", "family" : "Yamamoto", "given" : "S", "non-dropping-particle" : "", "parse-names" : false, "suffix" : "" }, { "dropping-particle" : "", "family" : "Oya", "given" : "H", "non-dropping-particle" : "", "parse-names" : false, "suffix" : "" }, { "dropping-particle" : "", "family" : "Hatakeyama", "given" : "K", "non-dropping-particle" : "", "parse-names" : false, "suffix" : "" } ], "container-title" : "Transplantation proceedings", "id" : "ITEM-1", "issue" : "2", "issued" : { "date-parts" : [ [ "2012", "3" ] ] }, "language" : "eng", "page" : "570-573", "publisher-place" : "United States", "title" : "De novo ulcerative colitis and autoimmune hepatitis after living related liver transplantation from cytomegalovirus-positive donor to cytomegalovirus-negative recipient: a case report.", "type" : "article-journal", "volume" : "44" }, "uris" : [ "http://www.mendeley.com/documents/?uuid=047a0f2f-412a-4d8e-a4e3-e1e54106b860" ] }, { "id" : "ITEM-2", "itemData" : { "ISSN" : "0146-6615 (Print)", "PMID" : "11748659", "abstract" : "The presence of anti-endothelial cells (AECA), smooth muscle (SMA), antinuclear (ANA) and antimitochondrial (AMA) autoantibodies, and liver/kidney microsomal antibody type 1 (LKM1) was investigated retrospectively in sera of liver transplant patients and correlated with cytomegalovirus (CMV) infection as determined by the antigenemia test and with the appearance of acute or chronic allograft rejection. Indirect immunofluorescence analysis was carried out in sequential sera from 40 liver transplant patients. Ten out of 23 antigenemia-positive and none of the antigenemia-negative patients developed serum autoantibodies (P = 0.002, Fisher's exact test). Anti-endothelial cell autoantibodies were found in nine cases and SMA in four patients. Antinuclear antibodies were detected in one otherwise autoantibody-negative patient. All but one case of autoantibody positivity were observed in the high antigenemia group (P &lt; 0.0001, Fisher's exact test). In all but one case, autoantibodies were detected in blood during the antigenemia phase and in most cases in coincidence with or after the antigenemia peak. Even though a statistically significant correlation was not found between autoantibody production and the development of acute or chronic allograft rejection, proportionally more acute rejection cases were observed in the autoantibody-positive than in the autoantibody-negative group. It has been speculated that CMV-induced endothelial damage may be a potent antigenic stimulus, which leads to the production of anti-endothelial cells autoantibodies. Anti-endothelial cell autoantibodies may represent not only a marker of cell injury but also contribute to the progression of the inflammatory response leading to the exposure of tissue-privileged self antigens and the induction of other autoantibodies such as SMA.", "author" : [ { "dropping-particle" : "", "family" : "Varani", "given" : "Stefania", "non-dropping-particle" : "", "parse-names" : false, "suffix" : "" }, { "dropping-particle" : "", "family" : "Muratori", "given" : "Luigi", "non-dropping-particle" : "", "parse-names" : false, "suffix" : "" }, { "dropping-particle" : "", "family" : "Ruvo", "given" : "Nicola", "non-dropping-particle" : "De", "parse-names" : false, "suffix" : "" }, { "dropping-particle" : "", "family" : "Vivarelli", "given" : "Marco", "non-dropping-particle" : "", "parse-names" : false, "suffix" : "" }, { "dropping-particle" : "", "family" : "Lazzarotto", "given" : "Tiziana", "non-dropping-particle" : "", "parse-names" : false, "suffix" : "" }, { "dropping-particle" : "", "family" : "Gabrielli", "given" : "Liliana", "non-dropping-particle" : "", "parse-names" : false, "suffix" : "" }, { "dropping-particle" : "", "family" : "Bianchi", "given" : "Francesco B", "non-dropping-particle" : "", "parse-names" : false, "suffix" : "" }, { "dropping-particle" : "", "family" : "Bellusci", "given" : "Roberto", "non-dropping-particle" : "", "parse-names" : false, "suffix" : "" }, { "dropping-particle" : "", "family" : "Landini", "given" : "Maria P", "non-dropping-particle" : "", "parse-names" : false, "suffix" : "" } ], "container-title" : "Journal of medical virology", "id" : "ITEM-2", "issue" : "1", "issued" : { "date-parts" : [ [ "2002", "1" ] ] }, "language" : "eng", "page" : "56-62", "publisher-place" : "United States", "title" : "Autoantibody appearance in cytomegalovirus-infected liver transplant recipients:  correlation with antigenemia.", "type" : "article-journal", "volume" : "66" }, "uris" : [ "http://www.mendeley.com/documents/?uuid=37ddd872-f02b-4bab-b813-a0e3c74fdc32" ] } ], "mendeley" : { "formattedCitation" : "&lt;sup&gt;[49,64]&lt;/sup&gt;", "plainTextFormattedCitation" : "[49,64]", "previouslyFormattedCitation" : "&lt;sup&gt;[49,64]&lt;/sup&gt;" }, "properties" : { "noteIndex" : 0 }, "schema" : "https://github.com/citation-style-language/schema/raw/master/csl-citation.json" }</w:instrText>
      </w:r>
      <w:r w:rsidR="001D26D7" w:rsidRPr="00783FEF">
        <w:rPr>
          <w:rFonts w:ascii="Book Antiqua" w:hAnsi="Book Antiqua"/>
        </w:rPr>
        <w:fldChar w:fldCharType="separate"/>
      </w:r>
      <w:r w:rsidR="00B74213" w:rsidRPr="00783FEF">
        <w:rPr>
          <w:rFonts w:ascii="Book Antiqua" w:hAnsi="Book Antiqua"/>
          <w:noProof/>
          <w:vertAlign w:val="superscript"/>
        </w:rPr>
        <w:t>[49,64]</w:t>
      </w:r>
      <w:r w:rsidR="001D26D7" w:rsidRPr="00783FEF">
        <w:rPr>
          <w:rFonts w:ascii="Book Antiqua" w:hAnsi="Book Antiqua"/>
        </w:rPr>
        <w:fldChar w:fldCharType="end"/>
      </w:r>
      <w:r w:rsidRPr="00783FEF">
        <w:rPr>
          <w:rFonts w:ascii="Book Antiqua" w:hAnsi="Book Antiqua"/>
        </w:rPr>
        <w:t>.</w:t>
      </w:r>
    </w:p>
    <w:p w:rsidR="00A049A8" w:rsidRPr="00783FEF" w:rsidRDefault="00EB0F72" w:rsidP="00F41E66">
      <w:pPr>
        <w:autoSpaceDE w:val="0"/>
        <w:autoSpaceDN w:val="0"/>
        <w:adjustRightInd w:val="0"/>
        <w:spacing w:line="360" w:lineRule="auto"/>
        <w:ind w:firstLineChars="100" w:firstLine="240"/>
        <w:jc w:val="both"/>
        <w:rPr>
          <w:rFonts w:ascii="Book Antiqua" w:hAnsi="Book Antiqua" w:cs="AdvGulliv-R"/>
          <w:color w:val="000000"/>
          <w:lang w:eastAsia="it-IT"/>
        </w:rPr>
      </w:pPr>
      <w:r w:rsidRPr="00783FEF">
        <w:rPr>
          <w:rFonts w:ascii="Book Antiqua" w:hAnsi="Book Antiqua"/>
        </w:rPr>
        <w:t>W</w:t>
      </w:r>
      <w:r w:rsidR="00A049A8" w:rsidRPr="00783FEF">
        <w:rPr>
          <w:rFonts w:ascii="Book Antiqua" w:hAnsi="Book Antiqua"/>
        </w:rPr>
        <w:t xml:space="preserve">ith special regard to the recurrence of HCV, the possible mechanisms that characterize </w:t>
      </w:r>
      <w:r w:rsidR="00A049A8" w:rsidRPr="00783FEF">
        <w:rPr>
          <w:rFonts w:ascii="Book Antiqua" w:hAnsi="Book Antiqua"/>
          <w:i/>
        </w:rPr>
        <w:t>de novo</w:t>
      </w:r>
      <w:r w:rsidR="00A049A8" w:rsidRPr="00783FEF">
        <w:rPr>
          <w:rFonts w:ascii="Book Antiqua" w:hAnsi="Book Antiqua"/>
        </w:rPr>
        <w:t xml:space="preserve"> AIH in this setting have recently been delineated</w:t>
      </w:r>
      <w:r w:rsidR="001D26D7" w:rsidRPr="00783FEF">
        <w:rPr>
          <w:rFonts w:ascii="Book Antiqua" w:hAnsi="Book Antiqua"/>
        </w:rPr>
        <w:fldChar w:fldCharType="begin" w:fldLock="1"/>
      </w:r>
      <w:r w:rsidR="00A049A8" w:rsidRPr="00783FEF">
        <w:rPr>
          <w:rFonts w:ascii="Book Antiqua" w:hAnsi="Book Antiqua"/>
        </w:rPr>
        <w:instrText>ADDIN CSL_CITATION { "citationItems" : [ { "id" : "ITEM-1", "itemData" : { "DOI" : "10.1016/j.jhep.2010.11.012", "ISBN" : "0168-8278 (Print)\\r0168-8278 (Linking)", "ISSN" : "01688278", "PMID" : "21145865", "abstract" : "Hepatitis C virus (HCV) re-infection of the graft is universal and interferon based antiviral therapy remains at present the treatment of choice in HCV liver transplant recipients. Apart from the antiviral effects, interferon and ribavirin have both potent immunomodulatory properties resulting in a broad range of immune-related disorders including acute cellular rejection and chronic ductopenic rejection as well as de novo autoimmune hepatitis. Further complicating the picture, HCV infection per se is associated with a variety of autoimmune phenomena. We discuss here the immune-mediated complications and their relationship to chronic HCV and interferon based antiviral therapy. \u00a9 2010 European Association for the Study of the Liver. Published by Elsevier B.V. All rights reserved.", "author" : [ { "dropping-particle" : "", "family" : "Selzner", "given" : "Nazia", "non-dropping-particle" : "", "parse-names" : false, "suffix" : "" }, { "dropping-particle" : "", "family" : "Guindi", "given" : "Maha", "non-dropping-particle" : "", "parse-names" : false, "suffix" : "" }, { "dropping-particle" : "", "family" : "Renner", "given" : "Eberhard L.", "non-dropping-particle" : "", "parse-names" : false, "suffix" : "" }, { "dropping-particle" : "", "family" : "Berenguer", "given" : "Marina", "non-dropping-particle" : "", "parse-names" : false, "suffix" : "" } ], "container-title" : "Journal of Hepatology", "id" : "ITEM-1", "issue" : "1", "issued" : { "date-parts" : [ [ "2011" ] ] }, "page" : "207-217", "publisher" : "European Association for the Study of the Liver", "title" : "Immune-mediated complications of the graft in interferon-treated hepatitis C positive liver transplant recipients", "type" : "article-journal", "volume" : "55" }, "uris" : [ "http://www.mendeley.com/documents/?uuid=c17879d9-74c6-461c-84f6-dc0f98203d36" ] } ], "mendeley" : { "formattedCitation" : "&lt;sup&gt;[2]&lt;/sup&gt;", "plainTextFormattedCitation" : "[2]", "previouslyFormattedCitation" : "&lt;sup&gt;[2]&lt;/sup&gt;" }, "properties" : { "noteIndex" : 0 }, "schema" : "https://github.com/citation-style-language/schema/raw/master/csl-citation.json" }</w:instrText>
      </w:r>
      <w:r w:rsidR="001D26D7" w:rsidRPr="00783FEF">
        <w:rPr>
          <w:rFonts w:ascii="Book Antiqua" w:hAnsi="Book Antiqua"/>
        </w:rPr>
        <w:fldChar w:fldCharType="separate"/>
      </w:r>
      <w:r w:rsidR="00A049A8" w:rsidRPr="00783FEF">
        <w:rPr>
          <w:rFonts w:ascii="Book Antiqua" w:hAnsi="Book Antiqua"/>
          <w:noProof/>
          <w:vertAlign w:val="superscript"/>
        </w:rPr>
        <w:t>[2]</w:t>
      </w:r>
      <w:r w:rsidR="001D26D7" w:rsidRPr="00783FEF">
        <w:rPr>
          <w:rFonts w:ascii="Book Antiqua" w:hAnsi="Book Antiqua"/>
        </w:rPr>
        <w:fldChar w:fldCharType="end"/>
      </w:r>
      <w:r w:rsidR="00A049A8" w:rsidRPr="00783FEF">
        <w:rPr>
          <w:rFonts w:ascii="Book Antiqua" w:hAnsi="Book Antiqua"/>
        </w:rPr>
        <w:t>. Specifically, it is hypothesized that interferon-alpha (acting on specific interferon-stimulated genes and in the context of the up-regulation of class I MHC) stimulates the activation of T-cells which, through the intensification of pro-inflammatory activity, enhance the presentation and release of antigens</w:t>
      </w:r>
      <w:r w:rsidR="001D26D7" w:rsidRPr="00783FEF">
        <w:rPr>
          <w:rFonts w:ascii="Book Antiqua" w:hAnsi="Book Antiqua"/>
        </w:rPr>
        <w:fldChar w:fldCharType="begin" w:fldLock="1"/>
      </w:r>
      <w:r w:rsidR="00C736BC" w:rsidRPr="00783FEF">
        <w:rPr>
          <w:rFonts w:ascii="Book Antiqua" w:hAnsi="Book Antiqua"/>
        </w:rPr>
        <w:instrText>ADDIN CSL_CITATION { "citationItems" : [ { "id" : "ITEM-1", "itemData" : { "DOI" : "10.1016/j.jhep.2010.11.012", "ISBN" : "0168-8278 (Print)\\r0168-8278 (Linking)", "ISSN" : "01688278", "PMID" : "21145865", "abstract" : "Hepatitis C virus (HCV) re-infection of the graft is universal and interferon based antiviral therapy remains at present the treatment of choice in HCV liver transplant recipients. Apart from the antiviral effects, interferon and ribavirin have both potent immunomodulatory properties resulting in a broad range of immune-related disorders including acute cellular rejection and chronic ductopenic rejection as well as de novo autoimmune hepatitis. Further complicating the picture, HCV infection per se is associated with a variety of autoimmune phenomena. We discuss here the immune-mediated complications and their relationship to chronic HCV and interferon based antiviral therapy. \u00a9 2010 European Association for the Study of the Liver. Published by Elsevier B.V. All rights reserved.", "author" : [ { "dropping-particle" : "", "family" : "Selzner", "given" : "Nazia", "non-dropping-particle" : "", "parse-names" : false, "suffix" : "" }, { "dropping-particle" : "", "family" : "Guindi", "given" : "Maha", "non-dropping-particle" : "", "parse-names" : false, "suffix" : "" }, { "dropping-particle" : "", "family" : "Renner", "given" : "Eberhard L.", "non-dropping-particle" : "", "parse-names" : false, "suffix" : "" }, { "dropping-particle" : "", "family" : "Berenguer", "given" : "Marina", "non-dropping-particle" : "", "parse-names" : false, "suffix" : "" } ], "container-title" : "Journal of Hepatology", "id" : "ITEM-1", "issue" : "1", "issued" : { "date-parts" : [ [ "2011" ] ] }, "page" : "207-217", "publisher" : "European Association for the Study of the Liver", "title" : "Immune-mediated complications of the graft in interferon-treated hepatitis C positive liver transplant recipients", "type" : "article-journal", "volume" : "55" }, "uris" : [ "http://www.mendeley.com/documents/?uuid=c17879d9-74c6-461c-84f6-dc0f98203d36" ] } ], "mendeley" : { "formattedCitation" : "&lt;sup&gt;[2]&lt;/sup&gt;", "plainTextFormattedCitation" : "[2]", "previouslyFormattedCitation" : "&lt;sup&gt;[2]&lt;/sup&gt;" }, "properties" : { "noteIndex" : 0 }, "schema" : "https://github.com/citation-style-language/schema/raw/master/csl-citation.json" }</w:instrText>
      </w:r>
      <w:r w:rsidR="001D26D7" w:rsidRPr="00783FEF">
        <w:rPr>
          <w:rFonts w:ascii="Book Antiqua" w:hAnsi="Book Antiqua"/>
        </w:rPr>
        <w:fldChar w:fldCharType="separate"/>
      </w:r>
      <w:r w:rsidR="00C736BC" w:rsidRPr="00783FEF">
        <w:rPr>
          <w:rFonts w:ascii="Book Antiqua" w:hAnsi="Book Antiqua"/>
          <w:noProof/>
          <w:vertAlign w:val="superscript"/>
        </w:rPr>
        <w:t>[2]</w:t>
      </w:r>
      <w:r w:rsidR="001D26D7" w:rsidRPr="00783FEF">
        <w:rPr>
          <w:rFonts w:ascii="Book Antiqua" w:hAnsi="Book Antiqua"/>
        </w:rPr>
        <w:fldChar w:fldCharType="end"/>
      </w:r>
      <w:r w:rsidR="00A049A8" w:rsidRPr="00783FEF">
        <w:rPr>
          <w:rFonts w:ascii="Book Antiqua" w:hAnsi="Book Antiqua"/>
        </w:rPr>
        <w:t xml:space="preserve">. Apart from the virtuous effect on viral clearance, </w:t>
      </w:r>
      <w:r w:rsidR="00A049A8" w:rsidRPr="00783FEF">
        <w:rPr>
          <w:rFonts w:ascii="Book Antiqua" w:hAnsi="Book Antiqua"/>
        </w:rPr>
        <w:lastRenderedPageBreak/>
        <w:t>the recognition of viral antigens at the same time may lead to the expression of self-antigens, which can result in an alloimmune reaction sustained by memory T-cells</w:t>
      </w:r>
      <w:r w:rsidR="001D26D7" w:rsidRPr="00783FEF">
        <w:rPr>
          <w:rFonts w:ascii="Book Antiqua" w:hAnsi="Book Antiqua"/>
        </w:rPr>
        <w:fldChar w:fldCharType="begin" w:fldLock="1"/>
      </w:r>
      <w:r w:rsidR="00313948" w:rsidRPr="00783FEF">
        <w:rPr>
          <w:rFonts w:ascii="Book Antiqua" w:hAnsi="Book Antiqua"/>
        </w:rPr>
        <w:instrText>ADDIN CSL_CITATION { "citationItems" : [ { "id" : "ITEM-1", "itemData" : { "DOI" : "10.1097/MOT.0b013e3283536622", "ISSN" : "1087-2418", "PMID" : "22498651", "abstract" : "PURPOSE OF REVIEW: Cases of de-novo autoimmune hepatitis/plasma cell hepatitis (PCH) are increasingly being diagnosed by liver transplant centers. Its pathogenesis is poorly understood but this entity appears to be a variant of rejection. Herein, we review recent clinical reports of patients developing PCH.\\n\\nRECENT FINDINGS: Histologically, PCH is a challenging diagnosis, especially in the setting of recurrent hepatitis C and, in some cases, can be mistaken for acute cellular rejection. Recent case reports and case-control studies have shown that interferon appears to trigger PCH in hepatitis C posttransplant patients. Optimization of the immunosuppression regimen was found to prevent the development of PCH. In the nonhepatitis C posttransplant patient, tacrolimus-based immunosuppression appears to have some protective effect from PCH development. A combination therapy of cyclosporine and everolimus has also been shown to be effective in treating PCH.\\n\\nSUMMARY: PCH is a variant of rejection and is a cause of late graft loss post liver transplantation, especially in patients with hepatitis C. It should be part of the differential diagnosis of abnormal liver enzyme tests occurring in the post-liver transplant setting.", "author" : [ { "dropping-particle" : "", "family" : "Fiel", "given" : "M. Isabel", "non-dropping-particle" : "", "parse-names" : false, "suffix" : "" }, { "dropping-particle" : "", "family" : "Schiano", "given" : "Thomas D.", "non-dropping-particle" : "", "parse-names" : false, "suffix" : "" } ], "container-title" : "Current Opinion in Organ Transplantation", "id" : "ITEM-1", "issue" : "3", "issued" : { "date-parts" : [ [ "2012" ] ] }, "page" : "287-292", "title" : "Plasma cell hepatitis (de-novo autoimmune hepatitis) developing post liver transplantation", "type" : "article-journal", "volume" : "17" }, "uris" : [ "http://www.mendeley.com/documents/?uuid=8435c898-d6af-4f59-bfac-8f063ed9b1f1" ] }, { "id" : "ITEM-2", "itemData" : { "DOI" : "10.1007/s00595-010-4392-z", "ISSN" : "1436-2813 (Electronic)", "PMID" : "21748625", "abstract" : "Interferon (IFN), which is the only possible agent for recurrent hepatitis C after liver transplantation, may cause serious immune-related disorders. We report a case of de novo autoimmune hepatitis (AIH), which developed subsequent to switching from 2b pegylated interferon-alpha (peg-IFN) to 2a peg-IFN after living donor liver transplantation (LDLT). A 51-year-old man with hepatitis C-associated liver cirrhosis underwent LDLT. About 13 months after the initiation of antiviral therapy, in the form of type 2b peg-IFN with ribavirin, a negative serum hepatitis C virus (HCV)-RNA titer was confirmed. Thereafter, the 2b peg-IFN was switched to 2a peg-IFN, 3 months after which severe liver dysfunction developed, despite a constantly negative HCV-RNA. Liver biopsy showed portal and periportal inflammatory infiltrates including numerous plasma cells, indicating AIH. He was treated with steroid pulse treatment, followed by high-level immunosuppression maintenance, but eventually died of Pneumocystis pneumonitis 4 months after the diagnosis of de novo AIH.", "author" : [ { "dropping-particle" : "", "family" : "Takeishi", "given" : "Kazuki", "non-dropping-particle" : "", "parse-names" : false, "suffix" : "" }, { "dropping-particle" : "", "family" : "Shirabe", "given" : "Ken", "non-dropping-particle" : "", "parse-names" : false, "suffix" : "" }, { "dropping-particle" : "", "family" : "Toshima", "given" : "Takeo", "non-dropping-particle" : "", "parse-names" : false, "suffix" : "" }, { "dropping-particle" : "", "family" : "Ikegami", "given" : "Toru", "non-dropping-particle" : "", "parse-names" : false, "suffix" : "" }, { "dropping-particle" : "", "family" : "Morita", "given" : "Kazutoyo", "non-dropping-particle" : "", "parse-names" : false, "suffix" : "" }, { "dropping-particle" : "", "family" : "Fukuhara", "given" : "Takasuke", "non-dropping-particle" : "", "parse-names" : false, "suffix" : "" }, { "dropping-particle" : "", "family" : "Motomura", "given" : "Takashi", "non-dropping-particle" : "", "parse-names" : false, "suffix" : "" }, { "dropping-particle" : "", "family" : "Mano", "given" : "Yohei", "non-dropping-particle" : "", "parse-names" : false, "suffix" : "" }, { "dropping-particle" : "", "family" : "Uchiyama", "given" : "Hideaki", "non-dropping-particle" : "", "parse-names" : false, "suffix" : "" }, { "dropping-particle" : "", "family" : "Soejima", "given" : "Yuji", "non-dropping-particle" : "", "parse-names" : false, "suffix" : "" }, { "dropping-particle" : "", "family" : "Taketomi", "given" : "Akinobu", "non-dropping-particle" : "", "parse-names" : false, "suffix" : "" }, { "dropping-particle" : "", "family" : "Maehara", "given" : "Yoshihiko", "non-dropping-particle" : "", "parse-names" : false, "suffix" : "" } ], "container-title" : "Surgery today", "id" : "ITEM-2", "issue" : "7", "issued" : { "date-parts" : [ [ "2011", "7" ] ] }, "language" : "eng", "page" : "1016-1019", "publisher-place" : "Japan", "title" : "De novo autoimmune hepatitis subsequent to switching from type 2b to type 2a alpha-pegylated interferon treatment for recurrent hepatitis C after liver transplantation: report of a case.", "type" : "article-journal", "volume" : "41" }, "uris" : [ "http://www.mendeley.com/documents/?uuid=9247e2fc-0439-43d2-a08a-53e8ae84a204" ] } ], "mendeley" : { "formattedCitation" : "&lt;sup&gt;[42,65]&lt;/sup&gt;", "plainTextFormattedCitation" : "[42,65]", "previouslyFormattedCitation" : "&lt;sup&gt;[65]&lt;/sup&gt;" }, "properties" : { "noteIndex" : 0 }, "schema" : "https://github.com/citation-style-language/schema/raw/master/csl-citation.json" }</w:instrText>
      </w:r>
      <w:r w:rsidR="001D26D7" w:rsidRPr="00783FEF">
        <w:rPr>
          <w:rFonts w:ascii="Book Antiqua" w:hAnsi="Book Antiqua"/>
        </w:rPr>
        <w:fldChar w:fldCharType="separate"/>
      </w:r>
      <w:r w:rsidR="00313948" w:rsidRPr="00783FEF">
        <w:rPr>
          <w:rFonts w:ascii="Book Antiqua" w:hAnsi="Book Antiqua"/>
          <w:noProof/>
          <w:vertAlign w:val="superscript"/>
        </w:rPr>
        <w:t>[2,42,65]</w:t>
      </w:r>
      <w:r w:rsidR="001D26D7" w:rsidRPr="00783FEF">
        <w:rPr>
          <w:rFonts w:ascii="Book Antiqua" w:hAnsi="Book Antiqua"/>
        </w:rPr>
        <w:fldChar w:fldCharType="end"/>
      </w:r>
      <w:r w:rsidR="00A049A8" w:rsidRPr="00783FEF">
        <w:rPr>
          <w:rFonts w:ascii="Book Antiqua" w:hAnsi="Book Antiqua"/>
        </w:rPr>
        <w:t>.</w:t>
      </w:r>
    </w:p>
    <w:p w:rsidR="00A049A8" w:rsidRPr="00783FEF" w:rsidRDefault="00A049A8" w:rsidP="00783FEF">
      <w:pPr>
        <w:spacing w:line="360" w:lineRule="auto"/>
        <w:jc w:val="both"/>
        <w:rPr>
          <w:rFonts w:ascii="Book Antiqua" w:hAnsi="Book Antiqua"/>
        </w:rPr>
      </w:pPr>
    </w:p>
    <w:p w:rsidR="00A049A8" w:rsidRPr="00FC6252" w:rsidRDefault="00FC6252" w:rsidP="00783FEF">
      <w:pPr>
        <w:spacing w:line="360" w:lineRule="auto"/>
        <w:jc w:val="both"/>
        <w:rPr>
          <w:rFonts w:ascii="Book Antiqua" w:hAnsi="Book Antiqua"/>
          <w:b/>
        </w:rPr>
      </w:pPr>
      <w:r w:rsidRPr="00FC6252">
        <w:rPr>
          <w:rFonts w:ascii="Book Antiqua" w:hAnsi="Book Antiqua"/>
          <w:b/>
        </w:rPr>
        <w:t>HISTOLOGICAL FEATURES</w:t>
      </w:r>
    </w:p>
    <w:p w:rsidR="00CD23A4" w:rsidRPr="00783FEF" w:rsidRDefault="00A049A8" w:rsidP="00783FEF">
      <w:pPr>
        <w:autoSpaceDE w:val="0"/>
        <w:autoSpaceDN w:val="0"/>
        <w:adjustRightInd w:val="0"/>
        <w:spacing w:line="360" w:lineRule="auto"/>
        <w:jc w:val="both"/>
        <w:rPr>
          <w:rFonts w:ascii="Book Antiqua" w:hAnsi="Book Antiqua"/>
        </w:rPr>
      </w:pPr>
      <w:r w:rsidRPr="00783FEF">
        <w:rPr>
          <w:rFonts w:ascii="Book Antiqua" w:hAnsi="Book Antiqua"/>
        </w:rPr>
        <w:t>In complex clinical settings in which different parameters (</w:t>
      </w:r>
      <w:r w:rsidRPr="00F41E66">
        <w:rPr>
          <w:rFonts w:ascii="Book Antiqua" w:hAnsi="Book Antiqua"/>
          <w:i/>
        </w:rPr>
        <w:t>e.g.</w:t>
      </w:r>
      <w:r w:rsidRPr="00783FEF">
        <w:rPr>
          <w:rFonts w:ascii="Book Antiqua" w:hAnsi="Book Antiqua"/>
        </w:rPr>
        <w:t>,</w:t>
      </w:r>
      <w:r w:rsidR="00F41E66">
        <w:rPr>
          <w:rFonts w:ascii="Book Antiqua" w:hAnsi="Book Antiqua" w:hint="eastAsia"/>
          <w:lang w:eastAsia="zh-CN"/>
        </w:rPr>
        <w:t xml:space="preserve"> </w:t>
      </w:r>
      <w:r w:rsidRPr="00783FEF">
        <w:rPr>
          <w:rFonts w:ascii="Book Antiqua" w:hAnsi="Book Antiqua"/>
        </w:rPr>
        <w:t xml:space="preserve">the presence of autoantibodies without signs of effective liver injury) can mislead diagnosis, </w:t>
      </w:r>
      <w:r w:rsidR="00590972" w:rsidRPr="00783FEF">
        <w:rPr>
          <w:rFonts w:ascii="Book Antiqua" w:hAnsi="Book Antiqua"/>
        </w:rPr>
        <w:t xml:space="preserve">if a reasonable clinical suspicion emerges the </w:t>
      </w:r>
      <w:r w:rsidRPr="00783FEF">
        <w:rPr>
          <w:rFonts w:ascii="Book Antiqua" w:hAnsi="Book Antiqua"/>
        </w:rPr>
        <w:t xml:space="preserve">liver biopsy should be performed. Thus far, the commonly observed histological characteristics of </w:t>
      </w:r>
      <w:r w:rsidRPr="00783FEF">
        <w:rPr>
          <w:rFonts w:ascii="Book Antiqua" w:hAnsi="Book Antiqua"/>
          <w:i/>
        </w:rPr>
        <w:t>de novo</w:t>
      </w:r>
      <w:r w:rsidRPr="00783FEF">
        <w:rPr>
          <w:rFonts w:ascii="Book Antiqua" w:hAnsi="Book Antiqua"/>
        </w:rPr>
        <w:t xml:space="preserve"> AIH have been assimilated with those already described for classic AIH. Interface hepatitis and portal tract mononuclear infiltrate rich in plasma-cells are typical findings (Figure 1</w:t>
      </w:r>
      <w:r w:rsidR="00B92080">
        <w:rPr>
          <w:rFonts w:ascii="Book Antiqua" w:hAnsi="Book Antiqua" w:hint="eastAsia"/>
          <w:lang w:eastAsia="zh-CN"/>
        </w:rPr>
        <w:t>A</w:t>
      </w:r>
      <w:r w:rsidRPr="00783FEF">
        <w:rPr>
          <w:rFonts w:ascii="Book Antiqua" w:hAnsi="Book Antiqua"/>
        </w:rPr>
        <w:t xml:space="preserve"> and </w:t>
      </w:r>
      <w:r w:rsidR="00B92080">
        <w:rPr>
          <w:rFonts w:ascii="Book Antiqua" w:hAnsi="Book Antiqua" w:hint="eastAsia"/>
          <w:lang w:eastAsia="zh-CN"/>
        </w:rPr>
        <w:t>B</w:t>
      </w:r>
      <w:r w:rsidRPr="00783FEF">
        <w:rPr>
          <w:rFonts w:ascii="Book Antiqua" w:hAnsi="Book Antiqua"/>
        </w:rPr>
        <w:t xml:space="preserve">) along with accentuated lobular inflammation and necrosis, hepatocellular rosette (Figure </w:t>
      </w:r>
      <w:r w:rsidR="00B92080">
        <w:rPr>
          <w:rFonts w:ascii="Book Antiqua" w:hAnsi="Book Antiqua" w:hint="eastAsia"/>
          <w:lang w:eastAsia="zh-CN"/>
        </w:rPr>
        <w:t>2</w:t>
      </w:r>
      <w:r w:rsidRPr="00783FEF">
        <w:rPr>
          <w:rFonts w:ascii="Book Antiqua" w:hAnsi="Book Antiqua"/>
        </w:rPr>
        <w:t>) and features of centrolobular perivenulitis</w:t>
      </w:r>
      <w:r w:rsidR="001D26D7" w:rsidRPr="00783FEF">
        <w:rPr>
          <w:rFonts w:ascii="Book Antiqua" w:hAnsi="Book Antiqua"/>
        </w:rPr>
        <w:fldChar w:fldCharType="begin" w:fldLock="1"/>
      </w:r>
      <w:r w:rsidR="00BD1BAA" w:rsidRPr="00783FEF">
        <w:rPr>
          <w:rFonts w:ascii="Book Antiqua" w:hAnsi="Book Antiqua"/>
        </w:rPr>
        <w:instrText>ADDIN CSL_CITATION { "citationItems" : [ { "id" : "ITEM-1", "itemData" : { "DOI" : "10.1016/j.jhep.2011.03.005", "ISSN" : "01688278", "PMID" : "21426919", "abstract" : "With improved long-term survival following liver transplantation (LT), issues relating to the assessment of the liver allograft in long-term survivors are becoming increasingly relevant. Histological abnormalities are commonly present in late post-transplant biopsies, including protocol biopsies from patients who appear to be well with good graft function. Recurrent disease is the commonest recognised cause of abnormal graft histology, but may be modified by the effects of immunosuppression or interactions with other graft complications, resulting in complex or atypical changes. Other abnormalities seen in late post-transplant biopsies include rejection (which often has different appearances to those seen in the post-transplant period), de novo disease, \"idiopathic\" post-transplant hepatitis (IPTH) and nodular regenerative hyperplasia. In many cases graft dysfunction has more than one cause and liver biopsy may help to identify the predominant cause of graft damage. Problems exist with the terminology used to describe less well understood patterns of graft injury, but there is emerging evidence to suggest that late rejection, de novo autoimmune hepatitis and IPTH may all be part of an overlapping spectrum of immune-mediated injury occurring in the late post-transplant liver allograft. Careful clinico-pathological correlation is very important and the wording of the biopsy report should take into account therapeutic implications, particularly whether changes in immunosuppression may be indicated. This article will provide an overview of the main histological changes occurring in long-term survivors post-LT, focusing on areas where the assessment of late post-transplant biopsies is most relevant clinically. \u00a9 2011 European Association for the Study of the Liver. Published by Elsevier B.V. All rights reserved.", "author" : [ { "dropping-particle" : "", "family" : "H\u00fcbscher", "given" : "Stefan G.", "non-dropping-particle" : "", "parse-names" : false, "suffix" : "" } ], "container-title" : "Journal of Hepatology", "id" : "ITEM-1", "issue" : "3", "issued" : { "date-parts" : [ [ "2011" ] ] }, "page" : "702-717", "publisher" : "European Association for the Study of the Liver", "title" : "What is the long-term outcome of the liver allograft?", "type" : "article-journal", "volume" : "55" }, "uris" : [ "http://www.mendeley.com/documents/?uuid=1202adda-8c52-4574-97da-2c105d6d55cc" ] }, { "id" : "ITEM-2", "itemData" : { "DOI" : "10.1002/hep.21280", "ISBN" : "0270-9139 (Print)\\r0270-9139 (Linking)", "ISSN" : "02709139", "PMID" : "16871565", "abstract" : "Evaluation of needle biopsies and extensive clinicopathological correlation play an important role in the determination of liver allograft dysfunction occurring more than 1 year after transplantation. Interpretation of these biopsies can be quite difficult because of the high incidence of recurrent diseases that show histopathological, clinical, and serological features that overlap with each other and with rejection. Also, more than one insult can contribute to allograft injury. In an attempt to enable centers to compare and pool results, improve therapy, and better understand pathophysiological disease mechanisms, the Banff Working Group on Liver Allograft Pathology herein proposes a set of consensus criteria for the most common and problematic causes of late liver allograft dysfunction, including late-onset acute and chronic rejection, recurrent and new-onset viral and autoimmune hepatitis, biliary strictures, and recurrent primary biliary cirrhosis and primary sclerosing cholangitis. A discussion of differential diagnosis is also presented.", "author" : [ { "dropping-particle" : "", "family" : "Demetris", "given" : "a. J.", "non-dropping-particle" : "", "parse-names" : false, "suffix" : "" } ], "container-title" : "Hepatology", "id" : "ITEM-2", "issue" : "2", "issued" : { "date-parts" : [ [ "2006" ] ] }, "page" : "489-501", "title" : "Liver biopsy interpretation for causes of late liver allograft dysfunction", "type" : "article-journal", "volume" : "44" }, "uris" : [ "http://www.mendeley.com/documents/?uuid=2bcf86ff-2545-4795-b841-23af71432c66" ] } ], "mendeley" : { "formattedCitation" : "&lt;sup&gt;[1,66]&lt;/sup&gt;", "plainTextFormattedCitation" : "[1,66]", "previouslyFormattedCitation" : "&lt;sup&gt;[1,66]&lt;/sup&gt;" }, "properties" : { "noteIndex" : 0 }, "schema" : "https://github.com/citation-style-language/schema/raw/master/csl-citation.json" }</w:instrText>
      </w:r>
      <w:r w:rsidR="001D26D7" w:rsidRPr="00783FEF">
        <w:rPr>
          <w:rFonts w:ascii="Book Antiqua" w:hAnsi="Book Antiqua"/>
        </w:rPr>
        <w:fldChar w:fldCharType="separate"/>
      </w:r>
      <w:r w:rsidR="00C736BC" w:rsidRPr="00783FEF">
        <w:rPr>
          <w:rFonts w:ascii="Book Antiqua" w:hAnsi="Book Antiqua"/>
          <w:noProof/>
          <w:vertAlign w:val="superscript"/>
        </w:rPr>
        <w:t>[1,66]</w:t>
      </w:r>
      <w:r w:rsidR="001D26D7" w:rsidRPr="00783FEF">
        <w:rPr>
          <w:rFonts w:ascii="Book Antiqua" w:hAnsi="Book Antiqua"/>
        </w:rPr>
        <w:fldChar w:fldCharType="end"/>
      </w:r>
      <w:r w:rsidRPr="00783FEF">
        <w:rPr>
          <w:rFonts w:ascii="Book Antiqua" w:hAnsi="Book Antiqua"/>
        </w:rPr>
        <w:t xml:space="preserve">. The interpretation of the liver histology is more complex for </w:t>
      </w:r>
      <w:r w:rsidRPr="00783FEF">
        <w:rPr>
          <w:rFonts w:ascii="Book Antiqua" w:hAnsi="Book Antiqua"/>
          <w:i/>
        </w:rPr>
        <w:t>de novo</w:t>
      </w:r>
      <w:r w:rsidRPr="00783FEF">
        <w:rPr>
          <w:rFonts w:ascii="Book Antiqua" w:hAnsi="Book Antiqua"/>
        </w:rPr>
        <w:t xml:space="preserve"> AIH than for primary AIH because the former may be affected by conditions that resemble autoimmune liver injury and that by definition do not affect native livers, such as acute and chronic rejection</w:t>
      </w:r>
      <w:r w:rsidR="001D26D7" w:rsidRPr="00783FEF">
        <w:rPr>
          <w:rFonts w:ascii="Book Antiqua" w:hAnsi="Book Antiqua"/>
        </w:rPr>
        <w:fldChar w:fldCharType="begin" w:fldLock="1"/>
      </w:r>
      <w:r w:rsidR="005E0897" w:rsidRPr="00783FEF">
        <w:rPr>
          <w:rFonts w:ascii="Book Antiqua" w:hAnsi="Book Antiqua"/>
        </w:rPr>
        <w:instrText>ADDIN CSL_CITATION { "citationItems" : [ { "id" : "ITEM-1", "itemData" : { "DOI" : "10.1016/j.jhep.2011.03.005", "ISSN" : "01688278", "PMID" : "21426919", "abstract" : "With improved long-term survival following liver transplantation (LT), issues relating to the assessment of the liver allograft in long-term survivors are becoming increasingly relevant. Histological abnormalities are commonly present in late post-transplant biopsies, including protocol biopsies from patients who appear to be well with good graft function. Recurrent disease is the commonest recognised cause of abnormal graft histology, but may be modified by the effects of immunosuppression or interactions with other graft complications, resulting in complex or atypical changes. Other abnormalities seen in late post-transplant biopsies include rejection (which often has different appearances to those seen in the post-transplant period), de novo disease, \"idiopathic\" post-transplant hepatitis (IPTH) and nodular regenerative hyperplasia. In many cases graft dysfunction has more than one cause and liver biopsy may help to identify the predominant cause of graft damage. Problems exist with the terminology used to describe less well understood patterns of graft injury, but there is emerging evidence to suggest that late rejection, de novo autoimmune hepatitis and IPTH may all be part of an overlapping spectrum of immune-mediated injury occurring in the late post-transplant liver allograft. Careful clinico-pathological correlation is very important and the wording of the biopsy report should take into account therapeutic implications, particularly whether changes in immunosuppression may be indicated. This article will provide an overview of the main histological changes occurring in long-term survivors post-LT, focusing on areas where the assessment of late post-transplant biopsies is most relevant clinically. \u00a9 2011 European Association for the Study of the Liver. Published by Elsevier B.V. All rights reserved.", "author" : [ { "dropping-particle" : "", "family" : "H\u00fcbscher", "given" : "Stefan G.", "non-dropping-particle" : "", "parse-names" : false, "suffix" : "" } ], "container-title" : "Journal of Hepatology", "id" : "ITEM-1", "issue" : "3", "issued" : { "date-parts" : [ [ "2011" ] ] }, "page" : "702-717", "publisher" : "European Association for the Study of the Liver", "title" : "What is the long-term outcome of the liver allograft?", "type" : "article-journal", "volume" : "55" }, "uris" : [ "http://www.mendeley.com/documents/?uuid=1202adda-8c52-4574-97da-2c105d6d55cc" ] } ], "mendeley" : { "formattedCitation" : "&lt;sup&gt;[1]&lt;/sup&gt;", "plainTextFormattedCitation" : "[1]", "previouslyFormattedCitation" : "&lt;sup&gt;[1]&lt;/sup&gt;" }, "properties" : { "noteIndex" : 0 }, "schema" : "https://github.com/citation-style-language/schema/raw/master/csl-citation.json" }</w:instrText>
      </w:r>
      <w:r w:rsidR="001D26D7" w:rsidRPr="00783FEF">
        <w:rPr>
          <w:rFonts w:ascii="Book Antiqua" w:hAnsi="Book Antiqua"/>
        </w:rPr>
        <w:fldChar w:fldCharType="separate"/>
      </w:r>
      <w:r w:rsidR="00BD1BAA" w:rsidRPr="00783FEF">
        <w:rPr>
          <w:rFonts w:ascii="Book Antiqua" w:hAnsi="Book Antiqua"/>
          <w:noProof/>
          <w:vertAlign w:val="superscript"/>
        </w:rPr>
        <w:t>[1]</w:t>
      </w:r>
      <w:r w:rsidR="001D26D7" w:rsidRPr="00783FEF">
        <w:rPr>
          <w:rFonts w:ascii="Book Antiqua" w:hAnsi="Book Antiqua"/>
        </w:rPr>
        <w:fldChar w:fldCharType="end"/>
      </w:r>
      <w:r w:rsidRPr="00783FEF">
        <w:rPr>
          <w:rFonts w:ascii="Book Antiqua" w:hAnsi="Book Antiqua"/>
        </w:rPr>
        <w:t>. A particularly abundant presence of plasma cells in the portal tract and an intense interface inflammation generally address the diagnosis but do not exempt from a careful differential appraisal</w:t>
      </w:r>
      <w:r w:rsidR="001D26D7" w:rsidRPr="00783FEF">
        <w:rPr>
          <w:rFonts w:ascii="Book Antiqua" w:hAnsi="Book Antiqua"/>
        </w:rPr>
        <w:fldChar w:fldCharType="begin" w:fldLock="1"/>
      </w:r>
      <w:r w:rsidR="00BD1BAA" w:rsidRPr="00783FEF">
        <w:rPr>
          <w:rFonts w:ascii="Book Antiqua" w:hAnsi="Book Antiqua"/>
        </w:rPr>
        <w:instrText>ADDIN CSL_CITATION { "citationItems" : [ { "id" : "ITEM-1", "itemData" : { "DOI" : "10.3748/wjg.v19.i2.158", "ISBN" : "1007-9327 (Print)\\r1007-9327 (Linking)", "ISSN" : "10079327", "PMID" : "23345937", "abstract" : "Hepatitis C virus (HCV) is the leading indication for liver transplantation in the United States. It recurs universally after transplant but the rate of fibrosis and the development of graft failure is variable. Different donor and recipient features have been demonstrated to impact fibrosis. Plasma cell hepatitis, a histologic finding, is one feature associated with poor graft and patient outcomes. The pathogenic mechanism resulting in plasma cell hepatitis is poorly understood, with evidence suggesting a role for both the HCV and the immune system.A recent publication described plasma cell hepatitis in a larger context of immune medicated graft dysfunction in transplant recipients receiving interferon based therapy. This manuscript will highlight the topic of plasma cell hepatitis and provide commentary on the lack of recognition, the data regarding pathophysiologic mechanisms and the potential management options.", "author" : [ { "dropping-particle" : "", "family" : "Kallwitz", "given" : "Eric R.", "non-dropping-particle" : "", "parse-names" : false, "suffix" : "" } ], "container-title" : "World Journal of Gastroenterology", "id" : "ITEM-1", "issue" : "2", "issued" : { "date-parts" : [ [ "2013" ] ] }, "page" : "158-160", "title" : "Recurrent hepatitis C virus after transplant and the importance of plasma cells on biopsy", "type" : "article-journal", "volume" : "19" }, "uris" : [ "http://www.mendeley.com/documents/?uuid=ada88ee0-17a0-4e05-8cbe-3d84bee26592" ] }, { "id" : "ITEM-2", "itemData" : { "DOI" : "10.1016/j.jhep.2013.09.020", "ISBN" : "1600-0641 (Electronic)\r0168-8278 (Linking)", "ISSN" : "01688278", "PMID" : "24084655", "abstract" : "Summary Primary biliary cirrhosis (PBC), primary sclerosing cholangitis (PSC) and autoimmune hepatitis (AIH) represent the three major autoimmune liver diseases (AILD). PBC, PSC, and AIH are all complex disorders in that they result from the effects of multiple genes in combination with as yet unidentified environmental factors. Recent genome-wide association studies have identified numerous risk loci for PBC and PSC that host genes involved in innate or acquired immune responses. These loci may provide a clue as to the immune-based pathogenesis of AILD. Moreover, many significant risk loci for PBC and PSC are also risk loci for other autoimmune disorders, such type I diabetes, multiple sclerosis and rheumatoid arthritis, suggesting a shared genetic basis and possibly similar molecular pathways for diverse autoimmune conditions. There is no curative treatment for all three disorders, and a significant number of patients eventually progress to end-stage liver disease requiring liver transplantation (LT). LT in this context has a favourable overall outcome with current patient and graft survival exceeding 80% at 5 years. Indications are as for other chronic liver disease although recent data suggest that while lethargy improves after transplantation, the effect is modest and variable so lethargy alone is not an indication. In contrast, pruritus rapidly responds. Cholangiocarcinoma, except under rigorous selection criteria, excludes LT because of the high risk of recurrence. All three conditions may recur after transplantation and are associated with a greater risk of both acute cellular and chronic ductopenic rejection. It is possible that a crosstalk between alloimmune and autoimmune response perpetuate each other. An immunological response toward self- or allo-antigens is well recognised after LT in patients transplanted for non-autoimmune indications and sometimes termed \"de novo autoimmune hepatitis\". Whether this is part of the spectrum of rejection or an autoimmune process is not clear. In this manuscript, we review novel findings about disease processes and mechanisms that lead to autoimmunity in the liver and their possible involvement in the immune response vs. The graft after LT. ?? 2013 European Association for the Study of the Liver. Published by Elsevier B.V. All rights reserved.", "author" : [ { "dropping-particle" : "", "family" : "Carbone", "given" : "Marco", "non-dropping-particle" : "", "parse-names" : false, "suffix" : "" }, { "dropping-particle" : "", "family" : "Neuberger", "given" : "James M.", "non-dropping-particle" : "", "parse-names" : false, "suffix" : "" } ], "container-title" : "Journal of Hepatology", "id" : "ITEM-2", "issue" : "1", "issued" : { "date-parts" : [ [ "2014" ] ] }, "page" : "210-223", "publisher" : "European Association for the Study of the Liver", "title" : "Autoimmune liver disease, autoimmunity and liver transplantation", "type" : "article-journal", "volume" : "60" }, "uris" : [ "http://www.mendeley.com/documents/?uuid=dd31a2ab-d689-42f1-9fc2-9a59c2005ec3" ] } ], "mendeley" : { "formattedCitation" : "&lt;sup&gt;[67,68]&lt;/sup&gt;", "plainTextFormattedCitation" : "[67,68]", "previouslyFormattedCitation" : "&lt;sup&gt;[67,68]&lt;/sup&gt;" }, "properties" : { "noteIndex" : 0 }, "schema" : "https://github.com/citation-style-language/schema/raw/master/csl-citation.json" }</w:instrText>
      </w:r>
      <w:r w:rsidR="001D26D7" w:rsidRPr="00783FEF">
        <w:rPr>
          <w:rFonts w:ascii="Book Antiqua" w:hAnsi="Book Antiqua"/>
        </w:rPr>
        <w:fldChar w:fldCharType="separate"/>
      </w:r>
      <w:r w:rsidR="00C736BC" w:rsidRPr="00783FEF">
        <w:rPr>
          <w:rFonts w:ascii="Book Antiqua" w:hAnsi="Book Antiqua"/>
          <w:noProof/>
          <w:vertAlign w:val="superscript"/>
        </w:rPr>
        <w:t>[67,68]</w:t>
      </w:r>
      <w:r w:rsidR="001D26D7" w:rsidRPr="00783FEF">
        <w:rPr>
          <w:rFonts w:ascii="Book Antiqua" w:hAnsi="Book Antiqua"/>
        </w:rPr>
        <w:fldChar w:fldCharType="end"/>
      </w:r>
      <w:r w:rsidRPr="00783FEF">
        <w:rPr>
          <w:rFonts w:ascii="Book Antiqua" w:hAnsi="Book Antiqua"/>
        </w:rPr>
        <w:t>. Moreover, some intrinsic variables may influence the reading of liver allograft biopsy, such as the primary diagnosis that led to LT, the time from LT, the immunosuppressive regimen, the center’s previous experience in and awareness of the field, and the quality of information exchange between the clinician and pathologist</w:t>
      </w:r>
      <w:r w:rsidR="001D26D7" w:rsidRPr="00783FEF">
        <w:rPr>
          <w:rFonts w:ascii="Book Antiqua" w:hAnsi="Book Antiqua"/>
        </w:rPr>
        <w:fldChar w:fldCharType="begin" w:fldLock="1"/>
      </w:r>
      <w:r w:rsidR="00BD1BAA" w:rsidRPr="00783FEF">
        <w:rPr>
          <w:rFonts w:ascii="Book Antiqua" w:hAnsi="Book Antiqua"/>
        </w:rPr>
        <w:instrText>ADDIN CSL_CITATION { "citationItems" : [ { "id" : "ITEM-1", "itemData" : { "DOI" : "10.1016/j.jhep.2011.03.005", "ISSN" : "01688278", "PMID" : "21426919", "abstract" : "With improved long-term survival following liver transplantation (LT), issues relating to the assessment of the liver allograft in long-term survivors are becoming increasingly relevant. Histological abnormalities are commonly present in late post-transplant biopsies, including protocol biopsies from patients who appear to be well with good graft function. Recurrent disease is the commonest recognised cause of abnormal graft histology, but may be modified by the effects of immunosuppression or interactions with other graft complications, resulting in complex or atypical changes. Other abnormalities seen in late post-transplant biopsies include rejection (which often has different appearances to those seen in the post-transplant period), de novo disease, \"idiopathic\" post-transplant hepatitis (IPTH) and nodular regenerative hyperplasia. In many cases graft dysfunction has more than one cause and liver biopsy may help to identify the predominant cause of graft damage. Problems exist with the terminology used to describe less well understood patterns of graft injury, but there is emerging evidence to suggest that late rejection, de novo autoimmune hepatitis and IPTH may all be part of an overlapping spectrum of immune-mediated injury occurring in the late post-transplant liver allograft. Careful clinico-pathological correlation is very important and the wording of the biopsy report should take into account therapeutic implications, particularly whether changes in immunosuppression may be indicated. This article will provide an overview of the main histological changes occurring in long-term survivors post-LT, focusing on areas where the assessment of late post-transplant biopsies is most relevant clinically. \u00a9 2011 European Association for the Study of the Liver. Published by Elsevier B.V. All rights reserved.", "author" : [ { "dropping-particle" : "", "family" : "H\u00fcbscher", "given" : "Stefan G.", "non-dropping-particle" : "", "parse-names" : false, "suffix" : "" } ], "container-title" : "Journal of Hepatology", "id" : "ITEM-1", "issue" : "3", "issued" : { "date-parts" : [ [ "2011" ] ] }, "page" : "702-717", "publisher" : "European Association for the Study of the Liver", "title" : "What is the long-term outcome of the liver allograft?", "type" : "article-journal", "volume" : "55" }, "uris" : [ "http://www.mendeley.com/documents/?uuid=1202adda-8c52-4574-97da-2c105d6d55cc" ] }, { "id" : "ITEM-2", "itemData" : { "ISSN" : "0147-5185 (Print)", "PMID" : "7832279", "abstract" : "The clinicopathologic features of liver allograft dysfunction occurring in 51 symptomatic recipients after more than 5 years\u2019 survival (mean 7.1 years) with the same hepatic allograft were compared with those of a similar group of 14 asymptomatic patients (mean survival, 9.9 years) who underwent a nonclinically indicated protocol liver biopsy evaluation. Predictably, patients who had clinically indicated biopsies more frequently showed histopathologic alterations (76% versus 36%, p &lt; 0.002). After detailed clinicopathologic correlation, the changes in the symptomatic patients were attributed primarily to definite or presumed viral hepatitis in 17 of 51 (33%) patients, 11 of whom had recurrent viral disease; seven of 51 (14%) had nonviral recurrent original disease, three (6%) had obstructive cholangiopathy, and 11 (22%) had acute and/or chronic rejection. In 13 of 51 (25%) of the symptomatic patients, the clinical and pathologic abnormalities were minimal. Long-term liver allograft survival in nine of 14 (64%) of the asymptomatic patients was associated with minimally abnormal histologic alterations. Two of the asymptomatic patients had obstructive cholangiopathy; two others has recurrence of the original disease and one has possible viral hepatitis. Viral hepatitis types B and C, alcoholic liver disease, autoimmune hepatitis, granulomatous hepatitis (not otherwise specified), and probably primary biliary cirrhosis and primary sclerosing cholangitis were shown to recur after hepatic transplantation. The histopathologic changes associated with acute and chronic rejection frequently overlapped with other syndromes causing late dysfunction, such as chronic viral or autoimmune hepatitis, primary biliary cirrhosis, or primary sclerosing cholangitis; more than one insult could be identified in 15 cases, which made the differential diagnosis of causes of late liver allograft dysfunction much more difficult than early after hepatic transplantation. It is important to correlate the biopsy findings with the liver injury tests, the results of viral and autoimmune antibody serologic studies, and review of previous biopsies and to be aware of the original disease, recent changes in immunosuppression, and results of therapeutic intervention(s) to identify correctly the causes of liver allograft dysfunction in this patient population. ", "author" : [ { "dropping-particle" : "", "family" : "Pappo", "given" : "O", "non-dropping-particle" : "", "parse-names" : false, "suffix" : "" }, { "dropping-particle" : "", "family" : "Ramos", "given" : "H", "non-dropping-particle" : "", "parse-names" : false, "suffix" : "" }, { "dropping-particle" : "", "family" : "Starzl", "given" : "T E", "non-dropping-particle" : "", "parse-names" : false, "suffix" : "" }, { "dropping-particle" : "", "family" : "Fung", "given" : "J J", "non-dropping-particle" : "", "parse-names" : false, "suffix" : "" }, { "dropping-particle" : "", "family" : "Demetris", "given" : "A J", "non-dropping-particle" : "", "parse-names" : false, "suffix" : "" } ], "container-title" : "The American journal of surgical pathology", "id" : "ITEM-2", "issue" : "2", "issued" : { "date-parts" : [ [ "1995", "2" ] ] }, "language" : "eng", "page" : "192-206", "title" : "Structural Integrity and Identification of Causes of Liver Allograft Dysfunction Occurring More Than 5 Years After Transplantation", "type" : "article", "volume" : "19" }, "uris" : [ "http://www.mendeley.com/documents/?uuid=5581bdc9-9bb0-486a-9dbb-84501fa1a8ad" ] } ], "mendeley" : { "formattedCitation" : "&lt;sup&gt;[1,69]&lt;/sup&gt;", "plainTextFormattedCitation" : "[1,69]", "previouslyFormattedCitation" : "&lt;sup&gt;[1,69]&lt;/sup&gt;" }, "properties" : { "noteIndex" : 0 }, "schema" : "https://github.com/citation-style-language/schema/raw/master/csl-citation.json" }</w:instrText>
      </w:r>
      <w:r w:rsidR="001D26D7" w:rsidRPr="00783FEF">
        <w:rPr>
          <w:rFonts w:ascii="Book Antiqua" w:hAnsi="Book Antiqua"/>
        </w:rPr>
        <w:fldChar w:fldCharType="separate"/>
      </w:r>
      <w:r w:rsidR="00C736BC" w:rsidRPr="00783FEF">
        <w:rPr>
          <w:rFonts w:ascii="Book Antiqua" w:hAnsi="Book Antiqua"/>
          <w:noProof/>
          <w:vertAlign w:val="superscript"/>
        </w:rPr>
        <w:t>[1,69]</w:t>
      </w:r>
      <w:r w:rsidR="001D26D7" w:rsidRPr="00783FEF">
        <w:rPr>
          <w:rFonts w:ascii="Book Antiqua" w:hAnsi="Book Antiqua"/>
        </w:rPr>
        <w:fldChar w:fldCharType="end"/>
      </w:r>
      <w:r w:rsidRPr="00783FEF">
        <w:rPr>
          <w:rFonts w:ascii="Book Antiqua" w:hAnsi="Book Antiqua"/>
        </w:rPr>
        <w:t>.</w:t>
      </w:r>
    </w:p>
    <w:p w:rsidR="0055710A" w:rsidRPr="00783FEF" w:rsidRDefault="0055710A" w:rsidP="00783FEF">
      <w:pPr>
        <w:spacing w:line="360" w:lineRule="auto"/>
        <w:jc w:val="both"/>
        <w:rPr>
          <w:rFonts w:ascii="Book Antiqua" w:hAnsi="Book Antiqua"/>
          <w:b/>
          <w:lang w:eastAsia="zh-CN"/>
        </w:rPr>
      </w:pPr>
    </w:p>
    <w:p w:rsidR="00A049A8" w:rsidRPr="00FC6252" w:rsidRDefault="00FC6252" w:rsidP="00783FEF">
      <w:pPr>
        <w:spacing w:line="360" w:lineRule="auto"/>
        <w:jc w:val="both"/>
        <w:rPr>
          <w:rFonts w:ascii="Book Antiqua" w:hAnsi="Book Antiqua"/>
          <w:b/>
        </w:rPr>
      </w:pPr>
      <w:r w:rsidRPr="00FC6252">
        <w:rPr>
          <w:rFonts w:ascii="Book Antiqua" w:hAnsi="Book Antiqua"/>
          <w:b/>
        </w:rPr>
        <w:t>CLINICAL ONSET AND DIFFERENTIAL DIAGNOSIS</w:t>
      </w:r>
    </w:p>
    <w:p w:rsidR="00A049A8" w:rsidRPr="00783FEF" w:rsidRDefault="00A049A8" w:rsidP="00783FEF">
      <w:pPr>
        <w:autoSpaceDE w:val="0"/>
        <w:autoSpaceDN w:val="0"/>
        <w:adjustRightInd w:val="0"/>
        <w:spacing w:line="360" w:lineRule="auto"/>
        <w:jc w:val="both"/>
        <w:rPr>
          <w:rFonts w:ascii="Book Antiqua" w:hAnsi="Book Antiqua"/>
        </w:rPr>
      </w:pPr>
      <w:r w:rsidRPr="00783FEF">
        <w:rPr>
          <w:rFonts w:ascii="Book Antiqua" w:hAnsi="Book Antiqua"/>
        </w:rPr>
        <w:t xml:space="preserve">The currently available data regarding the incidence of </w:t>
      </w:r>
      <w:r w:rsidRPr="00783FEF">
        <w:rPr>
          <w:rFonts w:ascii="Book Antiqua" w:hAnsi="Book Antiqua"/>
          <w:i/>
        </w:rPr>
        <w:t>de novo</w:t>
      </w:r>
      <w:r w:rsidRPr="00783FEF">
        <w:rPr>
          <w:rFonts w:ascii="Book Antiqua" w:hAnsi="Book Antiqua"/>
        </w:rPr>
        <w:t xml:space="preserve"> AIH indicate rates of 5</w:t>
      </w:r>
      <w:r w:rsidR="00F41E66" w:rsidRPr="00783FEF">
        <w:rPr>
          <w:rFonts w:ascii="Book Antiqua" w:hAnsi="Book Antiqua"/>
        </w:rPr>
        <w:t>%</w:t>
      </w:r>
      <w:r w:rsidRPr="00783FEF">
        <w:rPr>
          <w:rFonts w:ascii="Book Antiqua" w:hAnsi="Book Antiqua"/>
        </w:rPr>
        <w:t>-10% in pediatric LT recipients and 1</w:t>
      </w:r>
      <w:r w:rsidR="00F41E66" w:rsidRPr="00783FEF">
        <w:rPr>
          <w:rFonts w:ascii="Book Antiqua" w:hAnsi="Book Antiqua"/>
        </w:rPr>
        <w:t>%</w:t>
      </w:r>
      <w:r w:rsidRPr="00783FEF">
        <w:rPr>
          <w:rFonts w:ascii="Book Antiqua" w:hAnsi="Book Antiqua"/>
        </w:rPr>
        <w:t>-2% in adult LT recipients, suggesting an infrequent post-LT complication in adults.</w:t>
      </w:r>
      <w:r w:rsidR="00F41E66">
        <w:rPr>
          <w:rFonts w:ascii="Book Antiqua" w:hAnsi="Book Antiqua" w:hint="eastAsia"/>
          <w:lang w:eastAsia="zh-CN"/>
        </w:rPr>
        <w:t xml:space="preserve"> </w:t>
      </w:r>
      <w:r w:rsidRPr="00783FEF">
        <w:rPr>
          <w:rFonts w:ascii="Book Antiqua" w:hAnsi="Book Antiqua"/>
        </w:rPr>
        <w:t xml:space="preserve">Nonetheless, this disease should be considered when liver necrosis enzymes increase occurs in LT recipient, regardless of the </w:t>
      </w:r>
      <w:r w:rsidRPr="00783FEF">
        <w:rPr>
          <w:rFonts w:ascii="Book Antiqua" w:hAnsi="Book Antiqua"/>
        </w:rPr>
        <w:lastRenderedPageBreak/>
        <w:t>post-LT</w:t>
      </w:r>
      <w:r w:rsidR="00F41E66">
        <w:rPr>
          <w:rFonts w:ascii="Book Antiqua" w:hAnsi="Book Antiqua" w:hint="eastAsia"/>
          <w:lang w:eastAsia="zh-CN"/>
        </w:rPr>
        <w:t xml:space="preserve"> </w:t>
      </w:r>
      <w:r w:rsidRPr="00783FEF">
        <w:rPr>
          <w:rFonts w:ascii="Book Antiqua" w:hAnsi="Book Antiqua"/>
        </w:rPr>
        <w:t>epoch of development. Beginning with this laboratory finding, a differential algorithm is crucial for a correct diagnostic conclusion. Contextually, the elevation of gamma-globulin levels should be observed and graded, and the non-organ specific autoantibodies should be characterized</w:t>
      </w:r>
      <w:r w:rsidR="001D26D7" w:rsidRPr="00783FEF">
        <w:rPr>
          <w:rFonts w:ascii="Book Antiqua" w:hAnsi="Book Antiqua"/>
        </w:rPr>
        <w:fldChar w:fldCharType="begin" w:fldLock="1"/>
      </w:r>
      <w:r w:rsidR="00A40F3C" w:rsidRPr="00783FEF">
        <w:rPr>
          <w:rFonts w:ascii="Book Antiqua" w:hAnsi="Book Antiqua"/>
        </w:rPr>
        <w:instrText>ADDIN CSL_CITATION { "citationItems" : [ { "id" : "ITEM-1", "itemData" : { "DOI" : "10.1016/j.cgh.2011.10.028", "ISSN" : "15423565", "abstract" : "Liver transplantation is an effective treatment for patients with end-stage acute and chronic autoimmune hepatitis. However, despite the good outcomes reported, disease recurrence is relatively common in the allograft. In addition, autoimmunity and autoimmune liver disease can arise de novo after transplantation for non-autoimmune liver disorders. Little is known about the mechanisms by which autoimmune diseases develop after liver transplantation, but genetic factors, molecular mimicry, impaired regulatory T-cell responses, and exposures to new alloantigens might be involved. Regardless of the pathogenic mechanisms, it is important to remain aware of the existence of recurrent and de novo autoimmune hepatitis after liver transplantation; these disorders are similar to classic autoimmune hepatitis and are therefore not treated with standard antirejection strategies. ?? 2012 AGA Institute.", "author" : [ { "dropping-particle" : "", "family" : "Liberal", "given" : "Rodrigo", "non-dropping-particle" : "", "parse-names" : false, "suffix" : "" }, { "dropping-particle" : "", "family" : "Longhi", "given" : "Maria Serena", "non-dropping-particle" : "", "parse-names" : false, "suffix" : "" }, { "dropping-particle" : "", "family" : "Grant", "given" : "Charlotte R.", "non-dropping-particle" : "", "parse-names" : false, "suffix" : "" }, { "dropping-particle" : "", "family" : "Mieli-Vergani", "given" : "Giorgina", "non-dropping-particle" : "", "parse-names" : false, "suffix" : "" }, { "dropping-particle" : "", "family" : "Vergani", "given" : "Diego", "non-dropping-particle" : "", "parse-names" : false, "suffix" : "" } ], "container-title" : "Clinical Gastroenterology and Hepatology", "id" : "ITEM-1", "issue" : "4", "issued" : { "date-parts" : [ [ "2012" ] ] }, "page" : "346-353", "publisher" : "Elsevier Inc.", "title" : "Autoimmune Hepatitis After Liver Transplantation", "type" : "article-journal", "volume" : "10" }, "uris" : [ "http://www.mendeley.com/documents/?uuid=961af2c0-e818-4648-b705-fe6245913a22" ] }, { "id" : "ITEM-2", "itemData" : { "DOI" : "10.1007/s10620-012-2179-3", "ISSN" : "0163-2116", "author" : [ { "dropping-particle" : "", "family" : "Czaja", "given" : "AlbertJ.", "non-dropping-particle" : "", "parse-names" : false, "suffix" : "" } ], "container-title" : "Digestive Diseases and Sciences", "id" : "ITEM-2", "issue" : "9", "issued" : { "date-parts" : [ [ "2012" ] ] }, "language" : "English", "page" : "2248-2266", "publisher" : "Springer US", "title" : "Diagnosis, Pathogenesis, and Treatment of Autoimmune Hepatitis After Liver Transplantation", "type" : "article-journal", "volume" : "57" }, "uris" : [ "http://www.mendeley.com/documents/?uuid=b1e88aac-bad0-4032-9e31-243811683c87" ] } ], "mendeley" : { "formattedCitation" : "&lt;sup&gt;[7,8]&lt;/sup&gt;", "plainTextFormattedCitation" : "[7,8]", "previouslyFormattedCitation" : "&lt;sup&gt;[7,8]&lt;/sup&gt;" }, "properties" : { "noteIndex" : 0 }, "schema" : "https://github.com/citation-style-language/schema/raw/master/csl-citation.json" }</w:instrText>
      </w:r>
      <w:r w:rsidR="001D26D7" w:rsidRPr="00783FEF">
        <w:rPr>
          <w:rFonts w:ascii="Book Antiqua" w:hAnsi="Book Antiqua"/>
        </w:rPr>
        <w:fldChar w:fldCharType="separate"/>
      </w:r>
      <w:r w:rsidR="00260D13" w:rsidRPr="00783FEF">
        <w:rPr>
          <w:rFonts w:ascii="Book Antiqua" w:hAnsi="Book Antiqua"/>
          <w:noProof/>
          <w:vertAlign w:val="superscript"/>
        </w:rPr>
        <w:t>[7,8]</w:t>
      </w:r>
      <w:r w:rsidR="001D26D7" w:rsidRPr="00783FEF">
        <w:rPr>
          <w:rFonts w:ascii="Book Antiqua" w:hAnsi="Book Antiqua"/>
        </w:rPr>
        <w:fldChar w:fldCharType="end"/>
      </w:r>
      <w:r w:rsidRPr="00783FEF">
        <w:rPr>
          <w:rFonts w:ascii="Book Antiqua" w:hAnsi="Book Antiqua"/>
        </w:rPr>
        <w:t xml:space="preserve"> by an expert laboratory. In this sense, smooth-muscle antibodies positivity appears to be the most pathognomonic finding. With these concerns, the liver biopsy is performed and the histological features of </w:t>
      </w:r>
      <w:r w:rsidRPr="00783FEF">
        <w:rPr>
          <w:rFonts w:ascii="Book Antiqua" w:hAnsi="Book Antiqua"/>
          <w:i/>
        </w:rPr>
        <w:t>de novo</w:t>
      </w:r>
      <w:r w:rsidRPr="00783FEF">
        <w:rPr>
          <w:rFonts w:ascii="Book Antiqua" w:hAnsi="Book Antiqua"/>
        </w:rPr>
        <w:t xml:space="preserve"> AIH should be observed to predominate over other etiologies of liver damage</w:t>
      </w:r>
      <w:r w:rsidR="001D26D7" w:rsidRPr="00783FEF">
        <w:rPr>
          <w:rFonts w:ascii="Book Antiqua" w:hAnsi="Book Antiqua"/>
        </w:rPr>
        <w:fldChar w:fldCharType="begin" w:fldLock="1"/>
      </w:r>
      <w:r w:rsidR="009B32AB" w:rsidRPr="00783FEF">
        <w:rPr>
          <w:rFonts w:ascii="Book Antiqua" w:hAnsi="Book Antiqua"/>
        </w:rPr>
        <w:instrText>ADDIN CSL_CITATION { "citationItems" : [ { "id" : "ITEM-1", "itemData" : { "DOI" : "10.1002/hep.21280", "ISBN" : "0270-9139 (Print)\\r0270-9139 (Linking)", "ISSN" : "02709139", "PMID" : "16871565", "abstract" : "Evaluation of needle biopsies and extensive clinicopathological correlation play an important role in the determination of liver allograft dysfunction occurring more than 1 year after transplantation. Interpretation of these biopsies can be quite difficult because of the high incidence of recurrent diseases that show histopathological, clinical, and serological features that overlap with each other and with rejection. Also, more than one insult can contribute to allograft injury. In an attempt to enable centers to compare and pool results, improve therapy, and better understand pathophysiological disease mechanisms, the Banff Working Group on Liver Allograft Pathology herein proposes a set of consensus criteria for the most common and problematic causes of late liver allograft dysfunction, including late-onset acute and chronic rejection, recurrent and new-onset viral and autoimmune hepatitis, biliary strictures, and recurrent primary biliary cirrhosis and primary sclerosing cholangitis. A discussion of differential diagnosis is also presented.", "author" : [ { "dropping-particle" : "", "family" : "Demetris", "given" : "a. J.", "non-dropping-particle" : "", "parse-names" : false, "suffix" : "" } ], "container-title" : "Hepatology", "id" : "ITEM-1", "issue" : "2", "issued" : { "date-parts" : [ [ "2006" ] ] }, "page" : "489-501", "title" : "Liver biopsy interpretation for causes of late liver allograft dysfunction", "type" : "article-journal", "volume" : "44" }, "uris" : [ "http://www.mendeley.com/documents/?uuid=2bcf86ff-2545-4795-b841-23af71432c66" ] } ], "mendeley" : { "formattedCitation" : "&lt;sup&gt;[66]&lt;/sup&gt;", "plainTextFormattedCitation" : "[66]", "previouslyFormattedCitation" : "&lt;sup&gt;[66]&lt;/sup&gt;" }, "properties" : { "noteIndex" : 0 }, "schema" : "https://github.com/citation-style-language/schema/raw/master/csl-citation.json" }</w:instrText>
      </w:r>
      <w:r w:rsidR="001D26D7" w:rsidRPr="00783FEF">
        <w:rPr>
          <w:rFonts w:ascii="Book Antiqua" w:hAnsi="Book Antiqua"/>
        </w:rPr>
        <w:fldChar w:fldCharType="separate"/>
      </w:r>
      <w:r w:rsidR="00B8382C" w:rsidRPr="00783FEF">
        <w:rPr>
          <w:rFonts w:ascii="Book Antiqua" w:hAnsi="Book Antiqua"/>
          <w:noProof/>
          <w:vertAlign w:val="superscript"/>
        </w:rPr>
        <w:t>[66]</w:t>
      </w:r>
      <w:r w:rsidR="001D26D7" w:rsidRPr="00783FEF">
        <w:rPr>
          <w:rFonts w:ascii="Book Antiqua" w:hAnsi="Book Antiqua"/>
        </w:rPr>
        <w:fldChar w:fldCharType="end"/>
      </w:r>
      <w:r w:rsidRPr="00783FEF">
        <w:rPr>
          <w:rFonts w:ascii="Book Antiqua" w:hAnsi="Book Antiqua"/>
        </w:rPr>
        <w:t xml:space="preserve">. It is of note that in some cases, the diagnosis of </w:t>
      </w:r>
      <w:r w:rsidRPr="00783FEF">
        <w:rPr>
          <w:rFonts w:ascii="Book Antiqua" w:hAnsi="Book Antiqua"/>
          <w:i/>
        </w:rPr>
        <w:t>de novo</w:t>
      </w:r>
      <w:r w:rsidRPr="00783FEF">
        <w:rPr>
          <w:rFonts w:ascii="Book Antiqua" w:hAnsi="Book Antiqua"/>
        </w:rPr>
        <w:t xml:space="preserve"> AIH arises from a standard one-year post-LT biopsy in the absence of prior major clinical or laboratory findings. Recently, an evaluation of the significance of non-organ specific autoantibodies was performed in a large transplanted population and revealed that the presence of serological autoimmunity seldom occurs in parallel with concrete clinical manifestations of autoimmune hepatitis</w:t>
      </w:r>
      <w:r w:rsidR="001D26D7" w:rsidRPr="00783FEF">
        <w:rPr>
          <w:rFonts w:ascii="Book Antiqua" w:hAnsi="Book Antiqua"/>
        </w:rPr>
        <w:fldChar w:fldCharType="begin" w:fldLock="1"/>
      </w:r>
      <w:r w:rsidRPr="00783FEF">
        <w:rPr>
          <w:rFonts w:ascii="Book Antiqua" w:hAnsi="Book Antiqua"/>
        </w:rPr>
        <w:instrText>ADDIN CSL_CITATION { "citationItems" : [ { "id" : "ITEM-1", "itemData" : { "DOI" : "10.1111/ctr.12498", "ISSN" : "09020063", "author" : [ { "dropping-particle" : "", "family" : "Foschi", "given" : "Antonella", "non-dropping-particle" : "", "parse-names" : false, "suffix" : "" }, { "dropping-particle" : "", "family" : "Zavaglia", "given" : "Claudio Antonio", "non-dropping-particle" : "", "parse-names" : false, "suffix" : "" }, { "dropping-particle" : "", "family" : "Fanti", "given" : "Diana", "non-dropping-particle" : "", "parse-names" : false, "suffix" : "" }, { "dropping-particle" : "", "family" : "Mazzarelli", "given" : "Chiara", "non-dropping-particle" : "", "parse-names" : false, "suffix" : "" }, { "dropping-particle" : "", "family" : "Perricone", "given" : "Giovanni", "non-dropping-particle" : "", "parse-names" : false, "suffix" : "" }, { "dropping-particle" : "", "family" : "Vangeli", "given" : "Marcello", "non-dropping-particle" : "", "parse-names" : false, "suffix" : "" }, { "dropping-particle" : "", "family" : "Vigan\u00f2", "given" : "Raffaella", "non-dropping-particle" : "", "parse-names" : false, "suffix" : "" }, { "dropping-particle" : "", "family" : "Belli", "given" : "Luca Saverio", "non-dropping-particle" : "", "parse-names" : false, "suffix" : "" } ], "container-title" : "Clinical Transplantation", "id" : "ITEM-1", "issue" : "2", "issued" : { "date-parts" : [ [ "2015" ] ] }, "page" : "161-166", "title" : "Autoimmunity after liver transplantation: a frequent event but a rare clinical problem", "type" : "article-journal", "volume" : "29" }, "uris" : [ "http://www.mendeley.com/documents/?uuid=7fd5b5d6-edb9-41a7-980f-ec75ef7ffeef" ] } ], "mendeley" : { "formattedCitation" : "&lt;sup&gt;[36]&lt;/sup&gt;", "plainTextFormattedCitation" : "[36]", "previouslyFormattedCitation" : "&lt;sup&gt;[36]&lt;/sup&gt;" }, "properties" : { "noteIndex" : 0 }, "schema" : "https://github.com/citation-style-language/schema/raw/master/csl-citation.json" }</w:instrText>
      </w:r>
      <w:r w:rsidR="001D26D7" w:rsidRPr="00783FEF">
        <w:rPr>
          <w:rFonts w:ascii="Book Antiqua" w:hAnsi="Book Antiqua"/>
        </w:rPr>
        <w:fldChar w:fldCharType="separate"/>
      </w:r>
      <w:r w:rsidRPr="00783FEF">
        <w:rPr>
          <w:rFonts w:ascii="Book Antiqua" w:hAnsi="Book Antiqua"/>
          <w:noProof/>
          <w:vertAlign w:val="superscript"/>
        </w:rPr>
        <w:t>[36]</w:t>
      </w:r>
      <w:r w:rsidR="001D26D7" w:rsidRPr="00783FEF">
        <w:rPr>
          <w:rFonts w:ascii="Book Antiqua" w:hAnsi="Book Antiqua"/>
        </w:rPr>
        <w:fldChar w:fldCharType="end"/>
      </w:r>
      <w:r w:rsidRPr="00783FEF">
        <w:rPr>
          <w:rFonts w:ascii="Book Antiqua" w:hAnsi="Book Antiqua"/>
        </w:rPr>
        <w:t>. This finding suggests</w:t>
      </w:r>
      <w:r w:rsidR="00BD1BAA" w:rsidRPr="00783FEF">
        <w:rPr>
          <w:rFonts w:ascii="Book Antiqua" w:hAnsi="Book Antiqua"/>
        </w:rPr>
        <w:t>,</w:t>
      </w:r>
      <w:r w:rsidRPr="00783FEF">
        <w:rPr>
          <w:rFonts w:ascii="Book Antiqua" w:hAnsi="Book Antiqua"/>
        </w:rPr>
        <w:t xml:space="preserve"> </w:t>
      </w:r>
      <w:r w:rsidR="00BD1BAA" w:rsidRPr="00783FEF">
        <w:rPr>
          <w:rFonts w:ascii="Book Antiqua" w:hAnsi="Book Antiqua"/>
        </w:rPr>
        <w:t xml:space="preserve">and it is indeed also our real-life experience, </w:t>
      </w:r>
      <w:r w:rsidRPr="00783FEF">
        <w:rPr>
          <w:rFonts w:ascii="Book Antiqua" w:hAnsi="Book Antiqua"/>
        </w:rPr>
        <w:t xml:space="preserve">that liver biopsy is the most reliable diagnostic tool. The exclusion of possible distinct causes of graft dysfunction should comprise acute and chronic rejection, HCV recurrence focusing on its autoimmune-like presentation, biliary obstruction/stenosis, vascular complications, recurrent disease in recipients who received transplants for primary biliary cirrhosis or primary sclerosing cholangitis and </w:t>
      </w:r>
      <w:r w:rsidRPr="00783FEF">
        <w:rPr>
          <w:rFonts w:ascii="Book Antiqua" w:hAnsi="Book Antiqua"/>
          <w:i/>
        </w:rPr>
        <w:t>ex novo</w:t>
      </w:r>
      <w:r w:rsidRPr="00783FEF">
        <w:rPr>
          <w:rFonts w:ascii="Book Antiqua" w:hAnsi="Book Antiqua"/>
        </w:rPr>
        <w:t xml:space="preserve"> viral infections. Alternative biliary complications should be carefully excluded, particularly in patients who present with rapid laboratory deterioration including hyperbilirubinemia, which could reflect either a mechanical obstruction or the progression of underlying misrecognized </w:t>
      </w:r>
      <w:r w:rsidRPr="00783FEF">
        <w:rPr>
          <w:rFonts w:ascii="Book Antiqua" w:hAnsi="Book Antiqua"/>
          <w:i/>
        </w:rPr>
        <w:t>de novo</w:t>
      </w:r>
      <w:r w:rsidRPr="00783FEF">
        <w:rPr>
          <w:rFonts w:ascii="Book Antiqua" w:hAnsi="Book Antiqua"/>
        </w:rPr>
        <w:t xml:space="preserve"> AIH to the deterioration of liver functionality. The application of the internationally agreed scoring systems for the diagnosis of </w:t>
      </w:r>
      <w:r w:rsidR="00190EE9" w:rsidRPr="00783FEF">
        <w:rPr>
          <w:rFonts w:ascii="Book Antiqua" w:hAnsi="Book Antiqua"/>
        </w:rPr>
        <w:t>AIH</w:t>
      </w:r>
      <w:r w:rsidR="001D26D7" w:rsidRPr="00783FEF">
        <w:rPr>
          <w:rFonts w:ascii="Book Antiqua" w:hAnsi="Book Antiqua"/>
        </w:rPr>
        <w:fldChar w:fldCharType="begin" w:fldLock="1"/>
      </w:r>
      <w:r w:rsidR="00260D13" w:rsidRPr="00783FEF">
        <w:rPr>
          <w:rFonts w:ascii="Book Antiqua" w:hAnsi="Book Antiqua"/>
        </w:rPr>
        <w:instrText>ADDIN CSL_CITATION { "citationItems" : [ { "id" : "ITEM-1", "itemData" : { "ISSN" : "0168-8278 (Print)", "PMID" : "10580593", "author" : [ { "dropping-particle" : "", "family" : "Alvarez", "given" : "F", "non-dropping-particle" : "", "parse-names" : false, "suffix" : "" }, { "dropping-particle" : "", "family" : "Berg", "given" : "P A", "non-dropping-particle" : "", "parse-names" : false, "suffix" : "" }, { "dropping-particle" : "", "family" : "Bianchi", "given" : "F B", "non-dropping-particle" : "", "parse-names" : false, "suffix" : "" }, { "dropping-particle" : "", "family" : "Bianchi", "given" : "L", "non-dropping-particle" : "", "parse-names" : false, "suffix" : "" }, { "dropping-particle" : "", "family" : "Burroughs", "given" : "A K", "non-dropping-particle" : "", "parse-names" : false, "suffix" : "" }, { "dropping-particle" : "", "family" : "Cancado", "given" : "E L", "non-dropping-particle" : "", "parse-names" : false, "suffix" : "" }, { "dropping-particle" : "", "family" : "Chapman", "given" : "R W", "non-dropping-particle" : "", "parse-names" : false, "suffix" : "" }, { "dropping-particle" : "", "family" : "Cooksley", "given" : "W G", "non-dropping-particle" : "", "parse-names" : false, "suffix" : "" }, { "dropping-particle" : "", "family" : "Czaja", "given" : "A J", "non-dropping-particle" : "", "parse-names" : false, "suffix" : "" }, { "dropping-particle" : "", "family" : "Desmet", "given" : "V J", "non-dropping-particle" : "", "parse-names" : false, "suffix" : "" }, { "dropping-particle" : "", "family" : "Donaldson", "given" : "P T", "non-dropping-particle" : "", "parse-names" : false, "suffix" : "" }, { "dropping-particle" : "", "family" : "Eddleston", "given" : "A L", "non-dropping-particle" : "", "parse-names" : false, "suffix" : "" }, { "dropping-particle" : "", "family" : "Fainboim", "given" : "L", "non-dropping-particle" : "", "parse-names" : false, "suffix" : "" }, { "dropping-particle" : "", "family" : "Heathcote", "given" : "J", "non-dropping-particle" : "", "parse-names" : false, "suffix" : "" }, { "dropping-particle" : "", "family" : "Homberg", "given" : "J C", "non-dropping-particle" : "", "parse-names" : false, "suffix" : "" }, { "dropping-particle" : "", "family" : "Hoofnagle", "given" : "J H", "non-dropping-particle" : "", "parse-names" : false, "suffix" : "" }, { "dropping-particle" : "", "family" : "Kakumu", "given" : "S", "non-dropping-particle" : "", "parse-names" : false, "suffix" : "" }, { "dropping-particle" : "", "family" : "Krawitt", "given" : "E L", "non-dropping-particle" : "", "parse-names" : false, "suffix" : "" }, { "dropping-particle" : "", "family" : "Mackay", "given" : "I R", "non-dropping-particle" : "", "parse-names" : false, "suffix" : "" }, { "dropping-particle" : "", "family" : "MacSween", "given" : "R N", "non-dropping-particle" : "", "parse-names" : false, "suffix" : "" }, { "dropping-particle" : "", "family" : "Maddrey", "given" : "W C", "non-dropping-particle" : "", "parse-names" : false, "suffix" : "" }, { "dropping-particle" : "", "family" : "Manns", "given" : "M P", "non-dropping-particle" : "", "parse-names" : false, "suffix" : "" }, { "dropping-particle" : "", "family" : "McFarlane", "given" : "I G", "non-dropping-particle" : "", "parse-names" : false, "suffix" : "" }, { "dropping-particle" : "", "family" : "Meyer zum Buschenfelde", "given" : "K H", "non-dropping-particle" : "", "parse-names" : false, "suffix" : "" }, { "dropping-particle" : "", "family" : "Zeniya", "given" : "M", "non-dropping-particle" : "", "parse-names" : false, "suffix" : "" } ], "container-title" : "Journal of hepatology", "id" : "ITEM-1", "issue" : "5", "issued" : { "date-parts" : [ [ "1999", "11" ] ] }, "language" : "eng", "page" : "929-938", "publisher-place" : "DENMARK", "title" : "International Autoimmune Hepatitis Group Report: review of criteria for diagnosis of autoimmune hepatitis.", "type" : "article-journal", "volume" : "31" }, "uris" : [ "http://www.mendeley.com/documents/?uuid=dee62e4b-7b08-4ea4-8f68-01f86575f248" ] }, { "id" : "ITEM-2", "itemData" : { "DOI" : "10.1016/j.jhep.2004.08.002", "ISSN" : "0168-8278 (Print)", "PMID" : "15464251", "author" : [ { "dropping-particle" : "", "family" : "Vergani", "given" : "Diego", "non-dropping-particle" : "", "parse-names" : false, "suffix" : "" }, { "dropping-particle" : "", "family" : "Alvarez", "given" : "Fernando", "non-dropping-particle" : "", "parse-names" : false, "suffix" : "" }, { "dropping-particle" : "", "family" : "Bianchi", "given" : "Francesco B", "non-dropping-particle" : "", "parse-names" : false, "suffix" : "" }, { "dropping-particle" : "", "family" : "Cancado", "given" : "Eduardo L R", "non-dropping-particle" : "", "parse-names" : false, "suffix" : "" }, { "dropping-particle" : "", "family" : "Mackay", "given" : "Ian R", "non-dropping-particle" : "", "parse-names" : false, "suffix" : "" }, { "dropping-particle" : "", "family" : "Manns", "given" : "Michael P", "non-dropping-particle" : "", "parse-names" : false, "suffix" : "" }, { "dropping-particle" : "", "family" : "Nishioka", "given" : "Mikio", "non-dropping-particle" : "", "parse-names" : false, "suffix" : "" }, { "dropping-particle" : "", "family" : "Penner", "given" : "Edward", "non-dropping-particle" : "", "parse-names" : false, "suffix" : "" } ], "container-title" : "Journal of hepatology", "id" : "ITEM-2", "issue" : "4", "issued" : { "date-parts" : [ [ "2004", "10" ] ] }, "language" : "eng", "page" : "677-683", "publisher-place" : "England", "title" : "Liver autoimmune serology: a consensus statement from the committee for autoimmune serology of the International Autoimmune Hepatitis Group.", "type" : "article-journal", "volume" : "41" }, "uris" : [ "http://www.mendeley.com/documents/?uuid=e7148483-b71f-4247-8f0c-8e60b89f7a6d" ] } ], "mendeley" : { "formattedCitation" : "&lt;sup&gt;[54,70]&lt;/sup&gt;", "plainTextFormattedCitation" : "[54,70]", "previouslyFormattedCitation" : "&lt;sup&gt;[54,70]&lt;/sup&gt;" }, "properties" : { "noteIndex" : 0 }, "schema" : "https://github.com/citation-style-language/schema/raw/master/csl-citation.json" }</w:instrText>
      </w:r>
      <w:r w:rsidR="001D26D7" w:rsidRPr="00783FEF">
        <w:rPr>
          <w:rFonts w:ascii="Book Antiqua" w:hAnsi="Book Antiqua"/>
        </w:rPr>
        <w:fldChar w:fldCharType="separate"/>
      </w:r>
      <w:r w:rsidR="00B8382C" w:rsidRPr="00783FEF">
        <w:rPr>
          <w:rFonts w:ascii="Book Antiqua" w:hAnsi="Book Antiqua"/>
          <w:noProof/>
          <w:vertAlign w:val="superscript"/>
        </w:rPr>
        <w:t>[54,70]</w:t>
      </w:r>
      <w:r w:rsidR="001D26D7" w:rsidRPr="00783FEF">
        <w:rPr>
          <w:rFonts w:ascii="Book Antiqua" w:hAnsi="Book Antiqua"/>
        </w:rPr>
        <w:fldChar w:fldCharType="end"/>
      </w:r>
      <w:r w:rsidRPr="00783FEF">
        <w:rPr>
          <w:rFonts w:ascii="Book Antiqua" w:hAnsi="Book Antiqua"/>
        </w:rPr>
        <w:t xml:space="preserve"> to clinical, laboratory and histological parameters should definitely (or with high likelihood) confirm a suspected diagnosis of </w:t>
      </w:r>
      <w:r w:rsidRPr="00783FEF">
        <w:rPr>
          <w:rFonts w:ascii="Book Antiqua" w:hAnsi="Book Antiqua"/>
          <w:i/>
        </w:rPr>
        <w:t>de novo</w:t>
      </w:r>
      <w:r w:rsidRPr="00783FEF">
        <w:rPr>
          <w:rFonts w:ascii="Book Antiqua" w:hAnsi="Book Antiqua"/>
        </w:rPr>
        <w:t xml:space="preserve"> AIH in subjects with consistent scores for whom the abovementioned alternative diseases can be excluded. </w:t>
      </w:r>
      <w:r w:rsidR="00190EE9" w:rsidRPr="00783FEF">
        <w:rPr>
          <w:rFonts w:ascii="Book Antiqua" w:hAnsi="Book Antiqua"/>
        </w:rPr>
        <w:t xml:space="preserve">However, in LT setting the immunosuppressive therapy could interfere with some of the parameters of the diagnostic criteria </w:t>
      </w:r>
      <w:r w:rsidR="00237820" w:rsidRPr="00783FEF">
        <w:rPr>
          <w:rFonts w:ascii="Book Antiqua" w:hAnsi="Book Antiqua"/>
        </w:rPr>
        <w:t>for the genuine</w:t>
      </w:r>
      <w:r w:rsidR="00190EE9" w:rsidRPr="00783FEF">
        <w:rPr>
          <w:rFonts w:ascii="Book Antiqua" w:hAnsi="Book Antiqua"/>
        </w:rPr>
        <w:t xml:space="preserve"> AIH (</w:t>
      </w:r>
      <w:r w:rsidR="00190EE9" w:rsidRPr="00F41E66">
        <w:rPr>
          <w:rFonts w:ascii="Book Antiqua" w:hAnsi="Book Antiqua"/>
          <w:i/>
        </w:rPr>
        <w:t>e.g.</w:t>
      </w:r>
      <w:r w:rsidR="00190EE9" w:rsidRPr="00783FEF">
        <w:rPr>
          <w:rFonts w:ascii="Book Antiqua" w:hAnsi="Book Antiqua"/>
        </w:rPr>
        <w:t xml:space="preserve"> autoantibody </w:t>
      </w:r>
      <w:r w:rsidR="00190EE9" w:rsidRPr="00783FEF">
        <w:rPr>
          <w:rFonts w:ascii="Book Antiqua" w:hAnsi="Book Antiqua"/>
        </w:rPr>
        <w:lastRenderedPageBreak/>
        <w:t xml:space="preserve">profile). </w:t>
      </w:r>
      <w:r w:rsidRPr="00783FEF">
        <w:rPr>
          <w:rFonts w:ascii="Book Antiqua" w:hAnsi="Book Antiqua" w:cs="AdvGulliv-R"/>
          <w:color w:val="000000"/>
          <w:lang w:eastAsia="it-IT"/>
        </w:rPr>
        <w:t>A complete response to the standard immunosuppressive regimen for AIH (</w:t>
      </w:r>
      <w:r w:rsidRPr="00F41E66">
        <w:rPr>
          <w:rFonts w:ascii="Book Antiqua" w:hAnsi="Book Antiqua" w:cs="AdvGulliv-R"/>
          <w:i/>
          <w:color w:val="000000"/>
          <w:lang w:eastAsia="it-IT"/>
        </w:rPr>
        <w:t>i.e.</w:t>
      </w:r>
      <w:r w:rsidRPr="00783FEF">
        <w:rPr>
          <w:rFonts w:ascii="Book Antiqua" w:hAnsi="Book Antiqua" w:cs="AdvGulliv-R"/>
          <w:color w:val="000000"/>
          <w:lang w:eastAsia="it-IT"/>
        </w:rPr>
        <w:t>, generous steroids doses in association with azathioprine) f</w:t>
      </w:r>
      <w:r w:rsidR="00237820" w:rsidRPr="00783FEF">
        <w:rPr>
          <w:rFonts w:ascii="Book Antiqua" w:hAnsi="Book Antiqua" w:cs="AdvGulliv-R"/>
          <w:color w:val="000000"/>
          <w:lang w:eastAsia="it-IT"/>
        </w:rPr>
        <w:t xml:space="preserve">urther supports the diagnosis. </w:t>
      </w:r>
      <w:r w:rsidR="00BD1BAA" w:rsidRPr="00783FEF">
        <w:rPr>
          <w:rFonts w:ascii="Book Antiqua" w:hAnsi="Book Antiqua" w:cs="AdvGulliv-R"/>
          <w:color w:val="000000"/>
          <w:lang w:eastAsia="it-IT"/>
        </w:rPr>
        <w:t>Notably</w:t>
      </w:r>
      <w:r w:rsidRPr="00783FEF">
        <w:rPr>
          <w:rFonts w:ascii="Book Antiqua" w:hAnsi="Book Antiqua" w:cs="AdvGulliv-R"/>
          <w:color w:val="000000"/>
          <w:lang w:eastAsia="it-IT"/>
        </w:rPr>
        <w:t xml:space="preserve">, the steroids introduction for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AIH should be based on a meticulous diagnostic evaluation, particularly in patients with HCV recurrence, to prevent the exacerbation of viral replication</w:t>
      </w:r>
      <w:r w:rsidR="001D26D7" w:rsidRPr="00783FEF">
        <w:rPr>
          <w:rFonts w:ascii="Book Antiqua" w:hAnsi="Book Antiqua" w:cs="AdvGulliv-R"/>
          <w:color w:val="000066"/>
          <w:vertAlign w:val="superscript"/>
          <w:lang w:eastAsia="it-IT"/>
        </w:rPr>
        <w:fldChar w:fldCharType="begin" w:fldLock="1"/>
      </w:r>
      <w:r w:rsidRPr="00783FEF">
        <w:rPr>
          <w:rFonts w:ascii="Book Antiqua" w:hAnsi="Book Antiqua" w:cs="AdvGulliv-R"/>
          <w:color w:val="000066"/>
          <w:vertAlign w:val="superscript"/>
          <w:lang w:eastAsia="it-IT"/>
        </w:rPr>
        <w:instrText>ADDIN CSL_CITATION { "citationItems" : [ { "id" : "ITEM-1", "itemData" : { "DOI" : "10.1002/lt.21447", "ISSN" : "1527-6473", "PMID" : "18508382", "abstract" : "De novo autoimmune hepatitis has been described in both pediatric and adult liver transplantation (LT) recipients. Studies of small numbers of patients have proposed it to be an alloimmune hepatitis or form of chronic rejection. We have recently noted an increasing number of patients with post-LT recurrent hepatitis C virus (HCV) developing this, with an apparent negative impact on outcome and survival. We term this entity posttransplant plasma cell hepatitis (PCH). A search of our institution's pathology database was performed with the terms \"plasma cell(s),\" \"lymphoplasmacytic infiltrate,\" and \"liver allograft.\" A histological scoring system was devised to more reliably diagnose PCH in the setting of recurrent HCV. Thirty-eight patients were identified, and their clinical data were analyzed. Sixty percent had a negative outcome as defined by the development of cirrhosis, need for retransplantation, or death. Eighty-two percent had recent lowering of immunosuppression or subtherapeutic calcineurin inhibitor levels; 58% developed PCH within 2 years post-LT. Histologic resolution of PCH was associated with good outcome (P &lt; 0.001). Patients not receiving treatment had a negative outcome (P = 0.007) as did patients receiving corticosteroids as therapy (P = 0.02). Persistence (P = 0.007) or recurrence of PCH was associated with negative outcome. In conclusion, PCH is a histologic variant of rejection. On liver biopsy, PCH can at times be difficult to diagnose, and the use of a standardized scoring system is recommended to differentiate it from other forms of allograft dysfunction. Treatment by optimization of immunosuppression without the use of corticosteroids appears effective. The development of PCH in the setting of recurrent HCV is a negative prognostic factor for patient outcome and allograft failure.", "author" : [ { "dropping-particle" : "", "family" : "Fiel", "given" : "M Isabel", "non-dropping-particle" : "", "parse-names" : false, "suffix" : "" }, { "dropping-particle" : "", "family" : "Agarwal", "given" : "Kaushik", "non-dropping-particle" : "", "parse-names" : false, "suffix" : "" }, { "dropping-particle" : "", "family" : "Stanca", "given" : "Carmen", "non-dropping-particle" : "", "parse-names" : false, "suffix" : "" }, { "dropping-particle" : "", "family" : "Elhajj", "given" : "Nassim", "non-dropping-particle" : "", "parse-names" : false, "suffix" : "" }, { "dropping-particle" : "", "family" : "Kontorinis", "given" : "Nikolas", "non-dropping-particle" : "", "parse-names" : false, "suffix" : "" }, { "dropping-particle" : "", "family" : "Thung", "given" : "Swan N", "non-dropping-particle" : "", "parse-names" : false, "suffix" : "" }, { "dropping-particle" : "", "family" : "Schiano", "given" : "Thomas D", "non-dropping-particle" : "", "parse-names" : false, "suffix" : "" } ], "container-title" : "Liver transplantation : official publication of the American Association for the Study of Liver Diseases and the International Liver Transplantation Society", "id" : "ITEM-1", "issue" : "6", "issued" : { "date-parts" : [ [ "2008", "6", "1" ] ] }, "language" : "en", "page" : "861-71", "publisher" : "Wiley Subscription Services, Inc., A Wiley Company", "title" : "Posttransplant plasma cell hepatitis (de novo autoimmune hepatitis) is a variant of rejection and may lead to a negative outcome in patients with hepatitis C virus.", "type" : "article-journal", "volume" : "14" }, "uris" : [ "http://www.mendeley.com/documents/?uuid=4bcaf04a-c236-45e7-9e79-94978d828161" ] } ], "mendeley" : { "formattedCitation" : "&lt;sup&gt;[4]&lt;/sup&gt;", "plainTextFormattedCitation" : "[4]", "previouslyFormattedCitation" : "&lt;sup&gt;[4]&lt;/sup&gt;" }, "properties" : { "noteIndex" : 0 }, "schema" : "https://github.com/citation-style-language/schema/raw/master/csl-citation.json" }</w:instrText>
      </w:r>
      <w:r w:rsidR="001D26D7" w:rsidRPr="00783FEF">
        <w:rPr>
          <w:rFonts w:ascii="Book Antiqua" w:hAnsi="Book Antiqua" w:cs="AdvGulliv-R"/>
          <w:color w:val="000066"/>
          <w:vertAlign w:val="superscript"/>
          <w:lang w:eastAsia="it-IT"/>
        </w:rPr>
        <w:fldChar w:fldCharType="separate"/>
      </w:r>
      <w:r w:rsidRPr="00783FEF">
        <w:rPr>
          <w:rFonts w:ascii="Book Antiqua" w:hAnsi="Book Antiqua" w:cs="AdvGulliv-R"/>
          <w:noProof/>
          <w:color w:val="000066"/>
          <w:vertAlign w:val="superscript"/>
          <w:lang w:eastAsia="it-IT"/>
        </w:rPr>
        <w:t>[4]</w:t>
      </w:r>
      <w:r w:rsidR="001D26D7" w:rsidRPr="00783FEF">
        <w:rPr>
          <w:rFonts w:ascii="Book Antiqua" w:hAnsi="Book Antiqua" w:cs="AdvGulliv-R"/>
          <w:color w:val="000066"/>
          <w:vertAlign w:val="superscript"/>
          <w:lang w:eastAsia="it-IT"/>
        </w:rPr>
        <w:fldChar w:fldCharType="end"/>
      </w:r>
      <w:r w:rsidRPr="00783FEF">
        <w:rPr>
          <w:rFonts w:ascii="Book Antiqua" w:hAnsi="Book Antiqua" w:cs="AdvGulliv-R"/>
          <w:color w:val="000000"/>
          <w:lang w:eastAsia="it-IT"/>
        </w:rPr>
        <w:t>.</w:t>
      </w:r>
    </w:p>
    <w:p w:rsidR="00A049A8" w:rsidRPr="00783FEF" w:rsidRDefault="00A049A8" w:rsidP="00F41E66">
      <w:pPr>
        <w:spacing w:line="360" w:lineRule="auto"/>
        <w:ind w:firstLineChars="100" w:firstLine="240"/>
        <w:jc w:val="both"/>
        <w:rPr>
          <w:rFonts w:ascii="Book Antiqua" w:hAnsi="Book Antiqua" w:cs="AdvGulliv-R"/>
          <w:color w:val="000000"/>
          <w:lang w:eastAsia="it-IT"/>
        </w:rPr>
      </w:pPr>
      <w:r w:rsidRPr="00783FEF">
        <w:rPr>
          <w:rFonts w:ascii="Book Antiqua" w:hAnsi="Book Antiqua" w:cs="AdvGulliv-R"/>
          <w:color w:val="000000"/>
          <w:lang w:eastAsia="it-IT"/>
        </w:rPr>
        <w:t xml:space="preserve">The typical features that are common to each potential etiology of late graft dysfunction may be purposely reassumed to aid the differential diagnosis (Table 1). </w:t>
      </w:r>
      <w:r w:rsidR="00EB0F72" w:rsidRPr="00783FEF">
        <w:rPr>
          <w:rFonts w:ascii="Book Antiqua" w:hAnsi="Book Antiqua" w:cs="AdvGulliv-R"/>
          <w:color w:val="000000"/>
          <w:lang w:eastAsia="it-IT"/>
        </w:rPr>
        <w:t>Nevertheless</w:t>
      </w:r>
      <w:r w:rsidRPr="00783FEF">
        <w:rPr>
          <w:rFonts w:ascii="Book Antiqua" w:hAnsi="Book Antiqua" w:cs="AdvGulliv-R"/>
          <w:color w:val="000000"/>
          <w:lang w:eastAsia="it-IT"/>
        </w:rPr>
        <w:t xml:space="preserve">, despite apparently well-delineated diagnostic proceedings, a sharp distinction of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w:t>
      </w:r>
      <w:r w:rsidRPr="00783FEF">
        <w:rPr>
          <w:rFonts w:ascii="Book Antiqua" w:hAnsi="Book Antiqua"/>
        </w:rPr>
        <w:t xml:space="preserve">autoimmunity, particularly from forms of graft rejection, continues to frequently be </w:t>
      </w:r>
      <w:r w:rsidRPr="00783FEF">
        <w:rPr>
          <w:rFonts w:ascii="Book Antiqua" w:hAnsi="Book Antiqua" w:cs="AdvGulliv-R"/>
          <w:color w:val="000000"/>
          <w:lang w:eastAsia="it-IT"/>
        </w:rPr>
        <w:t>question of nuance</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eastAsia="it-IT"/>
        </w:rPr>
        <w:instrText>ADDIN CSL_CITATION { "citationItems" : [ { "id" : "ITEM-1", "itemData" : { "DOI" : "10.1002/lt.21447", "ISSN" : "1527-6473", "PMID" : "18508382", "abstract" : "De novo autoimmune hepatitis has been described in both pediatric and adult liver transplantation (LT) recipients. Studies of small numbers of patients have proposed it to be an alloimmune hepatitis or form of chronic rejection. We have recently noted an increasing number of patients with post-LT recurrent hepatitis C virus (HCV) developing this, with an apparent negative impact on outcome and survival. We term this entity posttransplant plasma cell hepatitis (PCH). A search of our institution's pathology database was performed with the terms \"plasma cell(s),\" \"lymphoplasmacytic infiltrate,\" and \"liver allograft.\" A histological scoring system was devised to more reliably diagnose PCH in the setting of recurrent HCV. Thirty-eight patients were identified, and their clinical data were analyzed. Sixty percent had a negative outcome as defined by the development of cirrhosis, need for retransplantation, or death. Eighty-two percent had recent lowering of immunosuppression or subtherapeutic calcineurin inhibitor levels; 58% developed PCH within 2 years post-LT. Histologic resolution of PCH was associated with good outcome (P &lt; 0.001). Patients not receiving treatment had a negative outcome (P = 0.007) as did patients receiving corticosteroids as therapy (P = 0.02). Persistence (P = 0.007) or recurrence of PCH was associated with negative outcome. In conclusion, PCH is a histologic variant of rejection. On liver biopsy, PCH can at times be difficult to diagnose, and the use of a standardized scoring system is recommended to differentiate it from other forms of allograft dysfunction. Treatment by optimization of immunosuppression without the use of corticosteroids appears effective. The development of PCH in the setting of recurrent HCV is a negative prognostic factor for patient outcome and allograft failure.", "author" : [ { "dropping-particle" : "", "family" : "Fiel", "given" : "M Isabel", "non-dropping-particle" : "", "parse-names" : false, "suffix" : "" }, { "dropping-particle" : "", "family" : "Agarwal", "given" : "Kaushik", "non-dropping-particle" : "", "parse-names" : false, "suffix" : "" }, { "dropping-particle" : "", "family" : "Stanca", "given" : "Carmen", "non-dropping-particle" : "", "parse-names" : false, "suffix" : "" }, { "dropping-particle" : "", "family" : "Elhajj", "given" : "Nassim", "non-dropping-particle" : "", "parse-names" : false, "suffix" : "" }, { "dropping-particle" : "", "family" : "Kontorinis", "given" : "Nikolas", "non-dropping-particle" : "", "parse-names" : false, "suffix" : "" }, { "dropping-particle" : "", "family" : "Thung", "given" : "Swan N", "non-dropping-particle" : "", "parse-names" : false, "suffix" : "" }, { "dropping-particle" : "", "family" : "Schiano", "given" : "Thomas D", "non-dropping-particle" : "", "parse-names" : false, "suffix" : "" } ], "container-title" : "Liver transplantation : official publication of the American Association for the Study of Liver Diseases and the International Liver Transplantation Society", "id" : "ITEM-1", "issue" : "6", "issued" : { "date-parts" : [ [ "2008", "6", "1" ] ] }, "language" : "en", "page" : "861-71", "publisher" : "Wiley Subscription Services, Inc., A Wiley Company", "title" : "Posttransplant plasma cell hepatitis (de novo autoimmune hepatitis) is a variant of rejection and may lead to a negative outcome in patients with hepatitis C virus.", "type" : "article-journal", "volume" : "14" }, "uris" : [ "http://www.mendeley.com/documents/?uuid=4bcaf04a-c236-45e7-9e79-94978d828161" ] }, { "id" : "ITEM-2", "itemData" : { "DOI" : "10.1097/MOT.0b013e3283536622", "ISSN" : "1087-2418", "PMID" : "22498651", "abstract" : "PURPOSE OF REVIEW: Cases of de-novo autoimmune hepatitis/plasma cell hepatitis (PCH) are increasingly being diagnosed by liver transplant centers. Its pathogenesis is poorly understood but this entity appears to be a variant of rejection. Herein, we review recent clinical reports of patients developing PCH.\\n\\nRECENT FINDINGS: Histologically, PCH is a challenging diagnosis, especially in the setting of recurrent hepatitis C and, in some cases, can be mistaken for acute cellular rejection. Recent case reports and case-control studies have shown that interferon appears to trigger PCH in hepatitis C posttransplant patients. Optimization of the immunosuppression regimen was found to prevent the development of PCH. In the nonhepatitis C posttransplant patient, tacrolimus-based immunosuppression appears to have some protective effect from PCH development. A combination therapy of cyclosporine and everolimus has also been shown to be effective in treating PCH.\\n\\nSUMMARY: PCH is a variant of rejection and is a cause of late graft loss post liver transplantation, especially in patients with hepatitis C. It should be part of the differential diagnosis of abnormal liver enzyme tests occurring in the post-liver transplant setting.", "author" : [ { "dropping-particle" : "", "family" : "Fiel", "given" : "M. Isabel", "non-dropping-particle" : "", "parse-names" : false, "suffix" : "" }, { "dropping-particle" : "", "family" : "Schiano", "given" : "Thomas D.", "non-dropping-particle" : "", "parse-names" : false, "suffix" : "" } ], "container-title" : "Current Opinion in Organ Transplantation", "id" : "ITEM-2", "issue" : "3", "issued" : { "date-parts" : [ [ "2012" ] ] }, "page" : "287-292", "title" : "Plasma cell hepatitis (de-novo autoimmune hepatitis) developing post liver transplantation", "type" : "article-journal", "volume" : "17" }, "uris" : [ "http://www.mendeley.com/documents/?uuid=8435c898-d6af-4f59-bfac-8f063ed9b1f1" ] }, { "id" : "ITEM-3", "itemData" : { "DOI" : "10.1016/j.dld.2008.09.015", "ISSN" : "15908658", "PMID" : "19162574", "abstract" : "Background: The recurrence of hepatitis C after liver transplantation is extremely frequent. Antiviral therapy combining pegylated-interferon with ribavirin is therefore increasingly used in these patients. It has been recently reported, however, that during antiviral treatment a hepatic immune-mediated liver dysfunction, similar to \"de novo\" autoimmune hepatitis, may develop in a few transplanted patients. Patients and methods: Three patients, treated with pegylated-interferon \u03b1-2a and ribavirin for recurrent hepatitis C after liver transplantation, developed an aggressive hepatitis with clinical, biochemical, and histological features similar to those of autoimmune hepatitis. Results: In all three patients, a liver enzymes increase was evident after hepatitis C virus-RNA had become undetectable. Diagnosis of \"de novo\" autoimmune hepatitis was proposed, based on the presence of high-titre circulating autoantibodies and liver histology features. Following the introduction of a steroid therapy, clinical and biochemical parameters progressively improved. Hepatitis C virus infection, however, relapsed after a few months in all the patients. Conclusions: Following liver transplantation, antiviral therapy with pegylated-interferon \u03b1-2a and ribavirin for recurrent hepatitis C may be associated, in a few patients, with severe immune-mediated graft dysfunction similar to autoimmune hepatitis. \u00a9 2008 Editrice Gastroenterologica Italiana S.r.l.", "author" : [ { "dropping-particle" : "", "family" : "Merli", "given" : "M.", "non-dropping-particle" : "", "parse-names" : false, "suffix" : "" }, { "dropping-particle" : "", "family" : "Gentili", "given" : "F.", "non-dropping-particle" : "", "parse-names" : false, "suffix" : "" }, { "dropping-particle" : "", "family" : "Giusto", "given" : "M.", "non-dropping-particle" : "", "parse-names" : false, "suffix" : "" }, { "dropping-particle" : "", "family" : "Attili", "given" : "a. F.", "non-dropping-particle" : "", "parse-names" : false, "suffix" : "" }, { "dropping-particle" : "", "family" : "Corradini", "given" : "S. G.", "non-dropping-particle" : "", "parse-names" : false, "suffix" : "" }, { "dropping-particle" : "", "family" : "Mennini", "given" : "G.", "non-dropping-particle" : "", "parse-names" : false, "suffix" : "" }, { "dropping-particle" : "", "family" : "Rossi", "given" : "M.", "non-dropping-particle" : "", "parse-names" : false, "suffix" : "" }, { "dropping-particle" : "", "family" : "Corsi", "given" : "a.", "non-dropping-particle" : "", "parse-names" : false, "suffix" : "" }, { "dropping-particle" : "", "family" : "Bianco", "given" : "P.", "non-dropping-particle" : "", "parse-names" : false, "suffix" : "" } ], "container-title" : "Digestive and Liver Disease", "id" : "ITEM-3", "issue" : "5", "issued" : { "date-parts" : [ [ "2009" ] ] }, "page" : "345-349", "title" : "Immune-mediated liver dysfunction after antiviral treatment in liver transplanted patients with hepatitis c: Allo or autoimmune de novo hepatitis?", "type" : "article-journal", "volume" : "41" }, "uris" : [ "http://www.mendeley.com/documents/?uuid=c8caa876-4fde-484b-b1d3-5f66d081c299" ] }, { "id" : "ITEM-4", "itemData" : { "DOI" : "10.1002/hep.21280", "ISBN" : "0270-9139 (Print)\\r0270-9139 (Linking)", "ISSN" : "02709139", "PMID" : "16871565", "abstract" : "Evaluation of needle biopsies and extensive clinicopathological correlation play an important role in the determination of liver allograft dysfunction occurring more than 1 year after transplantation. Interpretation of these biopsies can be quite difficult because of the high incidence of recurrent diseases that show histopathological, clinical, and serological features that overlap with each other and with rejection. Also, more than one insult can contribute to allograft injury. In an attempt to enable centers to compare and pool results, improve therapy, and better understand pathophysiological disease mechanisms, the Banff Working Group on Liver Allograft Pathology herein proposes a set of consensus criteria for the most common and problematic causes of late liver allograft dysfunction, including late-onset acute and chronic rejection, recurrent and new-onset viral and autoimmune hepatitis, biliary strictures, and recurrent primary biliary cirrhosis and primary sclerosing cholangitis. A discussion of differential diagnosis is also presented.", "author" : [ { "dropping-particle" : "", "family" : "Demetris", "given" : "a. J.", "non-dropping-particle" : "", "parse-names" : false, "suffix" : "" } ], "container-title" : "Hepatology", "id" : "ITEM-4", "issue" : "2", "issued" : { "date-parts" : [ [ "2006" ] ] }, "page" : "489-501", "title" : "Liver biopsy interpretation for causes of late liver allograft dysfunction", "type" : "article-journal", "volume" : "44" }, "uris" : [ "http://www.mendeley.com/documents/?uuid=2bcf86ff-2545-4795-b841-23af71432c66" ] }, { "id" : "ITEM-5", "itemData" : { "DOI" : "10.3748/wjg.v20.i11.2810", "ISBN" : "3951636440", "ISSN" : "1007-9327", "author" : [ { "dropping-particle" : "", "family" : "Vasuri", "given" : "Francesco", "non-dropping-particle" : "", "parse-names" : false, "suffix" : "" } ], "container-title" : "World Journal of Gastroenterology", "id" : "ITEM-5", "issue" : "11", "issued" : { "date-parts" : [ [ "2014" ] ] }, "page" : "2810", "title" : "Histopathological evaluation of recurrent hepatitis C after liver transplantation: A review", "type" : "article-journal", "volume" : "20" }, "uris" : [ "http://www.mendeley.com/documents/?uuid=41bc8322-3690-482c-a05e-a7df7ae702dd" ] } ], "mendeley" : { "formattedCitation" : "&lt;sup&gt;[4,34,65,66,71]&lt;/sup&gt;", "plainTextFormattedCitation" : "[4,34,65,66,71]", "previouslyFormattedCitation" : "&lt;sup&gt;[4,34,65,66,71]&lt;/sup&gt;"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B8382C" w:rsidRPr="00783FEF">
        <w:rPr>
          <w:rFonts w:ascii="Book Antiqua" w:hAnsi="Book Antiqua" w:cs="AdvGulliv-R"/>
          <w:noProof/>
          <w:color w:val="000000"/>
          <w:vertAlign w:val="superscript"/>
          <w:lang w:eastAsia="it-IT"/>
        </w:rPr>
        <w:t>[4,34,65,66,71]</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w:t>
      </w:r>
    </w:p>
    <w:p w:rsidR="00A049A8" w:rsidRPr="00783FEF" w:rsidRDefault="00A049A8" w:rsidP="00783FEF">
      <w:pPr>
        <w:spacing w:line="360" w:lineRule="auto"/>
        <w:jc w:val="both"/>
        <w:rPr>
          <w:rFonts w:ascii="Book Antiqua" w:hAnsi="Book Antiqua"/>
          <w:b/>
        </w:rPr>
      </w:pPr>
    </w:p>
    <w:p w:rsidR="00A049A8" w:rsidRPr="00FC6252" w:rsidRDefault="00FC6252" w:rsidP="00783FEF">
      <w:pPr>
        <w:spacing w:line="360" w:lineRule="auto"/>
        <w:jc w:val="both"/>
        <w:rPr>
          <w:rFonts w:ascii="Book Antiqua" w:hAnsi="Book Antiqua"/>
          <w:b/>
          <w:lang w:eastAsia="zh-CN"/>
        </w:rPr>
      </w:pPr>
      <w:r w:rsidRPr="00FC6252">
        <w:rPr>
          <w:rFonts w:ascii="Book Antiqua" w:hAnsi="Book Antiqua"/>
          <w:b/>
        </w:rPr>
        <w:t>RISK FACTORS, PREVENTION AND TREATMENT</w:t>
      </w:r>
      <w:r w:rsidRPr="00FC6252">
        <w:rPr>
          <w:rFonts w:ascii="Book Antiqua" w:hAnsi="Book Antiqua"/>
          <w:b/>
          <w:lang w:eastAsia="zh-CN"/>
        </w:rPr>
        <w:t xml:space="preserve">   </w:t>
      </w:r>
      <w:r w:rsidR="001D26D7" w:rsidRPr="00FC6252">
        <w:rPr>
          <w:rFonts w:ascii="Book Antiqua" w:hAnsi="Book Antiqua"/>
          <w:b/>
          <w:lang w:eastAsia="zh-CN"/>
        </w:rPr>
        <w:t xml:space="preserve">                                                                                                                                                                                                                              </w:t>
      </w:r>
    </w:p>
    <w:p w:rsidR="00A049A8" w:rsidRPr="00783FEF" w:rsidRDefault="00A049A8" w:rsidP="00783FEF">
      <w:pPr>
        <w:autoSpaceDE w:val="0"/>
        <w:autoSpaceDN w:val="0"/>
        <w:adjustRightInd w:val="0"/>
        <w:spacing w:line="360" w:lineRule="auto"/>
        <w:jc w:val="both"/>
        <w:rPr>
          <w:rFonts w:ascii="Book Antiqua" w:hAnsi="Book Antiqua" w:cs="AdvGulliv-R"/>
          <w:color w:val="000000"/>
          <w:lang w:val="it-IT" w:eastAsia="it-IT"/>
        </w:rPr>
      </w:pPr>
      <w:r w:rsidRPr="00783FEF">
        <w:rPr>
          <w:rFonts w:ascii="Book Antiqua" w:hAnsi="Book Antiqua" w:cs="AdvGulliv-R"/>
          <w:color w:val="000000"/>
          <w:lang w:eastAsia="it-IT"/>
        </w:rPr>
        <w:t xml:space="preserve">The current knowledge of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AIH suggests that whether and when a patient who has undergone LT for autoimmunity-unrelated liver disease will develop </w:t>
      </w:r>
      <w:r w:rsidRPr="00783FEF">
        <w:rPr>
          <w:rFonts w:ascii="Book Antiqua" w:hAnsi="Book Antiqua" w:cs="AdvGulliv-R"/>
          <w:i/>
          <w:color w:val="000000"/>
          <w:lang w:eastAsia="it-IT"/>
        </w:rPr>
        <w:t xml:space="preserve">de novo </w:t>
      </w:r>
      <w:r w:rsidRPr="00783FEF">
        <w:rPr>
          <w:rFonts w:ascii="Book Antiqua" w:hAnsi="Book Antiqua" w:cs="AdvGulliv-R"/>
          <w:color w:val="000000"/>
          <w:lang w:eastAsia="it-IT"/>
        </w:rPr>
        <w:t xml:space="preserve">AIH are not predictable. The relatively recent increase in the awareness of this clinical entity has effectively resulted in numerous reports in literature, but their heterogeneity continues to preclude the identification of clear predictive and risk factors of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AIH. Nevertheless, some studies have been conducted with this purpose. A large case-control study was conducted in the </w:t>
      </w:r>
      <w:r w:rsidR="00F41E66" w:rsidRPr="00F41E66">
        <w:rPr>
          <w:rFonts w:ascii="Book Antiqua" w:hAnsi="Book Antiqua" w:cs="AdvGulliv-R"/>
          <w:color w:val="000000"/>
          <w:lang w:eastAsia="it-IT"/>
        </w:rPr>
        <w:t>United States</w:t>
      </w:r>
      <w:r w:rsidR="00F41E66">
        <w:rPr>
          <w:rFonts w:ascii="Book Antiqua" w:hAnsi="Book Antiqua" w:cs="AdvGulliv-R" w:hint="eastAsia"/>
          <w:color w:val="000000"/>
          <w:lang w:eastAsia="zh-CN"/>
        </w:rPr>
        <w:t xml:space="preserve"> </w:t>
      </w:r>
      <w:r w:rsidRPr="00783FEF">
        <w:rPr>
          <w:rFonts w:ascii="Book Antiqua" w:hAnsi="Book Antiqua" w:cs="AdvGulliv-R"/>
          <w:color w:val="000000"/>
          <w:lang w:eastAsia="it-IT"/>
        </w:rPr>
        <w:t xml:space="preserve">by Venick </w:t>
      </w:r>
      <w:r w:rsidRPr="00F41E66">
        <w:rPr>
          <w:rFonts w:ascii="Book Antiqua" w:hAnsi="Book Antiqua" w:cs="AdvGulliv-R"/>
          <w:i/>
          <w:color w:val="000000"/>
          <w:lang w:eastAsia="it-IT"/>
        </w:rPr>
        <w:t>et al</w:t>
      </w:r>
      <w:r w:rsidR="001D26D7" w:rsidRPr="00783FEF">
        <w:rPr>
          <w:rFonts w:ascii="Book Antiqua" w:hAnsi="Book Antiqua" w:cs="AdvGulliv-R"/>
          <w:color w:val="000000"/>
          <w:lang w:eastAsia="it-IT"/>
        </w:rPr>
        <w:fldChar w:fldCharType="begin" w:fldLock="1"/>
      </w:r>
      <w:r w:rsidRPr="00783FEF">
        <w:rPr>
          <w:rFonts w:ascii="Book Antiqua" w:hAnsi="Book Antiqua" w:cs="AdvGulliv-R"/>
          <w:color w:val="000000"/>
          <w:lang w:eastAsia="it-IT"/>
        </w:rPr>
        <w:instrText>ADDIN CSL_CITATION { "citationItems" : [ { "id" : "ITEM-1", "itemData" : { "DOI" : "10.1111/j.1600-6143.2006.01717.x", "ISBN" : "1600-6135", "ISSN" : "16006135", "PMID" : "17391135", "abstract" : "Posttransplant de novo autoimmune hepatitis (d-AIH) is increasingly described as a long-term complication after pediatric liver transplantation (LT). d-AIH is characterized by graft dysfunction, the development of autoimmune antibodies and histologic evidence of hepatitis in liver transplant recipients without previous history of autoimmune liver disease. This study is a matched case-control, univariate analysis aimed at identifying risk factors for the development of d-AIH and evaluating response to treatment. From 1984 to 2003, 619 children received 788 LTs at a single center. Forty-one patients developed d-AIH and were matched with controls for year of LT, age at time of LT and diagnosis. The following variables were insignificant in the development of d-AIH: age, gender, race, initial diagnosis, ischemia time, graft type, Epstein-Barr virus and cytomegalovirus status, HLA typing and primary immunosuppression. Compared to controls, d-AIH patients were less likely to be on monotherapy immunosuppression or weaned off prednisone at the time of diagnosis. The d-AIH group relative to the controls had statistically significant greater numbers of rejection episodes. d-AIH was treated with prednisone and/or MMF in 39 of 41 patients and lead to significant improvements in liver function tests. Thirty-nine patients are alive at a mean of 4.0 years follow-up after diagnosis. Three have required retransplantation.", "author" : [ { "dropping-particle" : "", "family" : "Venick", "given" : "R. S.", "non-dropping-particle" : "", "parse-names" : false, "suffix" : "" }, { "dropping-particle" : "V.", "family" : "McDiarmid", "given" : "S.", "non-dropping-particle" : "", "parse-names" : false, "suffix" : "" }, { "dropping-particle" : "", "family" : "Farmer", "given" : "D. G.", "non-dropping-particle" : "", "parse-names" : false, "suffix" : "" }, { "dropping-particle" : "", "family" : "Gornbein", "given" : "J.", "non-dropping-particle" : "", "parse-names" : false, "suffix" : "" }, { "dropping-particle" : "", "family" : "Martin", "given" : "M. G.", "non-dropping-particle" : "", "parse-names" : false, "suffix" : "" }, { "dropping-particle" : "", "family" : "Vargas", "given" : "J. H.", "non-dropping-particle" : "", "parse-names" : false, "suffix" : "" }, { "dropping-particle" : "", "family" : "Ament", "given" : "M. E.", "non-dropping-particle" : "", "parse-names" : false, "suffix" : "" }, { "dropping-particle" : "", "family" : "Busuttil", "given" : "R. W.", "non-dropping-particle" : "", "parse-names" : false, "suffix" : "" } ], "container-title" : "American Journal of Transplantation", "id" : "ITEM-1", "issue" : "4", "issued" : { "date-parts" : [ [ "2007" ] ] }, "page" : "955-963", "title" : "Rejection and steroid dependence: Unique risk factors in the development of pediatric posttransplant de novo autoimmune hepatitis", "type" : "article-journal", "volume" : "7" }, "uris" : [ "http://www.mendeley.com/documents/?uuid=7d399a00-b1ec-4b07-8b5a-44c3f7a678a4" ] } ], "mendeley" : { "formattedCitation" : "&lt;sup&gt;[17]&lt;/sup&gt;", "plainTextFormattedCitation" : "[17]", "previouslyFormattedCitation" : "&lt;sup&gt;[17]&lt;/sup&gt;"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Pr="00783FEF">
        <w:rPr>
          <w:rFonts w:ascii="Book Antiqua" w:hAnsi="Book Antiqua" w:cs="AdvGulliv-R"/>
          <w:noProof/>
          <w:color w:val="000000"/>
          <w:vertAlign w:val="superscript"/>
          <w:lang w:eastAsia="it-IT"/>
        </w:rPr>
        <w:t>[17]</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 xml:space="preserve"> with data from 788 grafts received by 619 children in a single center during an approximately twenty-year period. Among patients, 41 children who developed a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AIH (6.6%) were successively compared with control subjects who were matched in terms of the year of LT, age at LT and initial diagnosis</w:t>
      </w:r>
      <w:r w:rsidR="001D26D7" w:rsidRPr="00783FEF">
        <w:rPr>
          <w:rFonts w:ascii="Book Antiqua" w:hAnsi="Book Antiqua" w:cs="AdvGulliv-R"/>
          <w:color w:val="000000"/>
          <w:lang w:eastAsia="it-IT"/>
        </w:rPr>
        <w:fldChar w:fldCharType="begin" w:fldLock="1"/>
      </w:r>
      <w:r w:rsidR="00754A1B" w:rsidRPr="00783FEF">
        <w:rPr>
          <w:rFonts w:ascii="Book Antiqua" w:hAnsi="Book Antiqua" w:cs="AdvGulliv-R"/>
          <w:color w:val="000000"/>
          <w:lang w:eastAsia="it-IT"/>
        </w:rPr>
        <w:instrText>ADDIN CSL_CITATION { "citationItems" : [ { "id" : "ITEM-1", "itemData" : { "DOI" : "10.1111/j.1600-6143.2006.01717.x", "ISBN" : "1600-6135", "ISSN" : "16006135", "PMID" : "17391135", "abstract" : "Posttransplant de novo autoimmune hepatitis (d-AIH) is increasingly described as a long-term complication after pediatric liver transplantation (LT). d-AIH is characterized by graft dysfunction, the development of autoimmune antibodies and histologic evidence of hepatitis in liver transplant recipients without previous history of autoimmune liver disease. This study is a matched case-control, univariate analysis aimed at identifying risk factors for the development of d-AIH and evaluating response to treatment. From 1984 to 2003, 619 children received 788 LTs at a single center. Forty-one patients developed d-AIH and were matched with controls for year of LT, age at time of LT and diagnosis. The following variables were insignificant in the development of d-AIH: age, gender, race, initial diagnosis, ischemia time, graft type, Epstein-Barr virus and cytomegalovirus status, HLA typing and primary immunosuppression. Compared to controls, d-AIH patients were less likely to be on monotherapy immunosuppression or weaned off prednisone at the time of diagnosis. The d-AIH group relative to the controls had statistically significant greater numbers of rejection episodes. d-AIH was treated with prednisone and/or MMF in 39 of 41 patients and lead to significant improvements in liver function tests. Thirty-nine patients are alive at a mean of 4.0 years follow-up after diagnosis. Three have required retransplantation.", "author" : [ { "dropping-particle" : "", "family" : "Venick", "given" : "R. S.", "non-dropping-particle" : "", "parse-names" : false, "suffix" : "" }, { "dropping-particle" : "V.", "family" : "McDiarmid", "given" : "S.", "non-dropping-particle" : "", "parse-names" : false, "suffix" : "" }, { "dropping-particle" : "", "family" : "Farmer", "given" : "D. G.", "non-dropping-particle" : "", "parse-names" : false, "suffix" : "" }, { "dropping-particle" : "", "family" : "Gornbein", "given" : "J.", "non-dropping-particle" : "", "parse-names" : false, "suffix" : "" }, { "dropping-particle" : "", "family" : "Martin", "given" : "M. G.", "non-dropping-particle" : "", "parse-names" : false, "suffix" : "" }, { "dropping-particle" : "", "family" : "Vargas", "given" : "J. H.", "non-dropping-particle" : "", "parse-names" : false, "suffix" : "" }, { "dropping-particle" : "", "family" : "Ament", "given" : "M. E.", "non-dropping-particle" : "", "parse-names" : false, "suffix" : "" }, { "dropping-particle" : "", "family" : "Busuttil", "given" : "R. W.", "non-dropping-particle" : "", "parse-names" : false, "suffix" : "" } ], "container-title" : "American Journal of Transplantation", "id" : "ITEM-1", "issue" : "4", "issued" : { "date-parts" : [ [ "2007" ] ] }, "page" : "955-963", "title" : "Rejection and steroid dependence: Unique risk factors in the development of pediatric posttransplant de novo autoimmune hepatitis", "type" : "article-journal", "volume" : "7" }, "uris" : [ "http://www.mendeley.com/documents/?uuid=7d399a00-b1ec-4b07-8b5a-44c3f7a678a4" ] } ], "mendeley" : { "formattedCitation" : "&lt;sup&gt;[17]&lt;/sup&gt;", "plainTextFormattedCitation" : "[17]", "previouslyFormattedCitation" : "&lt;sup&gt;[17]&lt;/sup&gt;"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54A1B" w:rsidRPr="00783FEF">
        <w:rPr>
          <w:rFonts w:ascii="Book Antiqua" w:hAnsi="Book Antiqua" w:cs="AdvGulliv-R"/>
          <w:noProof/>
          <w:color w:val="000000"/>
          <w:vertAlign w:val="superscript"/>
          <w:lang w:eastAsia="it-IT"/>
        </w:rPr>
        <w:t>[17]</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 None among the variables that were compared (age, gender, race, initial diagnosis, ischemia time, graft type, Epstein-Barr virus and cytomegalovirus infections, HLA haplotype and immunosuppressive regimen) was found to be different between the two groups</w:t>
      </w:r>
      <w:r w:rsidR="001D26D7" w:rsidRPr="00783FEF">
        <w:rPr>
          <w:rFonts w:ascii="Book Antiqua" w:hAnsi="Book Antiqua" w:cs="AdvGulliv-R"/>
          <w:color w:val="000000"/>
          <w:lang w:eastAsia="it-IT"/>
        </w:rPr>
        <w:fldChar w:fldCharType="begin" w:fldLock="1"/>
      </w:r>
      <w:r w:rsidR="00754A1B" w:rsidRPr="00783FEF">
        <w:rPr>
          <w:rFonts w:ascii="Book Antiqua" w:hAnsi="Book Antiqua" w:cs="AdvGulliv-R"/>
          <w:color w:val="000000"/>
          <w:lang w:eastAsia="it-IT"/>
        </w:rPr>
        <w:instrText>ADDIN CSL_CITATION { "citationItems" : [ { "id" : "ITEM-1", "itemData" : { "DOI" : "10.1111/j.1600-6143.2006.01717.x", "ISBN" : "1600-6135", "ISSN" : "16006135", "PMID" : "17391135", "abstract" : "Posttransplant de novo autoimmune hepatitis (d-AIH) is increasingly described as a long-term complication after pediatric liver transplantation (LT). d-AIH is characterized by graft dysfunction, the development of autoimmune antibodies and histologic evidence of hepatitis in liver transplant recipients without previous history of autoimmune liver disease. This study is a matched case-control, univariate analysis aimed at identifying risk factors for the development of d-AIH and evaluating response to treatment. From 1984 to 2003, 619 children received 788 LTs at a single center. Forty-one patients developed d-AIH and were matched with controls for year of LT, age at time of LT and diagnosis. The following variables were insignificant in the development of d-AIH: age, gender, race, initial diagnosis, ischemia time, graft type, Epstein-Barr virus and cytomegalovirus status, HLA typing and primary immunosuppression. Compared to controls, d-AIH patients were less likely to be on monotherapy immunosuppression or weaned off prednisone at the time of diagnosis. The d-AIH group relative to the controls had statistically significant greater numbers of rejection episodes. d-AIH was treated with prednisone and/or MMF in 39 of 41 patients and lead to significant improvements in liver function tests. Thirty-nine patients are alive at a mean of 4.0 years follow-up after diagnosis. Three have required retransplantation.", "author" : [ { "dropping-particle" : "", "family" : "Venick", "given" : "R. S.", "non-dropping-particle" : "", "parse-names" : false, "suffix" : "" }, { "dropping-particle" : "V.", "family" : "McDiarmid", "given" : "S.", "non-dropping-particle" : "", "parse-names" : false, "suffix" : "" }, { "dropping-particle" : "", "family" : "Farmer", "given" : "D. G.", "non-dropping-particle" : "", "parse-names" : false, "suffix" : "" }, { "dropping-particle" : "", "family" : "Gornbein", "given" : "J.", "non-dropping-particle" : "", "parse-names" : false, "suffix" : "" }, { "dropping-particle" : "", "family" : "Martin", "given" : "M. G.", "non-dropping-particle" : "", "parse-names" : false, "suffix" : "" }, { "dropping-particle" : "", "family" : "Vargas", "given" : "J. H.", "non-dropping-particle" : "", "parse-names" : false, "suffix" : "" }, { "dropping-particle" : "", "family" : "Ament", "given" : "M. E.", "non-dropping-particle" : "", "parse-names" : false, "suffix" : "" }, { "dropping-particle" : "", "family" : "Busuttil", "given" : "R. W.", "non-dropping-particle" : "", "parse-names" : false, "suffix" : "" } ], "container-title" : "American Journal of Transplantation", "id" : "ITEM-1", "issue" : "4", "issued" : { "date-parts" : [ [ "2007" ] ] }, "page" : "955-963", "title" : "Rejection and steroid dependence: Unique risk factors in the development of pediatric posttransplant de novo autoimmune hepatitis", "type" : "article-journal", "volume" : "7" }, "uris" : [ "http://www.mendeley.com/documents/?uuid=7d399a00-b1ec-4b07-8b5a-44c3f7a678a4" ] } ], "mendeley" : { "formattedCitation" : "&lt;sup&gt;[17]&lt;/sup&gt;", "plainTextFormattedCitation" : "[17]", "previouslyFormattedCitation" : "&lt;sup&gt;[17]&lt;/sup&gt;"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54A1B" w:rsidRPr="00783FEF">
        <w:rPr>
          <w:rFonts w:ascii="Book Antiqua" w:hAnsi="Book Antiqua" w:cs="AdvGulliv-R"/>
          <w:noProof/>
          <w:color w:val="000000"/>
          <w:vertAlign w:val="superscript"/>
          <w:lang w:eastAsia="it-IT"/>
        </w:rPr>
        <w:t>[17]</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 xml:space="preserve">. In contrast, the authors found that the number of patients in mono-immunosuppression, the number of patients to whom steroids were discontinued and the number of those who presented an </w:t>
      </w:r>
      <w:r w:rsidRPr="00783FEF">
        <w:rPr>
          <w:rFonts w:ascii="Book Antiqua" w:hAnsi="Book Antiqua" w:cs="AdvGulliv-R"/>
          <w:color w:val="000000"/>
          <w:lang w:eastAsia="it-IT"/>
        </w:rPr>
        <w:lastRenderedPageBreak/>
        <w:t xml:space="preserve">allograft rejection were all higher in the group of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AIH</w:t>
      </w:r>
      <w:r w:rsidR="001D26D7" w:rsidRPr="00783FEF">
        <w:rPr>
          <w:rFonts w:ascii="Book Antiqua" w:hAnsi="Book Antiqua" w:cs="AdvGulliv-R"/>
          <w:color w:val="000000"/>
          <w:lang w:eastAsia="it-IT"/>
        </w:rPr>
        <w:fldChar w:fldCharType="begin" w:fldLock="1"/>
      </w:r>
      <w:r w:rsidR="00754A1B" w:rsidRPr="00783FEF">
        <w:rPr>
          <w:rFonts w:ascii="Book Antiqua" w:hAnsi="Book Antiqua" w:cs="AdvGulliv-R"/>
          <w:color w:val="000000"/>
          <w:lang w:eastAsia="it-IT"/>
        </w:rPr>
        <w:instrText>ADDIN CSL_CITATION { "citationItems" : [ { "id" : "ITEM-1", "itemData" : { "DOI" : "10.1111/j.1600-6143.2006.01717.x", "ISBN" : "1600-6135", "ISSN" : "16006135", "PMID" : "17391135", "abstract" : "Posttransplant de novo autoimmune hepatitis (d-AIH) is increasingly described as a long-term complication after pediatric liver transplantation (LT). d-AIH is characterized by graft dysfunction, the development of autoimmune antibodies and histologic evidence of hepatitis in liver transplant recipients without previous history of autoimmune liver disease. This study is a matched case-control, univariate analysis aimed at identifying risk factors for the development of d-AIH and evaluating response to treatment. From 1984 to 2003, 619 children received 788 LTs at a single center. Forty-one patients developed d-AIH and were matched with controls for year of LT, age at time of LT and diagnosis. The following variables were insignificant in the development of d-AIH: age, gender, race, initial diagnosis, ischemia time, graft type, Epstein-Barr virus and cytomegalovirus status, HLA typing and primary immunosuppression. Compared to controls, d-AIH patients were less likely to be on monotherapy immunosuppression or weaned off prednisone at the time of diagnosis. The d-AIH group relative to the controls had statistically significant greater numbers of rejection episodes. d-AIH was treated with prednisone and/or MMF in 39 of 41 patients and lead to significant improvements in liver function tests. Thirty-nine patients are alive at a mean of 4.0 years follow-up after diagnosis. Three have required retransplantation.", "author" : [ { "dropping-particle" : "", "family" : "Venick", "given" : "R. S.", "non-dropping-particle" : "", "parse-names" : false, "suffix" : "" }, { "dropping-particle" : "V.", "family" : "McDiarmid", "given" : "S.", "non-dropping-particle" : "", "parse-names" : false, "suffix" : "" }, { "dropping-particle" : "", "family" : "Farmer", "given" : "D. G.", "non-dropping-particle" : "", "parse-names" : false, "suffix" : "" }, { "dropping-particle" : "", "family" : "Gornbein", "given" : "J.", "non-dropping-particle" : "", "parse-names" : false, "suffix" : "" }, { "dropping-particle" : "", "family" : "Martin", "given" : "M. G.", "non-dropping-particle" : "", "parse-names" : false, "suffix" : "" }, { "dropping-particle" : "", "family" : "Vargas", "given" : "J. H.", "non-dropping-particle" : "", "parse-names" : false, "suffix" : "" }, { "dropping-particle" : "", "family" : "Ament", "given" : "M. E.", "non-dropping-particle" : "", "parse-names" : false, "suffix" : "" }, { "dropping-particle" : "", "family" : "Busuttil", "given" : "R. W.", "non-dropping-particle" : "", "parse-names" : false, "suffix" : "" } ], "container-title" : "American Journal of Transplantation", "id" : "ITEM-1", "issue" : "4", "issued" : { "date-parts" : [ [ "2007" ] ] }, "page" : "955-963", "title" : "Rejection and steroid dependence: Unique risk factors in the development of pediatric posttransplant de novo autoimmune hepatitis", "type" : "article-journal", "volume" : "7" }, "uris" : [ "http://www.mendeley.com/documents/?uuid=7d399a00-b1ec-4b07-8b5a-44c3f7a678a4" ] } ], "mendeley" : { "formattedCitation" : "&lt;sup&gt;[17]&lt;/sup&gt;", "plainTextFormattedCitation" : "[17]", "previouslyFormattedCitation" : "&lt;sup&gt;[17]&lt;/sup&gt;"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54A1B" w:rsidRPr="00783FEF">
        <w:rPr>
          <w:rFonts w:ascii="Book Antiqua" w:hAnsi="Book Antiqua" w:cs="AdvGulliv-R"/>
          <w:noProof/>
          <w:color w:val="000000"/>
          <w:vertAlign w:val="superscript"/>
          <w:lang w:eastAsia="it-IT"/>
        </w:rPr>
        <w:t>[17]</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 Notably, in nearly all of the patients, prednisone with or without MMF was found to be a successful treatment choice</w:t>
      </w:r>
      <w:r w:rsidR="001D26D7" w:rsidRPr="00783FEF">
        <w:rPr>
          <w:rFonts w:ascii="Book Antiqua" w:hAnsi="Book Antiqua" w:cs="AdvGulliv-R"/>
          <w:color w:val="000000"/>
          <w:lang w:eastAsia="it-IT"/>
        </w:rPr>
        <w:fldChar w:fldCharType="begin" w:fldLock="1"/>
      </w:r>
      <w:r w:rsidR="007D2C28" w:rsidRPr="00783FEF">
        <w:rPr>
          <w:rFonts w:ascii="Book Antiqua" w:hAnsi="Book Antiqua" w:cs="AdvGulliv-R"/>
          <w:color w:val="000000"/>
          <w:lang w:eastAsia="it-IT"/>
        </w:rPr>
        <w:instrText>ADDIN CSL_CITATION { "citationItems" : [ { "id" : "ITEM-1", "itemData" : { "DOI" : "10.1111/j.1600-6143.2006.01717.x", "ISBN" : "1600-6135", "ISSN" : "16006135", "PMID" : "17391135", "abstract" : "Posttransplant de novo autoimmune hepatitis (d-AIH) is increasingly described as a long-term complication after pediatric liver transplantation (LT). d-AIH is characterized by graft dysfunction, the development of autoimmune antibodies and histologic evidence of hepatitis in liver transplant recipients without previous history of autoimmune liver disease. This study is a matched case-control, univariate analysis aimed at identifying risk factors for the development of d-AIH and evaluating response to treatment. From 1984 to 2003, 619 children received 788 LTs at a single center. Forty-one patients developed d-AIH and were matched with controls for year of LT, age at time of LT and diagnosis. The following variables were insignificant in the development of d-AIH: age, gender, race, initial diagnosis, ischemia time, graft type, Epstein-Barr virus and cytomegalovirus status, HLA typing and primary immunosuppression. Compared to controls, d-AIH patients were less likely to be on monotherapy immunosuppression or weaned off prednisone at the time of diagnosis. The d-AIH group relative to the controls had statistically significant greater numbers of rejection episodes. d-AIH was treated with prednisone and/or MMF in 39 of 41 patients and lead to significant improvements in liver function tests. Thirty-nine patients are alive at a mean of 4.0 years follow-up after diagnosis. Three have required retransplantation.", "author" : [ { "dropping-particle" : "", "family" : "Venick", "given" : "R. S.", "non-dropping-particle" : "", "parse-names" : false, "suffix" : "" }, { "dropping-particle" : "V.", "family" : "McDiarmid", "given" : "S.", "non-dropping-particle" : "", "parse-names" : false, "suffix" : "" }, { "dropping-particle" : "", "family" : "Farmer", "g</w:instrText>
      </w:r>
      <w:r w:rsidR="007D2C28" w:rsidRPr="00783FEF">
        <w:rPr>
          <w:rFonts w:ascii="Book Antiqua" w:hAnsi="Book Antiqua" w:cs="AdvGulliv-R"/>
          <w:color w:val="000000"/>
          <w:lang w:val="it-IT" w:eastAsia="it-IT"/>
        </w:rPr>
        <w:instrText>iven" : "D. G.", "non-dropping-particle" : "", "parse-names" : false, "suffix" : "" }, { "dropping-particle" : "", "family" : "Gornbein", "given" : "J.", "non-dropping-particle" : "", "parse-names" : false, "suffix" : "" }, { "dropping-particle" : "", "family" : "Martin", "given" : "M. G.", "non-dropping-particle" : "", "parse-names" : false, "suffix" : "" }, { "dropping-particle" : "", "family" : "Vargas", "given" : "J. H.", "non-dropping-particle" : "", "parse-names" : false, "suffix" : "" }, { "dropping-particle" : "", "family" : "Ament", "given" : "M. E.", "non-dropping-particle" : "", "parse-names" : false, "suffix" : "" }, { "dropping-particle" : "", "family" : "Busuttil", "given" : "R. W.", "non-dropping-particle" : "", "parse-names" : false, "suffix" : "" } ], "container-title" : "American Journal of Transplantation", "id" : "ITEM-1", "issue" : "4", "issued" : { "date-parts" : [ [ "2007" ] ] }, "page" : "955-963", "title" : "Rejection and steroid dependence: Unique risk factors in the development of pediatric posttransplant de novo autoimmune hepatitis", "type" : "article-journal", "volume" : "7" }, "uris" : [ "http://www.mendeley.com/documents/?uuid=7d399a00-b1ec-4b07-8b5a-44c3f7a678a4" ] } ], "mendeley" : { "formattedCitation" : "&lt;sup&gt;[17]&lt;/sup&gt;", "plainTextFormattedCitation" : "[17]", "previouslyFormattedCitation" : "&lt;sup&gt;[17]&lt;/sup&gt;"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D2C28" w:rsidRPr="00783FEF">
        <w:rPr>
          <w:rFonts w:ascii="Book Antiqua" w:hAnsi="Book Antiqua" w:cs="AdvGulliv-R"/>
          <w:noProof/>
          <w:color w:val="000000"/>
          <w:vertAlign w:val="superscript"/>
          <w:lang w:val="it-IT" w:eastAsia="it-IT"/>
        </w:rPr>
        <w:t>[17]</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val="it-IT" w:eastAsia="it-IT"/>
        </w:rPr>
        <w:t>.</w:t>
      </w:r>
    </w:p>
    <w:p w:rsidR="00A049A8" w:rsidRPr="00783FEF" w:rsidRDefault="00A049A8" w:rsidP="00F41E66">
      <w:pPr>
        <w:autoSpaceDE w:val="0"/>
        <w:autoSpaceDN w:val="0"/>
        <w:adjustRightInd w:val="0"/>
        <w:spacing w:line="360" w:lineRule="auto"/>
        <w:ind w:firstLineChars="100" w:firstLine="240"/>
        <w:jc w:val="both"/>
        <w:rPr>
          <w:rFonts w:ascii="Book Antiqua" w:hAnsi="Book Antiqua" w:cs="AdvGulliv-R"/>
          <w:color w:val="000000"/>
          <w:lang w:val="it-IT" w:eastAsia="it-IT"/>
        </w:rPr>
      </w:pPr>
      <w:r w:rsidRPr="00783FEF">
        <w:rPr>
          <w:rFonts w:ascii="Book Antiqua" w:hAnsi="Book Antiqua" w:cs="AdvGulliv-R"/>
          <w:color w:val="000000"/>
          <w:lang w:val="it-IT" w:eastAsia="it-IT"/>
        </w:rPr>
        <w:t>In 2008</w:t>
      </w:r>
      <w:r w:rsidR="001D26D7" w:rsidRPr="00783FEF">
        <w:rPr>
          <w:rFonts w:ascii="Book Antiqua" w:hAnsi="Book Antiqua" w:cs="AdvGulliv-R"/>
          <w:color w:val="000000"/>
          <w:lang w:eastAsia="it-IT"/>
        </w:rPr>
        <w:fldChar w:fldCharType="begin" w:fldLock="1"/>
      </w:r>
      <w:r w:rsidRPr="00783FEF">
        <w:rPr>
          <w:rFonts w:ascii="Book Antiqua" w:hAnsi="Book Antiqua" w:cs="AdvGulliv-R"/>
          <w:color w:val="000000"/>
          <w:lang w:val="it-IT" w:eastAsia="it-IT"/>
        </w:rPr>
        <w:instrText>ADDIN CSL_CITATION { "citationItems" : [ { "id" : "ITEM-1", "itemData" : { "DOI" : "10.1111/j.1440-1746.2008.05347.x", "ISBN" : "1440-1746 (Electronic)\\n0815-9319 (Linking)", "ISSN" : "08159319", "PMID" : "18505414", "abstract" : "BACKGROUND AND AIM: Recently, we reported that immunoglobulin subtype 4 (IgG4) is involved in autoimmune hepatobiliary diseases, such as autoimmune hepatitis, sclerosing cholangitis, and pancreatitis. However, the association of IgG4 with autoimmune hepatic disease after living donor liver transplantation (LDLT) has not been investigated. METHODS: Of the 72 LDLT recipients, four patients (5.6%) were suspected of having autoimmune-related hepatic disease after LDLT. The diagnosis was made based on a histological diagnosis following an examination of a biopsy liver specimen in three cases, while in one case a pemphigoid appeared in the flank with liver fibrosis of unknown cause. Human leukocyte antigen (HLA) mismatches were 3, 2, 2, and 2, respectively. The serum level of IgG4 in the patients was measured, and IgG4 immunohistochemical staining in the liver biopsy specimens was also performed. RESULTS: In all cases, steroid pulse therapy or recycle treatment and subsequent increased steroid dose as well as additional azathioprine or mycophenolate mofetil were effective. While a few positive-stained cells for IgG4 were observed in the liver of one case, negative staining for IgG4 was observed in the other cases. All serum subclasses of IgG4 were within normal limits. CONCLUSION: In our series of LDLT, IgG4-related immune disorder is unlikely to be involved in post-transplant, autoimmune-related liver disease.", "author" : [ { "dropping-particle" : "", "family" : "Eguchi", "given" : "Susumu", "non-dropping-particle" : "", "parse-names" : false, "suffix" : "" }, { "dropping-particle" : "", "family" : "Takatsuki", "given" : "Mitsuhisa", "non-dropping-particle" : "", "parse-names" : false, "suffix" : "" }, { "dropping-particle" : "", "family" : "Hidaka", "given" : "Masaaki", "non-dropping-particle" : "", "parse-names" : false, "suffix" : "" }, { "dropping-particle" : "", "family" : "Tajima", "given" : "Yoshitsugu", "non-dropping-particle" : "", "parse-names" : false, "suffix" : "" }, { "dropping-particle" : "", "family" : "Zen", "given" : "Yoh", "non-dropping-particle" : "", "parse-names" : false, "suffix" : "" }, { "dropping-particle" : "", "family" : "Nakanuma", "given" : "Yasuni", "non-dropping-particle" : "", "parse-names" : false, "suffix" : "" }, { "dropping-particle" : "", "family" : "Kanematsu", "given" : "Takashi", "non-dropping-particle" : "", "parse-names" : false, "suffix" : "" } ], "container-title" : "Journal of Gastroenterology and Hepatology (Australia)", "id" : "ITEM-1", "issue" : "7 PT2", "issued" : { "date-parts" : [ [ "2008" ] ] }, "page" : "165-169", "title" : "De novo autoimmune hepatitis after living donor liver transplantation is unlikely to be related to immunoglobulin subtype 4-related immune disease", "type" : "article-journal", "volume" : "23" }, "uris" : [ "http://www.mendeley.com/documents/?uuid=5cb40cc0-0d9c-4ac3-a212-fa5aebc42b2a" ] } ], "mendeley" : { "formattedCitation" : "&lt;sup&gt;[33]&lt;/sup&gt;", "plainTextFormattedCitation" : "[33]", "previouslyFormattedCitation" : "&lt;sup&gt;[33]&lt;/sup&gt;"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Pr="00783FEF">
        <w:rPr>
          <w:rFonts w:ascii="Book Antiqua" w:hAnsi="Book Antiqua" w:cs="AdvGulliv-R"/>
          <w:noProof/>
          <w:color w:val="000000"/>
          <w:vertAlign w:val="superscript"/>
          <w:lang w:val="it-IT" w:eastAsia="it-IT"/>
        </w:rPr>
        <w:t>[33]</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val="it-IT" w:eastAsia="it-IT"/>
        </w:rPr>
        <w:t xml:space="preserve">, a study examined the potential role in the pathogenesis of </w:t>
      </w:r>
      <w:r w:rsidRPr="00783FEF">
        <w:rPr>
          <w:rFonts w:ascii="Book Antiqua" w:hAnsi="Book Antiqua" w:cs="AdvGulliv-R"/>
          <w:i/>
          <w:color w:val="000000"/>
          <w:lang w:val="it-IT" w:eastAsia="it-IT"/>
        </w:rPr>
        <w:t>de novo</w:t>
      </w:r>
      <w:r w:rsidRPr="00783FEF">
        <w:rPr>
          <w:rFonts w:ascii="Book Antiqua" w:hAnsi="Book Antiqua" w:cs="AdvGulliv-R"/>
          <w:color w:val="000000"/>
          <w:lang w:val="it-IT" w:eastAsia="it-IT"/>
        </w:rPr>
        <w:t xml:space="preserve"> AIH of immunoglobulin subtype 4 (IgG4)</w:t>
      </w:r>
      <w:r w:rsidR="00FA7F78" w:rsidRPr="00783FEF">
        <w:rPr>
          <w:rFonts w:ascii="Book Antiqua" w:hAnsi="Book Antiqua" w:cs="AdvGulliv-R"/>
          <w:color w:val="000000"/>
          <w:lang w:val="it-IT" w:eastAsia="it-IT"/>
        </w:rPr>
        <w:t>,</w:t>
      </w:r>
      <w:r w:rsidRPr="00783FEF">
        <w:rPr>
          <w:rFonts w:ascii="Book Antiqua" w:hAnsi="Book Antiqua" w:cs="AdvGulliv-R"/>
          <w:color w:val="000000"/>
          <w:lang w:val="it-IT" w:eastAsia="it-IT"/>
        </w:rPr>
        <w:t xml:space="preserve"> which has been implicated in different autoimmune diseases</w:t>
      </w:r>
      <w:r w:rsidR="001D26D7" w:rsidRPr="00783FEF">
        <w:rPr>
          <w:rFonts w:ascii="Book Antiqua" w:hAnsi="Book Antiqua" w:cs="AdvGulliv-R"/>
          <w:color w:val="000000"/>
          <w:lang w:val="it-IT" w:eastAsia="it-IT"/>
        </w:rPr>
        <w:fldChar w:fldCharType="begin" w:fldLock="1"/>
      </w:r>
      <w:r w:rsidR="00260D13" w:rsidRPr="00783FEF">
        <w:rPr>
          <w:rFonts w:ascii="Book Antiqua" w:hAnsi="Book Antiqua" w:cs="AdvGulliv-R"/>
          <w:color w:val="000000"/>
          <w:lang w:val="it-IT" w:eastAsia="it-IT"/>
        </w:rPr>
        <w:instrText>ADDIN CSL_CITATION { "citationItems" : [ { "id" : "ITEM-1", "itemData" : { "DOI" : "10.1002/hep.21697", "ISBN" : "0270-9139 (Print)\\n0270-9139 (Linking)", "ISSN" : "02709139", "PMID" : "17518371", "abstract" : "Immunoglobin G (IgG) 4-related sclerosing pancreatitis and cholangitis (autoimmune pancreato-cholangitis [AIPC]) are recently recognized disease entities characterized by high serum IgG4 concentrations and sclerosing inflammation with numerous IgG4-positive plasma cells, although the underlining immune mechanism remains only speculative. In this study, the immunopathogenesis of AIPC was examined with respect to the production of cytokines in situ and the possible involvement of regulatory T cells (Tregs) using fresh (5 cases) and formalin-fixed (28 cases) specimens of AIPC and related extra-pancreatobiliary lesions. Quantitative real-time polymerase chain reaction revealed that AIPC and extra-pancreatobiliary lesions had significantly higher ratios of interleukin (IL)-4/interferon-gamma (IFN-gamma) (45.8-fold), IL-5/IFN-gamma (18.7-fold), IL-13/interferon (IFN)-gamma (20.7-fold), IL-10/CD4 (45.3-fold), and tumor growth factor (TGF)-beta/CD4 (39.4-fold) than did primary sclerosing cholangitis (PSC) and primary biliary cirrhosis (PBC). Lymphocytes with signals for IL-4 and IL-10 were frequently found in AIPC by in situ hybridization. The expression of Foxp3 messenger RNA, a transcription factor specific for naturally arising CD4(+)CD25(+) Tregs, was significantly increased in AIPC and extra-pancreatobiliary lesions in comparison to PSC and PBC (36.4-fold). Immunohistochemically, CD4(+)CD25(+)Foxp3(+) cells were frequently found in AIPC, while few were found in PSC and other disease controls. Taken together, AIPC could be characterized by the over-production of T helper (Th) 2 and regulatory cytokines. Tregs might be involved in the in situ production of IL-10 and TGF-beta, which could be followed by IgG4 class switching and fibroplasia. CONCLUSION: AIPC is a unique inflammatory disorder characterized by an immune reaction predominantly mediated by Th2 cells and Tregs.", "author" : [ { "dropping-particle" : "", "family" : "Zen", "given" : "Yoh", "non-dropping-particle" : "", "parse-names" : false, "suffix" : "" }, { "dropping-particle" : "", "family</w:instrText>
      </w:r>
      <w:r w:rsidR="00260D13" w:rsidRPr="00783FEF">
        <w:rPr>
          <w:rFonts w:ascii="Book Antiqua" w:hAnsi="Book Antiqua" w:cs="AdvGulliv-R"/>
          <w:color w:val="000000"/>
          <w:lang w:eastAsia="it-IT"/>
        </w:rPr>
        <w:instrText>" : "Fujii", "given" : "Takahiko", "non-dropping-particle" : "", "parse-names" : false, "suffix" : "" }, { "dropping-particle" : "", "family" : "Harada", "given" : "Kenichi", "non-dropping-particle" : "", "parse-names" : false, "suffix" : "" }, { "dropping-particle" : "", "family" : "Kawano", "given" : "Mitsuhiro", "non-dropping-particle" : "", "parse-names" : false, "suffix" : "" }, { "dropping-particle" : "", "family" : "Yamada", "given" : "Kazunori", "non-dropping-particle" : "", "parse-names" : false, "suffix" : "" }, { "dropping-particle" : "", "family" : "Takahira", "given" : "Masayuki", "non-dropping-particle" : "", "parse-names" : false, "suffix" : "" }, { "dropping-particle" : "", "family" : "Nakanuma", "given" : "Yasuni", "non-dropping-particle" : "", "parse-names" : false, "suffix" : "" } ], "container-title" : "Hepatology", "id" : "ITEM-1", "issue" : "6", "issued" : { "date-parts" : [ [ "2007" ] ] }, "page" : "1538-1546", "title" : "Th2 and regulatory immune reactions are increased in immunoglobin G4-related sclerosing pancreatitis and cholangitis", "type" : "article-journal", "volume" : "45" }, "uris" : [ "http://www.mendeley.com/documents/?uuid=4037baa4-8a26-429f-9578-ae7b2300245c" ] } ], "mendeley" : { "formattedCitation" : "&lt;sup&gt;[72]&lt;/sup&gt;", "plainTextFormattedCitation" : "[72]", "previouslyFormattedCitation" : "&lt;sup&gt;[72]&lt;/sup&gt;" }, "properties" : { "noteIndex" : 0 }, "schema" : "https://github.com/citation-style-language/schema/raw/master/csl-citation.json" }</w:instrText>
      </w:r>
      <w:r w:rsidR="001D26D7" w:rsidRPr="00783FEF">
        <w:rPr>
          <w:rFonts w:ascii="Book Antiqua" w:hAnsi="Book Antiqua" w:cs="AdvGulliv-R"/>
          <w:color w:val="000000"/>
          <w:lang w:val="it-IT" w:eastAsia="it-IT"/>
        </w:rPr>
        <w:fldChar w:fldCharType="separate"/>
      </w:r>
      <w:r w:rsidR="00B8382C" w:rsidRPr="00783FEF">
        <w:rPr>
          <w:rFonts w:ascii="Book Antiqua" w:hAnsi="Book Antiqua" w:cs="AdvGulliv-R"/>
          <w:noProof/>
          <w:color w:val="000000"/>
          <w:vertAlign w:val="superscript"/>
          <w:lang w:eastAsia="it-IT"/>
        </w:rPr>
        <w:t>[72]</w:t>
      </w:r>
      <w:r w:rsidR="001D26D7" w:rsidRPr="00783FEF">
        <w:rPr>
          <w:rFonts w:ascii="Book Antiqua" w:hAnsi="Book Antiqua" w:cs="AdvGulliv-R"/>
          <w:color w:val="000000"/>
          <w:lang w:val="it-IT" w:eastAsia="it-IT"/>
        </w:rPr>
        <w:fldChar w:fldCharType="end"/>
      </w:r>
      <w:r w:rsidRPr="00783FEF">
        <w:rPr>
          <w:rFonts w:ascii="Book Antiqua" w:hAnsi="Book Antiqua" w:cs="AdvGulliv-R"/>
          <w:color w:val="000000"/>
          <w:lang w:eastAsia="it-IT"/>
        </w:rPr>
        <w:t xml:space="preserve">. Four of 72 (5.6%) adult living donor LT recipients who underwent transplantation within a 10-year period at a single center were diagnosed with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AIH</w:t>
      </w:r>
      <w:r w:rsidR="001D26D7" w:rsidRPr="00783FEF">
        <w:rPr>
          <w:rFonts w:ascii="Book Antiqua" w:hAnsi="Book Antiqua" w:cs="AdvGulliv-R"/>
          <w:color w:val="000000"/>
          <w:lang w:eastAsia="it-IT"/>
        </w:rPr>
        <w:fldChar w:fldCharType="begin" w:fldLock="1"/>
      </w:r>
      <w:r w:rsidR="007D2C28" w:rsidRPr="00783FEF">
        <w:rPr>
          <w:rFonts w:ascii="Book Antiqua" w:hAnsi="Book Antiqua" w:cs="AdvGulliv-R"/>
          <w:color w:val="000000"/>
          <w:lang w:eastAsia="it-IT"/>
        </w:rPr>
        <w:instrText>ADDIN CSL_CITATION { "citationItems" : [ { "id" : "ITEM-1", "itemData" : { "DOI" : "10.1111/j.1440-1746.2008.05347.x", "ISBN" : "1440-1746 (Electronic)\\n0815-9319 (Linking)", "ISSN" : "08159319", "PMID" : "18505414", "abstract" : "BACKGROUND AND AIM: Recently, we reported that immunoglobulin subtype 4 (IgG4) is involved in autoimmune hepatobiliary diseases, such as autoimmune hepatitis, sclerosing cholangitis, and pancreatitis. However, the association of IgG4 with autoimmune hepatic disease after living donor liver transplantation (LDLT) has not been investigated. METHODS: Of the 72 LDLT recipients, four patients (5.6%) were suspected of having autoimmune-related hepatic disease after LDLT. The diagnosis was made based on a histological diagnosis following an examination of a biopsy liver specimen in three cases, while in one case a pemphigoid appeared in the flank with liver fibrosis of unknown cause. Human leukocyte antigen (HLA) mismatches were 3, 2, 2, and 2, respectively. The serum level of IgG4 in the patients was measured, and IgG4 immunohistochemical staining in the liver biopsy specimens was also performed. RESULTS: In all cases, steroid pulse therapy or recycle treatment and subsequent increased steroid dose as well as additional azathioprine or mycophenolate mofetil were effective. While a few positive-stained</w:instrText>
      </w:r>
      <w:r w:rsidR="007D2C28" w:rsidRPr="00783FEF">
        <w:rPr>
          <w:rFonts w:ascii="Book Antiqua" w:hAnsi="Book Antiqua" w:cs="AdvGulliv-R"/>
          <w:color w:val="000000"/>
          <w:lang w:val="it-IT" w:eastAsia="it-IT"/>
        </w:rPr>
        <w:instrText xml:space="preserve"> cells for IgG4 were observed in the liver of one case, negative staining for IgG4 was observed in the other cases. All serum subclasses of IgG4 were within normal limits. CONCLUSION: In our series of LDLT, IgG4-related immune disorder is unlikely to be involved in post-transplant, autoimmune-related liver disease.", "author" : [ { "dropping-particle" : "", "family" : "Eguchi", "given" : "Susumu", "non-dropping-particle" : "", "parse-names" : false, "suffix" : "" }, { "dropping-particle" : "", "family" : "Takatsuki", "given" : "Mitsuhisa", "non-dropping-particle" : "", "par</w:instrText>
      </w:r>
      <w:r w:rsidR="007D2C28" w:rsidRPr="00783FEF">
        <w:rPr>
          <w:rFonts w:ascii="Book Antiqua" w:hAnsi="Book Antiqua" w:cs="AdvGulliv-R"/>
          <w:color w:val="000000"/>
          <w:lang w:eastAsia="it-IT"/>
        </w:rPr>
        <w:instrText>se-names" : false, "suffix" : "" }, { "dropping-particle" : "", "family" : "Hidaka", "given" : "Masaaki", "non-dropping-particle" : "", "parse-names" : false, "suffix" : "" }, { "dropping-particle" : "", "family" : "Tajima", "given" : "Yoshitsugu", "non-dropping-particle" : "", "parse-names" : false, "suffix" : "" }, { "dropping-particle" : "", "family" : "Zen", "given" : "Yoh", "non-dropping-particle" : "", "parse-names" : false, "suffix" : "" }, { "dropping-particle" : "", "family" : "Nakanuma", "given" : "Yasuni", "non-dropping-particle" : "", "parse-names" : false, "suffix" : "" }, { "dropping-particle" : "", "family" : "Kanematsu", "given" : "Takashi", "non-dropping-particle" : "", "parse-names" : false, "suffix" : "" } ], "container-title" : "Journal of Gastroenterology and Hepatology (Australia)", "id" : "ITEM-1", "issue" : "7 PT2", "issued" : { "date-parts" : [ [ "2008" ] ] }, "page" : "165-169", "title" : "De novo autoimmune hepatitis after living donor liver transplantation is unlikely to be related to immunoglobulin subtype 4-related immune disease", "type" : "article-journal", "volume" : "23" }, "uris" : [ "http://www.mendeley.com/documents/?uuid=5cb40cc0-0d9c-4ac3-a212-fa5aebc42b2a" ] } ], "mendeley" : { "formattedCitation" : "&lt;sup&gt;[33]&lt;/sup&gt;", "plainTextFormattedCitation" : "[33]", "previouslyFormattedCitation" : "&lt;sup&gt;[33]&lt;/sup&gt;"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D2C28" w:rsidRPr="00783FEF">
        <w:rPr>
          <w:rFonts w:ascii="Book Antiqua" w:hAnsi="Book Antiqua" w:cs="AdvGulliv-R"/>
          <w:noProof/>
          <w:color w:val="000000"/>
          <w:vertAlign w:val="superscript"/>
          <w:lang w:eastAsia="it-IT"/>
        </w:rPr>
        <w:t>[33]</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 xml:space="preserve">. The serum and liver tissue levels of IgG4 of these patients were adequately measured and found to be normal with the exception of one patient who exhibited only a mild positivity and thus suggesting that IgG4 is not a plausible co-factor in the development of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AIH</w:t>
      </w:r>
      <w:r w:rsidR="001D26D7" w:rsidRPr="00783FEF">
        <w:rPr>
          <w:rFonts w:ascii="Book Antiqua" w:hAnsi="Book Antiqua" w:cs="AdvGulliv-R"/>
          <w:color w:val="000000"/>
          <w:lang w:eastAsia="it-IT"/>
        </w:rPr>
        <w:fldChar w:fldCharType="begin" w:fldLock="1"/>
      </w:r>
      <w:r w:rsidR="007D2C28" w:rsidRPr="00783FEF">
        <w:rPr>
          <w:rFonts w:ascii="Book Antiqua" w:hAnsi="Book Antiqua" w:cs="AdvGulliv-R"/>
          <w:color w:val="000000"/>
          <w:lang w:eastAsia="it-IT"/>
        </w:rPr>
        <w:instrText>ADDIN CSL_CITATION { "citationItems" : [ { "id" : "ITEM-1", "itemData" : { "DOI" : "10.1111/j.1440-1746.2008.05347.x", "ISBN" : "1440-1746 (Electronic)\\n0815-9319 (Linking)", "ISSN" : "08159319", "PMID" : "18505414", "abstract" : "BACKGROUND AND AIM: Recently, we reported that immunoglobulin subtype 4 (IgG4) is involved in autoimmune hepatobiliary diseases, such as autoimmune hepatitis, sclerosing cholangitis, and pancreatitis. However, the association of IgG4 with autoimmune hepatic disease after living donor liver transplantation (LDLT) has not been investigated. METHODS: Of the 72 LDLT recipients, four patients (5.6%) were suspected of having autoimmune-related hepatic disease after LDLT. The diagnosis was made based on a histological diagnosis following an examination of a biopsy liver specimen in three cases, while in one case a pemphigoid appeared in the flank with liver fibrosis of unknown cause. Human leukocyte antigen (HLA) mismatches were 3, 2, 2, and 2, respectively. The serum level of IgG4 in the patients was measured, and IgG4 immunohistochemical staining in the liver biopsy specimens was also performed. RESULTS: In all cases, steroid pulse therapy or recycle treatment and subsequent increased s</w:instrText>
      </w:r>
      <w:r w:rsidR="007D2C28" w:rsidRPr="00783FEF">
        <w:rPr>
          <w:rFonts w:ascii="Book Antiqua" w:hAnsi="Book Antiqua" w:cs="AdvGulliv-R"/>
          <w:color w:val="000000"/>
          <w:lang w:val="it-IT" w:eastAsia="it-IT"/>
        </w:rPr>
        <w:instrText>teroid dose as well as additional azathioprine or mycophenolate mofetil were effective. While a few positive-stained cells for IgG4 were observed in the liver of one case, negative staining for IgG4 was observed in the other cases. All serum subclasses of IgG4 were within normal limits. CONCLUSION: In our series of LDLT, IgG4-related immune disorder is unlikely to be involved in post-transplant, autoimmune-related liver disease.", "author" : [ { "dropping-particle" : "", "family" : "Eguchi", "given" : "Susumu", "non-dropping-particle" : "", "parse-names" : false, "suffix" : "" }, { "dropping-particle" : "", "family" : "Takatsuki", "given" : "Mitsuhisa", "non-dropping-particle" : "", "parse-names" : false, "suffix" : "" }, { "dropping-particle" : "", "family" : "Hidaka", "given" : "Masaaki", "non-dropping-particle" : "", "parse-names" : false, "suffix" : "" }, { "dropping-particle" : "", "family" : "Tajima", "given" : "Yoshitsugu", "non-dropping-particle" : "", "parse-names" : false, "suffix" : "" }, { "dropping-particle" : "", "family" : "Zen", "given" : "Yoh", "non-dropping-particle" : "", "parse-names" : false, "suffix" : "" }, { "dropping-particle" : "", "family" : "Nakanuma", "given" : "Yasuni", "non-dropping-particle" : "", "parse-names" : false, "suffix" : "" }, { "dropping-particle" : "", "family" : "Kanematsu", "given" : "Takashi", "non-dropping-particle" : "", "parse-names" : false, "suffix" : "" } ], "container-title" : "Journal of Gastroenterology and Hepatology (Australia)", "id" : "ITEM-1", "issue" : "7 PT2", "issued" : { "date-parts" : [ [ "2008" ] ] }, "page" : "165-169", "title" : "De novo autoimmune hepatitis after living donor liver transplantation is unlikely to be related to immunoglobulin subtype 4-related immune disease", "type" : "article-journal", "volume" : "23" }, "uris" : [ "http://www.mendeley.com/documents/?uuid=5cb40cc0-0d9c-4ac3-a212-fa5aebc42b2a" ] } ], "mendeley" : { "formattedCitation" : "&lt;sup&gt;[33]&lt;/sup&gt;", "plainTextFormattedCitation" : "[33]", "previouslyFormattedCitation" : "&lt;sup&gt;[33]&lt;/sup&gt;"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D2C28" w:rsidRPr="00783FEF">
        <w:rPr>
          <w:rFonts w:ascii="Book Antiqua" w:hAnsi="Book Antiqua" w:cs="AdvGulliv-R"/>
          <w:noProof/>
          <w:color w:val="000000"/>
          <w:vertAlign w:val="superscript"/>
          <w:lang w:val="it-IT" w:eastAsia="it-IT"/>
        </w:rPr>
        <w:t>[33]</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val="it-IT" w:eastAsia="it-IT"/>
        </w:rPr>
        <w:t>.</w:t>
      </w:r>
    </w:p>
    <w:p w:rsidR="00A049A8" w:rsidRPr="00783FEF" w:rsidRDefault="00A049A8" w:rsidP="00F41E66">
      <w:pPr>
        <w:autoSpaceDE w:val="0"/>
        <w:autoSpaceDN w:val="0"/>
        <w:adjustRightInd w:val="0"/>
        <w:spacing w:line="360" w:lineRule="auto"/>
        <w:ind w:firstLineChars="100" w:firstLine="240"/>
        <w:jc w:val="both"/>
        <w:rPr>
          <w:rFonts w:ascii="Book Antiqua" w:hAnsi="Book Antiqua" w:cs="AdvGulliv-R"/>
          <w:color w:val="000000"/>
          <w:lang w:eastAsia="it-IT"/>
        </w:rPr>
      </w:pPr>
      <w:r w:rsidRPr="00783FEF">
        <w:rPr>
          <w:rFonts w:ascii="Book Antiqua" w:hAnsi="Book Antiqua" w:cs="AdvGulliv-R"/>
          <w:color w:val="000000"/>
          <w:lang w:val="it-IT" w:eastAsia="it-IT"/>
        </w:rPr>
        <w:t xml:space="preserve">Lodato </w:t>
      </w:r>
      <w:r w:rsidRPr="00F41E66">
        <w:rPr>
          <w:rFonts w:ascii="Book Antiqua" w:hAnsi="Book Antiqua" w:cs="AdvGulliv-R"/>
          <w:i/>
          <w:color w:val="000000"/>
          <w:lang w:val="it-IT" w:eastAsia="it-IT"/>
        </w:rPr>
        <w:t>et al</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val="it-IT" w:eastAsia="it-IT"/>
        </w:rPr>
        <w:instrText>ADDIN CSL_CITATION { "citationItems" : [ { "id" : "ITEM-1", "itemData" : { "DOI" : "10.3748/wjg.15.5449", "ISBN" : "1007-9327", "ISSN" : "10079327", "PMID" : "19916175", "abstract" : "AIM: To evaluate the efficacy of granulocyte colony stimulating factors (G-CSF) in liver transplanted patients with hepatitis C (HCV) recurrence and Pegylated-IFN alpha-2b induced neutropenia, and to evaluate the impact of G-CSF administration on virological response. METHODS: Sixty-eight patients undergoing antiviral treatment for post-liver transplantation (OLT) HCV recurrence were enrolled. All patients developing neutropenia received G-CSF. RESULTS: Twenty three (34%) received G-CSF. Mean neutrophil count at the onset of neutropenia was 700/mmc (range 400-750/mmc); after 1 mo of G-CSF it increased to 1210/mmc (range 300-5590/mmc) (P &lt; 0.0001). Three patients did not respond to G-CSF. Treatment duration was similar in neutropenic and non-neutropenic patients. No differences in the rate of discontinuation, infections or virological response were observed between the two groups. G-CSF was protective for the onset of de novo autoimmune hepatitis (P &lt; 0.003). CONCLUSION: G-CSF administration is effective in the case of Peg-IFN induced neutropenia increasing neutrophil count, prolonging treatment and leading to sustained virological response (SVR) rates comparable to non-neutropenic patients. It prevents the occurrence of de novo autoimmune hepatitis.", "author" : [ { "dropping-particle" : "", "family" : "Lodato", "given" : "Francesca", "non-dropping-particle" : "", "parse-names" : false, "suffix" : "" }, { "dropping-particle" : "", "family" : "Azzaroli", "given" : "Francesco", "non-dropping-particle" : "", "parse-names" : false, "suffix" : "" }, { "dropping-particle" : "", "family" : "Tam\u00e8", "given" : "Maria Rosa", "non-dropping-particle" : "", "parse-names" : false, "suffix" : "" }, { "dropping-particle" : "", "family" : "Girolamo", "given" : "Maria", "non-dropping-particle" : "Di", "parse-names" : false, "suffix" : "" }, { "dropping-particle" : "", "family" : "Buonfiglioli", "given" : "Federica", "non-dropping-particle" : "", "parse-names" : false, "suffix" : "" }, { "dropping-particle" : "", "family" : "Mazzella", "given" : "Natalia", "non-dropping-particle" : "", "parse-names" : false, "suffix" : "" }, { "dropping-particle" : "", "family" : "Cecinato", "given" : "Paolo", "non-dropping-particle" : "", "parse-names" : false, "suffix" : "" }, { "dropping-particle" : "", "family" : "Roda", "given" : "Enrico", "non-dropping-particle" : "", "parse-names" : false, "suffix" : "" }, { "dropping-particle" : "", "family" : "Mazzella", "given" : "Giuseppe", "non-dropping-particle" : "", "parse-names" : false, "suffix" : "" } ], "container-title" : "World Journal of Gastroenterology", "id" : "ITEM-1", "issue" : "43", "issued" : { "date-parts" : [ [ "2009" ] ] }, "page" : "5449-5454", "title" : "G-CSF in Peg-IFN induced neutropenia in liver transplanted patients with HCV recurrence", "type" : "article-journal", "volume" : "15" }, "uris" : [ "http://www.mendeley.com/documents/?uuid=6d54bb7d-105c-4d21-8b19-78cc4aebe208" ] } ], "mendeley" : { "formattedCitation" : "&lt;sup&gt;[73]&lt;/sup&gt;", "plainTextFormattedCitation" : "[73]", "previouslyFormattedCitation" : "&lt;sup&gt;[73]&lt;/sup&gt;"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B8382C" w:rsidRPr="00783FEF">
        <w:rPr>
          <w:rFonts w:ascii="Book Antiqua" w:hAnsi="Book Antiqua" w:cs="AdvGulliv-R"/>
          <w:noProof/>
          <w:color w:val="000000"/>
          <w:vertAlign w:val="superscript"/>
          <w:lang w:val="it-IT" w:eastAsia="it-IT"/>
        </w:rPr>
        <w:t>[73]</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val="it-IT" w:eastAsia="it-IT"/>
        </w:rPr>
        <w:t xml:space="preserve"> compared LT recipients treated with GCSF to those who did not receive GCSF in terms of the incidence of </w:t>
      </w:r>
      <w:r w:rsidRPr="00783FEF">
        <w:rPr>
          <w:rFonts w:ascii="Book Antiqua" w:hAnsi="Book Antiqua" w:cs="AdvGulliv-I"/>
          <w:i/>
          <w:color w:val="000000"/>
          <w:lang w:val="it-IT" w:eastAsia="it-IT"/>
        </w:rPr>
        <w:t>de novo</w:t>
      </w:r>
      <w:r w:rsidRPr="00783FEF">
        <w:rPr>
          <w:rFonts w:ascii="Book Antiqua" w:hAnsi="Book Antiqua" w:cs="AdvGulliv-I"/>
          <w:color w:val="000000"/>
          <w:lang w:val="it-IT" w:eastAsia="it-IT"/>
        </w:rPr>
        <w:t xml:space="preserve"> </w:t>
      </w:r>
      <w:r w:rsidRPr="00783FEF">
        <w:rPr>
          <w:rFonts w:ascii="Book Antiqua" w:hAnsi="Book Antiqua" w:cs="AdvGulliv-R"/>
          <w:color w:val="000000"/>
          <w:lang w:val="it-IT" w:eastAsia="it-IT"/>
        </w:rPr>
        <w:t xml:space="preserve">AIH. </w:t>
      </w:r>
      <w:r w:rsidRPr="00783FEF">
        <w:rPr>
          <w:rFonts w:ascii="Book Antiqua" w:hAnsi="Book Antiqua" w:cs="AdvGulliv-R"/>
          <w:color w:val="000000"/>
          <w:lang w:eastAsia="it-IT"/>
        </w:rPr>
        <w:t>A significantly lower incidence was observed in the GCSF group, which supports the protective immunomodulatory effect of GCSF against liver autoimmunity in the post-LT setting</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eastAsia="it-IT"/>
        </w:rPr>
        <w:instrText>ADDIN CSL_CITATION { "citationItems" : [ { "id" : "ITEM-1", "itemData" : { "DOI" : "10.3748/wjg.15.5449", "ISBN" : "1007-9327", "ISSN" : "10079327", "PMID" : "19916175", "abstract" : "AIM: To evaluate the efficacy of granulocyte colony stimulating factors (G-CSF) in liver transplanted patients with hepatitis C (HCV) recurrence and Pegylated-IFN alpha-2b induced neutropenia, and to evaluate the impact of G-CSF administration on virological response. METHODS: Sixty-eight patients undergoing antiviral treatment for post-liver transplantation (OLT) HCV recurrence were enrolled. All patients developing neutropenia received G-CSF. RESULTS: Twenty three (34%) received G-CSF. Mean neutrophil count at the onset of neutropenia was 700/mmc (range 400-750/mmc); after 1 mo of G-CSF it increased to 1210/mmc (range 300-5590/mmc) (P &lt; 0.0001). Three patients did not respond to G-CSF. Treatment duration was similar in neutropenic and non-neutropenic patients. No differences in the rate of discontinuation, infections or virological response were observed between the two groups. G-CSF was protective for the onset of de novo autoimmune hepatitis (P &lt; 0.003). CONCLUSION: G-CSF administration is effective in the case of Peg-IFN induced neutropenia increasing neutrophil count, prolonging treatment and leading to sustained virological response (SVR) rates comparable to non-neutropenic patients. It prevents the occurrence of de novo autoimmune hepatitis.", "author" : [ { "dropping-particle" : "", "family" : "Lodato", "given" : "Francesca", "non-dropping-particle" : "", "parse-names" : false, "suffix" : "" }, { "dropping-particle" : "", "family" : "Azzaroli", "given" : "Francesco", "non-dropping-particle" : "", "parse-names" : false, "suffix" : "" }, { "dropping-particle" : "", "family" : "Tam\u00e8", "given" : "Maria Rosa", "non-dropping-particle" : "", "parse-names" : false, "suffix" : "" }, { "dropping-particle" : "", "family" : "Girolamo", "given" : "Maria", "non-dropping-particle" : "Di", "parse-names" : false, "suffix" : "" }, { "dropping-particle" : "", "family" : "Buonfiglioli", "given" : "Federica", "non-dropping-particle" : "", "parse-names" : false, "suffix" : "" }, { "dropping-particle" : "", "family" : "Mazzella", "given" : "Natalia", "non-dropping-particle" : "", "parse-names" : false, "suffix" : "" }, { "dropping-particle" : "", "family" : "Cecinato", "given" : "Paolo", "non-dropping-particle" : "", "parse-names" : false, "suffix" : "" }, { "dropping-particle" : "", "family" : "Roda", "given" : "Enrico", "non-dropping-particle" : "", "parse-names" : false, "suffix" : "" }, { "dropping-particle" : "", "family" : "Mazzella", "given" : "Giuseppe", "non-dropping-particle" : "", "parse-names" : false, "suffix" : "" } ], "container-title" : "World Journal of Gastroenterology", "id" : "ITEM-1", "issue" : "43", "issued" : { "date-parts" : [ [ "2009" ] ] }, "page" : "5449-5454", "title" : "G-CSF in Peg-IFN induced neutropenia in liver transplanted patients with HCV recurrence", "type" : "article-journal", "volume" : "15" }, "uris" : [ "http://www.mendeley.com/documents/?uuid=6d54bb7d-105c-4d21-8b19-78cc4aebe208" ] } ], "mendeley" : { "formattedCitation" : "&lt;sup&gt;[73]&lt;/sup&gt;", "plainTextFormattedCitation" : "[73]", "previouslyFormattedCitation" : "&lt;sup&gt;[73]&lt;/sup&gt;"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B8382C" w:rsidRPr="00783FEF">
        <w:rPr>
          <w:rFonts w:ascii="Book Antiqua" w:hAnsi="Book Antiqua" w:cs="AdvGulliv-R"/>
          <w:noProof/>
          <w:color w:val="000000"/>
          <w:vertAlign w:val="superscript"/>
          <w:lang w:val="it-IT" w:eastAsia="it-IT"/>
        </w:rPr>
        <w:t>[73]</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w:t>
      </w:r>
    </w:p>
    <w:p w:rsidR="00A049A8" w:rsidRPr="00783FEF" w:rsidRDefault="00652A32" w:rsidP="00F41E66">
      <w:pPr>
        <w:autoSpaceDE w:val="0"/>
        <w:autoSpaceDN w:val="0"/>
        <w:adjustRightInd w:val="0"/>
        <w:spacing w:line="360" w:lineRule="auto"/>
        <w:ind w:firstLineChars="100" w:firstLine="240"/>
        <w:jc w:val="both"/>
        <w:rPr>
          <w:rFonts w:ascii="Book Antiqua" w:hAnsi="Book Antiqua" w:cs="AdvGulliv-R"/>
          <w:color w:val="000000"/>
          <w:lang w:eastAsia="it-IT"/>
        </w:rPr>
      </w:pPr>
      <w:r w:rsidRPr="00783FEF">
        <w:rPr>
          <w:rFonts w:ascii="Book Antiqua" w:hAnsi="Book Antiqua" w:cs="AdvGulliv-R"/>
          <w:color w:val="000000"/>
          <w:lang w:eastAsia="it-IT"/>
        </w:rPr>
        <w:t>Several studies</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eastAsia="it-IT"/>
        </w:rPr>
        <w:instrText>ADDIN CSL_CITATION { "citationItems" : [ { "id" : "ITEM-1", "itemData" : { "ISSN" : "0009-9104 (Print)", "PMID" : "11737073", "abstract" : "Four patients of 283 liver-transplant recipients (1.4%) developed de novo immune-mediated hepatitis approximately 2 years after transplantation. Antibodies showing an unusual liver/kidney cytoplasmic staining pattern were detected in the sera of all four patients and one of them was used to screen a human liver cDNA expression library with the aim of identifying the antigenic target of these newly developed antibodies. After cloning and sequencing the gene, it was identified as the gene encoding the glutathion-S-transferase T1 (GSTT1), a 29-kD molecular weight protein, expressed abundantly in liver and kidney. Sera from the other three patients also contained anti-GSTT1 antibodies, two of them demonstrated by immunoblot analysis against the recombinant antigen and the other, which was negative by immunoblot, gave a positive reaction when used directly to screen the same library, suggesting it to be directed to a conformational epitope. The GSTT1 enzyme is the product of a single polymorphic gene that is absent from 20% of the Caucasian population. When we analysed the GSTT1 genotype of the four patients described above, we found that this gene is absent from all of them. Three donor paraffin embedded DNA samples were available and were shown to be positive for GSSTT1 genotype. In accordance with these results, we suggest that this form of post-transplant de novo immune hepatitis, that has been reported as autoimmune hepatitis by others, could be the result of an antigraft reaction in individuals lacking the GSTT1 phenotype, in which the immune system recognizes the GSTT1 protein as a non-self antigen, being the graft dysfunction not the result of an autoimmune reaction, but the consequence of an alo-reactive immune response.", "author" : [ { "dropping-particle" : "", "family" : "Aguilera", "given" : "I", "non-dropping-particle" : "", "parse-names" : false, "suffix" : "" }, { "dropping-particle" : "", "family" : "Wichmann", "given" : "I", "non-dropping-particle" : "", "parse-names" : false, "suffix" : "" }, { "dropping-particle" : "", "family" : "Sousa", "given" : "J M", "non-dropping-particle" : "", "parse-names" : false, "suffix" : "" }, { "dropping-particle" : "", "family" : "Bernardos", "given" : "A", "non-dropping-particle" : "", "parse-names" : false, "suffix" : "" }, { "dropping-particle" : "", "family" : "Franco", "given" : "E", "non-dropping-particle" : "", "parse-names" : false, "suffix" : "" }, { "dropping-particle" : "", "family" : "Garcia-Lozano", "given" : "J R", "non-dropping-particle" : "", "parse-names" : false, "suffix" : "" }, { "dropping-particle" : "", "family" : "Nunez-Roldan", "given" : "A", "non-dropping-particle" : "", "parse-names" : false, "suffix" : "" } ], "container-title" : "Clinical and experimental immunology", "id" : "ITEM-1", "issue" : "3", "issued" : { "date-parts" : [ [ "2001", "12" ] ] }, "language" : "eng", "page" : "535-539", "publisher-place" : "England", "title" : "Antibodies against glutathione S-transferase T1 (GSTT1) in patients with de novo  immune hepatitis following liver transplantation.", "type" : "article-journal", "volume" : "126" }, "uris" : [ "http://www.mendeley.com/documents/?uuid=7a3f5104-d0c3-47a2-ae83-a35ef24bff01" ] }, { "id" : "ITEM-2", "itemData" : { "DOI" : "10.1016/S0041-1345(03)00059-9", "ISSN" : "00411345", "PMID" : "12644106", "author" : [ { "dropping-particle" : "", "family" : "Aguilera", "given" : "I.", "non-dropping-particle" : "", "parse-names" : false, "suffix" : "" }, { "dropping-particle" : "", "family" : "Wichmann", "given" : "I.", "non-dropping-particle" : "", "parse-names" : false, "suffix" : "" }, { "dropping-particle" : "", "family" : "Sousa", "given" : "J. M.", "non-dropping-particle" : "", "parse-names" : false, "suffix" : "" }, { "dropping-particle" : "", "family" : "Bernardos", "given" : "a.", "non-dropping-particle" : "", "parse-names" : false, "suffix" : "" }, { "dropping-particle" : "", "family" : "Franco", "given" : "E.", "non-dropping-particle" : "", "parse-names" : false, "suffix" : "" }, { "dropping-particle" : "", "family" : "Garcia-Lozano", "given" : "R.", "non-dropping-particle" : "", "parse-names" : false, "suffix" : "" }, { "dropping-particle" : "", "family" : "Gonzalez-Escribano", "given" : "M. F.", "non-dropping-particle" : "", "parse-names" : false, "suffix" : "" }, { "dropping-particle" : "", "family" : "N\u00fa\u00f1ez-Rold\u00e1n", "given" : "Antonio", "non-dropping-particle" : "", "parse-names" : false, "suffix" : "" } ], "container-title" : "Transplantation Proceedings", "id" : "ITEM-2", "issue" : "2", "issued" : { "date-parts" : [ [ "2003" ] ] }, "page" : "712", "title" : "Antibodies against glutathione S-transferase T1 in patients with immune hepatitis after liver transplantation", "type" : "article-journal", "volume" : "35" }, "uris" : [ "http://www.mendeley.com/documents/?uuid=d112674e-5d6b-4c00-a061-de20c60cc6e4" ] }, { "id" : "ITEM-3", "itemData" : { "DOI" : "10.1016/j.transproceed.2005.10.042", "ISSN" : "0041-1345 (Print)", "PMID" : "16386599", "abstract" : "Glutathione S-transferase T1 (GSTT1) is a drug metabolizing enzyme abundantly expressed in liver and kidney cells; it is encoded by a single gene that is absent in 20% of the Caucasian population. Our group found that some liver transplantation patients developed de novo immune hepatitis (IH) and that all of them had anti-GSTT1 antibodies. The main objective of this study was to analyze the influence of a GSTT1 mismatch between donor and recipient in the immune response and the outcome of the graft. We confirmed that only under one of the four possible genetic combinations (null recipient/positive donor) is an alloimmune response triggered with production of anti-GSTT1 antibodies. Therefore, we conclude that this genetic mismatch can be considered a risk factor for de novo IH.", "author" : [ { "dropping-particle" : "", "family" : "Aguilera", "given" : "I", "non-dropping-particle" : "", "parse-names" : false, "suffix" : "" }, { "dropping-particle" : "", "family" : "Sousa", "given" : "J M", "non-dropping-particle" : "", "parse-names" : false, "suffix" : "" }, { "dropping-particle" : "", "family" : "Gavilan", "given" : "F", "non-dropping-particle" : "", "parse-names" : false, "suffix" : "" }, { "dropping-particle" : "", "family" : "Bernardos", "given" : "A", "non-dropping-particle" : "", "parse-names" : false, "suffix" : "" }, { "dropping-particle" : "", "family" : "Wichmann", "given" : "I", "non-dropping-particle" : "", "parse-names" : false, "suffix" : "" }, { "dropping-particle" : "", "family" : "Nunez-Roldan", "given" : "A", "non-dropping-particle" : "", "parse-names" : false, "suffix" : "" } ], "container-title" : "Transplantation proceedings", "id" : "ITEM-3", "issue" : "9", "issued" : { "date-parts" : [ [ "2005", "11" ] ] }, "language" : "eng", "page" : "3968-3969", "publisher-place" : "United States", "title" : "Glutathione S-transferase T1 genetic mismatch is a risk factor for de novo immune hepatitis in liver transplantation.", "type" : "article-journal", "volume" : "37" }, "uris" : [ "http://www.mendeley.com/documents/?uuid=75672132-6d99-4032-ad31-7431e896953c" ] } ], "mendeley" : { "formattedCitation" : "&lt;sup&gt;[14,74,75]&lt;/sup&gt;", "plainTextFormattedCitation" : "[14,74,75]", "previouslyFormattedCitation" : "&lt;sup&gt;[14,74,75]&lt;/sup&gt;"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B8382C" w:rsidRPr="00783FEF">
        <w:rPr>
          <w:rFonts w:ascii="Book Antiqua" w:hAnsi="Book Antiqua" w:cs="AdvGulliv-R"/>
          <w:noProof/>
          <w:color w:val="000000"/>
          <w:vertAlign w:val="superscript"/>
          <w:lang w:eastAsia="it-IT"/>
        </w:rPr>
        <w:t>[14,74</w:t>
      </w:r>
      <w:r w:rsidR="000B12DD">
        <w:rPr>
          <w:rFonts w:ascii="Book Antiqua" w:hAnsi="Book Antiqua" w:cs="AdvGulliv-R" w:hint="eastAsia"/>
          <w:noProof/>
          <w:color w:val="000000"/>
          <w:vertAlign w:val="superscript"/>
          <w:lang w:eastAsia="zh-CN"/>
        </w:rPr>
        <w:t>-</w:t>
      </w:r>
      <w:r w:rsidR="007373AE" w:rsidRPr="00783FEF">
        <w:rPr>
          <w:rFonts w:ascii="Book Antiqua" w:hAnsi="Book Antiqua" w:cs="AdvGulliv-R"/>
          <w:noProof/>
          <w:color w:val="000000"/>
          <w:vertAlign w:val="superscript"/>
          <w:lang w:eastAsia="it-IT"/>
        </w:rPr>
        <w:t>76</w:t>
      </w:r>
      <w:r w:rsidR="00B8382C" w:rsidRPr="00783FEF">
        <w:rPr>
          <w:rFonts w:ascii="Book Antiqua" w:hAnsi="Book Antiqua" w:cs="AdvGulliv-R"/>
          <w:noProof/>
          <w:color w:val="000000"/>
          <w:vertAlign w:val="superscript"/>
          <w:lang w:eastAsia="it-IT"/>
        </w:rPr>
        <w:t>]</w:t>
      </w:r>
      <w:r w:rsidR="001D26D7" w:rsidRPr="00783FEF">
        <w:rPr>
          <w:rFonts w:ascii="Book Antiqua" w:hAnsi="Book Antiqua" w:cs="AdvGulliv-R"/>
          <w:color w:val="000000"/>
          <w:lang w:eastAsia="it-IT"/>
        </w:rPr>
        <w:fldChar w:fldCharType="end"/>
      </w:r>
      <w:r w:rsidR="00A049A8" w:rsidRPr="00783FEF">
        <w:rPr>
          <w:rFonts w:ascii="Book Antiqua" w:hAnsi="Book Antiqua" w:cs="AdvGulliv-R"/>
          <w:color w:val="000000"/>
          <w:lang w:eastAsia="it-IT"/>
        </w:rPr>
        <w:t xml:space="preserve"> </w:t>
      </w:r>
      <w:r w:rsidRPr="00783FEF">
        <w:rPr>
          <w:rFonts w:ascii="Book Antiqua" w:hAnsi="Book Antiqua" w:cs="AdvGulliv-R"/>
          <w:color w:val="000000"/>
          <w:lang w:eastAsia="it-IT"/>
        </w:rPr>
        <w:t xml:space="preserve">were </w:t>
      </w:r>
      <w:r w:rsidR="00A049A8" w:rsidRPr="00783FEF">
        <w:rPr>
          <w:rFonts w:ascii="Book Antiqua" w:hAnsi="Book Antiqua" w:cs="AdvGulliv-R"/>
          <w:color w:val="000000"/>
          <w:lang w:eastAsia="it-IT"/>
        </w:rPr>
        <w:t xml:space="preserve">conducted that focused on the role of the glutathione S-transferase T1 (GSTT1) gene as a risk factor for </w:t>
      </w:r>
      <w:r w:rsidR="00A049A8" w:rsidRPr="00783FEF">
        <w:rPr>
          <w:rFonts w:ascii="Book Antiqua" w:hAnsi="Book Antiqua" w:cs="AdvGulliv-R"/>
          <w:i/>
          <w:color w:val="000000"/>
          <w:lang w:eastAsia="it-IT"/>
        </w:rPr>
        <w:t>de novo</w:t>
      </w:r>
      <w:r w:rsidR="00A049A8" w:rsidRPr="00783FEF">
        <w:rPr>
          <w:rFonts w:ascii="Book Antiqua" w:hAnsi="Book Antiqua" w:cs="AdvGulliv-R"/>
          <w:color w:val="000000"/>
          <w:lang w:eastAsia="it-IT"/>
        </w:rPr>
        <w:t xml:space="preserve"> AIH development. </w:t>
      </w:r>
      <w:r w:rsidRPr="00783FEF">
        <w:rPr>
          <w:rFonts w:ascii="Book Antiqua" w:hAnsi="Book Antiqua" w:cs="AdvGulliv-R"/>
          <w:color w:val="000000"/>
          <w:lang w:eastAsia="it-IT"/>
        </w:rPr>
        <w:t>Aguilera et al. identified i</w:t>
      </w:r>
      <w:r w:rsidR="00A049A8" w:rsidRPr="00783FEF">
        <w:rPr>
          <w:rFonts w:ascii="Book Antiqua" w:hAnsi="Book Antiqua" w:cs="AdvGulliv-R"/>
          <w:color w:val="000000"/>
          <w:lang w:eastAsia="it-IT"/>
        </w:rPr>
        <w:t xml:space="preserve">n patients who present with </w:t>
      </w:r>
      <w:r w:rsidR="00A049A8" w:rsidRPr="00783FEF">
        <w:rPr>
          <w:rFonts w:ascii="Book Antiqua" w:hAnsi="Book Antiqua" w:cs="AdvGulliv-R"/>
          <w:i/>
          <w:color w:val="000000"/>
          <w:lang w:eastAsia="it-IT"/>
        </w:rPr>
        <w:t>de novo</w:t>
      </w:r>
      <w:r w:rsidR="00A049A8" w:rsidRPr="00783FEF">
        <w:rPr>
          <w:rFonts w:ascii="Book Antiqua" w:hAnsi="Book Antiqua" w:cs="AdvGulliv-R"/>
          <w:color w:val="000000"/>
          <w:lang w:eastAsia="it-IT"/>
        </w:rPr>
        <w:t xml:space="preserve"> AIH, specific antibodies produced against donor GSTT1 gene due to a mismatch between the wild-type carried by the donor and recipient’s null genotype. Moreover, a retrospective analysis of liver biopsies from patients with </w:t>
      </w:r>
      <w:r w:rsidR="00A049A8" w:rsidRPr="00783FEF">
        <w:rPr>
          <w:rFonts w:ascii="Book Antiqua" w:hAnsi="Book Antiqua" w:cs="AdvGulliv-R"/>
          <w:i/>
          <w:color w:val="000000"/>
          <w:lang w:eastAsia="it-IT"/>
        </w:rPr>
        <w:t>de novo</w:t>
      </w:r>
      <w:r w:rsidR="00A049A8" w:rsidRPr="00783FEF">
        <w:rPr>
          <w:rFonts w:ascii="Book Antiqua" w:hAnsi="Book Antiqua" w:cs="AdvGulliv-R"/>
          <w:color w:val="000000"/>
          <w:lang w:eastAsia="it-IT"/>
        </w:rPr>
        <w:t xml:space="preserve"> AIH who expressed GSTT1-Ab was conducted by the same authors to explore the presence of complement component 4d (C4d)</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eastAsia="it-IT"/>
        </w:rPr>
        <w:instrText>ADDIN CSL_CITATION { "citationItems" : [ { "id" : "ITEM-1", "itemData" : { "DOI" : "10.1002/lt.22302", "ISSN" : "1527-6473 (Electronic)", "PMID" : "21425430", "abstract" : "De novo immune hepatitis (DNIH) is a form of late graft dysfunction after liver transplantation. The fine mechanisms leading to the development of DNIH are not known, and whether this hepatitis is a form of rejection or a result of an auto/alloimmune injury has not been established. In our patients, DNIH was always preceded by the production of donor-specific antibodies against the glutathione S-transferase T1 (GSTT1) enzyme because of a genetic mismatch in which the donors carried the wild-type gene and the recipients displayed the null genotype. Complement component 4d (C4d) immunopositivity in 12 paraffin-embedded liver biopsy samples from 8 patients diagnosed with DNIH associated with anti-GSTT1 antibodies was retrospectively evaluated. Six patients with a diagnosis of chronic rejection (CR) and 7 patients with hepatitis C virus recurrence were included as control groups. Among the patients with DNIH, 7 showed C4d-positive immunostaining localized in the portal tracts, whereas in the tested biopsy samples of the 2 control groups, this staining pattern was absent. Four biopsy samples of the CR group showed C4d-positive sinusoidal staining. This study confirms the activation of the complement pathway in the presence of donor-specific antibodies, which was shown by the deposition of C4d elements in liver biopsy samples of patients with DNIH. The use of C4d as a marker of antibody-mediated rejection in liver allografts in the presence of antidonor antibodies is discussed, and it may contribute to improved differential diagnoses based on biopsy findings.", "author" : [ { "dropping-particle" : "", "family" : "Aguilera", "given" : "Isabel", "non-dropping-particle" : "", "parse-names" : false, "suffix" : "" }, { "dropping-particle" : "", "family" : "Sousa", "given" : "Jose Manuel", "non-dropping-particle" : "", "parse-names" : false, "suffix" : "" }, { "dropping-particle" : "", "family" : "Gavilan", "given" : "Francisco", "non-dropping-particle" : "", "parse-names" : false, "suffix" : "" }, { "dropping-particle" : "", "family" : "Gomez", "given" : "Lourdes", "non-dropping-particle" : "", "parse-names" : false, "suffix" : "" }, { "dropping-particle" : "", "family" : "Alvarez-Marquez", "given" : "Antonia", "non-dropping-particle" : "", "parse-names" : false, "suffix" : "" }, { "dropping-particle" : "", "family" : "Nunez-Roldan", "given" : "Antonio", "non-dropping-particle" : "", "parse-names" : false, "suffix" : "" } ], "container-title" : "Liver transplantation : official publication of the American Association for the  Study of Liver Diseases and the International Liver Transplantation Society", "id" : "ITEM-1", "issue" : "7", "issued" : { "date-parts" : [ [ "2011", "7" ] ] }, "language" : "eng", "page" : "779-788", "publisher-place" : "United States", "title" : "Complement component 4d immunostaining in liver allografts of patients with de novo immune hepatitis.", "type" : "article-journal", "volume" : "17" }, "uris" : [ "http://www.mendeley.com/documents/?uuid=61494990-0560-455c-b150-29a8d9976d9a" ] } ], "mendeley" : { "formattedCitation" : "&lt;sup&gt;[76]&lt;/sup&gt;", "plainTextFormattedCitation" : "[76]", "previouslyFormattedCitation" : "&lt;sup&gt;[76]&lt;/sup&gt;"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373AE" w:rsidRPr="00783FEF">
        <w:rPr>
          <w:rFonts w:ascii="Book Antiqua" w:hAnsi="Book Antiqua" w:cs="AdvGulliv-R"/>
          <w:noProof/>
          <w:color w:val="000000"/>
          <w:vertAlign w:val="superscript"/>
          <w:lang w:eastAsia="it-IT"/>
        </w:rPr>
        <w:t>[77</w:t>
      </w:r>
      <w:r w:rsidR="00B8382C" w:rsidRPr="00783FEF">
        <w:rPr>
          <w:rFonts w:ascii="Book Antiqua" w:hAnsi="Book Antiqua" w:cs="AdvGulliv-R"/>
          <w:noProof/>
          <w:color w:val="000000"/>
          <w:vertAlign w:val="superscript"/>
          <w:lang w:eastAsia="it-IT"/>
        </w:rPr>
        <w:t>]</w:t>
      </w:r>
      <w:r w:rsidR="001D26D7" w:rsidRPr="00783FEF">
        <w:rPr>
          <w:rFonts w:ascii="Book Antiqua" w:hAnsi="Book Antiqua" w:cs="AdvGulliv-R"/>
          <w:color w:val="000000"/>
          <w:lang w:eastAsia="it-IT"/>
        </w:rPr>
        <w:fldChar w:fldCharType="end"/>
      </w:r>
      <w:r w:rsidR="00A049A8" w:rsidRPr="00783FEF">
        <w:rPr>
          <w:rFonts w:ascii="Book Antiqua" w:hAnsi="Book Antiqua" w:cs="AdvGulliv-R"/>
          <w:color w:val="000000"/>
          <w:lang w:eastAsia="it-IT"/>
        </w:rPr>
        <w:t xml:space="preserve">. C4d-positivity was observed to localize in the portal tracts of nearly all of the </w:t>
      </w:r>
      <w:r w:rsidR="00A049A8" w:rsidRPr="00783FEF">
        <w:rPr>
          <w:rFonts w:ascii="Book Antiqua" w:hAnsi="Book Antiqua" w:cs="AdvGulliv-R"/>
          <w:i/>
          <w:color w:val="000000"/>
          <w:lang w:eastAsia="it-IT"/>
        </w:rPr>
        <w:t>de novo</w:t>
      </w:r>
      <w:r w:rsidR="00A049A8" w:rsidRPr="00783FEF">
        <w:rPr>
          <w:rFonts w:ascii="Book Antiqua" w:hAnsi="Book Antiqua" w:cs="AdvGulliv-R"/>
          <w:color w:val="000000"/>
          <w:lang w:eastAsia="it-IT"/>
        </w:rPr>
        <w:t xml:space="preserve"> AIH specimens, while in two control groups, sinusoidal C4d-positive pattern was present in 4/7 biopsies from patients who experienced rejection</w:t>
      </w:r>
      <w:r w:rsidR="001D26D7" w:rsidRPr="00783FEF">
        <w:rPr>
          <w:rFonts w:ascii="Book Antiqua" w:hAnsi="Book Antiqua" w:cs="AdvGulliv-R"/>
          <w:color w:val="000000"/>
          <w:vertAlign w:val="superscript"/>
          <w:lang w:eastAsia="it-IT"/>
        </w:rPr>
        <w:fldChar w:fldCharType="begin" w:fldLock="1"/>
      </w:r>
      <w:r w:rsidR="00260D13" w:rsidRPr="00783FEF">
        <w:rPr>
          <w:rFonts w:ascii="Book Antiqua" w:hAnsi="Book Antiqua" w:cs="AdvGulliv-R"/>
          <w:color w:val="000000"/>
          <w:vertAlign w:val="superscript"/>
          <w:lang w:eastAsia="it-IT"/>
        </w:rPr>
        <w:instrText>ADDIN CSL_CITATION { "citationItems" : [ { "id" : "ITEM-1", "itemData" : { "DOI" : "10.1002/lt.22302", "ISSN" : "1527-6473 (Electronic)", "PMID" : "21425430", "abstract" : "De novo immune hepatitis (DNIH) is a form of late graft dysfunction after liver transplantation. The fine mechanisms leading to the development of DNIH are not known, and whether this hepatitis is a form of rejection or a result of an auto/alloimmune injury has not been established. In our patients, DNIH was always preceded by the production of donor-specific antibodies against the glutathione S-transferase T1 (GSTT1) enzyme because of a genetic mismatch in which the donors carried the wild-type gene and the recipients displayed the null genotype. Complement component 4d (C4d) immunopositivity in 12 paraffin-embedded liver biopsy samples from 8 patients diagnosed with DNIH associated with anti-GSTT1 antibodies was retrospectively evaluated. Six patients with a diagnosis of chronic rejection (CR) and 7 patients with hepatitis C virus recurrence were included as control groups. Among the patients with DNIH, 7 showed C4d-positive immunostaining localized in the portal tracts, whereas in the tested biopsy samples of the 2 control groups, this staining pattern was absent. Four biopsy samples of the CR group showed C4d-positive sinusoidal staining. This study confirms the activation of the complement pathway in the presence of donor-specific antibodies, which was shown by the deposition of C4d elements in liver biopsy samples of patients with DNIH. The use of C4d as a marker of antibody-mediated rejection in liver allografts in the presence of antidonor antibodies is discussed, and it may contribute to improved differential diagnoses based on biopsy findings.", "author" : [ { "dropping-particle" : "", "family" : "Aguilera", "given" : "Isabel", "non-dropping-particle" : "", "parse-names" : false, "suffix" : "" }, { "dropping-particle" : "", "family" : "Sousa", "given" : "Jose Manuel", "non-dropping-particle" : "", "parse-names" : false, "suffix" : "" }, { "dropping-particle" : "", "family" : "Gavilan", "given" : "Francisco", "non-dropping-particle" : "", "parse-names" : false, "suffix" : "" }, { "dropping-particle" : "", "family" : "Gomez", "given" : "Lourdes", "non-dropping-particle" : "", "parse-names" : false, "suffix" : "" }, { "dropping-particle" : "", "family" : "Alvarez-Marquez", "given" : "Antonia", "non-dropping-particle" : "", "parse-names" : false, "suffix" : "" }, { "dropping-particle" : "", "family" : "Nunez-Roldan", "given" : "Antonio", "non-dropping-particle" : "", "parse-names" : false, "suffix" : "" } ], "container-title" : "Liver transplantation : official publication of the American Association for the  Study of Liver Diseases and the International Liver Transplantation Society", "id" : "ITEM-1", "issue" : "7", "issued" : { "date-parts" : [ [ "2011", "7" ] ] }, "language" : "eng", "page" : "779-788", "publisher-place" : "United States", "title" : "Complement component 4d immunostaining in liver allografts of patients with de novo immune hepatitis.", "type" : "article-journal", "volume" : "17" }, "uris" : [ "http://www.mendeley.com/documents/?uuid=61494990-0560-455c-b150-29a8d9976d9a" ] } ], "mendeley" : { "formattedCitation" : "&lt;sup&gt;[76]&lt;/sup&gt;", "plainTextFormattedCitation" : "[76]", "previouslyFormattedCitation" : "&lt;sup&gt;[76]&lt;/sup&gt;" }, "properties" : { "noteIndex" : 0 }, "schema" : "https://github.com/citation-style-language/schema/raw/master/csl-citation.json" }</w:instrText>
      </w:r>
      <w:r w:rsidR="001D26D7" w:rsidRPr="00783FEF">
        <w:rPr>
          <w:rFonts w:ascii="Book Antiqua" w:hAnsi="Book Antiqua" w:cs="AdvGulliv-R"/>
          <w:color w:val="000000"/>
          <w:vertAlign w:val="superscript"/>
          <w:lang w:eastAsia="it-IT"/>
        </w:rPr>
        <w:fldChar w:fldCharType="separate"/>
      </w:r>
      <w:r w:rsidR="007373AE" w:rsidRPr="00783FEF">
        <w:rPr>
          <w:rFonts w:ascii="Book Antiqua" w:hAnsi="Book Antiqua" w:cs="AdvGulliv-R"/>
          <w:noProof/>
          <w:color w:val="000000"/>
          <w:vertAlign w:val="superscript"/>
          <w:lang w:eastAsia="it-IT"/>
        </w:rPr>
        <w:t>[77</w:t>
      </w:r>
      <w:r w:rsidR="00B8382C" w:rsidRPr="00783FEF">
        <w:rPr>
          <w:rFonts w:ascii="Book Antiqua" w:hAnsi="Book Antiqua" w:cs="AdvGulliv-R"/>
          <w:noProof/>
          <w:color w:val="000000"/>
          <w:vertAlign w:val="superscript"/>
          <w:lang w:eastAsia="it-IT"/>
        </w:rPr>
        <w:t>]</w:t>
      </w:r>
      <w:r w:rsidR="001D26D7" w:rsidRPr="00783FEF">
        <w:rPr>
          <w:rFonts w:ascii="Book Antiqua" w:hAnsi="Book Antiqua" w:cs="AdvGulliv-R"/>
          <w:color w:val="000000"/>
          <w:vertAlign w:val="superscript"/>
          <w:lang w:eastAsia="it-IT"/>
        </w:rPr>
        <w:fldChar w:fldCharType="end"/>
      </w:r>
      <w:r w:rsidR="00A049A8" w:rsidRPr="00783FEF">
        <w:rPr>
          <w:rFonts w:ascii="Book Antiqua" w:hAnsi="Book Antiqua" w:cs="AdvGulliv-R"/>
          <w:color w:val="000000"/>
          <w:lang w:eastAsia="it-IT"/>
        </w:rPr>
        <w:t>. Finally, this question was further explored in successive studies that identified the influence of the type of immunosuppression on the definite clinical manifestations of GSTT1 genetic mismatch</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eastAsia="it-IT"/>
        </w:rPr>
        <w:instrText>ADDIN CSL_CITATION { "citationItems" : [ { "id" : "ITEM-1", "itemData" : { "DOI" : "10.1111/j.1399-0012.2010.01221.x", "ISBN" : "1399-0012 (Electronic)\\n0902-0063 (Linking)", "ISSN" : "09020063", "PMID" : "20236132", "abstract" : "In 2004, we defined the genetic mismatch in the glutathione S-transferase T1 (GSTT1) gene positive donor/null recipient as a risk factor to develop de novo immune hepatitis (IH) after liver transplant (LT), which is always associated with production of donor-specific anti-GSTT1 antibodies. However, there are several unresolved questions, such as why some of these patients produce antibodies, why others do not and why not all of the patients with antibodies develop the disease. The aim of this study was to evaluate the influence of several variables in the production of anti-GSTT1 antibodies and/or de novo IH. The study group included 35 liver-transplanted patients. The number of patients not producing antibodies was significantly higher in the group treated with Tac-based immunosuppression compared with the CsA-based group (94.1% vs. 5.9%, p = 0.001). Additionally, a protective effect of the Tac-based therapy vs. the CsA-based therapy was observed with regard to development of de novo IH (80.8% vs. 19.2%, p = 0.003). In conclusion, the choice of calcineurin inhibitor may influence the development of de novo IH mediated by anti-GSTT1 antibodies.", "author" : [ { "dropping-particle" : "", "family" : "Aguilera", "given" : "Isabel", "non-dropping-particle" : "", "parse-names" : false, "suffix" : "" }, { "dropping-particle" : "", "family" : "Sousa", "given" : "Jose M.", "non-dropping-particle" : "", "parse-names" : false, "suffix" : "" }, { "dropping-particle" : "", "family" : "Praena", "given" : "Juan M.", "non-dropping-particle" : "", "parse-names" : false, "suffix" : "" }, { "dropping-particle" : "", "family" : "G\u00f3mez-Bravo", "given" : "Miguel a.", "non-dropping-particle" : "", "parse-names" : false, "suffix" : "" }, { "dropping-particle" : "", "family" : "N\u00fa\u00f1ez-Roldan", "given" : "Antonio", "non-dropping-particle" : "", "parse-names" : false, "suffix" : "" } ], "container-title" : "Clinical Transplantation", "id" : "ITEM-1", "issue" : "2", "issued" : { "date-parts" : [ [ "2011" ] ] }, "page" : "207-212", "title" : "Choice of calcineurin inhibitor may influence the development of de novo immune hepatitis associated with anti-GSTT1 antibodies after liver transplantation", "type" : "article-journal", "volume" : "25" }, "uris" : [ "http://www.mendeley.com/documents/?uuid=b2f8436d-c2e7-4615-bd6b-f78e02c15d4a" ] } ], "mendeley" : { "formattedCitation" : "&lt;sup&gt;[77]&lt;/sup&gt;", "plainTextFormattedCitation" : "[77]", "previouslyFormattedCitation" : "&lt;sup&gt;[77]&lt;/sup&gt;"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373AE" w:rsidRPr="00783FEF">
        <w:rPr>
          <w:rFonts w:ascii="Book Antiqua" w:hAnsi="Book Antiqua" w:cs="AdvGulliv-R"/>
          <w:noProof/>
          <w:color w:val="000000"/>
          <w:vertAlign w:val="superscript"/>
          <w:lang w:eastAsia="it-IT"/>
        </w:rPr>
        <w:t>[78</w:t>
      </w:r>
      <w:r w:rsidR="00B8382C" w:rsidRPr="00783FEF">
        <w:rPr>
          <w:rFonts w:ascii="Book Antiqua" w:hAnsi="Book Antiqua" w:cs="AdvGulliv-R"/>
          <w:noProof/>
          <w:color w:val="000000"/>
          <w:vertAlign w:val="superscript"/>
          <w:lang w:eastAsia="it-IT"/>
        </w:rPr>
        <w:t>]</w:t>
      </w:r>
      <w:r w:rsidR="001D26D7" w:rsidRPr="00783FEF">
        <w:rPr>
          <w:rFonts w:ascii="Book Antiqua" w:hAnsi="Book Antiqua" w:cs="AdvGulliv-R"/>
          <w:color w:val="000000"/>
          <w:lang w:eastAsia="it-IT"/>
        </w:rPr>
        <w:fldChar w:fldCharType="end"/>
      </w:r>
      <w:r w:rsidR="00A049A8" w:rsidRPr="00783FEF">
        <w:rPr>
          <w:rFonts w:ascii="Book Antiqua" w:hAnsi="Book Antiqua" w:cs="AdvGulliv-R"/>
          <w:color w:val="000000"/>
          <w:lang w:eastAsia="it-IT"/>
        </w:rPr>
        <w:t xml:space="preserve">. In the latter data, among 35 LT recipients a significantly greater proportion of those who did not produce </w:t>
      </w:r>
      <w:r w:rsidR="00A049A8" w:rsidRPr="00783FEF">
        <w:rPr>
          <w:rFonts w:ascii="Book Antiqua" w:hAnsi="Book Antiqua" w:cs="AdvGulliv-R"/>
          <w:color w:val="000000"/>
          <w:lang w:eastAsia="it-IT"/>
        </w:rPr>
        <w:lastRenderedPageBreak/>
        <w:t xml:space="preserve">anti-GSTT1 antibodies and did not manifest </w:t>
      </w:r>
      <w:r w:rsidR="00A049A8" w:rsidRPr="00783FEF">
        <w:rPr>
          <w:rFonts w:ascii="Book Antiqua" w:hAnsi="Book Antiqua" w:cs="AdvGulliv-R"/>
          <w:i/>
          <w:color w:val="000000"/>
          <w:lang w:eastAsia="it-IT"/>
        </w:rPr>
        <w:t>de novo</w:t>
      </w:r>
      <w:r w:rsidR="00A049A8" w:rsidRPr="00783FEF">
        <w:rPr>
          <w:rFonts w:ascii="Book Antiqua" w:hAnsi="Book Antiqua" w:cs="AdvGulliv-R"/>
          <w:color w:val="000000"/>
          <w:lang w:eastAsia="it-IT"/>
        </w:rPr>
        <w:t xml:space="preserve"> AIH was observed among the patients who received tacrolimus (±</w:t>
      </w:r>
      <w:r w:rsidR="00B97901">
        <w:rPr>
          <w:rFonts w:ascii="Book Antiqua" w:hAnsi="Book Antiqua" w:cs="AdvGulliv-R" w:hint="eastAsia"/>
          <w:color w:val="000000"/>
          <w:lang w:eastAsia="zh-CN"/>
        </w:rPr>
        <w:t xml:space="preserve"> </w:t>
      </w:r>
      <w:r w:rsidR="00A049A8" w:rsidRPr="00783FEF">
        <w:rPr>
          <w:rFonts w:ascii="Book Antiqua" w:hAnsi="Book Antiqua" w:cs="AdvGulliv-R"/>
          <w:color w:val="000000"/>
          <w:lang w:eastAsia="it-IT"/>
        </w:rPr>
        <w:t>MMF) than among those who received cyclosporine</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eastAsia="it-IT"/>
        </w:rPr>
        <w:instrText>ADDIN CSL_CITATION { "citationItems" : [ { "id" : "ITEM-1", "itemData" : { "DOI" : "10.1111/j.1399-0012.2010.01221.x", "ISBN" : "1399-0012 (Electronic)\\n0902-0063 (Linking)", "ISSN" : "09020063", "PMID" : "20236132", "abstract" : "In 2004, we defined the genetic mismatch in the glutathione S-transferase T1 (GSTT1) gene positive donor/null recipient as a risk factor to develop de novo immune hepatitis (IH) after liver transplant (LT), which is always associated with production of donor-specific anti-GSTT1 antibodies. However, there are several unresolved questions, such as why some of these patients produce antibodies, why others do not and why not all of the patients with antibodies develop the disease. The aim of this study was to evaluate the influence of several variables in the production of anti-GSTT1 antibodies and/or de novo IH. The study group included 35 liver-transplanted patients. The number of patients not producing antibodies was significantly higher in the group treated with Tac-based immunosuppression compared with the CsA-based group (94.1% vs. 5.9%, p = 0.001). Additionally, a protective effect of the Tac-based therapy vs. the CsA-based therapy was observed with regard to development of de novo IH (80.8% vs. 19.2%, p = 0.003). In conclusion, the choice of calcineurin inhibitor may influence the development of de novo IH mediated by anti-GSTT1 antibodies.", "author" : [ { "dropping-particle" : "", "family" : "Aguilera", "given" : "Isabel", "non-dropping-particle" : "", "parse-names" : false, "suffix" : "" }, { "dropping-particle" : "", "family" : "Sousa", "given" : "Jose M.", "non-dropping-particle" : "", "parse-names" : false, "suffix" : "" }, { "dropping-particle" : "", "family" : "Praena", "given" : "Juan M.", "non-dropping-particle" : "", "parse-names" : false, "suffix" : "" }, { "dropping-particle" : "", "family" : "G\u00f3mez-Bravo", "given" : "Miguel a.", "non-dropping-particle" : "", "parse-names" : false, "suffix" : "" }, { "dropping-particle" : "", "family" : "N\u00fa\u00f1ez-Roldan", "given" : "Antonio", "non-dropping-particle" : "", "parse-names" : false, "suffix" : "" } ], "container-title" : "Clinical Transplantation", "id" : "ITEM-1", "issue" : "2", "issued" : { "date-parts" : [ [ "2011" ] ] }, "page" : "207-212", "title" : "Choice of calcineurin inhibitor may influence the development of de novo immune hepatitis associated with anti-GSTT1 antibodies after liver transplantation", "type" : "article-journal", "volume" : "25" }, "uris" : [ "http://www.mendeley.com/documents/?uuid=b2f8436d-c2e7-4615-bd6b-f78e02c15d4a" ] } ], "mendeley" : { "formattedCitation" : "&lt;sup&gt;[77]&lt;/sup&gt;", "plainTextFormattedCitation" : "[77]", "previouslyFormattedCitation" : "&lt;sup&gt;[77]&lt;/sup&gt;"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373AE" w:rsidRPr="00783FEF">
        <w:rPr>
          <w:rFonts w:ascii="Book Antiqua" w:hAnsi="Book Antiqua" w:cs="AdvGulliv-R"/>
          <w:noProof/>
          <w:color w:val="000000"/>
          <w:vertAlign w:val="superscript"/>
          <w:lang w:eastAsia="it-IT"/>
        </w:rPr>
        <w:t>[78</w:t>
      </w:r>
      <w:r w:rsidR="00B8382C" w:rsidRPr="00783FEF">
        <w:rPr>
          <w:rFonts w:ascii="Book Antiqua" w:hAnsi="Book Antiqua" w:cs="AdvGulliv-R"/>
          <w:noProof/>
          <w:color w:val="000000"/>
          <w:vertAlign w:val="superscript"/>
          <w:lang w:eastAsia="it-IT"/>
        </w:rPr>
        <w:t>]</w:t>
      </w:r>
      <w:r w:rsidR="001D26D7" w:rsidRPr="00783FEF">
        <w:rPr>
          <w:rFonts w:ascii="Book Antiqua" w:hAnsi="Book Antiqua" w:cs="AdvGulliv-R"/>
          <w:color w:val="000000"/>
          <w:lang w:eastAsia="it-IT"/>
        </w:rPr>
        <w:fldChar w:fldCharType="end"/>
      </w:r>
      <w:r w:rsidR="00A049A8" w:rsidRPr="00783FEF">
        <w:rPr>
          <w:rFonts w:ascii="Book Antiqua" w:hAnsi="Book Antiqua" w:cs="AdvGulliv-R"/>
          <w:color w:val="000000"/>
          <w:lang w:eastAsia="it-IT"/>
        </w:rPr>
        <w:t xml:space="preserve">. In a study of a GSTT1-mismatch positive LT population, the male gender of the donor and non-alcohol related pre-LT disease were found to be predictive of </w:t>
      </w:r>
      <w:r w:rsidR="00A049A8" w:rsidRPr="00783FEF">
        <w:rPr>
          <w:rFonts w:ascii="Book Antiqua" w:hAnsi="Book Antiqua" w:cs="AdvGulliv-R"/>
          <w:i/>
          <w:color w:val="000000"/>
          <w:lang w:eastAsia="it-IT"/>
        </w:rPr>
        <w:t>de novo</w:t>
      </w:r>
      <w:r w:rsidR="00A049A8" w:rsidRPr="00783FEF">
        <w:rPr>
          <w:rFonts w:ascii="Book Antiqua" w:hAnsi="Book Antiqua" w:cs="AdvGulliv-R"/>
          <w:color w:val="000000"/>
          <w:lang w:eastAsia="it-IT"/>
        </w:rPr>
        <w:t xml:space="preserve"> AIH</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eastAsia="it-IT"/>
        </w:rPr>
        <w:instrText>ADDIN CSL_CITATION { "citationItems" : [ { "id" : "ITEM-1", "itemData" : { "DOI" : "10.1002/lt.21721", "ISSN" : "1527-6473 (Electronic)", "PMID" : "19399747", "abstract" : "De novo autoimmune hepatitis (de novo AIH) is a rare form of graft dysfunction that develops after liver transplantation (LT) in patients transplanted for conditions other than autoimmune disorders. Although characterized by biochemical, serological, and histological features of AIH, de novo AIH is sometimes associated with atypical serum autoantibodies, many of which are directed against glutathione S-transferase T1 (anti-GSTT1). GSTT1 donor/recipient genotype mismatch has been suggested as a necessary condition for the appearance of autoantibodies and de novo AIH. However, clinically evident disease is not observed in all patients with anti-GSTT1 antibodies. We examined the incidence of de novo AIH and its conditioning (risk) factors in patients with anti-GSTT1 antibodies. Anti-GSTT1 autoantibodies were detected in 29 of 419 [6.9%; 95% confidence interval (CI), 4.9-9.8] consecutive adult LT recipients with donor/recipient GSTT1 mismatch. Twenty of 27 assessable patients (74%) developed de novo AIH after a median follow-up of 26 months (95% CI, 19.2-32.8). The probability of de novo AIH was 11%, 44%, and 60% 12, 24, and 36 months after LT, respectively. No relationship emerged between de novo AIH and recipient gender, donor and recipient age, rejection episodes, immunosuppressive regime, allelic GSTT1 expression, human leukocyte antigen distribution, or cytomegalovirus infection. Multivariate analysis identified male donor [hazard ratio (HR), 3.3; 95% CI, 1.18-9.26; P = 0.018], nonalcoholic etiology (HR, 4.67; 95% CI, 1.64-13.3; P = 0.002), and high anti-GSTT1 titer (HR, 2.98; 95% CI, 1.04-8.57; P = 0.035) as independent predictors of de novo AIH. Most patients with anti-GSTT1 antibodies and donor/recipient GSTT1 mismatch developed clinically evident de novo AIH after LT. The risk of developing the disease was increased by male donor gender, nonalcoholic etiology of original liver disease, and a high anti-GSTT1 titer.", "author" : [ { "dropping-particle" : "", "family" : "Salcedo", "given" : "Magdalena", "non-dropping-particle" : "", "parse-names" : false, "suffix" : "" }, { "dropping-particle" : "", "family" : "Rodriguez-Mahou", "given" : "Margarita", "non-dropping-particle" : "", "parse-names" : false, "suffix" : "" }, { "dropping-particle" : "", "family" : "Rodriguez-Sainz", "given" : "Carmen", "non-dropping-particle" : "", "parse-names" : false, "suffix" : "" }, { "dropping-particle" : "", "family" : "Rincon", "given" : "Diego", "non-dropping-particle" : "", "parse-names" : false, "suffix" : "" }, { "dropping-particle" : "", "family" : "Alvarez", "given" : "Emilio", "non-dropping-particle" : "", "parse-names" : false, "suffix" : "" }, { "dropping-particle" : "", "family" : "Vicario", "given" : "Jose Luis", "non-dropping-particle" : "", "parse-names" : false, "suffix" : "" }, { "dropping-particle" : "", "family" : "Catalina", "given" : "Maria-Vega", "non-dropping-particle" : "", "parse-names" : false, "suffix" : "" }, { "dropping-particle" : "", "family" : "Matilla", "given" : "Ana", "non-dropping-particle" : "", "parse-names" : false, "suffix" : "" }, { "dropping-particle" : "", "family" : "Ripoll", "given" : "Cristina", "non-dropping-particle" : "", "parse-names" : false, "suffix" : "" }, { "dropping-particle" : "", "family" : "Clemente", "given" : "Gerardo", "non-dropping-particle" : "", "parse-names" : false, "suffix" : "" }, { "dropping-particle" : "", "family" : "Banares", "given" : "Rafael", "non-dropping-particle" : "", "parse-names" : false, "suffix" : "" } ], "container-title" : "Liver transplantation : official publication of the American Association for the  Study of Liver Diseases and the International Liver Transplantation Society", "id" : "ITEM-1", "issue" : "5", "issued" : { "date-parts" : [ [ "2009", "5" ] ] }, "language" : "eng", "page" : "530-539", "publisher-place" : "United States", "title" : "Risk factors for developing de novo autoimmune hepatitis associated with anti-glutathione S-transferase T1 antibodies after liver transplantation.", "type" : "article-journal", "volume" : "15" }, "uris" : [ "http://www.mendeley.com/documents/?uuid=42aef502-5b74-4e3f-baf9-03c6d253a74d" ] } ], "mendeley" : { "formattedCitation" : "&lt;sup&gt;[78]&lt;/sup&gt;", "plainTextFormattedCitation" : "[78]", "previouslyFormattedCitation" : "&lt;sup&gt;[78]&lt;/sup&gt;"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373AE" w:rsidRPr="00783FEF">
        <w:rPr>
          <w:rFonts w:ascii="Book Antiqua" w:hAnsi="Book Antiqua" w:cs="AdvGulliv-R"/>
          <w:noProof/>
          <w:color w:val="000000"/>
          <w:vertAlign w:val="superscript"/>
          <w:lang w:eastAsia="it-IT"/>
        </w:rPr>
        <w:t>[79</w:t>
      </w:r>
      <w:r w:rsidR="00B8382C" w:rsidRPr="00783FEF">
        <w:rPr>
          <w:rFonts w:ascii="Book Antiqua" w:hAnsi="Book Antiqua" w:cs="AdvGulliv-R"/>
          <w:noProof/>
          <w:color w:val="000000"/>
          <w:vertAlign w:val="superscript"/>
          <w:lang w:eastAsia="it-IT"/>
        </w:rPr>
        <w:t>]</w:t>
      </w:r>
      <w:r w:rsidR="001D26D7" w:rsidRPr="00783FEF">
        <w:rPr>
          <w:rFonts w:ascii="Book Antiqua" w:hAnsi="Book Antiqua" w:cs="AdvGulliv-R"/>
          <w:color w:val="000000"/>
          <w:lang w:eastAsia="it-IT"/>
        </w:rPr>
        <w:fldChar w:fldCharType="end"/>
      </w:r>
      <w:r w:rsidR="00A049A8" w:rsidRPr="00783FEF">
        <w:rPr>
          <w:rFonts w:ascii="Book Antiqua" w:hAnsi="Book Antiqua" w:cs="AdvGulliv-R"/>
          <w:color w:val="000000"/>
          <w:lang w:eastAsia="it-IT"/>
        </w:rPr>
        <w:t>.</w:t>
      </w:r>
    </w:p>
    <w:p w:rsidR="00A049A8" w:rsidRPr="00783FEF" w:rsidRDefault="00A049A8" w:rsidP="00B97901">
      <w:pPr>
        <w:autoSpaceDE w:val="0"/>
        <w:autoSpaceDN w:val="0"/>
        <w:adjustRightInd w:val="0"/>
        <w:spacing w:line="360" w:lineRule="auto"/>
        <w:ind w:firstLineChars="100" w:firstLine="240"/>
        <w:jc w:val="both"/>
        <w:rPr>
          <w:rFonts w:ascii="Book Antiqua" w:hAnsi="Book Antiqua" w:cs="AdvGulliv-R"/>
          <w:color w:val="000000"/>
          <w:lang w:eastAsia="it-IT"/>
        </w:rPr>
      </w:pPr>
      <w:r w:rsidRPr="00783FEF">
        <w:rPr>
          <w:rFonts w:ascii="Book Antiqua" w:hAnsi="Book Antiqua" w:cs="AdvGulliv-R"/>
          <w:color w:val="000000"/>
          <w:lang w:eastAsia="it-IT"/>
        </w:rPr>
        <w:t>In another study</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eastAsia="it-IT"/>
        </w:rPr>
        <w:instrText>ADDIN CSL_CITATION { "citationItems" : [ { "id" : "ITEM-1", "itemData" : { "DOI" : "10.1111/j.1600-6143.2006.01382.x", "ISSN" : "1600-6135", "PMID" : "16827861", "abstract" : "Mycophenolate mofetil (MMF) used in a triple-drug regimen has been shown to decrease acute rejection rates, compared to a double-drug regimen. The impact of MMF on late acute rejection (LAR) episodes has not been well described. To investigate the risk of LAR (rejection &gt; or = 6 months post-transplantation) data from the Scientific Registry of Transplant Recipients (SRTR) were used. We studied adult primary liver transplant recipients transplanted between June 1, 1995, and April 30, 2004, with hepatitis C virus (HCV) (n = 3356), hepatitis B virus (HBV) (n = 550) or a nonviral (n = 5740) primary cause of liver disease who were recorded as receiving continuous 3-(MMF + Tacro + steroids) versus 2-drug (Tacro + steroids) therapy for at least 6 months immediately post transplantation. Kaplan-Meier analysis showed significantly lower LAR rates 4 years post-transplant in 3- versus 2-drug HCV, HBV and nonviral disease patients. Multivariate regression confirmed 3- versus 2-drug therapy to be associated with a decreased risk of LAR. Late graft survival was significantly lower at 4 years post-transplant for patients with LAR 6-12 months post-transplantation versus patients with early rejection (78.0% vs. 87.0%, p &lt; 0.001) and no rejection (88.1%, p &lt; 0.001). Three-drug versus 2-drug therapy for a minimum of 6 months may offer a better treatment strategy to avoid the consequences and expense of LAR episodes.", "author" : [ { "dropping-particle" : "", "family" : "Wiesner", "given" : "R H", "non-dropping-particle" : "", "parse-names" : false, "suffix" : "" }, { "dropping-particle" : "", "family" : "Steffen", "given" : "B J", "non-dropping-particle" : "", "parse-names" : false, "suffix" : "" }, { "dropping-particle" : "", "family" : "David", "given" : "K M", "non-dropping-particle" : "", "parse-names" : false, "suffix" : "" }, { "dropping-particle" : "", "family" : "Chu", "given" : "a H", "non-dropping-particle" : "", "parse-names" : false, "suffix" : "" }, { "dropping-particle" : "", "family" : "Gordon", "given" : "R D", "non-dropping-particle" : "", "parse-names" : false, "suffix" : "" }, { "dropping-particle" : "", "family" : "Lake", "given" : "J R", "non-dropping-particle" : "", "parse-names" : false, "suffix" : "" } ], "container-title" : "American journal of transplantation : official journal of the American Society of Transplantation and the American Society of Transplant Surgeons", "id" : "ITEM-1", "issue" : "7", "issued" : { "date-parts" : [ [ "2006" ] ] }, "page" : "1609-1616", "title" : "Mycophenolate mofetil use is associated with decreased risk of late acute rejection in adult liver transplant recipients.", "type" : "article-journal", "volume" : "6" }, "uris" : [ "http://www.mendeley.com/documents/?uuid=90f92781-c511-405d-82a4-69d3d1bc5712" ] } ], "mendeley" : { "formattedCitation" : "&lt;sup&gt;[79]&lt;/sup&gt;", "plainTextFormattedCitation" : "[79]", "previouslyFormattedCitation" : "&lt;sup&gt;[79]&lt;/sup&gt;"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373AE" w:rsidRPr="00783FEF">
        <w:rPr>
          <w:rFonts w:ascii="Book Antiqua" w:hAnsi="Book Antiqua" w:cs="AdvGulliv-R"/>
          <w:noProof/>
          <w:color w:val="000000"/>
          <w:vertAlign w:val="superscript"/>
          <w:lang w:eastAsia="it-IT"/>
        </w:rPr>
        <w:t>[80</w:t>
      </w:r>
      <w:r w:rsidR="00B8382C" w:rsidRPr="00783FEF">
        <w:rPr>
          <w:rFonts w:ascii="Book Antiqua" w:hAnsi="Book Antiqua" w:cs="AdvGulliv-R"/>
          <w:noProof/>
          <w:color w:val="000000"/>
          <w:vertAlign w:val="superscript"/>
          <w:lang w:eastAsia="it-IT"/>
        </w:rPr>
        <w:t>]</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 xml:space="preserve"> an enhanced immunosuppressive regimen that included steroids in addition to tacrolimus and MMF, has been shown to be protective against late graft rejection. In turn, as reported in the abovementioned studies, the occurrence of rejection was implied to be a predisposing factor for the appearance of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AIH</w:t>
      </w:r>
      <w:r w:rsidR="001D26D7" w:rsidRPr="00783FEF">
        <w:rPr>
          <w:rFonts w:ascii="Book Antiqua" w:hAnsi="Book Antiqua" w:cs="AdvGulliv-R"/>
          <w:color w:val="000000"/>
          <w:lang w:eastAsia="it-IT"/>
        </w:rPr>
        <w:fldChar w:fldCharType="begin" w:fldLock="1"/>
      </w:r>
      <w:r w:rsidRPr="00783FEF">
        <w:rPr>
          <w:rFonts w:ascii="Book Antiqua" w:hAnsi="Book Antiqua" w:cs="AdvGulliv-R"/>
          <w:color w:val="000000"/>
          <w:lang w:eastAsia="it-IT"/>
        </w:rPr>
        <w:instrText>ADDIN CSL_CITATION { "citationItems" : [ { "id" : "ITEM-1", "itemData" : { "DOI" : "10.1111/j.1600-6143.2006.01717.x", "ISBN" : "1600-6135", "ISSN" : "16006135", "PMID" : "17391135", "abstract" : "Posttransplant de novo autoimmune hepatitis (d-AIH) is increasingly described as a long-term complication after pediatric liver transplantation (LT). d-AIH is characterized by graft dysfunction, the development of autoimmune antibodies and histologic evidence of hepatitis in liver transplant recipients without previous history of autoimmune liver disease. This study is a matched case-control, univariate analysis aimed at identifying risk factors for the development of d-AIH and evaluating response to treatment. From 1984 to 2003, 619 children received 788 LTs at a single center. Forty-one patients developed d-AIH and were matched with controls for year of LT, age at time of LT and diagnosis. The following variables were insignificant in the development of d-AIH: age, gender, race, initial diagnosis, ischemia time, graft type, Epstein-Barr virus and cytomegalovirus status, HLA typing and primary immunosuppression. Compared to controls, d-AIH patients were less likely to be on monotherapy immunosuppression or weaned off prednisone at the time of diagnosis. The d-AIH group relative to the controls had statistically significant greater numbers of rejection episodes. d-AIH was treated with prednisone and/or MMF in 39 of 41 patients and lead to significant improvements in liver function tests. Thirty-nine patients are alive at a mean of 4.0 years follow-up after diagnosis. Three have required retransplantation.", "author" : [ { "dropping-particle" : "", "family" : "Venick", "given" : "R. S.", "non-dropping-particle" : "", "parse-names" : false, "suffix" : "" }, { "dropping-particle" : "V.", "family" : "McDiarmid", "given" : "S.", "non-dropping-particle" : "", "parse-names" : false, "suffix" : "" }, { "dropping-particle" : "", "family" : "Farmer", "given" : "D. G.", "non-dropping-particle" : "", "parse-names" : false, "suffix" : "" }, { "dropping-particle" : "", "family" : "Gornbein", "given" : "J.", "non-dropping-particle" : "", "parse-names" : false, "suffix" : "" }, { "dropping-particle" : "", "family" : "Martin", "given" : "M. G.", "non-dropping-particle" : "", "parse-names" : false, "suffix" : "" }, { "dropping-particle" : "", "family" : "Vargas", "given" : "J. H.", "non-dropping-particle" : "", "parse-names" : false, "suffix" : "" }, { "dropping-particle" : "", "family" : "Ament", "given" : "M. E.", "non-dropping-particle" : "", "parse-names" : false, "suffix" : "" }, { "dropping-particle" : "", "family" : "Busuttil", "given" : "R. W.", "non-dropping-particle" : "", "parse-names" : false, "suffix" : "" } ], "container-title" : "American Journal of Transplantation", "id" : "ITEM-1", "issue" : "4", "issued" : { "date-parts" : [ [ "2007" ] ] }, "page" : "955-963", "title" : "Rejection and steroid dependence: Unique risk factors in the development of pediatric posttransplant de novo autoimmune hepatitis", "type" : "article-journal", "volume" : "7" }, "uris" : [ "http://www.mendeley.com/documents/?uuid=7d399a00-b1ec-4b07-8b5a-44c3f7a678a4" ] } ], "mendeley" : { "formattedCitation" : "&lt;sup&gt;[17]&lt;/sup&gt;", "plainTextFormattedCitation" : "[17]", "previouslyFormattedCitation" : "&lt;sup&gt;[17]&lt;/sup&gt;"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Pr="00783FEF">
        <w:rPr>
          <w:rFonts w:ascii="Book Antiqua" w:hAnsi="Book Antiqua" w:cs="AdvGulliv-R"/>
          <w:noProof/>
          <w:color w:val="000000"/>
          <w:vertAlign w:val="superscript"/>
          <w:lang w:eastAsia="it-IT"/>
        </w:rPr>
        <w:t>[17]</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 xml:space="preserve">. Indeed, a study of a large series of adult LT recipients with features compatible with acute rejection observed that more than half of the patients were effectively diagnosed with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AIH</w:t>
      </w:r>
      <w:r w:rsidR="001D26D7" w:rsidRPr="00783FEF">
        <w:rPr>
          <w:rFonts w:ascii="Book Antiqua" w:hAnsi="Book Antiqua" w:cs="AdvGulliv-R"/>
          <w:color w:val="000000"/>
          <w:lang w:eastAsia="it-IT"/>
        </w:rPr>
        <w:fldChar w:fldCharType="begin" w:fldLock="1"/>
      </w:r>
      <w:r w:rsidRPr="00783FEF">
        <w:rPr>
          <w:rFonts w:ascii="Book Antiqua" w:hAnsi="Book Antiqua" w:cs="AdvGulliv-R"/>
          <w:color w:val="000000"/>
          <w:lang w:eastAsia="it-IT"/>
        </w:rPr>
        <w:instrText>ADDIN CSL_CITATION { "citationItems" : [ { "id" : "ITEM-1", "itemData" : { "DOI" : "10.1002/lt.21447", "ISSN" : "1527-6473", "PMID" : "18508382", "abstract" : "De novo autoimmune hepatitis has been described in both pediatric and adult liver transplantation (LT) recipients. Studies of small numbers of patients have proposed it to be an alloimmune hepatitis or form of chronic rejection. We have recently noted an increasing number of patients with post-LT recurrent hepatitis C virus (HCV) developing this, with an apparent negative impact on outcome and survival. We term this entity posttransplant plasma cell hepatitis (PCH). A search of our institution's pathology database was performed with the terms \"plasma cell(s),\" \"lymphoplasmacytic infiltrate,\" and \"liver allograft.\" A histological scoring system was devised to more reliably diagnose PCH in the setting of recurrent HCV. Thirty-eight patients were identified, and their clinical data were analyzed. Sixty percent had a negative outcome as defined by the development of cirrhosis, need for retransplantation, or death. Eighty-two percent had recent lowering of immunosuppression or subtherapeutic calcineurin inhibitor levels; 58% developed PCH within 2 years post-LT. Histologic resolution of PCH was associated with good outcome (P &lt; 0.001). Patients not receiving treatment had a negative outcome (P = 0.007) as did patients receiving corticosteroids as therapy (P = 0.02). Persistence (P = 0.007) or recurrence of PCH was associated with negative outcome. In conclusion, PCH is a histologic variant of rejection. On liver biopsy, PCH can at times be difficult to diagnose, and the use of a standardized scoring system is recommended to differentiate it from other forms of allograft dysfunction. Treatment by optimization of immunosuppression without the use of corticosteroids appears effective. The development of PCH in the setting of recurrent HCV is a negative prognostic factor for patient outcome and allograft failure.", "author" : [ { "dropping-particle" : "", "family" : "Fiel", "given" : "M Isabel", "non-dropping-particle" : "", "parse-names" : false, "suffix" : "" }, { "dropping-particle" : "", "family" : "Agarwal", "given" : "Kaushik", "non-dropping-particle" : "", "parse-names" : false, "suffix" : "" }, { "dropping-particle" : "", "family" : "Stanca", "given" : "Carmen", "non-dropping-particle" : "", "parse-names" : false, "suffix" : "" }, { "dropping-particle" : "", "family" : "Elhajj", "given" : "Nassim", "non-dropping-particle" : "", "parse-names" : false, "suffix" : "" }, { "dropping-particle" : "", "family" : "Kontorinis", "given" : "Nikolas", "non-dropping-particle" : "", "parse-names" : false, "suffix" : "" }, { "dropping-particle" : "", "family" : "Thung", "given" : "Swan N", "non-dropping-particle" : "", "parse-names" : false, "suffix" : "" }, { "dropping-particle" : "", "family" : "Schiano", "given" : "Thomas D", "non-dropping-particle" : "", "parse-names" : false, "suffix" : "" } ], "container-title" : "Liver transplantation : official publication of the American Association for the Study of Liver Diseases and the International Liver Transplantation Society", "id" : "ITEM-1", "issue" : "6", "issued" : { "date-parts" : [ [ "2008", "6", "1" ] ] }, "language" : "en", "page" : "861-71", "publisher" : "Wiley Subscription Services, Inc., A Wiley Company", "title" : "Posttransplant plasma cell hepatitis (de novo autoimmune hepatitis) is a variant of rejection and may lead to a negative outcome in patients with hepatitis C virus.", "type" : "article-journal", "volume" : "14" }, "uris" : [ "http://www.mendeley.com/documents/?uuid=4bcaf04a-c236-45e7-9e79-94978d828161" ] } ], "mendeley" : { "formattedCitation" : "&lt;sup&gt;[4]&lt;/sup&gt;", "plainTextFormattedCitation" : "[4]", "previouslyFormattedCitation" : "&lt;sup&gt;[4]&lt;/sup&gt;"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Pr="00783FEF">
        <w:rPr>
          <w:rFonts w:ascii="Book Antiqua" w:hAnsi="Book Antiqua" w:cs="AdvGulliv-R"/>
          <w:noProof/>
          <w:color w:val="000000"/>
          <w:vertAlign w:val="superscript"/>
          <w:lang w:eastAsia="it-IT"/>
        </w:rPr>
        <w:t>[4]</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w:t>
      </w:r>
    </w:p>
    <w:p w:rsidR="00A049A8" w:rsidRPr="00783FEF" w:rsidRDefault="00A049A8" w:rsidP="00B97901">
      <w:pPr>
        <w:autoSpaceDE w:val="0"/>
        <w:autoSpaceDN w:val="0"/>
        <w:adjustRightInd w:val="0"/>
        <w:spacing w:line="360" w:lineRule="auto"/>
        <w:ind w:firstLineChars="100" w:firstLine="240"/>
        <w:jc w:val="both"/>
        <w:rPr>
          <w:rFonts w:ascii="Book Antiqua" w:hAnsi="Book Antiqua" w:cs="AdvGulliv-R"/>
          <w:color w:val="000000"/>
          <w:lang w:eastAsia="zh-CN"/>
        </w:rPr>
      </w:pPr>
      <w:r w:rsidRPr="00783FEF">
        <w:rPr>
          <w:rFonts w:ascii="Book Antiqua" w:hAnsi="Book Antiqua" w:cs="AdvGulliv-R"/>
          <w:color w:val="000000"/>
          <w:lang w:eastAsia="it-IT"/>
        </w:rPr>
        <w:t xml:space="preserve">Finally, it is worth noting that in LT recipients for HCV-related end-stage liver disease, HCV </w:t>
      </w:r>
      <w:r w:rsidRPr="00783FEF">
        <w:rPr>
          <w:rFonts w:ascii="Book Antiqua" w:hAnsi="Book Antiqua" w:cs="AdvGulliv-R"/>
          <w:i/>
          <w:color w:val="000000"/>
          <w:lang w:eastAsia="it-IT"/>
        </w:rPr>
        <w:t>per se</w:t>
      </w:r>
      <w:r w:rsidRPr="00783FEF">
        <w:rPr>
          <w:rFonts w:ascii="Book Antiqua" w:hAnsi="Book Antiqua" w:cs="AdvGulliv-R"/>
          <w:color w:val="000000"/>
          <w:lang w:eastAsia="it-IT"/>
        </w:rPr>
        <w:t xml:space="preserve"> can be associated with serum autoimmunity profile positivity and the systemic manifestations of this condition</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eastAsia="it-IT"/>
        </w:rPr>
        <w:instrText>ADDIN CSL_CITATION { "citationItems" : [ { "id" : "ITEM-1", "itemData" : { "DOI" : "10.1034/j.1399-3062.2000.020403.x", "ISSN" : "13982273", "PMID" : "11429029", "abstract" : "The hepatitis C virus (HCV) is recognized as the leading cause for parenterally transmitted hepatitis. It is characterized by a high propensity to chronicity. Several efforts have been directed towards understanding the natural history of chronic HCV infection and the immunopathogenic pathways involved in mediating liver injury in the non-immunosuppressed and immunosuppressed states. In the non-immunosuppressed setting, liver damage seems to be largely immune mediated. In contrast, in the non-immunosuppressed state, there are several other factors that may modify the natural course of the infection and play a role in mediating liver injury. In this review we will address the natural history, virological and immunological aspects of HCV infection. Also, the role played by immunosuppression and organ transplantation in modifying the course of the infection and the pathogenesis of liver injury will be discussed.", "author" : [ { "dropping-particle" : "", "family" : "McCaughan", "given" : "G W", "non-dropping-particle" : "", "parse-names" : false, "suffix" : "" }, { "dropping-particle" : "", "family" : "Zekry", "given" : "a", "non-dropping-particle" : "", "parse-names" : false, "suffix" : "" } ], "container-title" : "Transplant infectious disease : an official journal of the Transplantation Society", "id" : "ITEM-1", "issue" : "4", "issued" : { "date-parts" : [ [ "2000" ] ] }, "page" : "166-185", "title" : "Effects of immunosuppression and organ transplantation on the natural history and immunopathogenesis of hepatitis C virus infection.", "type" : "article-journal", "volume" : "2" }, "uris" : [ "http://www.mendeley.com/documents/?uuid=0f1b5b96-8301-4fbd-ac92-dbb69b8d6a67" ] }, { "id" : "ITEM-2", "itemData" : { "DOI" : "10.1186/1479-5876-10-158", "ISBN" : "1479-5876 (Electronic)\\n1479-5876 (Linking)", "ISSN" : "1479-5876", "PMID" : "22863056", "abstract" : "ABSTRACT: The relationship between Hepatitis C Virus (HCV) infection and immunosuppression is complex and multifaceted. Although HCV-related hepatocytolysis is classically interpreted as secondary to the attack by cytotoxic T lymphocytes against infected cells, the liver disease is usually exacerbated and more rapidly evolutive in immunosuppressed patients. This generally occurs during the immunosuppression state, and not at the reconstitution of the host response after immunosuppressive therapy discontinuation. The field of immunosuppression and HCV infection is complicated both by the different outcome observed in different situations and/or by contrasting data obtained in the same conditions, with several still unanswered questions, such as the opportunity to modify treatment schedules in the setting of post-transplant follow-up. The complexity of this field is further complicated by the intrinsic tendency of HCV infection in itself to lead to disorders of the immune system. This review will briefly outline the current knowledge about the pathogenesis of both hepatic and extrahepatic HCV-related disorders and the principal available data concerning HCV infection in a condition of impairment of the immune system. Attention will be especially focused on some conditions - liver or kidney transplantation, the use of biologic drugs and cancer chemotherapy - for which more abundant and interesting data exist.", "author" : [ { "dropping-particle" : "", "family" : "Zignego", "given" : "Anna", "non-dropping-particle" : "", "parse-names" : false, "suffix" : "" }, { "dropping-particle" : "", "family" : "Giannini", "given" : "Carlo", "non-dropping-particle" : "", "parse-names" : false, "suffix" : "" }, { "dropping-particle" : "", "family" : "Gragnani", "given" : "Laura", "non-dropping-particle" : "", "parse-names" : false, "suffix" : "" }, { "dropping-particle" : "", "family" : "Piluso", "given" : "Alessia", "non-dropping-particle" : "", "parse-names" : false, "suffix" : "" }, { "dropping-particle" : "", "family" : "Fognani", "given" : "Elisa", "non-dropping-particle" : "", "parse-names" : false, "suffix" : "" } ], "container-title" : "Journal of Translational Medicine", "id" : "ITEM-2", "issue" : "1", "issued" : { "date-parts" : [ [ "2012" ] ] }, "page" : "158", "publisher" : "Journal of Translational Medicine", "title" : "Hepatitis C virus infection in the immunocompromised host: a complex scenario with variable clinical impact", "type" : "article-journal", "volume" : "10" }, "uris" : [ "http://www.mendeley.com/documents/?uuid=360802ab-9bd1-4954-9bf2-a922926d09da" ] } ], "mendeley" : { "formattedCitation" : "&lt;sup&gt;[80,81]&lt;/sup&gt;", "plainTextFormattedCitation" : "[80,81]", "previouslyFormattedCitation" : "&lt;sup&gt;[80,81]&lt;/sup&gt;"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373AE" w:rsidRPr="00783FEF">
        <w:rPr>
          <w:rFonts w:ascii="Book Antiqua" w:hAnsi="Book Antiqua" w:cs="AdvGulliv-R"/>
          <w:noProof/>
          <w:color w:val="000000"/>
          <w:vertAlign w:val="superscript"/>
          <w:lang w:eastAsia="it-IT"/>
        </w:rPr>
        <w:t>[81,82</w:t>
      </w:r>
      <w:r w:rsidR="00B8382C" w:rsidRPr="00783FEF">
        <w:rPr>
          <w:rFonts w:ascii="Book Antiqua" w:hAnsi="Book Antiqua" w:cs="AdvGulliv-R"/>
          <w:noProof/>
          <w:color w:val="000000"/>
          <w:vertAlign w:val="superscript"/>
          <w:lang w:eastAsia="it-IT"/>
        </w:rPr>
        <w:t>]</w:t>
      </w:r>
      <w:r w:rsidR="001D26D7" w:rsidRPr="00783FEF">
        <w:rPr>
          <w:rFonts w:ascii="Book Antiqua" w:hAnsi="Book Antiqua" w:cs="AdvGulliv-R"/>
          <w:color w:val="000000"/>
          <w:lang w:eastAsia="it-IT"/>
        </w:rPr>
        <w:fldChar w:fldCharType="end"/>
      </w:r>
      <w:r w:rsidRPr="00783FEF">
        <w:rPr>
          <w:rFonts w:ascii="Book Antiqua" w:hAnsi="Book Antiqua" w:cs="AdvGulliv-R"/>
          <w:color w:val="000000"/>
          <w:lang w:eastAsia="it-IT"/>
        </w:rPr>
        <w:t>. Indeed, HCV infection is thought to incite autoimmune injury in genetically predisposed subjects</w:t>
      </w:r>
      <w:r w:rsidR="001D26D7" w:rsidRPr="00783FEF">
        <w:rPr>
          <w:rFonts w:ascii="Book Antiqua" w:hAnsi="Book Antiqua" w:cs="AdvGulliv-R"/>
          <w:color w:val="000000"/>
          <w:lang w:eastAsia="it-IT"/>
        </w:rPr>
        <w:fldChar w:fldCharType="begin" w:fldLock="1"/>
      </w:r>
      <w:r w:rsidR="00260D13" w:rsidRPr="00783FEF">
        <w:rPr>
          <w:rFonts w:ascii="Book Antiqua" w:hAnsi="Book Antiqua" w:cs="AdvGulliv-R"/>
          <w:color w:val="000000"/>
          <w:lang w:eastAsia="it-IT"/>
        </w:rPr>
        <w:instrText>ADDIN CSL_CITATION { "citationItems" : [ { "id" : "ITEM-1", "itemData" : { "ISSN" : "1466-4879", "abstract" : "The host genetic basis of mixed cryoglobulin vasculitis is not well understood and has not been studied in large cohorts. A genome-wide association study was conducted among 356 hepatitis C virus (HCV) RNA-positive individuals with cryoglobulin-related vasculitis and 447 ethnically matched, HCV RNA-positive controls. All cases had both serum cryoglobulins and a vasculitis syndrome. A total of 899[thinsp]641 markers from the Illumina HumanOmni1-Quad chip were analyzed using logistic regression adjusted for sex, as well as genetically determined ancestry. Replication of select single-nucleotide polymorphisms (SNPs) was conducted using 91 cases and 180 controls, adjusting for sex and country of origin. The most significant associations were identified on chromosome 6 near the NOTCH4 and MHC class II genes. A genome-wide significant association was detected on chromosome 6 at SNP rs9461776 (odds ratio=2.16, P=1.16E-07) between HLA-DRB1 and DQA1: this association was further replicated in additional independent samples (meta-analysis P=7.1 [times] 10-9). A genome-wide significant association with cryoglobulin-related vasculitis was identified with SNPs near NOTCH4 and MHC Class II genes. The two regions are correlated and it is difficult to disentangle which gene is responsible for the association with mixed cryoglobulinemia vasculitis in this extended major histocompatibility complex region.", "author" : [ { "dropping-particle" : "", "family" : "Zignego", "given" : "A L", "non-dropping-particle" : "", "parse-names" : false, "suffix" : "" }, { "dropping-particle" : "", "family" : "Wojcik", "given" : "G L", "non-dropping-particle" : "", "parse-names" : false, "suffix" : "" }, { "dropping-particle" : "", "family" : "Cacoub", "given" : "P", "non-dropping-particle" : "", "parse-names" : false, "suffix" : "" }, { "dropping-particle" : "", "family" : "Visentini", "given" : "M", "non-dropping-particle" : "", "parse-names" : false, "suffix" : "" }, { "dropping-particle" : "", "family" : "Casato", "given" : "M", "non-dropping-particle" : "", "parse-names" : false, "suffix" : "" }, { "dropping-particle" : "", "family" : "Mangia", "given" : "A", "non-dropping-particle" : "", "parse-names" : false, "suffix" : "" }, { "dropping-particle" : "", "family" : "Latanich", "given" : "R", "non-dropping-particle" : "", "parse-names" : false, "suffix" : "" }, { "dropping-particle" : "", "family" : "Charles", "given" : "E D", "non-dropping-particle" : "", "parse-names" : false, "suffix" : "" }, { "dropping-particle" : "", "family" : "Gragnani", "given" : "L", "non-dropping-particle" : "", "parse-names" : false, "suffix" : "" }, { "dropping-particle" : "", "family" : "Terrier", "given" : "B", "non-dropping-particle" : "", "parse-names" : false, "suffix" : "" }, { "dropping-particle" : "", "family" : "Piazzola", "given" : "V", "non-dropping-particle" : "", "parse-names" : false, "suffix" : "" }, { "dropping-particle" : "", "family" : "Dustin", "given" : "L B", "non-dropping-particle" : "", "parse-names" : false, "suffix" : "" }, { "dropping-particle" : "", "family" : "Khakoo", "given" : "S I", "non-dropping-particle" : "", "parse-names" : false, "suffix" : "" }, { "dropping-particle" : "", "family" : "Busch", "given" : "M P", "non-dropping-particle" : "", "parse-names" : false, "suffix" : "" }, { "dropping-particle" : "", "family" : "Lauer", "given" : "G M", "non-dropping-particle" : "", "parse-names" : false, "suffix" : "" }, { "dropping-particle" : "", "family" : "Kim", "given" : "A Y", "non-dropping-particle" : "", "parse-names" : false, "suffix" : "" }, { "dropping-particle" : "", "family" : "Alric", "given" : "L", "non-dropping-particle" : "", "parse-names" : false, "suffix" : "" }, { "dropping-particle" : "", "family" : "Thomas", "given" : "D L", "non-dropping-particle" : "", "parse-names" : false, "suffix" : "" }, { "dropping-particle" : "", "family" : "Duggal", "given" : "P", "non-dropping-particle" : "", "parse-names" : false, "suffix" : "" } ], "container-title" : "Genes Immun", "id" : "ITEM-1", "issue" : "7", "issued" : { "date-parts" : [ [ "2014", "10" ] ] }, "note" : "Supplementary information available for this article at http://www.nature.com/gene/journal/v15/n7/suppinfo/gene201441s1.html", "page" : "500-505", "publisher" : "Macmillan Publishers Limited", "title" : "Genome-wide association study of hepatitis C virus- and cryoglobulin-related vasculitis", "type" : "article-journal", "volume" : "15" }, "uris" : [ "http://www.mendeley.com/documents/?uuid=c97466f3-92bd-4dc0-b6ca-4d5a9494cddf" ] } ], "mendeley" : { "formattedCitation" : "&lt;sup&gt;[82]&lt;/sup&gt;", "plainTextFormattedCitation" : "[82]", "previouslyFormattedCitation" : "&lt;sup&gt;[82]&lt;/sup&gt;" }, "properties" : { "noteIndex" : 0 }, "schema" : "https://github.com/citation-style-language/schema/raw/master/csl-citation.json" }</w:instrText>
      </w:r>
      <w:r w:rsidR="001D26D7" w:rsidRPr="00783FEF">
        <w:rPr>
          <w:rFonts w:ascii="Book Antiqua" w:hAnsi="Book Antiqua" w:cs="AdvGulliv-R"/>
          <w:color w:val="000000"/>
          <w:lang w:eastAsia="it-IT"/>
        </w:rPr>
        <w:fldChar w:fldCharType="separate"/>
      </w:r>
      <w:r w:rsidR="007373AE" w:rsidRPr="00783FEF">
        <w:rPr>
          <w:rFonts w:ascii="Book Antiqua" w:hAnsi="Book Antiqua" w:cs="AdvGulliv-R"/>
          <w:noProof/>
          <w:color w:val="000000"/>
          <w:vertAlign w:val="superscript"/>
          <w:lang w:eastAsia="it-IT"/>
        </w:rPr>
        <w:t>[83</w:t>
      </w:r>
      <w:r w:rsidR="00B8382C" w:rsidRPr="00783FEF">
        <w:rPr>
          <w:rFonts w:ascii="Book Antiqua" w:hAnsi="Book Antiqua" w:cs="AdvGulliv-R"/>
          <w:noProof/>
          <w:color w:val="000000"/>
          <w:vertAlign w:val="superscript"/>
          <w:lang w:eastAsia="it-IT"/>
        </w:rPr>
        <w:t>]</w:t>
      </w:r>
      <w:r w:rsidR="001D26D7" w:rsidRPr="00783FEF">
        <w:rPr>
          <w:rFonts w:ascii="Book Antiqua" w:hAnsi="Book Antiqua" w:cs="AdvGulliv-R"/>
          <w:color w:val="000000"/>
          <w:lang w:eastAsia="it-IT"/>
        </w:rPr>
        <w:fldChar w:fldCharType="end"/>
      </w:r>
      <w:r w:rsidR="00B97901">
        <w:rPr>
          <w:rFonts w:ascii="Book Antiqua" w:hAnsi="Book Antiqua" w:cs="AdvGulliv-R"/>
          <w:color w:val="000000"/>
          <w:lang w:eastAsia="it-IT"/>
        </w:rPr>
        <w:t>.</w:t>
      </w:r>
    </w:p>
    <w:p w:rsidR="00A049A8" w:rsidRPr="00783FEF" w:rsidRDefault="00A049A8" w:rsidP="00783FEF">
      <w:pPr>
        <w:spacing w:line="360" w:lineRule="auto"/>
        <w:jc w:val="both"/>
        <w:rPr>
          <w:rFonts w:ascii="Book Antiqua" w:hAnsi="Book Antiqua"/>
        </w:rPr>
      </w:pPr>
      <w:r w:rsidRPr="00783FEF">
        <w:rPr>
          <w:rFonts w:ascii="Book Antiqua" w:hAnsi="Book Antiqua"/>
        </w:rPr>
        <w:t xml:space="preserve">Corticosteroids remain the milestone of the treatment of </w:t>
      </w:r>
      <w:r w:rsidRPr="00783FEF">
        <w:rPr>
          <w:rFonts w:ascii="Book Antiqua" w:hAnsi="Book Antiqua"/>
          <w:i/>
        </w:rPr>
        <w:t>de novo</w:t>
      </w:r>
      <w:r w:rsidRPr="00783FEF">
        <w:rPr>
          <w:rFonts w:ascii="Book Antiqua" w:hAnsi="Book Antiqua"/>
        </w:rPr>
        <w:t xml:space="preserve"> AIH but should be accompanied by the optimization of calcineurin inhibitors posology</w:t>
      </w:r>
      <w:r w:rsidR="001D26D7" w:rsidRPr="00783FEF">
        <w:rPr>
          <w:rFonts w:ascii="Book Antiqua" w:hAnsi="Book Antiqua"/>
        </w:rPr>
        <w:fldChar w:fldCharType="begin" w:fldLock="1"/>
      </w:r>
      <w:r w:rsidR="00260D13" w:rsidRPr="00783FEF">
        <w:rPr>
          <w:rFonts w:ascii="Book Antiqua" w:hAnsi="Book Antiqua"/>
        </w:rPr>
        <w:instrText>ADDIN CSL_CITATION { "citationItems" : [ { "id" : "ITEM-1", "itemData" : { "DOI" : "10.1002/hep.23584", "ISSN" : "02709139", "PMID" : "20513004", "author" : [ { "dropping-particle" : "", "family" : "Manns", "given" : "Michael P.", "non-dropping-particle" : "", "parse-names" : false, "suffix" : "" }, { "dropping-particle" : "", "family" : "Czaja", "given" : "Albert J.", "non-dropping-particle" : "", "parse-names" : false, "suffix" : "" }, { "dropping-particle" : "", "family" : "Gorham", "given" : "James D.", "non-dropping-particle" : "", "parse-names" : false, "suffix" : "" }, { "dropping-particle" : "", "family" : "Krawitt", "given" : "Edward L.", "non-dropping-particle" : "", "parse-names" : false, "suffix" : "" }, { "dropping-particle" : "", "family" : "Mieli-Vergani", "given" : "Giorgina", "non-dropping-particle" : "", "parse-names" : false, "suffix" : "" }, { "dropping-particle" : "", "family" : "Vergani", "given" : "Diego", "non-dropping-particle" : "", "parse-names" : false, "suffix" : "" }, { "dropping-particle" : "", "family" : "Vierling", "given" : "John M.", "non-dropping-particle" : "", "parse-names" : false, "suffix" : "" } ], "container-title" : "Hepatology", "id" : "ITEM-1", "issue" : "6", "issued" : { "date-parts" : [ [ "2010" ] ] }, "page" : "2193-2213", "title" : "Diagnosis and management of autoimmune hepatitis", "type" : "article-journal", "volume" : "51" }, "uris" : [ "http://www.mendeley.com/documents/?uuid=5d46b713-98f6-443f-a6de-85e1283a7d29" ] } ], "mendeley" : { "formattedCitation" : "&lt;sup&gt;[83]&lt;/sup&gt;", "plainTextFormattedCitation" : "[83]", "previouslyFormattedCitation" : "&lt;sup&gt;[83]&lt;/sup&gt;" }, "properties" : { "noteIndex" : 0 }, "schema" : "https://github.com/citation-style-language/schema/raw/master/csl-citation.json" }</w:instrText>
      </w:r>
      <w:r w:rsidR="001D26D7" w:rsidRPr="00783FEF">
        <w:rPr>
          <w:rFonts w:ascii="Book Antiqua" w:hAnsi="Book Antiqua"/>
        </w:rPr>
        <w:fldChar w:fldCharType="separate"/>
      </w:r>
      <w:r w:rsidR="007373AE" w:rsidRPr="00783FEF">
        <w:rPr>
          <w:rFonts w:ascii="Book Antiqua" w:hAnsi="Book Antiqua"/>
          <w:noProof/>
          <w:vertAlign w:val="superscript"/>
        </w:rPr>
        <w:t>[84</w:t>
      </w:r>
      <w:r w:rsidR="00B8382C" w:rsidRPr="00783FEF">
        <w:rPr>
          <w:rFonts w:ascii="Book Antiqua" w:hAnsi="Book Antiqua"/>
          <w:noProof/>
          <w:vertAlign w:val="superscript"/>
        </w:rPr>
        <w:t>]</w:t>
      </w:r>
      <w:r w:rsidR="001D26D7" w:rsidRPr="00783FEF">
        <w:rPr>
          <w:rFonts w:ascii="Book Antiqua" w:hAnsi="Book Antiqua"/>
        </w:rPr>
        <w:fldChar w:fldCharType="end"/>
      </w:r>
      <w:r w:rsidRPr="00783FEF">
        <w:rPr>
          <w:rFonts w:ascii="Book Antiqua" w:hAnsi="Book Antiqua"/>
        </w:rPr>
        <w:t>. Azathioprine or MMF should be added, whereas calcineurin inhibitors and steroids do not provide prompt benefit</w:t>
      </w:r>
      <w:r w:rsidR="001D26D7" w:rsidRPr="00783FEF">
        <w:rPr>
          <w:rFonts w:ascii="Book Antiqua" w:hAnsi="Book Antiqua"/>
        </w:rPr>
        <w:fldChar w:fldCharType="begin" w:fldLock="1"/>
      </w:r>
      <w:r w:rsidR="00260D13" w:rsidRPr="00783FEF">
        <w:rPr>
          <w:rFonts w:ascii="Book Antiqua" w:hAnsi="Book Antiqua"/>
        </w:rPr>
        <w:instrText>ADDIN CSL_CITATION { "citationItems" : [ { "id" : "ITEM-1", "itemData" : { "DOI" : "10.1002/hep.23584", "ISSN" : "02709139", "PMID" : "20513004", "author" : [ { "dropping-particle" : "", "family" : "Manns", "given" : "Michael P.", "non-dropping-particle" : "", "parse-names" : false, "suffix" : "" }, { "dropping-particle" : "", "family" : "Czaja", "given" : "Albert J.", "non-dropping-particle" : "", "parse-names" : false, "suffix" : "" }, { "dropping-particle" : "", "family" : "Gorham", "given" : "James D.", "non-dropping-particle" : "", "parse-names" : false, "suffix" : "" }, { "dropping-particle" : "", "family" : "Krawitt", "given" : "Edward L.", "non-dropping-particle" : "", "parse-names" : false, "suffix" : "" }, { "dropping-particle" : "", "family" : "Mieli-Vergani", "given" : "Giorgina", "non-dropping-particle" : "", "parse-names" : false, "suffix" : "" }, { "dropping-particle" : "", "family" : "Vergani", "given" : "Diego", "non-dropping-particle" : "", "parse-names" : false, "suffix" : "" }, { "dropping-particle" : "", "family" : "Vierling", "given" : "John M.", "non-dropping-particle" : "", "parse-names" : false, "suffix" : "" } ], "container-title" : "Hepatology", "id" : "ITEM-1", "issue" : "6", "issued" : { "date-parts" : [ [ "2010" ] ] }, "page" : "2193-2213", "title" : "Diagnosis and management of autoimmune hepatitis", "type" : "article-journal", "volume" : "51" }, "uris" : [ "http://www.mendeley.com/documents/?uuid=5d46b713-98f6-443f-a6de-85e1283a7d29" ] } ], "mendeley" : { "formattedCitation" : "&lt;sup&gt;[83]&lt;/sup&gt;", "plainTextFormattedCitation" : "[83]", "previouslyFormattedCitation" : "&lt;sup&gt;[83]&lt;/sup&gt;" }, "properties" : { "noteIndex" : 0 }, "schema" : "https://github.com/citation-style-language/schema/raw/master/csl-citation.json" }</w:instrText>
      </w:r>
      <w:r w:rsidR="001D26D7" w:rsidRPr="00783FEF">
        <w:rPr>
          <w:rFonts w:ascii="Book Antiqua" w:hAnsi="Book Antiqua"/>
        </w:rPr>
        <w:fldChar w:fldCharType="separate"/>
      </w:r>
      <w:r w:rsidR="00507132" w:rsidRPr="00783FEF">
        <w:rPr>
          <w:rFonts w:ascii="Book Antiqua" w:hAnsi="Book Antiqua"/>
          <w:noProof/>
          <w:vertAlign w:val="superscript"/>
        </w:rPr>
        <w:t>[84</w:t>
      </w:r>
      <w:r w:rsidR="00B8382C" w:rsidRPr="00783FEF">
        <w:rPr>
          <w:rFonts w:ascii="Book Antiqua" w:hAnsi="Book Antiqua"/>
          <w:noProof/>
          <w:vertAlign w:val="superscript"/>
        </w:rPr>
        <w:t>]</w:t>
      </w:r>
      <w:r w:rsidR="001D26D7" w:rsidRPr="00783FEF">
        <w:rPr>
          <w:rFonts w:ascii="Book Antiqua" w:hAnsi="Book Antiqua"/>
        </w:rPr>
        <w:fldChar w:fldCharType="end"/>
      </w:r>
      <w:r w:rsidRPr="00783FEF">
        <w:rPr>
          <w:rFonts w:ascii="Book Antiqua" w:hAnsi="Book Antiqua"/>
        </w:rPr>
        <w:t>.</w:t>
      </w:r>
    </w:p>
    <w:p w:rsidR="00A049A8" w:rsidRPr="00783FEF" w:rsidRDefault="00A049A8" w:rsidP="00783FEF">
      <w:pPr>
        <w:spacing w:line="360" w:lineRule="auto"/>
        <w:jc w:val="both"/>
        <w:rPr>
          <w:rFonts w:ascii="Book Antiqua" w:hAnsi="Book Antiqua"/>
        </w:rPr>
      </w:pPr>
    </w:p>
    <w:p w:rsidR="00A049A8" w:rsidRPr="00783FEF" w:rsidRDefault="00A049A8" w:rsidP="00783FEF">
      <w:pPr>
        <w:spacing w:line="360" w:lineRule="auto"/>
        <w:jc w:val="both"/>
        <w:rPr>
          <w:rFonts w:ascii="Book Antiqua" w:hAnsi="Book Antiqua"/>
          <w:b/>
        </w:rPr>
      </w:pPr>
      <w:r w:rsidRPr="00783FEF">
        <w:rPr>
          <w:rFonts w:ascii="Book Antiqua" w:hAnsi="Book Antiqua"/>
          <w:b/>
        </w:rPr>
        <w:t>CONCLUSION</w:t>
      </w:r>
    </w:p>
    <w:p w:rsidR="00A049A8" w:rsidRPr="00783FEF" w:rsidRDefault="00A049A8" w:rsidP="00783FEF">
      <w:pPr>
        <w:autoSpaceDE w:val="0"/>
        <w:autoSpaceDN w:val="0"/>
        <w:adjustRightInd w:val="0"/>
        <w:spacing w:line="360" w:lineRule="auto"/>
        <w:jc w:val="both"/>
        <w:rPr>
          <w:rFonts w:ascii="Book Antiqua" w:hAnsi="Book Antiqua" w:cs="AdvGulliv-R"/>
          <w:color w:val="000000"/>
          <w:lang w:eastAsia="it-IT"/>
        </w:rPr>
      </w:pP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autoimmunity in LT populations is a complex clinico-pathological issue due to both the incomplete understanding of its pathogenesis and its challenging diagnostic interpretation. Fortunately, growing experience and sensitivity to this post-LT complication have been elicited by numerous reports in the literature, in-depth pathophysiological studies and the sharing of real-life experiences of therapeutic approaches. Steroids seem to be successful in most cases, but there is no universally </w:t>
      </w:r>
      <w:r w:rsidRPr="00783FEF">
        <w:rPr>
          <w:rFonts w:ascii="Book Antiqua" w:hAnsi="Book Antiqua" w:cs="AdvGulliv-R"/>
          <w:color w:val="000000"/>
          <w:lang w:eastAsia="it-IT"/>
        </w:rPr>
        <w:lastRenderedPageBreak/>
        <w:t>accepted therapeutic scheme, and the most adequate treatment needs to be tailored according to each patient’s clinical history and situation.</w:t>
      </w:r>
    </w:p>
    <w:p w:rsidR="00A049A8" w:rsidRPr="00783FEF" w:rsidRDefault="00A049A8" w:rsidP="00B97901">
      <w:pPr>
        <w:autoSpaceDE w:val="0"/>
        <w:autoSpaceDN w:val="0"/>
        <w:adjustRightInd w:val="0"/>
        <w:spacing w:line="360" w:lineRule="auto"/>
        <w:ind w:firstLineChars="100" w:firstLine="240"/>
        <w:jc w:val="both"/>
        <w:rPr>
          <w:rFonts w:ascii="Book Antiqua" w:hAnsi="Book Antiqua" w:cs="AdvGulliv-R"/>
          <w:color w:val="000000"/>
          <w:lang w:eastAsia="it-IT"/>
        </w:rPr>
      </w:pPr>
      <w:r w:rsidRPr="00783FEF">
        <w:rPr>
          <w:rFonts w:ascii="Book Antiqua" w:hAnsi="Book Antiqua" w:cs="AdvGulliv-R"/>
          <w:color w:val="000000"/>
          <w:lang w:eastAsia="it-IT"/>
        </w:rPr>
        <w:t xml:space="preserve">In the near future antiviral treatments for post-LT HCV recurrence will hopefully be </w:t>
      </w:r>
      <w:r w:rsidR="00361BE5" w:rsidRPr="00783FEF">
        <w:rPr>
          <w:rFonts w:ascii="Book Antiqua" w:hAnsi="Book Antiqua" w:cs="AdvGulliv-R"/>
          <w:color w:val="000000"/>
          <w:lang w:eastAsia="it-IT"/>
        </w:rPr>
        <w:t xml:space="preserve">fully </w:t>
      </w:r>
      <w:r w:rsidRPr="00783FEF">
        <w:rPr>
          <w:rFonts w:ascii="Book Antiqua" w:hAnsi="Book Antiqua" w:cs="AdvGulliv-R"/>
          <w:color w:val="000000"/>
          <w:lang w:eastAsia="it-IT"/>
        </w:rPr>
        <w:t>based on potent new direct-acting antiviral agents in all-oral</w:t>
      </w:r>
      <w:r w:rsidR="00361BE5" w:rsidRPr="00783FEF">
        <w:rPr>
          <w:rFonts w:ascii="Book Antiqua" w:hAnsi="Book Antiqua" w:cs="AdvGulliv-R"/>
          <w:color w:val="000000"/>
          <w:lang w:eastAsia="it-IT"/>
        </w:rPr>
        <w:t>,</w:t>
      </w:r>
      <w:r w:rsidRPr="00783FEF">
        <w:rPr>
          <w:rFonts w:ascii="Book Antiqua" w:hAnsi="Book Antiqua" w:cs="AdvGulliv-R"/>
          <w:color w:val="000000"/>
          <w:lang w:eastAsia="it-IT"/>
        </w:rPr>
        <w:t xml:space="preserve"> interferon-free regimens. However, </w:t>
      </w:r>
      <w:r w:rsidRPr="00783FEF">
        <w:rPr>
          <w:rFonts w:ascii="Book Antiqua" w:hAnsi="Book Antiqua" w:cs="AdvGulliv-R"/>
          <w:i/>
          <w:color w:val="000000"/>
          <w:lang w:eastAsia="it-IT"/>
        </w:rPr>
        <w:t>de novo</w:t>
      </w:r>
      <w:r w:rsidRPr="00783FEF">
        <w:rPr>
          <w:rFonts w:ascii="Book Antiqua" w:hAnsi="Book Antiqua" w:cs="AdvGulliv-R"/>
          <w:color w:val="000000"/>
          <w:lang w:eastAsia="it-IT"/>
        </w:rPr>
        <w:t xml:space="preserve"> AIH has been widely observed to develop in LT recipients with etiologies other than HCV. Th</w:t>
      </w:r>
      <w:r w:rsidR="00361BE5" w:rsidRPr="00783FEF">
        <w:rPr>
          <w:rFonts w:ascii="Book Antiqua" w:hAnsi="Book Antiqua" w:cs="AdvGulliv-R"/>
          <w:color w:val="000000"/>
          <w:lang w:eastAsia="it-IT"/>
        </w:rPr>
        <w:t>erefore</w:t>
      </w:r>
      <w:r w:rsidRPr="00783FEF">
        <w:rPr>
          <w:rFonts w:ascii="Book Antiqua" w:hAnsi="Book Antiqua" w:cs="AdvGulliv-R"/>
          <w:color w:val="000000"/>
          <w:lang w:eastAsia="it-IT"/>
        </w:rPr>
        <w:t>, given the complexity of the long-term follow-up of liver allografts, strict awareness is needed in this setting for the detection and correct interpretation of liver enzymes increase, particularly during but not limited to long-term post-LT follow-up.</w:t>
      </w:r>
    </w:p>
    <w:p w:rsidR="000F3B26" w:rsidRPr="00783FEF" w:rsidRDefault="000F3B26" w:rsidP="00783FEF">
      <w:pPr>
        <w:spacing w:line="360" w:lineRule="auto"/>
        <w:jc w:val="both"/>
        <w:rPr>
          <w:rFonts w:ascii="Book Antiqua" w:hAnsi="Book Antiqua"/>
          <w:b/>
        </w:rPr>
      </w:pPr>
      <w:r w:rsidRPr="00783FEF">
        <w:rPr>
          <w:rFonts w:ascii="Book Antiqua" w:hAnsi="Book Antiqua"/>
          <w:b/>
        </w:rPr>
        <w:br w:type="page"/>
      </w:r>
    </w:p>
    <w:p w:rsidR="003E04B6" w:rsidRPr="00783FEF" w:rsidRDefault="003E04B6" w:rsidP="00783FEF">
      <w:pPr>
        <w:spacing w:line="360" w:lineRule="auto"/>
        <w:jc w:val="both"/>
        <w:rPr>
          <w:rFonts w:ascii="Book Antiqua" w:hAnsi="Book Antiqua"/>
          <w:b/>
        </w:rPr>
      </w:pPr>
      <w:r w:rsidRPr="00783FEF">
        <w:rPr>
          <w:rFonts w:ascii="Book Antiqua" w:hAnsi="Book Antiqua"/>
          <w:b/>
        </w:rPr>
        <w:lastRenderedPageBreak/>
        <w:t>REFERENCES</w:t>
      </w:r>
    </w:p>
    <w:p w:rsidR="00B97901" w:rsidRPr="00146BCC" w:rsidRDefault="001D26D7" w:rsidP="00B97901">
      <w:pPr>
        <w:spacing w:line="360" w:lineRule="auto"/>
        <w:jc w:val="both"/>
        <w:rPr>
          <w:rFonts w:ascii="Book Antiqua" w:hAnsi="Book Antiqua" w:cs="SimSun"/>
        </w:rPr>
      </w:pPr>
      <w:r w:rsidRPr="00783FEF">
        <w:rPr>
          <w:rFonts w:ascii="Book Antiqua" w:hAnsi="Book Antiqua"/>
          <w:b/>
        </w:rPr>
        <w:fldChar w:fldCharType="begin" w:fldLock="1"/>
      </w:r>
      <w:r w:rsidR="003E04B6" w:rsidRPr="00783FEF">
        <w:rPr>
          <w:rFonts w:ascii="Book Antiqua" w:hAnsi="Book Antiqua"/>
          <w:b/>
        </w:rPr>
        <w:instrText xml:space="preserve">ADDIN Mendeley Bibliography CSL_BIBLIOGRAPHY </w:instrText>
      </w:r>
      <w:r w:rsidRPr="00783FEF">
        <w:rPr>
          <w:rFonts w:ascii="Book Antiqua" w:hAnsi="Book Antiqua"/>
          <w:b/>
        </w:rPr>
        <w:fldChar w:fldCharType="separate"/>
      </w:r>
      <w:r w:rsidR="00B97901" w:rsidRPr="00146BCC">
        <w:rPr>
          <w:rFonts w:ascii="Book Antiqua" w:hAnsi="Book Antiqua" w:cs="SimSun"/>
        </w:rPr>
        <w:t>1 </w:t>
      </w:r>
      <w:r w:rsidR="00B97901" w:rsidRPr="00146BCC">
        <w:rPr>
          <w:rFonts w:ascii="Book Antiqua" w:hAnsi="Book Antiqua" w:cs="SimSun"/>
          <w:b/>
          <w:bCs/>
        </w:rPr>
        <w:t>Hübscher SG</w:t>
      </w:r>
      <w:r w:rsidR="00B97901" w:rsidRPr="00146BCC">
        <w:rPr>
          <w:rFonts w:ascii="Book Antiqua" w:hAnsi="Book Antiqua" w:cs="SimSun"/>
        </w:rPr>
        <w:t>. What is the long-term outcome of the liver allograft? </w:t>
      </w:r>
      <w:r w:rsidR="00B97901" w:rsidRPr="00146BCC">
        <w:rPr>
          <w:rFonts w:ascii="Book Antiqua" w:hAnsi="Book Antiqua" w:cs="SimSun"/>
          <w:i/>
          <w:iCs/>
        </w:rPr>
        <w:t>J Hepatol</w:t>
      </w:r>
      <w:r w:rsidR="00B97901" w:rsidRPr="00146BCC">
        <w:rPr>
          <w:rFonts w:ascii="Book Antiqua" w:hAnsi="Book Antiqua" w:cs="SimSun"/>
        </w:rPr>
        <w:t> 2011; </w:t>
      </w:r>
      <w:r w:rsidR="00B97901" w:rsidRPr="00146BCC">
        <w:rPr>
          <w:rFonts w:ascii="Book Antiqua" w:hAnsi="Book Antiqua" w:cs="SimSun"/>
          <w:b/>
          <w:bCs/>
        </w:rPr>
        <w:t>55</w:t>
      </w:r>
      <w:r w:rsidR="00B97901" w:rsidRPr="00146BCC">
        <w:rPr>
          <w:rFonts w:ascii="Book Antiqua" w:hAnsi="Book Antiqua" w:cs="SimSun"/>
        </w:rPr>
        <w:t>: 702-717 [PMID: 21426919 DOI: 10.1016/j.jhep.2011.03.005]</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2 </w:t>
      </w:r>
      <w:r w:rsidRPr="00146BCC">
        <w:rPr>
          <w:rFonts w:ascii="Book Antiqua" w:hAnsi="Book Antiqua" w:cs="SimSun"/>
          <w:b/>
          <w:bCs/>
        </w:rPr>
        <w:t>Selzner N</w:t>
      </w:r>
      <w:r w:rsidRPr="00146BCC">
        <w:rPr>
          <w:rFonts w:ascii="Book Antiqua" w:hAnsi="Book Antiqua" w:cs="SimSun"/>
        </w:rPr>
        <w:t>, Guindi M, Renner EL, Berenguer M. Immune-mediated complications of the graft in interferon-treated hepatitis C positive liver transplant recipients. </w:t>
      </w:r>
      <w:r w:rsidRPr="00146BCC">
        <w:rPr>
          <w:rFonts w:ascii="Book Antiqua" w:hAnsi="Book Antiqua" w:cs="SimSun"/>
          <w:i/>
          <w:iCs/>
        </w:rPr>
        <w:t>J Hepatol</w:t>
      </w:r>
      <w:r w:rsidRPr="00146BCC">
        <w:rPr>
          <w:rFonts w:ascii="Book Antiqua" w:hAnsi="Book Antiqua" w:cs="SimSun"/>
        </w:rPr>
        <w:t> 2011; </w:t>
      </w:r>
      <w:r w:rsidRPr="00146BCC">
        <w:rPr>
          <w:rFonts w:ascii="Book Antiqua" w:hAnsi="Book Antiqua" w:cs="SimSun"/>
          <w:b/>
          <w:bCs/>
        </w:rPr>
        <w:t>55</w:t>
      </w:r>
      <w:r w:rsidRPr="00146BCC">
        <w:rPr>
          <w:rFonts w:ascii="Book Antiqua" w:hAnsi="Book Antiqua" w:cs="SimSun"/>
        </w:rPr>
        <w:t>: 207-217 [PMID: 21145865 DOI: 10.1016/j.jhep.2010.11.012]</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3 </w:t>
      </w:r>
      <w:r w:rsidRPr="00146BCC">
        <w:rPr>
          <w:rFonts w:ascii="Book Antiqua" w:hAnsi="Book Antiqua" w:cs="SimSun"/>
          <w:b/>
          <w:bCs/>
        </w:rPr>
        <w:t>Lucey MR</w:t>
      </w:r>
      <w:r w:rsidRPr="00146BCC">
        <w:rPr>
          <w:rFonts w:ascii="Book Antiqua" w:hAnsi="Book Antiqua" w:cs="SimSun"/>
        </w:rPr>
        <w:t>, Terrault N, Ojo L, Hay JE, Neuberger J, Blumberg E, Teperman LW. Long-term management of the successful adult liver transplant: 2012 practice guideline by the American Association for the Study of Liver Diseases and the American Society of Transplantation. </w:t>
      </w:r>
      <w:r w:rsidRPr="00146BCC">
        <w:rPr>
          <w:rFonts w:ascii="Book Antiqua" w:hAnsi="Book Antiqua" w:cs="SimSun"/>
          <w:i/>
          <w:iCs/>
        </w:rPr>
        <w:t>Liver Transpl</w:t>
      </w:r>
      <w:r w:rsidRPr="00146BCC">
        <w:rPr>
          <w:rFonts w:ascii="Book Antiqua" w:hAnsi="Book Antiqua" w:cs="SimSun"/>
        </w:rPr>
        <w:t> 2013; </w:t>
      </w:r>
      <w:r w:rsidRPr="00146BCC">
        <w:rPr>
          <w:rFonts w:ascii="Book Antiqua" w:hAnsi="Book Antiqua" w:cs="SimSun"/>
          <w:b/>
          <w:bCs/>
        </w:rPr>
        <w:t>19</w:t>
      </w:r>
      <w:r w:rsidRPr="00146BCC">
        <w:rPr>
          <w:rFonts w:ascii="Book Antiqua" w:hAnsi="Book Antiqua" w:cs="SimSun"/>
        </w:rPr>
        <w:t>: 3-26 [PMID: 23281277 DOI: 10.1002/lt.23566]</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4 </w:t>
      </w:r>
      <w:r w:rsidRPr="00146BCC">
        <w:rPr>
          <w:rFonts w:ascii="Book Antiqua" w:hAnsi="Book Antiqua" w:cs="SimSun"/>
          <w:b/>
          <w:bCs/>
        </w:rPr>
        <w:t>Fiel MI</w:t>
      </w:r>
      <w:r w:rsidRPr="00146BCC">
        <w:rPr>
          <w:rFonts w:ascii="Book Antiqua" w:hAnsi="Book Antiqua" w:cs="SimSun"/>
        </w:rPr>
        <w:t>, Agarwal K, Stanca C, Elhajj N, Kontorinis N, Thung SN, Schiano TD. Posttransplant plasma cell hepatitis (de novo autoimmune hepatitis) is a variant of rejection and may lead to a negative outcome in patients with hepatitis C virus. </w:t>
      </w:r>
      <w:r w:rsidRPr="00146BCC">
        <w:rPr>
          <w:rFonts w:ascii="Book Antiqua" w:hAnsi="Book Antiqua" w:cs="SimSun"/>
          <w:i/>
          <w:iCs/>
        </w:rPr>
        <w:t>Liver Transpl</w:t>
      </w:r>
      <w:r w:rsidRPr="00146BCC">
        <w:rPr>
          <w:rFonts w:ascii="Book Antiqua" w:hAnsi="Book Antiqua" w:cs="SimSun"/>
        </w:rPr>
        <w:t> 2008; </w:t>
      </w:r>
      <w:r w:rsidRPr="00146BCC">
        <w:rPr>
          <w:rFonts w:ascii="Book Antiqua" w:hAnsi="Book Antiqua" w:cs="SimSun"/>
          <w:b/>
          <w:bCs/>
        </w:rPr>
        <w:t>14</w:t>
      </w:r>
      <w:r w:rsidRPr="00146BCC">
        <w:rPr>
          <w:rFonts w:ascii="Book Antiqua" w:hAnsi="Book Antiqua" w:cs="SimSun"/>
        </w:rPr>
        <w:t>: 861-871 [PMID: 18508382 DOI: 10.1002/lt.21447]</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5 </w:t>
      </w:r>
      <w:r w:rsidRPr="00146BCC">
        <w:rPr>
          <w:rFonts w:ascii="Book Antiqua" w:hAnsi="Book Antiqua" w:cs="SimSun"/>
          <w:b/>
          <w:bCs/>
        </w:rPr>
        <w:t>Gautam M</w:t>
      </w:r>
      <w:r w:rsidRPr="00146BCC">
        <w:rPr>
          <w:rFonts w:ascii="Book Antiqua" w:hAnsi="Book Antiqua" w:cs="SimSun"/>
        </w:rPr>
        <w:t>, Cheruvattath R, Balan V. Recurrence of autoimmune liver disease after liver transplantation: a systematic review. </w:t>
      </w:r>
      <w:r w:rsidRPr="00146BCC">
        <w:rPr>
          <w:rFonts w:ascii="Book Antiqua" w:hAnsi="Book Antiqua" w:cs="SimSun"/>
          <w:i/>
          <w:iCs/>
        </w:rPr>
        <w:t>Liver Transpl</w:t>
      </w:r>
      <w:r w:rsidRPr="00146BCC">
        <w:rPr>
          <w:rFonts w:ascii="Book Antiqua" w:hAnsi="Book Antiqua" w:cs="SimSun"/>
        </w:rPr>
        <w:t> 2006; </w:t>
      </w:r>
      <w:r w:rsidRPr="00146BCC">
        <w:rPr>
          <w:rFonts w:ascii="Book Antiqua" w:hAnsi="Book Antiqua" w:cs="SimSun"/>
          <w:b/>
          <w:bCs/>
        </w:rPr>
        <w:t>12</w:t>
      </w:r>
      <w:r w:rsidRPr="00146BCC">
        <w:rPr>
          <w:rFonts w:ascii="Book Antiqua" w:hAnsi="Book Antiqua" w:cs="SimSun"/>
        </w:rPr>
        <w:t>: 1813-1824 [PMID: 17031826 DOI: 10.1002/lt.20910]</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6 </w:t>
      </w:r>
      <w:r w:rsidRPr="00146BCC">
        <w:rPr>
          <w:rFonts w:ascii="Book Antiqua" w:hAnsi="Book Antiqua" w:cs="SimSun"/>
          <w:b/>
          <w:bCs/>
        </w:rPr>
        <w:t>Mendes F</w:t>
      </w:r>
      <w:r w:rsidRPr="00146BCC">
        <w:rPr>
          <w:rFonts w:ascii="Book Antiqua" w:hAnsi="Book Antiqua" w:cs="SimSun"/>
        </w:rPr>
        <w:t>, Couto CA, Levy C. Recurrent and de novo autoimmune liver diseases. </w:t>
      </w:r>
      <w:r w:rsidRPr="00146BCC">
        <w:rPr>
          <w:rFonts w:ascii="Book Antiqua" w:hAnsi="Book Antiqua" w:cs="SimSun"/>
          <w:i/>
          <w:iCs/>
        </w:rPr>
        <w:t>Clin Liver Dis</w:t>
      </w:r>
      <w:r w:rsidRPr="00146BCC">
        <w:rPr>
          <w:rFonts w:ascii="Book Antiqua" w:hAnsi="Book Antiqua" w:cs="SimSun"/>
        </w:rPr>
        <w:t> 2011; </w:t>
      </w:r>
      <w:r w:rsidRPr="00146BCC">
        <w:rPr>
          <w:rFonts w:ascii="Book Antiqua" w:hAnsi="Book Antiqua" w:cs="SimSun"/>
          <w:b/>
          <w:bCs/>
        </w:rPr>
        <w:t>15</w:t>
      </w:r>
      <w:r w:rsidRPr="00146BCC">
        <w:rPr>
          <w:rFonts w:ascii="Book Antiqua" w:hAnsi="Book Antiqua" w:cs="SimSun"/>
        </w:rPr>
        <w:t>: 859-878 [PMID: 22032533 DOI: 10.1016/j.cld.2011.08.008]</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7 </w:t>
      </w:r>
      <w:r w:rsidRPr="00146BCC">
        <w:rPr>
          <w:rFonts w:ascii="Book Antiqua" w:hAnsi="Book Antiqua" w:cs="SimSun"/>
          <w:b/>
          <w:bCs/>
        </w:rPr>
        <w:t>Czaja AJ</w:t>
      </w:r>
      <w:r w:rsidRPr="00146BCC">
        <w:rPr>
          <w:rFonts w:ascii="Book Antiqua" w:hAnsi="Book Antiqua" w:cs="SimSun"/>
        </w:rPr>
        <w:t>. Diagnosis, pathogenesis, and treatment of autoimmune hepatitis after liver transplantation. </w:t>
      </w:r>
      <w:r w:rsidRPr="00146BCC">
        <w:rPr>
          <w:rFonts w:ascii="Book Antiqua" w:hAnsi="Book Antiqua" w:cs="SimSun"/>
          <w:i/>
          <w:iCs/>
        </w:rPr>
        <w:t>Dig Dis Sci</w:t>
      </w:r>
      <w:r w:rsidRPr="00146BCC">
        <w:rPr>
          <w:rFonts w:ascii="Book Antiqua" w:hAnsi="Book Antiqua" w:cs="SimSun"/>
        </w:rPr>
        <w:t> 2012; </w:t>
      </w:r>
      <w:r w:rsidRPr="00146BCC">
        <w:rPr>
          <w:rFonts w:ascii="Book Antiqua" w:hAnsi="Book Antiqua" w:cs="SimSun"/>
          <w:b/>
          <w:bCs/>
        </w:rPr>
        <w:t>57</w:t>
      </w:r>
      <w:r w:rsidRPr="00146BCC">
        <w:rPr>
          <w:rFonts w:ascii="Book Antiqua" w:hAnsi="Book Antiqua" w:cs="SimSun"/>
        </w:rPr>
        <w:t>: 2248-2266 [PMID: 22562533 DOI: 10.1007/s10620-012-2179-3]</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8 </w:t>
      </w:r>
      <w:r w:rsidRPr="00146BCC">
        <w:rPr>
          <w:rFonts w:ascii="Book Antiqua" w:hAnsi="Book Antiqua" w:cs="SimSun"/>
          <w:b/>
          <w:bCs/>
        </w:rPr>
        <w:t>Liberal R</w:t>
      </w:r>
      <w:r w:rsidRPr="00146BCC">
        <w:rPr>
          <w:rFonts w:ascii="Book Antiqua" w:hAnsi="Book Antiqua" w:cs="SimSun"/>
        </w:rPr>
        <w:t>, Longhi MS, Grant CR, Mieli-Vergani G, Vergani D. Autoimmune hepatitis after liver transplantation. </w:t>
      </w:r>
      <w:r w:rsidRPr="00146BCC">
        <w:rPr>
          <w:rFonts w:ascii="Book Antiqua" w:hAnsi="Book Antiqua" w:cs="SimSun"/>
          <w:i/>
          <w:iCs/>
        </w:rPr>
        <w:t>Clin Gastroenterol Hepatol</w:t>
      </w:r>
      <w:r w:rsidRPr="00146BCC">
        <w:rPr>
          <w:rFonts w:ascii="Book Antiqua" w:hAnsi="Book Antiqua" w:cs="SimSun"/>
        </w:rPr>
        <w:t> 2012; </w:t>
      </w:r>
      <w:r w:rsidRPr="00146BCC">
        <w:rPr>
          <w:rFonts w:ascii="Book Antiqua" w:hAnsi="Book Antiqua" w:cs="SimSun"/>
          <w:b/>
          <w:bCs/>
        </w:rPr>
        <w:t>10</w:t>
      </w:r>
      <w:r w:rsidRPr="00146BCC">
        <w:rPr>
          <w:rFonts w:ascii="Book Antiqua" w:hAnsi="Book Antiqua" w:cs="SimSun"/>
        </w:rPr>
        <w:t>: 346-353 [PMID: 22056300 DOI: 10.1016/j.cgh.2011.10.028]</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9 </w:t>
      </w:r>
      <w:r w:rsidRPr="00146BCC">
        <w:rPr>
          <w:rFonts w:ascii="Book Antiqua" w:hAnsi="Book Antiqua" w:cs="SimSun"/>
          <w:b/>
          <w:bCs/>
        </w:rPr>
        <w:t>Kerkar N</w:t>
      </w:r>
      <w:r w:rsidRPr="00146BCC">
        <w:rPr>
          <w:rFonts w:ascii="Book Antiqua" w:hAnsi="Book Antiqua" w:cs="SimSun"/>
        </w:rPr>
        <w:t>, Hadzi</w:t>
      </w:r>
      <w:r w:rsidRPr="00146BCC">
        <w:rPr>
          <w:rFonts w:ascii="Book Antiqua" w:eastAsia="MS Mincho" w:hAnsi="Book Antiqua" w:cs="MS Mincho"/>
        </w:rPr>
        <w:t>ć</w:t>
      </w:r>
      <w:r w:rsidRPr="00146BCC">
        <w:rPr>
          <w:rFonts w:ascii="Book Antiqua" w:hAnsi="Book Antiqua" w:cs="SimSun"/>
        </w:rPr>
        <w:t xml:space="preserve"> N, Davies ET, Portmann B, Donaldson PT, Rela M, Heaton ND, Vergani D, Mieli-Vergani G. De-novo autoimmune hepatitis after liver </w:t>
      </w:r>
      <w:r w:rsidRPr="00146BCC">
        <w:rPr>
          <w:rFonts w:ascii="Book Antiqua" w:hAnsi="Book Antiqua" w:cs="SimSun"/>
        </w:rPr>
        <w:lastRenderedPageBreak/>
        <w:t>transplantation. </w:t>
      </w:r>
      <w:r w:rsidRPr="00146BCC">
        <w:rPr>
          <w:rFonts w:ascii="Book Antiqua" w:hAnsi="Book Antiqua" w:cs="SimSun"/>
          <w:i/>
          <w:iCs/>
        </w:rPr>
        <w:t>Lancet</w:t>
      </w:r>
      <w:r w:rsidRPr="00146BCC">
        <w:rPr>
          <w:rFonts w:ascii="Book Antiqua" w:hAnsi="Book Antiqua" w:cs="SimSun"/>
        </w:rPr>
        <w:t> 1998; </w:t>
      </w:r>
      <w:r w:rsidRPr="00146BCC">
        <w:rPr>
          <w:rFonts w:ascii="Book Antiqua" w:hAnsi="Book Antiqua" w:cs="SimSun"/>
          <w:b/>
          <w:bCs/>
        </w:rPr>
        <w:t>351</w:t>
      </w:r>
      <w:r w:rsidRPr="00146BCC">
        <w:rPr>
          <w:rFonts w:ascii="Book Antiqua" w:hAnsi="Book Antiqua" w:cs="SimSun"/>
        </w:rPr>
        <w:t>: 409-413 [PMID: 9482295 DOI: 10.1016/S0140-6736(97)06478-7]</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10 </w:t>
      </w:r>
      <w:r w:rsidRPr="00146BCC">
        <w:rPr>
          <w:rFonts w:ascii="Book Antiqua" w:hAnsi="Book Antiqua" w:cs="SimSun"/>
          <w:b/>
          <w:bCs/>
        </w:rPr>
        <w:t>Khettry U</w:t>
      </w:r>
      <w:r w:rsidRPr="00146BCC">
        <w:rPr>
          <w:rFonts w:ascii="Book Antiqua" w:hAnsi="Book Antiqua" w:cs="SimSun"/>
        </w:rPr>
        <w:t>, Huang WY, Simpson MA, Pomfret EA, Pomposelli JJ, Lewis WD, Jenkins RL, Gordon FD. Patterns of recurrent hepatitis C after liver transplantation in a recent cohort of patients. </w:t>
      </w:r>
      <w:r w:rsidRPr="00146BCC">
        <w:rPr>
          <w:rFonts w:ascii="Book Antiqua" w:hAnsi="Book Antiqua" w:cs="SimSun"/>
          <w:i/>
          <w:iCs/>
        </w:rPr>
        <w:t>Hum Pathol</w:t>
      </w:r>
      <w:r w:rsidRPr="00146BCC">
        <w:rPr>
          <w:rFonts w:ascii="Book Antiqua" w:hAnsi="Book Antiqua" w:cs="SimSun"/>
        </w:rPr>
        <w:t> 2007; </w:t>
      </w:r>
      <w:r w:rsidRPr="00146BCC">
        <w:rPr>
          <w:rFonts w:ascii="Book Antiqua" w:hAnsi="Book Antiqua" w:cs="SimSun"/>
          <w:b/>
          <w:bCs/>
        </w:rPr>
        <w:t>38</w:t>
      </w:r>
      <w:r w:rsidRPr="00146BCC">
        <w:rPr>
          <w:rFonts w:ascii="Book Antiqua" w:hAnsi="Book Antiqua" w:cs="SimSun"/>
        </w:rPr>
        <w:t>: 443-452 [PMID: 17188331 DOI: 10.1016/j.humpath.2006.08.028]</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11 </w:t>
      </w:r>
      <w:r w:rsidRPr="00146BCC">
        <w:rPr>
          <w:rFonts w:ascii="Book Antiqua" w:hAnsi="Book Antiqua" w:cs="SimSun"/>
          <w:b/>
          <w:bCs/>
        </w:rPr>
        <w:t>Heneghan MA</w:t>
      </w:r>
      <w:r w:rsidRPr="00146BCC">
        <w:rPr>
          <w:rFonts w:ascii="Book Antiqua" w:hAnsi="Book Antiqua" w:cs="SimSun"/>
        </w:rPr>
        <w:t>, Portmann BC, Norris SM, Williams R, Muiesan P, Rela M, Heaton ND, O'Grady JG. Graft dysfunction mimicking autoimmune hepatitis following liver transplantation in adults. </w:t>
      </w:r>
      <w:r w:rsidRPr="00146BCC">
        <w:rPr>
          <w:rFonts w:ascii="Book Antiqua" w:hAnsi="Book Antiqua" w:cs="SimSun"/>
          <w:i/>
          <w:iCs/>
        </w:rPr>
        <w:t>Hepatology</w:t>
      </w:r>
      <w:r w:rsidRPr="00146BCC">
        <w:rPr>
          <w:rFonts w:ascii="Book Antiqua" w:hAnsi="Book Antiqua" w:cs="SimSun"/>
        </w:rPr>
        <w:t> 2001; </w:t>
      </w:r>
      <w:r w:rsidRPr="00146BCC">
        <w:rPr>
          <w:rFonts w:ascii="Book Antiqua" w:hAnsi="Book Antiqua" w:cs="SimSun"/>
          <w:b/>
          <w:bCs/>
        </w:rPr>
        <w:t>34</w:t>
      </w:r>
      <w:r w:rsidRPr="00146BCC">
        <w:rPr>
          <w:rFonts w:ascii="Book Antiqua" w:hAnsi="Book Antiqua" w:cs="SimSun"/>
        </w:rPr>
        <w:t>: 464-470 [PMID: 11526530 DOI: 10.1053/jhep.2001.26756]</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12 </w:t>
      </w:r>
      <w:r w:rsidRPr="00146BCC">
        <w:rPr>
          <w:rFonts w:ascii="Book Antiqua" w:hAnsi="Book Antiqua" w:cs="SimSun"/>
          <w:b/>
          <w:bCs/>
        </w:rPr>
        <w:t>Andries S</w:t>
      </w:r>
      <w:r w:rsidRPr="00146BCC">
        <w:rPr>
          <w:rFonts w:ascii="Book Antiqua" w:hAnsi="Book Antiqua" w:cs="SimSun"/>
        </w:rPr>
        <w:t>, Casamayou L, Sempoux C, Burlet M, Reding R, Bernard Otte J, Buts JP, Sokal E. Posttransplant immune hepatitis in pediatric liver transplant recipients: incidence and maintenance therapy with azathioprine. </w:t>
      </w:r>
      <w:r w:rsidRPr="00146BCC">
        <w:rPr>
          <w:rFonts w:ascii="Book Antiqua" w:hAnsi="Book Antiqua" w:cs="SimSun"/>
          <w:i/>
          <w:iCs/>
        </w:rPr>
        <w:t>Transplantation</w:t>
      </w:r>
      <w:r w:rsidRPr="00146BCC">
        <w:rPr>
          <w:rFonts w:ascii="Book Antiqua" w:hAnsi="Book Antiqua" w:cs="SimSun"/>
        </w:rPr>
        <w:t> 2001; </w:t>
      </w:r>
      <w:r w:rsidRPr="00146BCC">
        <w:rPr>
          <w:rFonts w:ascii="Book Antiqua" w:hAnsi="Book Antiqua" w:cs="SimSun"/>
          <w:b/>
          <w:bCs/>
        </w:rPr>
        <w:t>72</w:t>
      </w:r>
      <w:r w:rsidRPr="00146BCC">
        <w:rPr>
          <w:rFonts w:ascii="Book Antiqua" w:hAnsi="Book Antiqua" w:cs="SimSun"/>
        </w:rPr>
        <w:t>: 267-272 [PMID: 11477351]</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13 </w:t>
      </w:r>
      <w:r w:rsidRPr="00146BCC">
        <w:rPr>
          <w:rFonts w:ascii="Book Antiqua" w:hAnsi="Book Antiqua" w:cs="SimSun"/>
          <w:b/>
          <w:bCs/>
        </w:rPr>
        <w:t>Ward SC</w:t>
      </w:r>
      <w:r w:rsidRPr="00146BCC">
        <w:rPr>
          <w:rFonts w:ascii="Book Antiqua" w:hAnsi="Book Antiqua" w:cs="SimSun"/>
        </w:rPr>
        <w:t>, Schiano TD, Thung SN, Fiel MI. Plasma cell hepatitis in hepatitis C virus patients post-liver transplantation: case-control study showing poor outcome and predictive features in the liver explant. </w:t>
      </w:r>
      <w:r w:rsidRPr="00146BCC">
        <w:rPr>
          <w:rFonts w:ascii="Book Antiqua" w:hAnsi="Book Antiqua" w:cs="SimSun"/>
          <w:i/>
          <w:iCs/>
        </w:rPr>
        <w:t>Liver Transpl</w:t>
      </w:r>
      <w:r w:rsidRPr="00146BCC">
        <w:rPr>
          <w:rFonts w:ascii="Book Antiqua" w:hAnsi="Book Antiqua" w:cs="SimSun"/>
        </w:rPr>
        <w:t> 2009; </w:t>
      </w:r>
      <w:r w:rsidRPr="00146BCC">
        <w:rPr>
          <w:rFonts w:ascii="Book Antiqua" w:hAnsi="Book Antiqua" w:cs="SimSun"/>
          <w:b/>
          <w:bCs/>
        </w:rPr>
        <w:t>15</w:t>
      </w:r>
      <w:r w:rsidRPr="00146BCC">
        <w:rPr>
          <w:rFonts w:ascii="Book Antiqua" w:hAnsi="Book Antiqua" w:cs="SimSun"/>
        </w:rPr>
        <w:t>: 1826-1833 [PMID: 19938116 DOI: 10.1002/lt.21949]</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14 </w:t>
      </w:r>
      <w:r w:rsidRPr="00146BCC">
        <w:rPr>
          <w:rFonts w:ascii="Book Antiqua" w:hAnsi="Book Antiqua" w:cs="SimSun"/>
          <w:b/>
          <w:bCs/>
        </w:rPr>
        <w:t>Aguilera I</w:t>
      </w:r>
      <w:r w:rsidRPr="00146BCC">
        <w:rPr>
          <w:rFonts w:ascii="Book Antiqua" w:hAnsi="Book Antiqua" w:cs="SimSun"/>
        </w:rPr>
        <w:t>, Wichmann I, Sousa JM, Bernardos A, Franco E, García-Lozano JR, Núñez-Roldán A. Antibodies against glutathione S-transferase T1 (GSTT1) in patients with de novo immune hepatitis following liver transplantation. </w:t>
      </w:r>
      <w:r w:rsidRPr="00146BCC">
        <w:rPr>
          <w:rFonts w:ascii="Book Antiqua" w:hAnsi="Book Antiqua" w:cs="SimSun"/>
          <w:i/>
          <w:iCs/>
        </w:rPr>
        <w:t>Clin Exp Immunol</w:t>
      </w:r>
      <w:r w:rsidRPr="00146BCC">
        <w:rPr>
          <w:rFonts w:ascii="Book Antiqua" w:hAnsi="Book Antiqua" w:cs="SimSun"/>
        </w:rPr>
        <w:t> 2001; </w:t>
      </w:r>
      <w:r w:rsidRPr="00146BCC">
        <w:rPr>
          <w:rFonts w:ascii="Book Antiqua" w:hAnsi="Book Antiqua" w:cs="SimSun"/>
          <w:b/>
          <w:bCs/>
        </w:rPr>
        <w:t>126</w:t>
      </w:r>
      <w:r w:rsidRPr="00146BCC">
        <w:rPr>
          <w:rFonts w:ascii="Book Antiqua" w:hAnsi="Book Antiqua" w:cs="SimSun"/>
        </w:rPr>
        <w:t>: 535-539 [PMID: 11737073 DOI: 10.1046/j.1365-2249.2001.01682.x]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15 </w:t>
      </w:r>
      <w:r w:rsidRPr="00146BCC">
        <w:rPr>
          <w:rFonts w:ascii="Book Antiqua" w:hAnsi="Book Antiqua" w:cs="SimSun"/>
          <w:b/>
          <w:bCs/>
        </w:rPr>
        <w:t>Jones DE</w:t>
      </w:r>
      <w:r w:rsidRPr="00146BCC">
        <w:rPr>
          <w:rFonts w:ascii="Book Antiqua" w:hAnsi="Book Antiqua" w:cs="SimSun"/>
        </w:rPr>
        <w:t>, James OF, Portmann B, Burt AD, Williams R, Hudson M. Development of autoimmune hepatitis following liver transplantation for primary biliary cirrhosis. </w:t>
      </w:r>
      <w:r w:rsidRPr="00146BCC">
        <w:rPr>
          <w:rFonts w:ascii="Book Antiqua" w:hAnsi="Book Antiqua" w:cs="SimSun"/>
          <w:i/>
          <w:iCs/>
        </w:rPr>
        <w:t>Hepatology</w:t>
      </w:r>
      <w:r w:rsidRPr="00146BCC">
        <w:rPr>
          <w:rFonts w:ascii="Book Antiqua" w:hAnsi="Book Antiqua" w:cs="SimSun"/>
        </w:rPr>
        <w:t> 1999; </w:t>
      </w:r>
      <w:r w:rsidRPr="00146BCC">
        <w:rPr>
          <w:rFonts w:ascii="Book Antiqua" w:hAnsi="Book Antiqua" w:cs="SimSun"/>
          <w:b/>
          <w:bCs/>
        </w:rPr>
        <w:t>30</w:t>
      </w:r>
      <w:r w:rsidRPr="00146BCC">
        <w:rPr>
          <w:rFonts w:ascii="Book Antiqua" w:hAnsi="Book Antiqua" w:cs="SimSun"/>
        </w:rPr>
        <w:t>: 53-57 [PMID: 10385638 DOI: 10.1002/hep.510300103]</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16 </w:t>
      </w:r>
      <w:r w:rsidRPr="00146BCC">
        <w:rPr>
          <w:rFonts w:ascii="Book Antiqua" w:hAnsi="Book Antiqua" w:cs="SimSun"/>
          <w:b/>
          <w:bCs/>
        </w:rPr>
        <w:t>Kerkar N</w:t>
      </w:r>
      <w:r w:rsidRPr="00146BCC">
        <w:rPr>
          <w:rFonts w:ascii="Book Antiqua" w:hAnsi="Book Antiqua" w:cs="SimSun"/>
        </w:rPr>
        <w:t>, Dugan C, Rumbo C, Morotti RA, Gondolesi G, Shneider BL, Emre S. Rapamycin successfully treats post-transplant autoimmune hepatitis. </w:t>
      </w:r>
      <w:r w:rsidRPr="00146BCC">
        <w:rPr>
          <w:rFonts w:ascii="Book Antiqua" w:hAnsi="Book Antiqua" w:cs="SimSun"/>
          <w:i/>
          <w:iCs/>
        </w:rPr>
        <w:t>Am J Transplant</w:t>
      </w:r>
      <w:r w:rsidRPr="00146BCC">
        <w:rPr>
          <w:rFonts w:ascii="Book Antiqua" w:hAnsi="Book Antiqua" w:cs="SimSun"/>
        </w:rPr>
        <w:t> 2005; </w:t>
      </w:r>
      <w:r w:rsidRPr="00146BCC">
        <w:rPr>
          <w:rFonts w:ascii="Book Antiqua" w:hAnsi="Book Antiqua" w:cs="SimSun"/>
          <w:b/>
          <w:bCs/>
        </w:rPr>
        <w:t>5</w:t>
      </w:r>
      <w:r w:rsidRPr="00146BCC">
        <w:rPr>
          <w:rFonts w:ascii="Book Antiqua" w:hAnsi="Book Antiqua" w:cs="SimSun"/>
        </w:rPr>
        <w:t>: 1085-1089 [PMID: 15816890 DOI: 10.1111/j.1600-6143.2005.00801.x]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lastRenderedPageBreak/>
        <w:t>17 </w:t>
      </w:r>
      <w:r w:rsidRPr="00146BCC">
        <w:rPr>
          <w:rFonts w:ascii="Book Antiqua" w:hAnsi="Book Antiqua" w:cs="SimSun"/>
          <w:b/>
          <w:bCs/>
        </w:rPr>
        <w:t>Venick RS</w:t>
      </w:r>
      <w:r w:rsidRPr="00146BCC">
        <w:rPr>
          <w:rFonts w:ascii="Book Antiqua" w:hAnsi="Book Antiqua" w:cs="SimSun"/>
        </w:rPr>
        <w:t>, McDiarmid SV, Farmer DG, Gornbein J, Martin MG, Vargas JH, Ament ME, Busuttil RW. Rejection and steroid dependence: unique risk factors in the development of pediatric posttransplant de novo autoimmune hepatitis. </w:t>
      </w:r>
      <w:r w:rsidRPr="00146BCC">
        <w:rPr>
          <w:rFonts w:ascii="Book Antiqua" w:hAnsi="Book Antiqua" w:cs="SimSun"/>
          <w:i/>
          <w:iCs/>
        </w:rPr>
        <w:t>Am J Transplant</w:t>
      </w:r>
      <w:r w:rsidRPr="00146BCC">
        <w:rPr>
          <w:rFonts w:ascii="Book Antiqua" w:hAnsi="Book Antiqua" w:cs="SimSun"/>
        </w:rPr>
        <w:t> 2007; </w:t>
      </w:r>
      <w:r w:rsidRPr="00146BCC">
        <w:rPr>
          <w:rFonts w:ascii="Book Antiqua" w:hAnsi="Book Antiqua" w:cs="SimSun"/>
          <w:b/>
          <w:bCs/>
        </w:rPr>
        <w:t>7</w:t>
      </w:r>
      <w:r w:rsidRPr="00146BCC">
        <w:rPr>
          <w:rFonts w:ascii="Book Antiqua" w:hAnsi="Book Antiqua" w:cs="SimSun"/>
        </w:rPr>
        <w:t>: 955-963 [PMID: 17391135 DOI: 10.1111/j.1600-6143.2006.01717.x]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18 </w:t>
      </w:r>
      <w:r w:rsidRPr="00146BCC">
        <w:rPr>
          <w:rFonts w:ascii="Book Antiqua" w:hAnsi="Book Antiqua" w:cs="SimSun"/>
          <w:b/>
          <w:bCs/>
        </w:rPr>
        <w:t>Gupta P</w:t>
      </w:r>
      <w:r w:rsidRPr="00146BCC">
        <w:rPr>
          <w:rFonts w:ascii="Book Antiqua" w:hAnsi="Book Antiqua" w:cs="SimSun"/>
        </w:rPr>
        <w:t>, Hart J, Millis JM, Cronin D, Brady L. De novo hepatitis with autoimmune antibodies and atypical histology: a rare cause of late graft dysfunction after pediatric liver transplantation. </w:t>
      </w:r>
      <w:r w:rsidRPr="00146BCC">
        <w:rPr>
          <w:rFonts w:ascii="Book Antiqua" w:hAnsi="Book Antiqua" w:cs="SimSun"/>
          <w:i/>
          <w:iCs/>
        </w:rPr>
        <w:t>Transplantation</w:t>
      </w:r>
      <w:r w:rsidRPr="00146BCC">
        <w:rPr>
          <w:rFonts w:ascii="Book Antiqua" w:hAnsi="Book Antiqua" w:cs="SimSun"/>
        </w:rPr>
        <w:t> 2001; </w:t>
      </w:r>
      <w:r w:rsidRPr="00146BCC">
        <w:rPr>
          <w:rFonts w:ascii="Book Antiqua" w:hAnsi="Book Antiqua" w:cs="SimSun"/>
          <w:b/>
          <w:bCs/>
        </w:rPr>
        <w:t>71</w:t>
      </w:r>
      <w:r w:rsidRPr="00146BCC">
        <w:rPr>
          <w:rFonts w:ascii="Book Antiqua" w:hAnsi="Book Antiqua" w:cs="SimSun"/>
        </w:rPr>
        <w:t>: 664-668 [PMID: 11292299]</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19 </w:t>
      </w:r>
      <w:r w:rsidRPr="00146BCC">
        <w:rPr>
          <w:rFonts w:ascii="Book Antiqua" w:hAnsi="Book Antiqua" w:cs="SimSun"/>
          <w:b/>
          <w:bCs/>
        </w:rPr>
        <w:t>Hernandez HM</w:t>
      </w:r>
      <w:r w:rsidRPr="00146BCC">
        <w:rPr>
          <w:rFonts w:ascii="Book Antiqua" w:hAnsi="Book Antiqua" w:cs="SimSun"/>
        </w:rPr>
        <w:t>, Kovarik P, Whitington PF, Alonso EM. Autoimmune hepatitis as a late complication of liver transplantation. </w:t>
      </w:r>
      <w:r w:rsidRPr="00146BCC">
        <w:rPr>
          <w:rFonts w:ascii="Book Antiqua" w:hAnsi="Book Antiqua" w:cs="SimSun"/>
          <w:i/>
          <w:iCs/>
        </w:rPr>
        <w:t>J Pediatr Gastroenterol Nutr</w:t>
      </w:r>
      <w:r w:rsidRPr="00146BCC">
        <w:rPr>
          <w:rFonts w:ascii="Book Antiqua" w:hAnsi="Book Antiqua" w:cs="SimSun"/>
        </w:rPr>
        <w:t> 2001; </w:t>
      </w:r>
      <w:r w:rsidRPr="00146BCC">
        <w:rPr>
          <w:rFonts w:ascii="Book Antiqua" w:hAnsi="Book Antiqua" w:cs="SimSun"/>
          <w:b/>
          <w:bCs/>
        </w:rPr>
        <w:t>32</w:t>
      </w:r>
      <w:r w:rsidRPr="00146BCC">
        <w:rPr>
          <w:rFonts w:ascii="Book Antiqua" w:hAnsi="Book Antiqua" w:cs="SimSun"/>
        </w:rPr>
        <w:t>: 131-136 [PMID: 11321380]</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20 </w:t>
      </w:r>
      <w:r w:rsidRPr="00146BCC">
        <w:rPr>
          <w:rFonts w:ascii="Book Antiqua" w:hAnsi="Book Antiqua" w:cs="SimSun"/>
          <w:b/>
          <w:bCs/>
        </w:rPr>
        <w:t>Tamaro G</w:t>
      </w:r>
      <w:r w:rsidRPr="00146BCC">
        <w:rPr>
          <w:rFonts w:ascii="Book Antiqua" w:hAnsi="Book Antiqua" w:cs="SimSun"/>
        </w:rPr>
        <w:t>, Sonzogni A, Torre G. Monitoring "de novo" autoimmune hepatitis (LKM positive) by serum type-IV collagen after liver transplant: a paediatric case. </w:t>
      </w:r>
      <w:r w:rsidRPr="00146BCC">
        <w:rPr>
          <w:rFonts w:ascii="Book Antiqua" w:hAnsi="Book Antiqua" w:cs="SimSun"/>
          <w:i/>
          <w:iCs/>
        </w:rPr>
        <w:t>Clin Chim Acta</w:t>
      </w:r>
      <w:r w:rsidRPr="00146BCC">
        <w:rPr>
          <w:rFonts w:ascii="Book Antiqua" w:hAnsi="Book Antiqua" w:cs="SimSun"/>
        </w:rPr>
        <w:t> 2001; </w:t>
      </w:r>
      <w:r w:rsidRPr="00146BCC">
        <w:rPr>
          <w:rFonts w:ascii="Book Antiqua" w:hAnsi="Book Antiqua" w:cs="SimSun"/>
          <w:b/>
          <w:bCs/>
        </w:rPr>
        <w:t>310</w:t>
      </w:r>
      <w:r w:rsidRPr="00146BCC">
        <w:rPr>
          <w:rFonts w:ascii="Book Antiqua" w:hAnsi="Book Antiqua" w:cs="SimSun"/>
        </w:rPr>
        <w:t>: 25-29 [PMID: 11485751 DOI: 10.1016/S0009-8981(01)00509-5]</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21 </w:t>
      </w:r>
      <w:r w:rsidRPr="00146BCC">
        <w:rPr>
          <w:rFonts w:ascii="Book Antiqua" w:hAnsi="Book Antiqua" w:cs="SimSun"/>
          <w:b/>
          <w:bCs/>
        </w:rPr>
        <w:t>Gibelli NE</w:t>
      </w:r>
      <w:r w:rsidRPr="00146BCC">
        <w:rPr>
          <w:rFonts w:ascii="Book Antiqua" w:hAnsi="Book Antiqua" w:cs="SimSun"/>
        </w:rPr>
        <w:t>, Tannuri U, Mello ES, Cançado ER, Santos MM, Ayoub AA, Maksoud-Filho JG, Velhote MC, Silva MM, Pinho-Apezzato ML, Maksoud JG. Successful treatment of de novo autoimmune hepatitis and cirrhosis after pediatric liver transplantation. </w:t>
      </w:r>
      <w:r w:rsidRPr="00146BCC">
        <w:rPr>
          <w:rFonts w:ascii="Book Antiqua" w:hAnsi="Book Antiqua" w:cs="SimSun"/>
          <w:i/>
          <w:iCs/>
        </w:rPr>
        <w:t>Pediatr Transplant</w:t>
      </w:r>
      <w:r w:rsidRPr="00146BCC">
        <w:rPr>
          <w:rFonts w:ascii="Book Antiqua" w:hAnsi="Book Antiqua" w:cs="SimSun"/>
        </w:rPr>
        <w:t> 2006; </w:t>
      </w:r>
      <w:r w:rsidRPr="00146BCC">
        <w:rPr>
          <w:rFonts w:ascii="Book Antiqua" w:hAnsi="Book Antiqua" w:cs="SimSun"/>
          <w:b/>
          <w:bCs/>
        </w:rPr>
        <w:t>10</w:t>
      </w:r>
      <w:r w:rsidRPr="00146BCC">
        <w:rPr>
          <w:rFonts w:ascii="Book Antiqua" w:hAnsi="Book Antiqua" w:cs="SimSun"/>
        </w:rPr>
        <w:t>: 371-376 [PMID: 16677364 DOI: 10.1111/j.1399-3046.2005.00470.x]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22 </w:t>
      </w:r>
      <w:r w:rsidRPr="00146BCC">
        <w:rPr>
          <w:rFonts w:ascii="Book Antiqua" w:hAnsi="Book Antiqua" w:cs="SimSun"/>
          <w:b/>
          <w:bCs/>
        </w:rPr>
        <w:t>Evans HM</w:t>
      </w:r>
      <w:r w:rsidRPr="00146BCC">
        <w:rPr>
          <w:rFonts w:ascii="Book Antiqua" w:hAnsi="Book Antiqua" w:cs="SimSun"/>
        </w:rPr>
        <w:t>, Kelly DA, McKiernan PJ, Hübscher S. Progressive histological damage in liver allografts following pediatric liver transplantation. </w:t>
      </w:r>
      <w:r w:rsidRPr="00146BCC">
        <w:rPr>
          <w:rFonts w:ascii="Book Antiqua" w:hAnsi="Book Antiqua" w:cs="SimSun"/>
          <w:i/>
          <w:iCs/>
        </w:rPr>
        <w:t>Hepatology</w:t>
      </w:r>
      <w:r w:rsidRPr="00146BCC">
        <w:rPr>
          <w:rFonts w:ascii="Book Antiqua" w:hAnsi="Book Antiqua" w:cs="SimSun"/>
        </w:rPr>
        <w:t> 2006; </w:t>
      </w:r>
      <w:r w:rsidRPr="00146BCC">
        <w:rPr>
          <w:rFonts w:ascii="Book Antiqua" w:hAnsi="Book Antiqua" w:cs="SimSun"/>
          <w:b/>
          <w:bCs/>
        </w:rPr>
        <w:t>43</w:t>
      </w:r>
      <w:r w:rsidRPr="00146BCC">
        <w:rPr>
          <w:rFonts w:ascii="Book Antiqua" w:hAnsi="Book Antiqua" w:cs="SimSun"/>
        </w:rPr>
        <w:t>: 1109-1117 [PMID: 16628633 DOI: 10.1002/hep.21152]</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23 </w:t>
      </w:r>
      <w:r w:rsidRPr="00146BCC">
        <w:rPr>
          <w:rFonts w:ascii="Book Antiqua" w:hAnsi="Book Antiqua" w:cs="SimSun"/>
          <w:b/>
          <w:bCs/>
        </w:rPr>
        <w:t>Herzog D</w:t>
      </w:r>
      <w:r w:rsidRPr="00146BCC">
        <w:rPr>
          <w:rFonts w:ascii="Book Antiqua" w:hAnsi="Book Antiqua" w:cs="SimSun"/>
        </w:rPr>
        <w:t>, Soglio DB, Fournet JC, Martin S, Marleau D, Alvarez F. Interface hepatitis is associated with a high incidence of late graft fibrosis in a group of tightly monitored pediatric orthotopic liver transplantation patients. </w:t>
      </w:r>
      <w:r w:rsidRPr="00146BCC">
        <w:rPr>
          <w:rFonts w:ascii="Book Antiqua" w:hAnsi="Book Antiqua" w:cs="SimSun"/>
          <w:i/>
          <w:iCs/>
        </w:rPr>
        <w:t>Liver Transpl</w:t>
      </w:r>
      <w:r w:rsidRPr="00146BCC">
        <w:rPr>
          <w:rFonts w:ascii="Book Antiqua" w:hAnsi="Book Antiqua" w:cs="SimSun"/>
        </w:rPr>
        <w:t> 2008; </w:t>
      </w:r>
      <w:r w:rsidRPr="00146BCC">
        <w:rPr>
          <w:rFonts w:ascii="Book Antiqua" w:hAnsi="Book Antiqua" w:cs="SimSun"/>
          <w:b/>
          <w:bCs/>
        </w:rPr>
        <w:t>14</w:t>
      </w:r>
      <w:r w:rsidRPr="00146BCC">
        <w:rPr>
          <w:rFonts w:ascii="Book Antiqua" w:hAnsi="Book Antiqua" w:cs="SimSun"/>
        </w:rPr>
        <w:t>: 946-955 [PMID: 18581476 DOI: 10.1002/lt.21444]</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24 </w:t>
      </w:r>
      <w:r w:rsidRPr="00146BCC">
        <w:rPr>
          <w:rFonts w:ascii="Book Antiqua" w:hAnsi="Book Antiqua" w:cs="SimSun"/>
          <w:b/>
          <w:bCs/>
        </w:rPr>
        <w:t>Oya H</w:t>
      </w:r>
      <w:r w:rsidRPr="00146BCC">
        <w:rPr>
          <w:rFonts w:ascii="Book Antiqua" w:hAnsi="Book Antiqua" w:cs="SimSun"/>
        </w:rPr>
        <w:t xml:space="preserve">, Sato Y, Yamamoto S, Kobayashi T, Watanabe T, Kokai H, Hatakeyama K. De novo autoimmune hepatitis after living donor liver transplantation in a 25-day-old </w:t>
      </w:r>
      <w:r w:rsidRPr="00146BCC">
        <w:rPr>
          <w:rFonts w:ascii="Book Antiqua" w:hAnsi="Book Antiqua" w:cs="SimSun"/>
        </w:rPr>
        <w:lastRenderedPageBreak/>
        <w:t>newborn baby: a case report. </w:t>
      </w:r>
      <w:r w:rsidRPr="00146BCC">
        <w:rPr>
          <w:rFonts w:ascii="Book Antiqua" w:hAnsi="Book Antiqua" w:cs="SimSun"/>
          <w:i/>
          <w:iCs/>
        </w:rPr>
        <w:t>Transplant Proc</w:t>
      </w:r>
      <w:r>
        <w:rPr>
          <w:rFonts w:ascii="Book Antiqua" w:hAnsi="Book Antiqua" w:cs="SimSun" w:hint="eastAsia"/>
        </w:rPr>
        <w:t xml:space="preserve"> 2009</w:t>
      </w:r>
      <w:r w:rsidRPr="00146BCC">
        <w:rPr>
          <w:rFonts w:ascii="Book Antiqua" w:hAnsi="Book Antiqua" w:cs="SimSun"/>
        </w:rPr>
        <w:t>;</w:t>
      </w:r>
      <w:r>
        <w:rPr>
          <w:rFonts w:ascii="Book Antiqua" w:hAnsi="Book Antiqua" w:cs="SimSun" w:hint="eastAsia"/>
        </w:rPr>
        <w:t xml:space="preserve"> </w:t>
      </w:r>
      <w:r w:rsidRPr="00146BCC">
        <w:rPr>
          <w:rFonts w:ascii="Book Antiqua" w:hAnsi="Book Antiqua" w:cs="SimSun"/>
          <w:b/>
          <w:bCs/>
        </w:rPr>
        <w:t>41</w:t>
      </w:r>
      <w:r w:rsidRPr="00146BCC">
        <w:rPr>
          <w:rFonts w:ascii="Book Antiqua" w:hAnsi="Book Antiqua" w:cs="SimSun"/>
        </w:rPr>
        <w:t>: 433-434 [PMID: 19249573 DOI: 10.1016/j.transproceed.2008.10.031]</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25 </w:t>
      </w:r>
      <w:r w:rsidRPr="00146BCC">
        <w:rPr>
          <w:rFonts w:ascii="Book Antiqua" w:hAnsi="Book Antiqua" w:cs="SimSun"/>
          <w:b/>
          <w:bCs/>
        </w:rPr>
        <w:t>Spada M</w:t>
      </w:r>
      <w:r w:rsidRPr="00146BCC">
        <w:rPr>
          <w:rFonts w:ascii="Book Antiqua" w:hAnsi="Book Antiqua" w:cs="SimSun"/>
        </w:rPr>
        <w:t>, Bertani A, Sonzogni A, Petz W, Riva S, Torre G, Melzi ML, Alberti D, Colledan M, Segalin A, Lucianetti A, Gridelli B. A cause of late graft dysfunction after liver transplantation in children: de-novo autoimmune hepatitis. </w:t>
      </w:r>
      <w:r w:rsidRPr="00146BCC">
        <w:rPr>
          <w:rFonts w:ascii="Book Antiqua" w:hAnsi="Book Antiqua" w:cs="SimSun"/>
          <w:i/>
          <w:iCs/>
        </w:rPr>
        <w:t>Transplant Proc</w:t>
      </w:r>
      <w:r w:rsidRPr="00146BCC">
        <w:rPr>
          <w:rFonts w:ascii="Book Antiqua" w:hAnsi="Book Antiqua" w:cs="SimSun"/>
        </w:rPr>
        <w:t> </w:t>
      </w:r>
      <w:r>
        <w:rPr>
          <w:rFonts w:ascii="Book Antiqua" w:hAnsi="Book Antiqua" w:cs="SimSun" w:hint="eastAsia"/>
        </w:rPr>
        <w:t>2001</w:t>
      </w:r>
      <w:r w:rsidRPr="00146BCC">
        <w:rPr>
          <w:rFonts w:ascii="Book Antiqua" w:hAnsi="Book Antiqua" w:cs="SimSun"/>
        </w:rPr>
        <w:t>; </w:t>
      </w:r>
      <w:r w:rsidRPr="00146BCC">
        <w:rPr>
          <w:rFonts w:ascii="Book Antiqua" w:hAnsi="Book Antiqua" w:cs="SimSun"/>
          <w:b/>
          <w:bCs/>
        </w:rPr>
        <w:t>33</w:t>
      </w:r>
      <w:r w:rsidRPr="00146BCC">
        <w:rPr>
          <w:rFonts w:ascii="Book Antiqua" w:hAnsi="Book Antiqua" w:cs="SimSun"/>
        </w:rPr>
        <w:t>: 1747-1748 [PMID: 11267495 DOI: 10.1016/S0041-1345(00)02826-8]</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26 </w:t>
      </w:r>
      <w:r w:rsidRPr="00146BCC">
        <w:rPr>
          <w:rFonts w:ascii="Book Antiqua" w:hAnsi="Book Antiqua" w:cs="SimSun"/>
          <w:b/>
          <w:bCs/>
        </w:rPr>
        <w:t>Petz W</w:t>
      </w:r>
      <w:r w:rsidRPr="00146BCC">
        <w:rPr>
          <w:rFonts w:ascii="Book Antiqua" w:hAnsi="Book Antiqua" w:cs="SimSun"/>
        </w:rPr>
        <w:t>, Sonzogni A, Bertani A, Spada M, Lucianetti A, Colledan M, Gridelli B. A cause of late graft dysfunction after pediatric liver transplantation: de novo autoimmune hepatitis. </w:t>
      </w:r>
      <w:r w:rsidRPr="00146BCC">
        <w:rPr>
          <w:rFonts w:ascii="Book Antiqua" w:hAnsi="Book Antiqua" w:cs="SimSun"/>
          <w:i/>
          <w:iCs/>
        </w:rPr>
        <w:t>Transplant Proc</w:t>
      </w:r>
      <w:r w:rsidRPr="00146BCC">
        <w:rPr>
          <w:rFonts w:ascii="Book Antiqua" w:hAnsi="Book Antiqua" w:cs="SimSun"/>
        </w:rPr>
        <w:t> 2002; </w:t>
      </w:r>
      <w:r w:rsidRPr="00146BCC">
        <w:rPr>
          <w:rFonts w:ascii="Book Antiqua" w:hAnsi="Book Antiqua" w:cs="SimSun"/>
          <w:b/>
          <w:bCs/>
        </w:rPr>
        <w:t>34</w:t>
      </w:r>
      <w:r w:rsidRPr="00146BCC">
        <w:rPr>
          <w:rFonts w:ascii="Book Antiqua" w:hAnsi="Book Antiqua" w:cs="SimSun"/>
        </w:rPr>
        <w:t>: 1958-1959 [PMID: 12176643 DOI: 10.1016/S0041-1345(02)03137-8]</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27 </w:t>
      </w:r>
      <w:r w:rsidRPr="00146BCC">
        <w:rPr>
          <w:rFonts w:ascii="Book Antiqua" w:hAnsi="Book Antiqua" w:cs="SimSun"/>
          <w:b/>
          <w:bCs/>
        </w:rPr>
        <w:t>Riva S</w:t>
      </w:r>
      <w:r w:rsidRPr="00146BCC">
        <w:rPr>
          <w:rFonts w:ascii="Book Antiqua" w:hAnsi="Book Antiqua" w:cs="SimSun"/>
        </w:rPr>
        <w:t>, Sonzogni A, Bravi M, Bertani A, Alessio MG, Candusso M, Stroppa P, Melzi ML, Spada M, Gridelli B, Colledan M, Torre G. Late graft dysfunction and autoantibodies after liver transplantation in children: preliminary results of an Italian experience. </w:t>
      </w:r>
      <w:r w:rsidRPr="00146BCC">
        <w:rPr>
          <w:rFonts w:ascii="Book Antiqua" w:hAnsi="Book Antiqua" w:cs="SimSun"/>
          <w:i/>
          <w:iCs/>
        </w:rPr>
        <w:t>Liver Transpl</w:t>
      </w:r>
      <w:r w:rsidRPr="00146BCC">
        <w:rPr>
          <w:rFonts w:ascii="Book Antiqua" w:hAnsi="Book Antiqua" w:cs="SimSun"/>
        </w:rPr>
        <w:t> 2006; </w:t>
      </w:r>
      <w:r w:rsidRPr="00146BCC">
        <w:rPr>
          <w:rFonts w:ascii="Book Antiqua" w:hAnsi="Book Antiqua" w:cs="SimSun"/>
          <w:b/>
          <w:bCs/>
        </w:rPr>
        <w:t>12</w:t>
      </w:r>
      <w:r w:rsidRPr="00146BCC">
        <w:rPr>
          <w:rFonts w:ascii="Book Antiqua" w:hAnsi="Book Antiqua" w:cs="SimSun"/>
        </w:rPr>
        <w:t>: 573-577 [PMID: 16555335 DOI: 10.1002/lt.20673]</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28 </w:t>
      </w:r>
      <w:r w:rsidRPr="00146BCC">
        <w:rPr>
          <w:rFonts w:ascii="Book Antiqua" w:hAnsi="Book Antiqua" w:cs="SimSun"/>
          <w:b/>
          <w:bCs/>
        </w:rPr>
        <w:t>Cho JM</w:t>
      </w:r>
      <w:r w:rsidRPr="00146BCC">
        <w:rPr>
          <w:rFonts w:ascii="Book Antiqua" w:hAnsi="Book Antiqua" w:cs="SimSun"/>
        </w:rPr>
        <w:t>, Kim KM, Oh SH, Lee YJ, Rhee KW, Yu E. De novo autoimmune hepatitis in Korean children after liver transplantation: a single institution's experience. </w:t>
      </w:r>
      <w:r w:rsidRPr="00146BCC">
        <w:rPr>
          <w:rFonts w:ascii="Book Antiqua" w:hAnsi="Book Antiqua" w:cs="SimSun"/>
          <w:i/>
          <w:iCs/>
        </w:rPr>
        <w:t>Transplant Proc</w:t>
      </w:r>
      <w:r w:rsidRPr="00146BCC">
        <w:rPr>
          <w:rFonts w:ascii="Book Antiqua" w:hAnsi="Book Antiqua" w:cs="SimSun"/>
        </w:rPr>
        <w:t> </w:t>
      </w:r>
      <w:r>
        <w:rPr>
          <w:rFonts w:ascii="Book Antiqua" w:hAnsi="Book Antiqua" w:cs="SimSun" w:hint="eastAsia"/>
        </w:rPr>
        <w:t>2011</w:t>
      </w:r>
      <w:r w:rsidRPr="00146BCC">
        <w:rPr>
          <w:rFonts w:ascii="Book Antiqua" w:hAnsi="Book Antiqua" w:cs="SimSun"/>
        </w:rPr>
        <w:t>; </w:t>
      </w:r>
      <w:r w:rsidRPr="00146BCC">
        <w:rPr>
          <w:rFonts w:ascii="Book Antiqua" w:hAnsi="Book Antiqua" w:cs="SimSun"/>
          <w:b/>
          <w:bCs/>
        </w:rPr>
        <w:t>43</w:t>
      </w:r>
      <w:r w:rsidRPr="00146BCC">
        <w:rPr>
          <w:rFonts w:ascii="Book Antiqua" w:hAnsi="Book Antiqua" w:cs="SimSun"/>
        </w:rPr>
        <w:t>: 2394-2396 [PMID: 21839275 DOI: 10.1016/j.transproceed.2011.05.030]</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29 </w:t>
      </w:r>
      <w:r w:rsidRPr="00146BCC">
        <w:rPr>
          <w:rFonts w:ascii="Book Antiqua" w:hAnsi="Book Antiqua" w:cs="SimSun"/>
          <w:b/>
          <w:bCs/>
        </w:rPr>
        <w:t>Had</w:t>
      </w:r>
      <w:r w:rsidRPr="00146BCC">
        <w:rPr>
          <w:rFonts w:ascii="Book Antiqua" w:eastAsia="MS Mincho" w:hAnsi="Book Antiqua" w:cs="MS Mincho"/>
          <w:b/>
          <w:bCs/>
        </w:rPr>
        <w:t>ž</w:t>
      </w:r>
      <w:r w:rsidRPr="00146BCC">
        <w:rPr>
          <w:rFonts w:ascii="Book Antiqua" w:hAnsi="Book Antiqua" w:cs="SimSun"/>
          <w:b/>
          <w:bCs/>
        </w:rPr>
        <w:t>i</w:t>
      </w:r>
      <w:r w:rsidRPr="00146BCC">
        <w:rPr>
          <w:rFonts w:ascii="Book Antiqua" w:eastAsia="MS Mincho" w:hAnsi="Book Antiqua" w:cs="MS Mincho"/>
          <w:b/>
          <w:bCs/>
        </w:rPr>
        <w:t>ć</w:t>
      </w:r>
      <w:r w:rsidRPr="00146BCC">
        <w:rPr>
          <w:rFonts w:ascii="Book Antiqua" w:hAnsi="Book Antiqua" w:cs="SimSun"/>
          <w:b/>
          <w:bCs/>
        </w:rPr>
        <w:t xml:space="preserve"> N</w:t>
      </w:r>
      <w:r w:rsidRPr="00146BCC">
        <w:rPr>
          <w:rFonts w:ascii="Book Antiqua" w:hAnsi="Book Antiqua" w:cs="SimSun"/>
        </w:rPr>
        <w:t>, Quaglia A, Cotoi C, Hussain MJ, Brown N, Vergani D, Mieli-Vergani G. Immunohistochemical phenotyping of the inflammatory infiltrate in de novo autoimmune hepatitis after liver transplantation in children. </w:t>
      </w:r>
      <w:r w:rsidRPr="00146BCC">
        <w:rPr>
          <w:rFonts w:ascii="Book Antiqua" w:hAnsi="Book Antiqua" w:cs="SimSun"/>
          <w:i/>
          <w:iCs/>
        </w:rPr>
        <w:t>Pediatr Transplant</w:t>
      </w:r>
      <w:r w:rsidRPr="00146BCC">
        <w:rPr>
          <w:rFonts w:ascii="Book Antiqua" w:hAnsi="Book Antiqua" w:cs="SimSun"/>
        </w:rPr>
        <w:t> 2012; </w:t>
      </w:r>
      <w:r w:rsidRPr="00146BCC">
        <w:rPr>
          <w:rFonts w:ascii="Book Antiqua" w:hAnsi="Book Antiqua" w:cs="SimSun"/>
          <w:b/>
          <w:bCs/>
        </w:rPr>
        <w:t>16</w:t>
      </w:r>
      <w:r w:rsidRPr="00146BCC">
        <w:rPr>
          <w:rFonts w:ascii="Book Antiqua" w:hAnsi="Book Antiqua" w:cs="SimSun"/>
        </w:rPr>
        <w:t>: 501-510 [PMID: 22672703 DOI: 10.1111/j.1399-3046.2012.01723.x]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30 </w:t>
      </w:r>
      <w:r w:rsidRPr="00146BCC">
        <w:rPr>
          <w:rFonts w:ascii="Book Antiqua" w:hAnsi="Book Antiqua" w:cs="SimSun"/>
          <w:b/>
          <w:bCs/>
        </w:rPr>
        <w:t>Wozniak LJ</w:t>
      </w:r>
      <w:r w:rsidRPr="00146BCC">
        <w:rPr>
          <w:rFonts w:ascii="Book Antiqua" w:hAnsi="Book Antiqua" w:cs="SimSun"/>
        </w:rPr>
        <w:t>, Hickey MJ, Venick RS, Vargas JH, Farmer DG, Busuttil RW, McDiarmid SV, Reed EF. Donor-specific HLA Antibodies Are Associated With Late Allograft Dysfunction After Pediatric Liver Transplantation. </w:t>
      </w:r>
      <w:r w:rsidRPr="00146BCC">
        <w:rPr>
          <w:rFonts w:ascii="Book Antiqua" w:hAnsi="Book Antiqua" w:cs="SimSun"/>
          <w:i/>
          <w:iCs/>
        </w:rPr>
        <w:t>Transplantation</w:t>
      </w:r>
      <w:r w:rsidRPr="00146BCC">
        <w:rPr>
          <w:rFonts w:ascii="Book Antiqua" w:hAnsi="Book Antiqua" w:cs="SimSun"/>
        </w:rPr>
        <w:t> 2015; </w:t>
      </w:r>
      <w:r w:rsidRPr="00146BCC">
        <w:rPr>
          <w:rFonts w:ascii="Book Antiqua" w:hAnsi="Book Antiqua" w:cs="SimSun"/>
          <w:b/>
          <w:bCs/>
        </w:rPr>
        <w:t>99</w:t>
      </w:r>
      <w:r w:rsidRPr="00146BCC">
        <w:rPr>
          <w:rFonts w:ascii="Book Antiqua" w:hAnsi="Book Antiqua" w:cs="SimSun"/>
        </w:rPr>
        <w:t>: 1416-1422 [PMID: 26038872 DOI: 10.1097/TP.0000000000000796]</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31 </w:t>
      </w:r>
      <w:r w:rsidRPr="00146BCC">
        <w:rPr>
          <w:rFonts w:ascii="Book Antiqua" w:hAnsi="Book Antiqua" w:cs="SimSun"/>
          <w:b/>
          <w:bCs/>
        </w:rPr>
        <w:t>Keaveny AP</w:t>
      </w:r>
      <w:r w:rsidRPr="00146BCC">
        <w:rPr>
          <w:rFonts w:ascii="Book Antiqua" w:hAnsi="Book Antiqua" w:cs="SimSun"/>
        </w:rPr>
        <w:t>, Gordon FD, Khettry U. Post-liver transplantation de novo hepatitis with overlap features. </w:t>
      </w:r>
      <w:r w:rsidRPr="00146BCC">
        <w:rPr>
          <w:rFonts w:ascii="Book Antiqua" w:hAnsi="Book Antiqua" w:cs="SimSun"/>
          <w:i/>
          <w:iCs/>
        </w:rPr>
        <w:t>Pathol Int</w:t>
      </w:r>
      <w:r w:rsidRPr="00146BCC">
        <w:rPr>
          <w:rFonts w:ascii="Book Antiqua" w:hAnsi="Book Antiqua" w:cs="SimSun"/>
        </w:rPr>
        <w:t> 2005; </w:t>
      </w:r>
      <w:r w:rsidRPr="00146BCC">
        <w:rPr>
          <w:rFonts w:ascii="Book Antiqua" w:hAnsi="Book Antiqua" w:cs="SimSun"/>
          <w:b/>
          <w:bCs/>
        </w:rPr>
        <w:t>55</w:t>
      </w:r>
      <w:r w:rsidRPr="00146BCC">
        <w:rPr>
          <w:rFonts w:ascii="Book Antiqua" w:hAnsi="Book Antiqua" w:cs="SimSun"/>
        </w:rPr>
        <w:t>: 660-664 [PMID: 16185298 DOI: 10.1111/j.1440-1827.2005.01886.x]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lastRenderedPageBreak/>
        <w:t>32 </w:t>
      </w:r>
      <w:r w:rsidRPr="00146BCC">
        <w:rPr>
          <w:rFonts w:ascii="Book Antiqua" w:hAnsi="Book Antiqua" w:cs="SimSun"/>
          <w:b/>
          <w:bCs/>
        </w:rPr>
        <w:t>Berardi S</w:t>
      </w:r>
      <w:r w:rsidRPr="00146BCC">
        <w:rPr>
          <w:rFonts w:ascii="Book Antiqua" w:hAnsi="Book Antiqua" w:cs="SimSun"/>
        </w:rPr>
        <w:t>, Lodato F, Gramenzi A, D'Errico A, Lenzi M, Bontadini A, Morelli MC, Tamè MR, Piscaglia F, Biselli M, Sama C, Mazzella G, Pinna AD, Grazi G, Bernardi M, Andreone P. High incidence of allograft dysfunction in liver transplanted patients treated with pegylated-interferon alpha-2b and ribavirin for hepatitis C recurrence: possible de novo autoimmune hepatitis? </w:t>
      </w:r>
      <w:r w:rsidRPr="00146BCC">
        <w:rPr>
          <w:rFonts w:ascii="Book Antiqua" w:hAnsi="Book Antiqua" w:cs="SimSun"/>
          <w:i/>
          <w:iCs/>
        </w:rPr>
        <w:t>Gut</w:t>
      </w:r>
      <w:r w:rsidRPr="00146BCC">
        <w:rPr>
          <w:rFonts w:ascii="Book Antiqua" w:hAnsi="Book Antiqua" w:cs="SimSun"/>
        </w:rPr>
        <w:t> 2007; </w:t>
      </w:r>
      <w:r w:rsidRPr="00146BCC">
        <w:rPr>
          <w:rFonts w:ascii="Book Antiqua" w:hAnsi="Book Antiqua" w:cs="SimSun"/>
          <w:b/>
          <w:bCs/>
        </w:rPr>
        <w:t>56</w:t>
      </w:r>
      <w:r w:rsidRPr="00146BCC">
        <w:rPr>
          <w:rFonts w:ascii="Book Antiqua" w:hAnsi="Book Antiqua" w:cs="SimSun"/>
        </w:rPr>
        <w:t>: 237-242 [PMID: 16798778 DOI: 10.1136/gut.2006.092064]</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33 </w:t>
      </w:r>
      <w:r w:rsidRPr="00146BCC">
        <w:rPr>
          <w:rFonts w:ascii="Book Antiqua" w:hAnsi="Book Antiqua" w:cs="SimSun"/>
          <w:b/>
          <w:bCs/>
        </w:rPr>
        <w:t>Eguchi S</w:t>
      </w:r>
      <w:r w:rsidRPr="00146BCC">
        <w:rPr>
          <w:rFonts w:ascii="Book Antiqua" w:hAnsi="Book Antiqua" w:cs="SimSun"/>
        </w:rPr>
        <w:t>, Takatsuki M, Hidaka M, Tajima Y, Zen Y, Nakanuma Y, Kanematsu T. De novo autoimmune hepatitis after living donor liver transplantation is unlikely to be related to immunoglobulin subtype 4-related immune disease. </w:t>
      </w:r>
      <w:r w:rsidRPr="00146BCC">
        <w:rPr>
          <w:rFonts w:ascii="Book Antiqua" w:hAnsi="Book Antiqua" w:cs="SimSun"/>
          <w:i/>
          <w:iCs/>
        </w:rPr>
        <w:t>J Gastroenterol Hepatol</w:t>
      </w:r>
      <w:r w:rsidRPr="00146BCC">
        <w:rPr>
          <w:rFonts w:ascii="Book Antiqua" w:hAnsi="Book Antiqua" w:cs="SimSun"/>
        </w:rPr>
        <w:t> 2008; </w:t>
      </w:r>
      <w:r w:rsidRPr="00146BCC">
        <w:rPr>
          <w:rFonts w:ascii="Book Antiqua" w:hAnsi="Book Antiqua" w:cs="SimSun"/>
          <w:b/>
          <w:bCs/>
        </w:rPr>
        <w:t>23</w:t>
      </w:r>
      <w:r w:rsidRPr="00146BCC">
        <w:rPr>
          <w:rFonts w:ascii="Book Antiqua" w:hAnsi="Book Antiqua" w:cs="SimSun"/>
        </w:rPr>
        <w:t>: e165-e169 [PMID: 18505414 DOI: 10.1111/j.1440-1746.2008.05347.x]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34 </w:t>
      </w:r>
      <w:r w:rsidRPr="00146BCC">
        <w:rPr>
          <w:rFonts w:ascii="Book Antiqua" w:hAnsi="Book Antiqua" w:cs="SimSun"/>
          <w:b/>
          <w:bCs/>
        </w:rPr>
        <w:t>Merli M</w:t>
      </w:r>
      <w:r w:rsidRPr="00146BCC">
        <w:rPr>
          <w:rFonts w:ascii="Book Antiqua" w:hAnsi="Book Antiqua" w:cs="SimSun"/>
        </w:rPr>
        <w:t>, Gentili F, Giusto M, Attili AF, Corradini SG, Mennini G, Rossi M, Corsi A, Bianco P. Immune-mediated liver dysfunction after antiviral treatment in liver transplanted patients with hepatitis C: allo or autoimmune de novo hepatitis? </w:t>
      </w:r>
      <w:r w:rsidRPr="00146BCC">
        <w:rPr>
          <w:rFonts w:ascii="Book Antiqua" w:hAnsi="Book Antiqua" w:cs="SimSun"/>
          <w:i/>
          <w:iCs/>
        </w:rPr>
        <w:t>Dig Liver Dis</w:t>
      </w:r>
      <w:r w:rsidRPr="00146BCC">
        <w:rPr>
          <w:rFonts w:ascii="Book Antiqua" w:hAnsi="Book Antiqua" w:cs="SimSun"/>
        </w:rPr>
        <w:t> 2009; </w:t>
      </w:r>
      <w:r w:rsidRPr="00146BCC">
        <w:rPr>
          <w:rFonts w:ascii="Book Antiqua" w:hAnsi="Book Antiqua" w:cs="SimSun"/>
          <w:b/>
          <w:bCs/>
        </w:rPr>
        <w:t>41</w:t>
      </w:r>
      <w:r w:rsidRPr="00146BCC">
        <w:rPr>
          <w:rFonts w:ascii="Book Antiqua" w:hAnsi="Book Antiqua" w:cs="SimSun"/>
        </w:rPr>
        <w:t>: 345-349 [PMID: 19162574 DOI: 10.1016/j.dld.2008.09.015]</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35 </w:t>
      </w:r>
      <w:r w:rsidRPr="00146BCC">
        <w:rPr>
          <w:rFonts w:ascii="Book Antiqua" w:hAnsi="Book Antiqua" w:cs="SimSun"/>
          <w:b/>
          <w:bCs/>
        </w:rPr>
        <w:t>Zhao XY</w:t>
      </w:r>
      <w:r w:rsidRPr="00146BCC">
        <w:rPr>
          <w:rFonts w:ascii="Book Antiqua" w:hAnsi="Book Antiqua" w:cs="SimSun"/>
        </w:rPr>
        <w:t>, Rakhda MI, Wang TI, Jia JD. Immunoglobulin G4-associated de novo autoimmune hepatitis after liver transplantation for chronic hepatitis B- and C-related cirrhosis and hepatocellular carcinoma: a case report with literature review. </w:t>
      </w:r>
      <w:r w:rsidRPr="00146BCC">
        <w:rPr>
          <w:rFonts w:ascii="Book Antiqua" w:hAnsi="Book Antiqua" w:cs="SimSun"/>
          <w:i/>
          <w:iCs/>
        </w:rPr>
        <w:t>Transplant Proc</w:t>
      </w:r>
      <w:r w:rsidRPr="00146BCC">
        <w:rPr>
          <w:rFonts w:ascii="Book Antiqua" w:hAnsi="Book Antiqua" w:cs="SimSun"/>
        </w:rPr>
        <w:t> 2013; </w:t>
      </w:r>
      <w:r w:rsidRPr="00146BCC">
        <w:rPr>
          <w:rFonts w:ascii="Book Antiqua" w:hAnsi="Book Antiqua" w:cs="SimSun"/>
          <w:b/>
          <w:bCs/>
        </w:rPr>
        <w:t>45</w:t>
      </w:r>
      <w:r w:rsidRPr="00146BCC">
        <w:rPr>
          <w:rFonts w:ascii="Book Antiqua" w:hAnsi="Book Antiqua" w:cs="SimSun"/>
        </w:rPr>
        <w:t>: 824-827 [PMID: 23498828 DOI: 10.1016/j.transproceed.2012.02.049]</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36 </w:t>
      </w:r>
      <w:r w:rsidRPr="00146BCC">
        <w:rPr>
          <w:rFonts w:ascii="Book Antiqua" w:hAnsi="Book Antiqua" w:cs="SimSun"/>
          <w:b/>
          <w:bCs/>
        </w:rPr>
        <w:t>Foschi A</w:t>
      </w:r>
      <w:r w:rsidRPr="00146BCC">
        <w:rPr>
          <w:rFonts w:ascii="Book Antiqua" w:hAnsi="Book Antiqua" w:cs="SimSun"/>
        </w:rPr>
        <w:t>, Zavaglia CA, Fanti D, Mazzarelli C, Perricone G, Vangeli M, Viganò R, Belli LS. Autoimmunity after liver transplantation: a frequent event but a rare clinical problem. </w:t>
      </w:r>
      <w:r w:rsidRPr="00146BCC">
        <w:rPr>
          <w:rFonts w:ascii="Book Antiqua" w:hAnsi="Book Antiqua" w:cs="SimSun"/>
          <w:i/>
          <w:iCs/>
        </w:rPr>
        <w:t>Clin Transplant</w:t>
      </w:r>
      <w:r w:rsidRPr="00146BCC">
        <w:rPr>
          <w:rFonts w:ascii="Book Antiqua" w:hAnsi="Book Antiqua" w:cs="SimSun"/>
        </w:rPr>
        <w:t> 2015; </w:t>
      </w:r>
      <w:r w:rsidRPr="00146BCC">
        <w:rPr>
          <w:rFonts w:ascii="Book Antiqua" w:hAnsi="Book Antiqua" w:cs="SimSun"/>
          <w:b/>
          <w:bCs/>
        </w:rPr>
        <w:t>29</w:t>
      </w:r>
      <w:r w:rsidRPr="00146BCC">
        <w:rPr>
          <w:rFonts w:ascii="Book Antiqua" w:hAnsi="Book Antiqua" w:cs="SimSun"/>
        </w:rPr>
        <w:t>: 161-166 [PMID: 25522890 DOI: 10.1111/ctr.12498]</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37 </w:t>
      </w:r>
      <w:r w:rsidRPr="00146BCC">
        <w:rPr>
          <w:rFonts w:ascii="Book Antiqua" w:hAnsi="Book Antiqua" w:cs="SimSun"/>
          <w:b/>
          <w:bCs/>
        </w:rPr>
        <w:t>Castillo-Rama M</w:t>
      </w:r>
      <w:r w:rsidRPr="00146BCC">
        <w:rPr>
          <w:rFonts w:ascii="Book Antiqua" w:hAnsi="Book Antiqua" w:cs="SimSun"/>
        </w:rPr>
        <w:t>, Sebagh M, Sasatomi E, Randhawa P, Isse K, Salgarkar AD, Ruppert K, Humar A, Demetris AJ. "Plasma cell hepatitis" in liver allografts: identification and characterization of an IgG4-rich cohort. </w:t>
      </w:r>
      <w:r w:rsidRPr="00146BCC">
        <w:rPr>
          <w:rFonts w:ascii="Book Antiqua" w:hAnsi="Book Antiqua" w:cs="SimSun"/>
          <w:i/>
          <w:iCs/>
        </w:rPr>
        <w:t>Am J Transplant</w:t>
      </w:r>
      <w:r w:rsidRPr="00146BCC">
        <w:rPr>
          <w:rFonts w:ascii="Book Antiqua" w:hAnsi="Book Antiqua" w:cs="SimSun"/>
        </w:rPr>
        <w:t> 2013; </w:t>
      </w:r>
      <w:r w:rsidRPr="00146BCC">
        <w:rPr>
          <w:rFonts w:ascii="Book Antiqua" w:hAnsi="Book Antiqua" w:cs="SimSun"/>
          <w:b/>
          <w:bCs/>
        </w:rPr>
        <w:t>13</w:t>
      </w:r>
      <w:r w:rsidRPr="00146BCC">
        <w:rPr>
          <w:rFonts w:ascii="Book Antiqua" w:hAnsi="Book Antiqua" w:cs="SimSun"/>
        </w:rPr>
        <w:t>: 2966-2977 [PMID: 24011021 DOI: 10.1111/ajt.12413]</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38 </w:t>
      </w:r>
      <w:r w:rsidRPr="00146BCC">
        <w:rPr>
          <w:rFonts w:ascii="Book Antiqua" w:hAnsi="Book Antiqua" w:cs="SimSun"/>
          <w:b/>
          <w:bCs/>
        </w:rPr>
        <w:t>Ikegami T</w:t>
      </w:r>
      <w:r w:rsidRPr="00146BCC">
        <w:rPr>
          <w:rFonts w:ascii="Book Antiqua" w:hAnsi="Book Antiqua" w:cs="SimSun"/>
        </w:rPr>
        <w:t>, Yoshizumi T, Shirabe K, Maehara Y. Frequent plasma cell hepatitis during telaprevir-based triple therapy for hepatitis C after liver transplantation. </w:t>
      </w:r>
      <w:r w:rsidRPr="00146BCC">
        <w:rPr>
          <w:rFonts w:ascii="Book Antiqua" w:hAnsi="Book Antiqua" w:cs="SimSun"/>
          <w:i/>
          <w:iCs/>
        </w:rPr>
        <w:t>J Hepatol</w:t>
      </w:r>
      <w:r w:rsidRPr="00146BCC">
        <w:rPr>
          <w:rFonts w:ascii="Book Antiqua" w:hAnsi="Book Antiqua" w:cs="SimSun"/>
        </w:rPr>
        <w:t> 2014; </w:t>
      </w:r>
      <w:r w:rsidRPr="00146BCC">
        <w:rPr>
          <w:rFonts w:ascii="Book Antiqua" w:hAnsi="Book Antiqua" w:cs="SimSun"/>
          <w:b/>
          <w:bCs/>
        </w:rPr>
        <w:t>60</w:t>
      </w:r>
      <w:r w:rsidRPr="00146BCC">
        <w:rPr>
          <w:rFonts w:ascii="Book Antiqua" w:hAnsi="Book Antiqua" w:cs="SimSun"/>
        </w:rPr>
        <w:t>: 894-896 [PMID: 24316026 DOI: 10.1016/j.jhep.2013.10.037]</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lastRenderedPageBreak/>
        <w:t>39 </w:t>
      </w:r>
      <w:r w:rsidRPr="00146BCC">
        <w:rPr>
          <w:rFonts w:ascii="Book Antiqua" w:hAnsi="Book Antiqua" w:cs="SimSun"/>
          <w:b/>
          <w:bCs/>
        </w:rPr>
        <w:t>Rodríguez-Diaz Y</w:t>
      </w:r>
      <w:r w:rsidRPr="00146BCC">
        <w:rPr>
          <w:rFonts w:ascii="Book Antiqua" w:hAnsi="Book Antiqua" w:cs="SimSun"/>
        </w:rPr>
        <w:t>, Reyes-Rodriguez R, Dorta-Francisco MC, Aguilera I, Perera-Molinero A, Moneva-Arce E, Aviles-Ruiz JF. De novo autoimmune hepatitis following liver transplantation for primary biliary cirrhosis. </w:t>
      </w:r>
      <w:r w:rsidRPr="00146BCC">
        <w:rPr>
          <w:rFonts w:ascii="Book Antiqua" w:hAnsi="Book Antiqua" w:cs="SimSun"/>
          <w:i/>
          <w:iCs/>
        </w:rPr>
        <w:t>Transplant Proc</w:t>
      </w:r>
      <w:r w:rsidRPr="00146BCC">
        <w:rPr>
          <w:rFonts w:ascii="Book Antiqua" w:hAnsi="Book Antiqua" w:cs="SimSun"/>
        </w:rPr>
        <w:t> 2006; </w:t>
      </w:r>
      <w:r w:rsidRPr="00146BCC">
        <w:rPr>
          <w:rFonts w:ascii="Book Antiqua" w:hAnsi="Book Antiqua" w:cs="SimSun"/>
          <w:b/>
          <w:bCs/>
        </w:rPr>
        <w:t>38</w:t>
      </w:r>
      <w:r w:rsidRPr="00146BCC">
        <w:rPr>
          <w:rFonts w:ascii="Book Antiqua" w:hAnsi="Book Antiqua" w:cs="SimSun"/>
        </w:rPr>
        <w:t>: 1467-1470 [PMID: 16797335 DOI: 10.1016/j.transproceed.2006.03.071]</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40 </w:t>
      </w:r>
      <w:r w:rsidRPr="00146BCC">
        <w:rPr>
          <w:rFonts w:ascii="Book Antiqua" w:hAnsi="Book Antiqua" w:cs="SimSun"/>
          <w:b/>
          <w:bCs/>
        </w:rPr>
        <w:t>Cholongitas E</w:t>
      </w:r>
      <w:r w:rsidRPr="00146BCC">
        <w:rPr>
          <w:rFonts w:ascii="Book Antiqua" w:hAnsi="Book Antiqua" w:cs="SimSun"/>
        </w:rPr>
        <w:t>, Samonakis D, Patch D, Senzolo M, Burroughs AK, Quaglia A, Dhillon A. Induction of autoimmune hepatitis by pegylated interferon in a liver transplant patient with recurrent hepatitis C virus. </w:t>
      </w:r>
      <w:r w:rsidRPr="00146BCC">
        <w:rPr>
          <w:rFonts w:ascii="Book Antiqua" w:hAnsi="Book Antiqua" w:cs="SimSun"/>
          <w:i/>
          <w:iCs/>
        </w:rPr>
        <w:t>Transplantation</w:t>
      </w:r>
      <w:r w:rsidRPr="00146BCC">
        <w:rPr>
          <w:rFonts w:ascii="Book Antiqua" w:hAnsi="Book Antiqua" w:cs="SimSun"/>
        </w:rPr>
        <w:t> 2006; </w:t>
      </w:r>
      <w:r w:rsidRPr="00146BCC">
        <w:rPr>
          <w:rFonts w:ascii="Book Antiqua" w:hAnsi="Book Antiqua" w:cs="SimSun"/>
          <w:b/>
          <w:bCs/>
        </w:rPr>
        <w:t>81</w:t>
      </w:r>
      <w:r w:rsidRPr="00146BCC">
        <w:rPr>
          <w:rFonts w:ascii="Book Antiqua" w:hAnsi="Book Antiqua" w:cs="SimSun"/>
        </w:rPr>
        <w:t>: 488-490 [PMID: 16477242 DOI: 10.1097/01.tp.0000196716.07188.c4]</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41 </w:t>
      </w:r>
      <w:r w:rsidRPr="00146BCC">
        <w:rPr>
          <w:rFonts w:ascii="Book Antiqua" w:hAnsi="Book Antiqua" w:cs="SimSun"/>
          <w:b/>
          <w:bCs/>
        </w:rPr>
        <w:t>Kontorinis N</w:t>
      </w:r>
      <w:r w:rsidRPr="00146BCC">
        <w:rPr>
          <w:rFonts w:ascii="Book Antiqua" w:hAnsi="Book Antiqua" w:cs="SimSun"/>
        </w:rPr>
        <w:t>, Agarwal K, Elhajj N, Fiel MI, Schiano TD. Pegylated interferon-induced immune-mediated hepatitis post-liver transplantation. </w:t>
      </w:r>
      <w:r w:rsidRPr="00146BCC">
        <w:rPr>
          <w:rFonts w:ascii="Book Antiqua" w:hAnsi="Book Antiqua" w:cs="SimSun"/>
          <w:i/>
          <w:iCs/>
        </w:rPr>
        <w:t>Liver Transpl</w:t>
      </w:r>
      <w:r w:rsidRPr="00146BCC">
        <w:rPr>
          <w:rFonts w:ascii="Book Antiqua" w:hAnsi="Book Antiqua" w:cs="SimSun"/>
        </w:rPr>
        <w:t> 2006; </w:t>
      </w:r>
      <w:r w:rsidRPr="00146BCC">
        <w:rPr>
          <w:rFonts w:ascii="Book Antiqua" w:hAnsi="Book Antiqua" w:cs="SimSun"/>
          <w:b/>
          <w:bCs/>
        </w:rPr>
        <w:t>12</w:t>
      </w:r>
      <w:r w:rsidRPr="00146BCC">
        <w:rPr>
          <w:rFonts w:ascii="Book Antiqua" w:hAnsi="Book Antiqua" w:cs="SimSun"/>
        </w:rPr>
        <w:t>: 827-830 [PMID: 16628699 DOI: 10.1002/lt.20706]</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42 </w:t>
      </w:r>
      <w:r w:rsidRPr="00146BCC">
        <w:rPr>
          <w:rFonts w:ascii="Book Antiqua" w:hAnsi="Book Antiqua" w:cs="SimSun"/>
          <w:b/>
          <w:bCs/>
        </w:rPr>
        <w:t>Takeishi K</w:t>
      </w:r>
      <w:r w:rsidRPr="00146BCC">
        <w:rPr>
          <w:rFonts w:ascii="Book Antiqua" w:hAnsi="Book Antiqua" w:cs="SimSun"/>
        </w:rPr>
        <w:t>, Shirabe K, Toshima T, Ikegami T, Morita K, Fukuhara T, Motomura T, Mano Y, Uchiyama H, Soejima Y, Taketomi A, Maehara Y. De novo autoimmune hepatitis subsequent to switching from type 2b to type 2a alpha-pegylated interferon treatment for recurrent hepatitis C after liver transplantation: report of a case. </w:t>
      </w:r>
      <w:r w:rsidRPr="00146BCC">
        <w:rPr>
          <w:rFonts w:ascii="Book Antiqua" w:hAnsi="Book Antiqua" w:cs="SimSun"/>
          <w:i/>
          <w:iCs/>
        </w:rPr>
        <w:t>Surg Today</w:t>
      </w:r>
      <w:r w:rsidRPr="00146BCC">
        <w:rPr>
          <w:rFonts w:ascii="Book Antiqua" w:hAnsi="Book Antiqua" w:cs="SimSun"/>
        </w:rPr>
        <w:t> 2011; </w:t>
      </w:r>
      <w:r w:rsidRPr="00146BCC">
        <w:rPr>
          <w:rFonts w:ascii="Book Antiqua" w:hAnsi="Book Antiqua" w:cs="SimSun"/>
          <w:b/>
          <w:bCs/>
        </w:rPr>
        <w:t>41</w:t>
      </w:r>
      <w:r w:rsidRPr="00146BCC">
        <w:rPr>
          <w:rFonts w:ascii="Book Antiqua" w:hAnsi="Book Antiqua" w:cs="SimSun"/>
        </w:rPr>
        <w:t>: 1016-1019 [PMID: 21748625 DOI: 10.1007/s00595-010-4392-z]</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43 </w:t>
      </w:r>
      <w:r w:rsidRPr="00146BCC">
        <w:rPr>
          <w:rFonts w:ascii="Book Antiqua" w:hAnsi="Book Antiqua" w:cs="SimSun"/>
          <w:b/>
          <w:bCs/>
        </w:rPr>
        <w:t>Levitsky J</w:t>
      </w:r>
      <w:r w:rsidRPr="00146BCC">
        <w:rPr>
          <w:rFonts w:ascii="Book Antiqua" w:hAnsi="Book Antiqua" w:cs="SimSun"/>
        </w:rPr>
        <w:t>, Fiel MI, Norvell JP, Wang E, Watt KD, Curry MP, Tewani S, McCashland TM, Hoteit MA, Shaked A, Saab S, Chi AC, Tien A, Schiano TD. Risk for immune-mediated graft dysfunction in liver transplant recipients with recurrent HCV infection treated with pegylated interferon. </w:t>
      </w:r>
      <w:r w:rsidRPr="00146BCC">
        <w:rPr>
          <w:rFonts w:ascii="Book Antiqua" w:hAnsi="Book Antiqua" w:cs="SimSun"/>
          <w:i/>
          <w:iCs/>
        </w:rPr>
        <w:t>Gastroenterology</w:t>
      </w:r>
      <w:r w:rsidRPr="00146BCC">
        <w:rPr>
          <w:rFonts w:ascii="Book Antiqua" w:hAnsi="Book Antiqua" w:cs="SimSun"/>
        </w:rPr>
        <w:t> 2012; </w:t>
      </w:r>
      <w:r w:rsidRPr="00146BCC">
        <w:rPr>
          <w:rFonts w:ascii="Book Antiqua" w:hAnsi="Book Antiqua" w:cs="SimSun"/>
          <w:b/>
          <w:bCs/>
        </w:rPr>
        <w:t>142</w:t>
      </w:r>
      <w:r w:rsidRPr="00146BCC">
        <w:rPr>
          <w:rFonts w:ascii="Book Antiqua" w:hAnsi="Book Antiqua" w:cs="SimSun"/>
        </w:rPr>
        <w:t>: 1132-1139.e1 [PMID: 22285805 DOI: 10.1053/j.gastro.2012.01.030]</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44 </w:t>
      </w:r>
      <w:r w:rsidRPr="00146BCC">
        <w:rPr>
          <w:rFonts w:ascii="Book Antiqua" w:hAnsi="Book Antiqua" w:cs="SimSun"/>
          <w:b/>
          <w:bCs/>
        </w:rPr>
        <w:t>Salcedo M</w:t>
      </w:r>
      <w:r w:rsidRPr="00146BCC">
        <w:rPr>
          <w:rFonts w:ascii="Book Antiqua" w:hAnsi="Book Antiqua" w:cs="SimSun"/>
        </w:rPr>
        <w:t>, Vaquero J, Bañares R, Rodríguez-Mahou M, Alvarez E, Vicario JL, Hernández-Albújar A, Tíscar JL, Rincón D, Alonso S, De Diego A, Clemente G. Response to steroids in de novo autoimmune hepatitis after liver transplantation. </w:t>
      </w:r>
      <w:r w:rsidRPr="00146BCC">
        <w:rPr>
          <w:rFonts w:ascii="Book Antiqua" w:hAnsi="Book Antiqua" w:cs="SimSun"/>
          <w:i/>
          <w:iCs/>
        </w:rPr>
        <w:t>Hepatology</w:t>
      </w:r>
      <w:r w:rsidRPr="00146BCC">
        <w:rPr>
          <w:rFonts w:ascii="Book Antiqua" w:hAnsi="Book Antiqua" w:cs="SimSun"/>
        </w:rPr>
        <w:t> 2002; </w:t>
      </w:r>
      <w:r w:rsidRPr="00146BCC">
        <w:rPr>
          <w:rFonts w:ascii="Book Antiqua" w:hAnsi="Book Antiqua" w:cs="SimSun"/>
          <w:b/>
          <w:bCs/>
        </w:rPr>
        <w:t>35</w:t>
      </w:r>
      <w:r w:rsidRPr="00146BCC">
        <w:rPr>
          <w:rFonts w:ascii="Book Antiqua" w:hAnsi="Book Antiqua" w:cs="SimSun"/>
        </w:rPr>
        <w:t>: 349-356 [PMID: 11826408 DOI: 10.1053/jhep.2002.31167]</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lastRenderedPageBreak/>
        <w:t>45 </w:t>
      </w:r>
      <w:r w:rsidRPr="00146BCC">
        <w:rPr>
          <w:rFonts w:ascii="Book Antiqua" w:hAnsi="Book Antiqua" w:cs="SimSun"/>
          <w:b/>
          <w:bCs/>
        </w:rPr>
        <w:t>Tan CK</w:t>
      </w:r>
      <w:r w:rsidRPr="00146BCC">
        <w:rPr>
          <w:rFonts w:ascii="Book Antiqua" w:hAnsi="Book Antiqua" w:cs="SimSun"/>
        </w:rPr>
        <w:t>, Sian Ho JM. Concurrent de novo autoimmune hepatitis and recurrence of primary biliary cirrhosis post-liver transplantation. </w:t>
      </w:r>
      <w:r w:rsidRPr="00146BCC">
        <w:rPr>
          <w:rFonts w:ascii="Book Antiqua" w:hAnsi="Book Antiqua" w:cs="SimSun"/>
          <w:i/>
          <w:iCs/>
        </w:rPr>
        <w:t>Liver Transpl</w:t>
      </w:r>
      <w:r w:rsidRPr="00146BCC">
        <w:rPr>
          <w:rFonts w:ascii="Book Antiqua" w:hAnsi="Book Antiqua" w:cs="SimSun"/>
        </w:rPr>
        <w:t> 2001; </w:t>
      </w:r>
      <w:r w:rsidRPr="00146BCC">
        <w:rPr>
          <w:rFonts w:ascii="Book Antiqua" w:hAnsi="Book Antiqua" w:cs="SimSun"/>
          <w:b/>
          <w:bCs/>
        </w:rPr>
        <w:t>7</w:t>
      </w:r>
      <w:r w:rsidRPr="00146BCC">
        <w:rPr>
          <w:rFonts w:ascii="Book Antiqua" w:hAnsi="Book Antiqua" w:cs="SimSun"/>
        </w:rPr>
        <w:t>: 461-465 [PMID: 11349269 DOI: 10.1053/jlts.2001.23792]</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46 </w:t>
      </w:r>
      <w:r w:rsidRPr="00146BCC">
        <w:rPr>
          <w:rFonts w:ascii="Book Antiqua" w:hAnsi="Book Antiqua" w:cs="SimSun"/>
          <w:b/>
          <w:bCs/>
        </w:rPr>
        <w:t>Yoshizawa K</w:t>
      </w:r>
      <w:r w:rsidRPr="00146BCC">
        <w:rPr>
          <w:rFonts w:ascii="Book Antiqua" w:hAnsi="Book Antiqua" w:cs="SimSun"/>
        </w:rPr>
        <w:t>, Shirakawa H, Ichijo T, Umemura T, Tanaka E, Kiyosawa K, Imagawa E, Matsuda K, Hidaka E, Sano K, Nakazawa Y, Ikegami T, Hashikura Y, Miyagawa S, Ota M, Nakano M. De novo autoimmune hepatitis following living-donor liver transplantation for primary biliary cirrhosis. </w:t>
      </w:r>
      <w:r w:rsidRPr="00146BCC">
        <w:rPr>
          <w:rFonts w:ascii="Book Antiqua" w:hAnsi="Book Antiqua" w:cs="SimSun"/>
          <w:i/>
          <w:iCs/>
        </w:rPr>
        <w:t>Clin Transplant</w:t>
      </w:r>
      <w:r>
        <w:rPr>
          <w:rFonts w:ascii="Book Antiqua" w:hAnsi="Book Antiqua" w:cs="SimSun" w:hint="eastAsia"/>
        </w:rPr>
        <w:t xml:space="preserve"> 2008</w:t>
      </w:r>
      <w:r w:rsidRPr="00146BCC">
        <w:rPr>
          <w:rFonts w:ascii="Book Antiqua" w:hAnsi="Book Antiqua" w:cs="SimSun"/>
        </w:rPr>
        <w:t>;</w:t>
      </w:r>
      <w:r>
        <w:rPr>
          <w:rFonts w:ascii="Book Antiqua" w:hAnsi="Book Antiqua" w:cs="SimSun" w:hint="eastAsia"/>
        </w:rPr>
        <w:t xml:space="preserve"> </w:t>
      </w:r>
      <w:r w:rsidRPr="00146BCC">
        <w:rPr>
          <w:rFonts w:ascii="Book Antiqua" w:hAnsi="Book Antiqua" w:cs="SimSun"/>
          <w:b/>
          <w:bCs/>
        </w:rPr>
        <w:t>22</w:t>
      </w:r>
      <w:r w:rsidRPr="00146BCC">
        <w:rPr>
          <w:rFonts w:ascii="Book Antiqua" w:hAnsi="Book Antiqua" w:cs="SimSun"/>
        </w:rPr>
        <w:t>: 385-390 [PMID: 18190552 DOI: 10.1111/j.1399-0012.2007.00787.x]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47 </w:t>
      </w:r>
      <w:r w:rsidRPr="00146BCC">
        <w:rPr>
          <w:rFonts w:ascii="Book Antiqua" w:hAnsi="Book Antiqua" w:cs="SimSun"/>
          <w:b/>
          <w:bCs/>
        </w:rPr>
        <w:t>Inui A</w:t>
      </w:r>
      <w:r w:rsidRPr="00146BCC">
        <w:rPr>
          <w:rFonts w:ascii="Book Antiqua" w:hAnsi="Book Antiqua" w:cs="SimSun"/>
        </w:rPr>
        <w:t>, Sogo T, Komatsu H, Miyakawa H, Fujisawa T. Antibodies against cytokeratin 8/18 in a patient with de novo autoimmune hepatitis after living-donor liver transplantation. </w:t>
      </w:r>
      <w:r w:rsidRPr="00146BCC">
        <w:rPr>
          <w:rFonts w:ascii="Book Antiqua" w:hAnsi="Book Antiqua" w:cs="SimSun"/>
          <w:i/>
          <w:iCs/>
        </w:rPr>
        <w:t>Liver Transpl</w:t>
      </w:r>
      <w:r w:rsidRPr="00146BCC">
        <w:rPr>
          <w:rFonts w:ascii="Book Antiqua" w:hAnsi="Book Antiqua" w:cs="SimSun"/>
        </w:rPr>
        <w:t> 2005; </w:t>
      </w:r>
      <w:r w:rsidRPr="00146BCC">
        <w:rPr>
          <w:rFonts w:ascii="Book Antiqua" w:hAnsi="Book Antiqua" w:cs="SimSun"/>
          <w:b/>
          <w:bCs/>
        </w:rPr>
        <w:t>11</w:t>
      </w:r>
      <w:r w:rsidRPr="00146BCC">
        <w:rPr>
          <w:rFonts w:ascii="Book Antiqua" w:hAnsi="Book Antiqua" w:cs="SimSun"/>
        </w:rPr>
        <w:t>: 504-507 [PMID: 15838910 DOI: 10.1002/lt.20404]</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48 </w:t>
      </w:r>
      <w:r w:rsidRPr="00146BCC">
        <w:rPr>
          <w:rFonts w:ascii="Book Antiqua" w:hAnsi="Book Antiqua" w:cs="SimSun"/>
          <w:b/>
          <w:bCs/>
        </w:rPr>
        <w:t>Zhang Y</w:t>
      </w:r>
      <w:r w:rsidRPr="00146BCC">
        <w:rPr>
          <w:rFonts w:ascii="Book Antiqua" w:hAnsi="Book Antiqua" w:cs="SimSun"/>
        </w:rPr>
        <w:t>, Wang B, Wang T. De novo autoimmune hepatitis with centrilobular necrosis following liver transplantation for primary biliary cirrhosis: a case report. </w:t>
      </w:r>
      <w:r w:rsidRPr="00146BCC">
        <w:rPr>
          <w:rFonts w:ascii="Book Antiqua" w:hAnsi="Book Antiqua" w:cs="SimSun"/>
          <w:i/>
          <w:iCs/>
        </w:rPr>
        <w:t>Transplant Proc</w:t>
      </w:r>
      <w:r w:rsidRPr="00146BCC">
        <w:rPr>
          <w:rFonts w:ascii="Book Antiqua" w:hAnsi="Book Antiqua" w:cs="SimSun"/>
        </w:rPr>
        <w:t> 2010; </w:t>
      </w:r>
      <w:r w:rsidRPr="00146BCC">
        <w:rPr>
          <w:rFonts w:ascii="Book Antiqua" w:hAnsi="Book Antiqua" w:cs="SimSun"/>
          <w:b/>
          <w:bCs/>
        </w:rPr>
        <w:t>42</w:t>
      </w:r>
      <w:r w:rsidRPr="00146BCC">
        <w:rPr>
          <w:rFonts w:ascii="Book Antiqua" w:hAnsi="Book Antiqua" w:cs="SimSun"/>
        </w:rPr>
        <w:t>: 3854-3857 [PMID: 21094869 DOI: 10.1016/j.transproceed.2010.08.062]</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49 </w:t>
      </w:r>
      <w:r w:rsidRPr="00146BCC">
        <w:rPr>
          <w:rFonts w:ascii="Book Antiqua" w:hAnsi="Book Antiqua" w:cs="SimSun"/>
          <w:b/>
          <w:bCs/>
        </w:rPr>
        <w:t>Sakamoto T</w:t>
      </w:r>
      <w:r w:rsidRPr="00146BCC">
        <w:rPr>
          <w:rFonts w:ascii="Book Antiqua" w:hAnsi="Book Antiqua" w:cs="SimSun"/>
        </w:rPr>
        <w:t>, Sato Y, Yamamoto S, Oya H, Hatakeyama K. De novo ulcerative colitis and autoimmune hepatitis after living related liver transplantation from cytomegalovirus-positive donor to cytomegalovirus-negative</w:t>
      </w:r>
      <w:r>
        <w:rPr>
          <w:rFonts w:ascii="Book Antiqua" w:hAnsi="Book Antiqua" w:cs="SimSun" w:hint="eastAsia"/>
        </w:rPr>
        <w:t xml:space="preserve"> </w:t>
      </w:r>
      <w:r w:rsidRPr="00146BCC">
        <w:rPr>
          <w:rFonts w:ascii="Book Antiqua" w:hAnsi="Book Antiqua" w:cs="SimSun"/>
        </w:rPr>
        <w:t>recipient: a case report. </w:t>
      </w:r>
      <w:r w:rsidRPr="00146BCC">
        <w:rPr>
          <w:rFonts w:ascii="Book Antiqua" w:hAnsi="Book Antiqua" w:cs="SimSun"/>
          <w:i/>
          <w:iCs/>
        </w:rPr>
        <w:t>Transplant Proc</w:t>
      </w:r>
      <w:r w:rsidRPr="00146BCC">
        <w:rPr>
          <w:rFonts w:ascii="Book Antiqua" w:hAnsi="Book Antiqua" w:cs="SimSun"/>
        </w:rPr>
        <w:t> 2012; </w:t>
      </w:r>
      <w:r w:rsidRPr="00146BCC">
        <w:rPr>
          <w:rFonts w:ascii="Book Antiqua" w:hAnsi="Book Antiqua" w:cs="SimSun"/>
          <w:b/>
          <w:bCs/>
        </w:rPr>
        <w:t>44</w:t>
      </w:r>
      <w:r w:rsidRPr="00146BCC">
        <w:rPr>
          <w:rFonts w:ascii="Book Antiqua" w:hAnsi="Book Antiqua" w:cs="SimSun"/>
        </w:rPr>
        <w:t>: 570-573 [PMID: 22410071 DOI: 10.1016/j.transproceed.2012.01.007]</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50 </w:t>
      </w:r>
      <w:r w:rsidRPr="00146BCC">
        <w:rPr>
          <w:rFonts w:ascii="Book Antiqua" w:hAnsi="Book Antiqua" w:cs="SimSun"/>
          <w:b/>
          <w:bCs/>
        </w:rPr>
        <w:t>Miyagawa-Hayashino A</w:t>
      </w:r>
      <w:r w:rsidRPr="00146BCC">
        <w:rPr>
          <w:rFonts w:ascii="Book Antiqua" w:hAnsi="Book Antiqua" w:cs="SimSun"/>
        </w:rPr>
        <w:t>, Haga H, Egawa H, Hayashino Y, Sakurai T, Minamiguchi S, Tanaka K, Manabe T. Outcome and risk factors of de novo autoimmune hepatitis in living-donor liver transplantation.</w:t>
      </w:r>
      <w:r>
        <w:rPr>
          <w:rFonts w:ascii="Book Antiqua" w:hAnsi="Book Antiqua" w:cs="SimSun" w:hint="eastAsia"/>
        </w:rPr>
        <w:t xml:space="preserve"> </w:t>
      </w:r>
      <w:r w:rsidRPr="00146BCC">
        <w:rPr>
          <w:rFonts w:ascii="Book Antiqua" w:hAnsi="Book Antiqua" w:cs="SimSun"/>
          <w:i/>
          <w:iCs/>
        </w:rPr>
        <w:t>Transplantation</w:t>
      </w:r>
      <w:r>
        <w:rPr>
          <w:rFonts w:ascii="Book Antiqua" w:hAnsi="Book Antiqua" w:cs="SimSun" w:hint="eastAsia"/>
        </w:rPr>
        <w:t xml:space="preserve"> </w:t>
      </w:r>
      <w:r w:rsidRPr="00146BCC">
        <w:rPr>
          <w:rFonts w:ascii="Book Antiqua" w:hAnsi="Book Antiqua" w:cs="SimSun"/>
        </w:rPr>
        <w:t>2004;</w:t>
      </w:r>
      <w:r>
        <w:rPr>
          <w:rFonts w:ascii="Book Antiqua" w:hAnsi="Book Antiqua" w:cs="SimSun" w:hint="eastAsia"/>
        </w:rPr>
        <w:t xml:space="preserve"> </w:t>
      </w:r>
      <w:r w:rsidRPr="00146BCC">
        <w:rPr>
          <w:rFonts w:ascii="Book Antiqua" w:hAnsi="Book Antiqua" w:cs="SimSun"/>
          <w:b/>
          <w:bCs/>
        </w:rPr>
        <w:t>78</w:t>
      </w:r>
      <w:r w:rsidRPr="00146BCC">
        <w:rPr>
          <w:rFonts w:ascii="Book Antiqua" w:hAnsi="Book Antiqua" w:cs="SimSun"/>
        </w:rPr>
        <w:t>: 128-135 [PMID: 15257051]</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51 </w:t>
      </w:r>
      <w:r w:rsidRPr="00146BCC">
        <w:rPr>
          <w:rFonts w:ascii="Book Antiqua" w:hAnsi="Book Antiqua" w:cs="SimSun"/>
          <w:b/>
          <w:bCs/>
        </w:rPr>
        <w:t>Miyagawa-Hayashino A</w:t>
      </w:r>
      <w:r w:rsidRPr="00146BCC">
        <w:rPr>
          <w:rFonts w:ascii="Book Antiqua" w:hAnsi="Book Antiqua" w:cs="SimSun"/>
        </w:rPr>
        <w:t>, Haga H, Sakurai T, Shirase T, Manabe T, Egawa H. De novo autoimmune hepatitis affecting allograft but not the native liver in auxiliary partial orthotopic liver transplantation. </w:t>
      </w:r>
      <w:r w:rsidRPr="00146BCC">
        <w:rPr>
          <w:rFonts w:ascii="Book Antiqua" w:hAnsi="Book Antiqua" w:cs="SimSun"/>
          <w:i/>
          <w:iCs/>
        </w:rPr>
        <w:t>Transplantation</w:t>
      </w:r>
      <w:r w:rsidRPr="00146BCC">
        <w:rPr>
          <w:rFonts w:ascii="Book Antiqua" w:hAnsi="Book Antiqua" w:cs="SimSun"/>
        </w:rPr>
        <w:t> 2003; </w:t>
      </w:r>
      <w:r w:rsidRPr="00146BCC">
        <w:rPr>
          <w:rFonts w:ascii="Book Antiqua" w:hAnsi="Book Antiqua" w:cs="SimSun"/>
          <w:b/>
          <w:bCs/>
        </w:rPr>
        <w:t>76</w:t>
      </w:r>
      <w:r w:rsidRPr="00146BCC">
        <w:rPr>
          <w:rFonts w:ascii="Book Antiqua" w:hAnsi="Book Antiqua" w:cs="SimSun"/>
        </w:rPr>
        <w:t>: 271-272 [PMID: 12865828 DOI: 10.1097/01.TP.0000072338.88465.59]</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lastRenderedPageBreak/>
        <w:t>52 </w:t>
      </w:r>
      <w:r w:rsidRPr="00146BCC">
        <w:rPr>
          <w:rFonts w:ascii="Book Antiqua" w:hAnsi="Book Antiqua" w:cs="SimSun"/>
          <w:b/>
          <w:bCs/>
        </w:rPr>
        <w:t>Casanovas T</w:t>
      </w:r>
      <w:r w:rsidRPr="00146BCC">
        <w:rPr>
          <w:rFonts w:ascii="Book Antiqua" w:hAnsi="Book Antiqua" w:cs="SimSun"/>
        </w:rPr>
        <w:t>, Argudo A, Peña-Cala MC. Effectiveness and safety of everolimus in the treatment of autoimmune hepatitis related to anti-hepatitis C virus therapy after liver transplant: three case reports. </w:t>
      </w:r>
      <w:r w:rsidRPr="00146BCC">
        <w:rPr>
          <w:rFonts w:ascii="Book Antiqua" w:hAnsi="Book Antiqua" w:cs="SimSun"/>
          <w:i/>
          <w:iCs/>
        </w:rPr>
        <w:t>Transplant Proc</w:t>
      </w:r>
      <w:r>
        <w:rPr>
          <w:rFonts w:ascii="Book Antiqua" w:hAnsi="Book Antiqua" w:cs="SimSun" w:hint="eastAsia"/>
        </w:rPr>
        <w:t xml:space="preserve"> 2011</w:t>
      </w:r>
      <w:r w:rsidRPr="00146BCC">
        <w:rPr>
          <w:rFonts w:ascii="Book Antiqua" w:hAnsi="Book Antiqua" w:cs="SimSun"/>
        </w:rPr>
        <w:t>;</w:t>
      </w:r>
      <w:r>
        <w:rPr>
          <w:rFonts w:ascii="Book Antiqua" w:hAnsi="Book Antiqua" w:cs="SimSun" w:hint="eastAsia"/>
        </w:rPr>
        <w:t xml:space="preserve"> </w:t>
      </w:r>
      <w:r w:rsidRPr="00146BCC">
        <w:rPr>
          <w:rFonts w:ascii="Book Antiqua" w:hAnsi="Book Antiqua" w:cs="SimSun"/>
          <w:b/>
          <w:bCs/>
        </w:rPr>
        <w:t>43</w:t>
      </w:r>
      <w:r w:rsidRPr="00146BCC">
        <w:rPr>
          <w:rFonts w:ascii="Book Antiqua" w:hAnsi="Book Antiqua" w:cs="SimSun"/>
        </w:rPr>
        <w:t>:</w:t>
      </w:r>
      <w:r>
        <w:rPr>
          <w:rFonts w:ascii="Book Antiqua" w:hAnsi="Book Antiqua" w:cs="SimSun" w:hint="eastAsia"/>
        </w:rPr>
        <w:t xml:space="preserve"> </w:t>
      </w:r>
      <w:r w:rsidRPr="00146BCC">
        <w:rPr>
          <w:rFonts w:ascii="Book Antiqua" w:hAnsi="Book Antiqua" w:cs="SimSun"/>
        </w:rPr>
        <w:t>2233-2236 [PMID: 21839242 DOI: 10.1016/j.transproceed.2011.05.028]</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53 </w:t>
      </w:r>
      <w:r w:rsidRPr="00146BCC">
        <w:rPr>
          <w:rFonts w:ascii="Book Antiqua" w:hAnsi="Book Antiqua" w:cs="SimSun"/>
          <w:b/>
          <w:bCs/>
        </w:rPr>
        <w:t>Sebagh M</w:t>
      </w:r>
      <w:r w:rsidRPr="00146BCC">
        <w:rPr>
          <w:rFonts w:ascii="Book Antiqua" w:hAnsi="Book Antiqua" w:cs="SimSun"/>
        </w:rPr>
        <w:t>, Castillo-Rama M, Azoulay D, Coilly A, Delvart V, Allard MA, Dos Santos A, Johanet C, Roque-Afonso AM, Saliba F, Duclos-Vallée JC, Samuel D, Demetris AJ. Histologic findings predictive of a diagnosis of de novo autoimmune hepatitis after liver transplantation in adults.</w:t>
      </w:r>
      <w:r>
        <w:rPr>
          <w:rFonts w:ascii="Book Antiqua" w:hAnsi="Book Antiqua" w:cs="SimSun" w:hint="eastAsia"/>
        </w:rPr>
        <w:t xml:space="preserve"> </w:t>
      </w:r>
      <w:r w:rsidRPr="00146BCC">
        <w:rPr>
          <w:rFonts w:ascii="Book Antiqua" w:hAnsi="Book Antiqua" w:cs="SimSun"/>
          <w:i/>
          <w:iCs/>
        </w:rPr>
        <w:t>Transplantation</w:t>
      </w:r>
      <w:r>
        <w:rPr>
          <w:rFonts w:ascii="Book Antiqua" w:hAnsi="Book Antiqua" w:cs="SimSun" w:hint="eastAsia"/>
        </w:rPr>
        <w:t xml:space="preserve"> </w:t>
      </w:r>
      <w:r w:rsidRPr="00146BCC">
        <w:rPr>
          <w:rFonts w:ascii="Book Antiqua" w:hAnsi="Book Antiqua" w:cs="SimSun"/>
        </w:rPr>
        <w:t>2013;</w:t>
      </w:r>
      <w:r>
        <w:rPr>
          <w:rFonts w:ascii="Book Antiqua" w:hAnsi="Book Antiqua" w:cs="SimSun" w:hint="eastAsia"/>
        </w:rPr>
        <w:t xml:space="preserve"> </w:t>
      </w:r>
      <w:r w:rsidRPr="00146BCC">
        <w:rPr>
          <w:rFonts w:ascii="Book Antiqua" w:hAnsi="Book Antiqua" w:cs="SimSun"/>
          <w:b/>
          <w:bCs/>
        </w:rPr>
        <w:t>96</w:t>
      </w:r>
      <w:r w:rsidRPr="00146BCC">
        <w:rPr>
          <w:rFonts w:ascii="Book Antiqua" w:hAnsi="Book Antiqua" w:cs="SimSun"/>
        </w:rPr>
        <w:t>: 670-678 [PMID: 23982338 DOI: 10.1097/TP.0b013e31829eda7f]</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54 </w:t>
      </w:r>
      <w:r w:rsidRPr="00146BCC">
        <w:rPr>
          <w:rFonts w:ascii="Book Antiqua" w:hAnsi="Book Antiqua" w:cs="SimSun"/>
          <w:b/>
          <w:bCs/>
        </w:rPr>
        <w:t>Alvarez F</w:t>
      </w:r>
      <w:r w:rsidRPr="00146BCC">
        <w:rPr>
          <w:rFonts w:ascii="Book Antiqua" w:hAnsi="Book Antiqua" w:cs="SimSun"/>
        </w:rPr>
        <w:t>, Berg PA, Bianchi FB, Bianchi L, Burroughs AK, Cancado EL, Chapman RW, Cooksley WG, Czaja AJ, Desmet VJ, Donaldson PT, Eddleston AL, Fainboim L, Heathcote J, Homberg JC, Hoofnagle JH, Kakumu S, Krawitt EL, Mackay IR, MacSween RN, Maddrey WC, Manns MP, McFarlane IG, Meyer zum Büschenfelde KH, Zeniya M. International Autoimmune Hepatitis Group Report: review of criteria for diagnosis of autoimmune hepatitis. </w:t>
      </w:r>
      <w:r w:rsidRPr="00146BCC">
        <w:rPr>
          <w:rFonts w:ascii="Book Antiqua" w:hAnsi="Book Antiqua" w:cs="SimSun"/>
          <w:i/>
          <w:iCs/>
        </w:rPr>
        <w:t>J Hepatol</w:t>
      </w:r>
      <w:r w:rsidRPr="00146BCC">
        <w:rPr>
          <w:rFonts w:ascii="Book Antiqua" w:hAnsi="Book Antiqua" w:cs="SimSun"/>
        </w:rPr>
        <w:t> 1999; </w:t>
      </w:r>
      <w:r w:rsidRPr="00146BCC">
        <w:rPr>
          <w:rFonts w:ascii="Book Antiqua" w:hAnsi="Book Antiqua" w:cs="SimSun"/>
          <w:b/>
          <w:bCs/>
        </w:rPr>
        <w:t>31</w:t>
      </w:r>
      <w:r w:rsidRPr="00146BCC">
        <w:rPr>
          <w:rFonts w:ascii="Book Antiqua" w:hAnsi="Book Antiqua" w:cs="SimSun"/>
        </w:rPr>
        <w:t>: 929-938 [PMID: 10580593 DOI: 10.1016/S0168-8278(99)80297-9]</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55 </w:t>
      </w:r>
      <w:r w:rsidRPr="00146BCC">
        <w:rPr>
          <w:rFonts w:ascii="Book Antiqua" w:hAnsi="Book Antiqua" w:cs="SimSun"/>
          <w:b/>
          <w:bCs/>
        </w:rPr>
        <w:t>Johnson PJ</w:t>
      </w:r>
      <w:r w:rsidRPr="00146BCC">
        <w:rPr>
          <w:rFonts w:ascii="Book Antiqua" w:hAnsi="Book Antiqua" w:cs="SimSun"/>
        </w:rPr>
        <w:t>, McFarlane IG. Meeting report: International Autoimmune Hepatitis Group. </w:t>
      </w:r>
      <w:r w:rsidRPr="00146BCC">
        <w:rPr>
          <w:rFonts w:ascii="Book Antiqua" w:hAnsi="Book Antiqua" w:cs="SimSun"/>
          <w:i/>
          <w:iCs/>
        </w:rPr>
        <w:t>Hepatology</w:t>
      </w:r>
      <w:r w:rsidRPr="00146BCC">
        <w:rPr>
          <w:rFonts w:ascii="Book Antiqua" w:hAnsi="Book Antiqua" w:cs="SimSun"/>
        </w:rPr>
        <w:t> 1993; </w:t>
      </w:r>
      <w:r w:rsidRPr="00146BCC">
        <w:rPr>
          <w:rFonts w:ascii="Book Antiqua" w:hAnsi="Book Antiqua" w:cs="SimSun"/>
          <w:b/>
          <w:bCs/>
        </w:rPr>
        <w:t>18</w:t>
      </w:r>
      <w:r w:rsidRPr="00146BCC">
        <w:rPr>
          <w:rFonts w:ascii="Book Antiqua" w:hAnsi="Book Antiqua" w:cs="SimSun"/>
        </w:rPr>
        <w:t>: 998-1005 [PMID: 8406375]</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56 </w:t>
      </w:r>
      <w:r w:rsidRPr="00146BCC">
        <w:rPr>
          <w:rFonts w:ascii="Book Antiqua" w:hAnsi="Book Antiqua" w:cs="SimSun"/>
          <w:b/>
          <w:bCs/>
        </w:rPr>
        <w:t>Guido M</w:t>
      </w:r>
      <w:r w:rsidRPr="00146BCC">
        <w:rPr>
          <w:rFonts w:ascii="Book Antiqua" w:hAnsi="Book Antiqua" w:cs="SimSun"/>
        </w:rPr>
        <w:t>, Burra P. De novo autoimmune hepatitis after liver transplantation.</w:t>
      </w:r>
      <w:r>
        <w:rPr>
          <w:rFonts w:ascii="Book Antiqua" w:hAnsi="Book Antiqua" w:cs="SimSun" w:hint="eastAsia"/>
        </w:rPr>
        <w:t xml:space="preserve"> </w:t>
      </w:r>
      <w:r w:rsidRPr="00146BCC">
        <w:rPr>
          <w:rFonts w:ascii="Book Antiqua" w:hAnsi="Book Antiqua" w:cs="SimSun"/>
          <w:i/>
          <w:iCs/>
        </w:rPr>
        <w:t>Semin Liver Dis</w:t>
      </w:r>
      <w:r w:rsidRPr="00146BCC">
        <w:rPr>
          <w:rFonts w:ascii="Book Antiqua" w:hAnsi="Book Antiqua" w:cs="SimSun"/>
        </w:rPr>
        <w:t> 2011; </w:t>
      </w:r>
      <w:r w:rsidRPr="00146BCC">
        <w:rPr>
          <w:rFonts w:ascii="Book Antiqua" w:hAnsi="Book Antiqua" w:cs="SimSun"/>
          <w:b/>
          <w:bCs/>
        </w:rPr>
        <w:t>31</w:t>
      </w:r>
      <w:r w:rsidRPr="00146BCC">
        <w:rPr>
          <w:rFonts w:ascii="Book Antiqua" w:hAnsi="Book Antiqua" w:cs="SimSun"/>
        </w:rPr>
        <w:t>: 71-81 [PMID: 21344352 DOI: 10.1055/s-0031-1272834]</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57 </w:t>
      </w:r>
      <w:r w:rsidRPr="00146BCC">
        <w:rPr>
          <w:rFonts w:ascii="Book Antiqua" w:hAnsi="Book Antiqua" w:cs="SimSun"/>
          <w:b/>
          <w:bCs/>
        </w:rPr>
        <w:t>Sanchez-Fueyo A</w:t>
      </w:r>
      <w:r w:rsidRPr="00146BCC">
        <w:rPr>
          <w:rFonts w:ascii="Book Antiqua" w:hAnsi="Book Antiqua" w:cs="SimSun"/>
        </w:rPr>
        <w:t>. Tolerance profiles and immunosuppression. </w:t>
      </w:r>
      <w:r w:rsidRPr="00146BCC">
        <w:rPr>
          <w:rFonts w:ascii="Book Antiqua" w:hAnsi="Book Antiqua" w:cs="SimSun"/>
          <w:i/>
          <w:iCs/>
        </w:rPr>
        <w:t>Liver Transpl</w:t>
      </w:r>
      <w:r w:rsidRPr="00146BCC">
        <w:rPr>
          <w:rFonts w:ascii="Book Antiqua" w:hAnsi="Book Antiqua" w:cs="SimSun"/>
        </w:rPr>
        <w:t> 2013; </w:t>
      </w:r>
      <w:r w:rsidRPr="00146BCC">
        <w:rPr>
          <w:rFonts w:ascii="Book Antiqua" w:hAnsi="Book Antiqua" w:cs="SimSun"/>
          <w:b/>
          <w:bCs/>
        </w:rPr>
        <w:t>19 Suppl 2</w:t>
      </w:r>
      <w:r w:rsidRPr="00146BCC">
        <w:rPr>
          <w:rFonts w:ascii="Book Antiqua" w:hAnsi="Book Antiqua" w:cs="SimSun"/>
        </w:rPr>
        <w:t>: S44-S48 [PMID: 24108496 DOI: 10.1002/lt.23749]</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58 </w:t>
      </w:r>
      <w:r w:rsidRPr="00146BCC">
        <w:rPr>
          <w:rFonts w:ascii="Book Antiqua" w:hAnsi="Book Antiqua" w:cs="SimSun"/>
          <w:b/>
          <w:bCs/>
        </w:rPr>
        <w:t>Mieli-Vergani G</w:t>
      </w:r>
      <w:r w:rsidRPr="00146BCC">
        <w:rPr>
          <w:rFonts w:ascii="Book Antiqua" w:hAnsi="Book Antiqua" w:cs="SimSun"/>
        </w:rPr>
        <w:t>, Vergani D. De novo autoimmune hepatitis after liver transplantation.</w:t>
      </w:r>
      <w:r>
        <w:rPr>
          <w:rFonts w:ascii="Book Antiqua" w:hAnsi="Book Antiqua" w:cs="SimSun" w:hint="eastAsia"/>
        </w:rPr>
        <w:t xml:space="preserve"> </w:t>
      </w:r>
      <w:r w:rsidRPr="00146BCC">
        <w:rPr>
          <w:rFonts w:ascii="Book Antiqua" w:hAnsi="Book Antiqua" w:cs="SimSun"/>
          <w:i/>
          <w:iCs/>
        </w:rPr>
        <w:t>J Hepatol</w:t>
      </w:r>
      <w:r w:rsidRPr="00146BCC">
        <w:rPr>
          <w:rFonts w:ascii="Book Antiqua" w:hAnsi="Book Antiqua" w:cs="SimSun"/>
        </w:rPr>
        <w:t> 2004; </w:t>
      </w:r>
      <w:r w:rsidRPr="00146BCC">
        <w:rPr>
          <w:rFonts w:ascii="Book Antiqua" w:hAnsi="Book Antiqua" w:cs="SimSun"/>
          <w:b/>
          <w:bCs/>
        </w:rPr>
        <w:t>40</w:t>
      </w:r>
      <w:r w:rsidRPr="00146BCC">
        <w:rPr>
          <w:rFonts w:ascii="Book Antiqua" w:hAnsi="Book Antiqua" w:cs="SimSun"/>
        </w:rPr>
        <w:t>: 3-7 [PMID: 14672607 DOI: 10.1016/j.jhep.2003.10.022]</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59 </w:t>
      </w:r>
      <w:r w:rsidRPr="00146BCC">
        <w:rPr>
          <w:rFonts w:ascii="Book Antiqua" w:hAnsi="Book Antiqua" w:cs="SimSun"/>
          <w:b/>
          <w:bCs/>
        </w:rPr>
        <w:t>Getts DR</w:t>
      </w:r>
      <w:r w:rsidRPr="00146BCC">
        <w:rPr>
          <w:rFonts w:ascii="Book Antiqua" w:hAnsi="Book Antiqua" w:cs="SimSun"/>
        </w:rPr>
        <w:t>, Chastain EM, Terry RL, Miller SD. Virus infection, antiviral immunity, and autoimmunity. </w:t>
      </w:r>
      <w:r w:rsidRPr="00146BCC">
        <w:rPr>
          <w:rFonts w:ascii="Book Antiqua" w:hAnsi="Book Antiqua" w:cs="SimSun"/>
          <w:i/>
          <w:iCs/>
        </w:rPr>
        <w:t>Immunol Rev</w:t>
      </w:r>
      <w:r w:rsidRPr="00146BCC">
        <w:rPr>
          <w:rFonts w:ascii="Book Antiqua" w:hAnsi="Book Antiqua" w:cs="SimSun"/>
        </w:rPr>
        <w:t> 2013; </w:t>
      </w:r>
      <w:r w:rsidRPr="00146BCC">
        <w:rPr>
          <w:rFonts w:ascii="Book Antiqua" w:hAnsi="Book Antiqua" w:cs="SimSun"/>
          <w:b/>
          <w:bCs/>
        </w:rPr>
        <w:t>255</w:t>
      </w:r>
      <w:r w:rsidRPr="00146BCC">
        <w:rPr>
          <w:rFonts w:ascii="Book Antiqua" w:hAnsi="Book Antiqua" w:cs="SimSun"/>
        </w:rPr>
        <w:t>: 197-209 [PMID: 23947356 DOI: 10.1111/imr.12091]</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lastRenderedPageBreak/>
        <w:t>60 </w:t>
      </w:r>
      <w:r w:rsidRPr="00146BCC">
        <w:rPr>
          <w:rFonts w:ascii="Book Antiqua" w:hAnsi="Book Antiqua" w:cs="SimSun"/>
          <w:b/>
          <w:bCs/>
        </w:rPr>
        <w:t>Vanderlugt CJ</w:t>
      </w:r>
      <w:r w:rsidRPr="00146BCC">
        <w:rPr>
          <w:rFonts w:ascii="Book Antiqua" w:hAnsi="Book Antiqua" w:cs="SimSun"/>
        </w:rPr>
        <w:t>, Miller SD. Epitope spreading. </w:t>
      </w:r>
      <w:r w:rsidRPr="00146BCC">
        <w:rPr>
          <w:rFonts w:ascii="Book Antiqua" w:hAnsi="Book Antiqua" w:cs="SimSun"/>
          <w:i/>
          <w:iCs/>
        </w:rPr>
        <w:t>Curr Opin Immunol</w:t>
      </w:r>
      <w:r w:rsidRPr="00146BCC">
        <w:rPr>
          <w:rFonts w:ascii="Book Antiqua" w:hAnsi="Book Antiqua" w:cs="SimSun"/>
        </w:rPr>
        <w:t> 1996; </w:t>
      </w:r>
      <w:r w:rsidRPr="00146BCC">
        <w:rPr>
          <w:rFonts w:ascii="Book Antiqua" w:hAnsi="Book Antiqua" w:cs="SimSun"/>
          <w:b/>
          <w:bCs/>
        </w:rPr>
        <w:t>8</w:t>
      </w:r>
      <w:r w:rsidRPr="00146BCC">
        <w:rPr>
          <w:rFonts w:ascii="Book Antiqua" w:hAnsi="Book Antiqua" w:cs="SimSun"/>
        </w:rPr>
        <w:t>: 831-836 [PMID: 8994863 DOI: 10.1016/S0952-7915(96)80012-4]</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61 </w:t>
      </w:r>
      <w:r w:rsidRPr="00146BCC">
        <w:rPr>
          <w:rFonts w:ascii="Book Antiqua" w:hAnsi="Book Antiqua" w:cs="SimSun"/>
          <w:b/>
          <w:bCs/>
        </w:rPr>
        <w:t>Vanderlugt CL</w:t>
      </w:r>
      <w:r w:rsidRPr="00146BCC">
        <w:rPr>
          <w:rFonts w:ascii="Book Antiqua" w:hAnsi="Book Antiqua" w:cs="SimSun"/>
        </w:rPr>
        <w:t>, Miller SD. Epitope spreading in immune-mediated diseases: implications for immunotherapy. </w:t>
      </w:r>
      <w:r w:rsidRPr="00146BCC">
        <w:rPr>
          <w:rFonts w:ascii="Book Antiqua" w:hAnsi="Book Antiqua" w:cs="SimSun"/>
          <w:i/>
          <w:iCs/>
        </w:rPr>
        <w:t>Nat Rev Immunol</w:t>
      </w:r>
      <w:r w:rsidRPr="00146BCC">
        <w:rPr>
          <w:rFonts w:ascii="Book Antiqua" w:hAnsi="Book Antiqua" w:cs="SimSun"/>
        </w:rPr>
        <w:t> 2002; </w:t>
      </w:r>
      <w:r w:rsidRPr="00146BCC">
        <w:rPr>
          <w:rFonts w:ascii="Book Antiqua" w:hAnsi="Book Antiqua" w:cs="SimSun"/>
          <w:b/>
          <w:bCs/>
        </w:rPr>
        <w:t>2</w:t>
      </w:r>
      <w:r w:rsidRPr="00146BCC">
        <w:rPr>
          <w:rFonts w:ascii="Book Antiqua" w:hAnsi="Book Antiqua" w:cs="SimSun"/>
        </w:rPr>
        <w:t>: 85-95 [PMID: 11910899 DOI: 10.1038/nri724]</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62 </w:t>
      </w:r>
      <w:r w:rsidRPr="00146BCC">
        <w:rPr>
          <w:rFonts w:ascii="Book Antiqua" w:hAnsi="Book Antiqua" w:cs="SimSun"/>
          <w:b/>
          <w:bCs/>
        </w:rPr>
        <w:t>Kang HG</w:t>
      </w:r>
      <w:r w:rsidRPr="00146BCC">
        <w:rPr>
          <w:rFonts w:ascii="Book Antiqua" w:hAnsi="Book Antiqua" w:cs="SimSun"/>
        </w:rPr>
        <w:t>, Zhang D, Degauque N, Mariat C, Alexopoulos S, Zheng XX. Effects of cyclosporine on transplant tolerance: the role of IL-2. </w:t>
      </w:r>
      <w:r w:rsidRPr="00146BCC">
        <w:rPr>
          <w:rFonts w:ascii="Book Antiqua" w:hAnsi="Book Antiqua" w:cs="SimSun"/>
          <w:i/>
          <w:iCs/>
        </w:rPr>
        <w:t>Am J Transplant</w:t>
      </w:r>
      <w:r>
        <w:rPr>
          <w:rFonts w:ascii="Book Antiqua" w:hAnsi="Book Antiqua" w:cs="SimSun" w:hint="eastAsia"/>
        </w:rPr>
        <w:t xml:space="preserve"> </w:t>
      </w:r>
      <w:r w:rsidRPr="00146BCC">
        <w:rPr>
          <w:rFonts w:ascii="Book Antiqua" w:hAnsi="Book Antiqua" w:cs="SimSun"/>
        </w:rPr>
        <w:t>2007;</w:t>
      </w:r>
      <w:r>
        <w:rPr>
          <w:rFonts w:ascii="Book Antiqua" w:hAnsi="Book Antiqua" w:cs="SimSun" w:hint="eastAsia"/>
        </w:rPr>
        <w:t xml:space="preserve"> </w:t>
      </w:r>
      <w:r w:rsidRPr="00146BCC">
        <w:rPr>
          <w:rFonts w:ascii="Book Antiqua" w:hAnsi="Book Antiqua" w:cs="SimSun"/>
          <w:b/>
          <w:bCs/>
        </w:rPr>
        <w:t>7</w:t>
      </w:r>
      <w:r w:rsidRPr="00146BCC">
        <w:rPr>
          <w:rFonts w:ascii="Book Antiqua" w:hAnsi="Book Antiqua" w:cs="SimSun"/>
        </w:rPr>
        <w:t>: 1907-1916 [PMID: 17617853 DOI: 10.1111/j.1600-6143.2007.01881.x]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63 </w:t>
      </w:r>
      <w:r w:rsidRPr="00146BCC">
        <w:rPr>
          <w:rFonts w:ascii="Book Antiqua" w:hAnsi="Book Antiqua" w:cs="SimSun"/>
          <w:b/>
          <w:bCs/>
        </w:rPr>
        <w:t>Schreuder TC</w:t>
      </w:r>
      <w:r w:rsidRPr="00146BCC">
        <w:rPr>
          <w:rFonts w:ascii="Book Antiqua" w:hAnsi="Book Antiqua" w:cs="SimSun"/>
        </w:rPr>
        <w:t>, Hübscher SG, Neuberger J. Autoimmune liver diseases and recurrence after orthotopic liver transplantation: what have we learned so far?</w:t>
      </w:r>
      <w:r>
        <w:rPr>
          <w:rFonts w:ascii="Book Antiqua" w:hAnsi="Book Antiqua" w:cs="SimSun" w:hint="eastAsia"/>
        </w:rPr>
        <w:t xml:space="preserve"> </w:t>
      </w:r>
      <w:r w:rsidRPr="00146BCC">
        <w:rPr>
          <w:rFonts w:ascii="Book Antiqua" w:hAnsi="Book Antiqua" w:cs="SimSun"/>
          <w:i/>
          <w:iCs/>
        </w:rPr>
        <w:t>Transpl Int</w:t>
      </w:r>
      <w:r>
        <w:rPr>
          <w:rFonts w:ascii="Book Antiqua" w:hAnsi="Book Antiqua" w:cs="SimSun" w:hint="eastAsia"/>
        </w:rPr>
        <w:t xml:space="preserve"> </w:t>
      </w:r>
      <w:r w:rsidRPr="00146BCC">
        <w:rPr>
          <w:rFonts w:ascii="Book Antiqua" w:hAnsi="Book Antiqua" w:cs="SimSun"/>
        </w:rPr>
        <w:t>2009;</w:t>
      </w:r>
      <w:r>
        <w:rPr>
          <w:rFonts w:ascii="Book Antiqua" w:hAnsi="Book Antiqua" w:cs="SimSun" w:hint="eastAsia"/>
        </w:rPr>
        <w:t xml:space="preserve"> </w:t>
      </w:r>
      <w:r w:rsidRPr="00146BCC">
        <w:rPr>
          <w:rFonts w:ascii="Book Antiqua" w:hAnsi="Book Antiqua" w:cs="SimSun"/>
          <w:b/>
          <w:bCs/>
        </w:rPr>
        <w:t>22</w:t>
      </w:r>
      <w:r w:rsidRPr="00146BCC">
        <w:rPr>
          <w:rFonts w:ascii="Book Antiqua" w:hAnsi="Book Antiqua" w:cs="SimSun"/>
        </w:rPr>
        <w:t>: 144-152 [PMID: 18662365 DOI: 10.1111/j.1432-2277.2008.00729.x]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64 </w:t>
      </w:r>
      <w:r w:rsidRPr="00146BCC">
        <w:rPr>
          <w:rFonts w:ascii="Book Antiqua" w:hAnsi="Book Antiqua" w:cs="SimSun"/>
          <w:b/>
          <w:bCs/>
        </w:rPr>
        <w:t>Varani S</w:t>
      </w:r>
      <w:r w:rsidRPr="00146BCC">
        <w:rPr>
          <w:rFonts w:ascii="Book Antiqua" w:hAnsi="Book Antiqua" w:cs="SimSun"/>
        </w:rPr>
        <w:t>, Muratori L, De Ruvo N, Vivarelli M, Lazzarotto T, Gabrielli L, Bianchi FB, Bellusci R, Landini MP. Autoantibody appearance in cytomegalovirus-infected liver transplant recipients: correlation with antigenemia.</w:t>
      </w:r>
      <w:r>
        <w:rPr>
          <w:rFonts w:ascii="Book Antiqua" w:hAnsi="Book Antiqua" w:cs="SimSun" w:hint="eastAsia"/>
        </w:rPr>
        <w:t xml:space="preserve"> </w:t>
      </w:r>
      <w:r w:rsidRPr="00146BCC">
        <w:rPr>
          <w:rFonts w:ascii="Book Antiqua" w:hAnsi="Book Antiqua" w:cs="SimSun"/>
          <w:i/>
          <w:iCs/>
        </w:rPr>
        <w:t>J Med Virol</w:t>
      </w:r>
      <w:r w:rsidRPr="00146BCC">
        <w:rPr>
          <w:rFonts w:ascii="Book Antiqua" w:hAnsi="Book Antiqua" w:cs="SimSun"/>
        </w:rPr>
        <w:t> 2002; </w:t>
      </w:r>
      <w:r w:rsidRPr="00146BCC">
        <w:rPr>
          <w:rFonts w:ascii="Book Antiqua" w:hAnsi="Book Antiqua" w:cs="SimSun"/>
          <w:b/>
          <w:bCs/>
        </w:rPr>
        <w:t>66</w:t>
      </w:r>
      <w:r w:rsidRPr="00146BCC">
        <w:rPr>
          <w:rFonts w:ascii="Book Antiqua" w:hAnsi="Book Antiqua" w:cs="SimSun"/>
        </w:rPr>
        <w:t>: 56-62 [PMID: 11748659 DOI: 10.1002/jmv.2111]</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65 </w:t>
      </w:r>
      <w:r w:rsidRPr="00146BCC">
        <w:rPr>
          <w:rFonts w:ascii="Book Antiqua" w:hAnsi="Book Antiqua" w:cs="SimSun"/>
          <w:b/>
          <w:bCs/>
        </w:rPr>
        <w:t>Fiel MI</w:t>
      </w:r>
      <w:r w:rsidRPr="00146BCC">
        <w:rPr>
          <w:rFonts w:ascii="Book Antiqua" w:hAnsi="Book Antiqua" w:cs="SimSun"/>
        </w:rPr>
        <w:t>, Schiano TD. Plasma cell hepatitis (de-novo autoimmune hepatitis) developing post liver transplantation. </w:t>
      </w:r>
      <w:r w:rsidRPr="00146BCC">
        <w:rPr>
          <w:rFonts w:ascii="Book Antiqua" w:hAnsi="Book Antiqua" w:cs="SimSun"/>
          <w:i/>
          <w:iCs/>
        </w:rPr>
        <w:t>Curr Opin Organ Transplant</w:t>
      </w:r>
      <w:r w:rsidRPr="00146BCC">
        <w:rPr>
          <w:rFonts w:ascii="Book Antiqua" w:hAnsi="Book Antiqua" w:cs="SimSun"/>
        </w:rPr>
        <w:t> 2012; </w:t>
      </w:r>
      <w:r w:rsidRPr="00146BCC">
        <w:rPr>
          <w:rFonts w:ascii="Book Antiqua" w:hAnsi="Book Antiqua" w:cs="SimSun"/>
          <w:b/>
          <w:bCs/>
        </w:rPr>
        <w:t>17</w:t>
      </w:r>
      <w:r w:rsidRPr="00146BCC">
        <w:rPr>
          <w:rFonts w:ascii="Book Antiqua" w:hAnsi="Book Antiqua" w:cs="SimSun"/>
        </w:rPr>
        <w:t>: 287-292 [PMID: 22498651 DOI: 10.1097/MOT.0b013e3283536622]</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66 </w:t>
      </w:r>
      <w:r w:rsidRPr="00146BCC">
        <w:rPr>
          <w:rFonts w:ascii="Book Antiqua" w:hAnsi="Book Antiqua" w:cs="SimSun"/>
          <w:b/>
          <w:bCs/>
        </w:rPr>
        <w:t>Demetris AJ</w:t>
      </w:r>
      <w:r w:rsidRPr="00146BCC">
        <w:rPr>
          <w:rFonts w:ascii="Book Antiqua" w:hAnsi="Book Antiqua" w:cs="SimSun"/>
        </w:rPr>
        <w:t>, Adeyi O, Bellamy CO, Clouston A, Charlotte F, Czaja A, Daskal I, El-Monayeri MS, Fontes P, Fung J, Gridelli B, Guido M, Haga H, Hart J, Honsova E, Hubscher S, Itoh T, Jhala N, Jungmann P, Khettry U, Lassman C, Ligato S, Lunz JG, Marcos A, Minervini MI, Mölne J, Nalesnik M, Nasser I, Neil D, Ochoa E, Pappo O, Randhawa P, Reinholt FP, Ruiz P, Sebagh M, Spada M, Sonzogni A, Tsamandas AC, Wernerson A, Wu T, Yilmaz F. Liver biopsy interpretation for causes of late liver allograft dysfunction.</w:t>
      </w:r>
      <w:r>
        <w:rPr>
          <w:rFonts w:ascii="Book Antiqua" w:hAnsi="Book Antiqua" w:cs="SimSun" w:hint="eastAsia"/>
        </w:rPr>
        <w:t xml:space="preserve"> </w:t>
      </w:r>
      <w:r w:rsidRPr="00146BCC">
        <w:rPr>
          <w:rFonts w:ascii="Book Antiqua" w:hAnsi="Book Antiqua" w:cs="SimSun"/>
          <w:i/>
          <w:iCs/>
        </w:rPr>
        <w:t>Hepatology</w:t>
      </w:r>
      <w:r>
        <w:rPr>
          <w:rFonts w:ascii="Book Antiqua" w:hAnsi="Book Antiqua" w:cs="SimSun" w:hint="eastAsia"/>
        </w:rPr>
        <w:t xml:space="preserve"> </w:t>
      </w:r>
      <w:r w:rsidRPr="00146BCC">
        <w:rPr>
          <w:rFonts w:ascii="Book Antiqua" w:hAnsi="Book Antiqua" w:cs="SimSun"/>
        </w:rPr>
        <w:t>2006;</w:t>
      </w:r>
      <w:r w:rsidRPr="00146BCC">
        <w:rPr>
          <w:rFonts w:ascii="Book Antiqua" w:hAnsi="Book Antiqua" w:cs="SimSun"/>
          <w:b/>
          <w:bCs/>
        </w:rPr>
        <w:t>44</w:t>
      </w:r>
      <w:r w:rsidRPr="00146BCC">
        <w:rPr>
          <w:rFonts w:ascii="Book Antiqua" w:hAnsi="Book Antiqua" w:cs="SimSun"/>
        </w:rPr>
        <w:t>: 489-501 [PMID: 16871565 DOI: 10.1002/hep.21280]</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lastRenderedPageBreak/>
        <w:t>67 </w:t>
      </w:r>
      <w:r w:rsidRPr="00146BCC">
        <w:rPr>
          <w:rFonts w:ascii="Book Antiqua" w:hAnsi="Book Antiqua" w:cs="SimSun"/>
          <w:b/>
          <w:bCs/>
        </w:rPr>
        <w:t>Kallwitz ER</w:t>
      </w:r>
      <w:r w:rsidRPr="00146BCC">
        <w:rPr>
          <w:rFonts w:ascii="Book Antiqua" w:hAnsi="Book Antiqua" w:cs="SimSun"/>
        </w:rPr>
        <w:t>. Recurrent hepatitis C virus after transplant and the importance of plasma cells on biopsy. </w:t>
      </w:r>
      <w:r w:rsidRPr="00146BCC">
        <w:rPr>
          <w:rFonts w:ascii="Book Antiqua" w:hAnsi="Book Antiqua" w:cs="SimSun"/>
          <w:i/>
          <w:iCs/>
        </w:rPr>
        <w:t>World J Gastroenterol</w:t>
      </w:r>
      <w:r w:rsidRPr="00146BCC">
        <w:rPr>
          <w:rFonts w:ascii="Book Antiqua" w:hAnsi="Book Antiqua" w:cs="SimSun"/>
        </w:rPr>
        <w:t> 2013; </w:t>
      </w:r>
      <w:r w:rsidRPr="00146BCC">
        <w:rPr>
          <w:rFonts w:ascii="Book Antiqua" w:hAnsi="Book Antiqua" w:cs="SimSun"/>
          <w:b/>
          <w:bCs/>
        </w:rPr>
        <w:t>19</w:t>
      </w:r>
      <w:r w:rsidRPr="00146BCC">
        <w:rPr>
          <w:rFonts w:ascii="Book Antiqua" w:hAnsi="Book Antiqua" w:cs="SimSun"/>
        </w:rPr>
        <w:t>: 158-160 [PMID: 23345937 DOI: 10.3748/wjg.v19.i2.158]</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68 </w:t>
      </w:r>
      <w:r w:rsidRPr="00146BCC">
        <w:rPr>
          <w:rFonts w:ascii="Book Antiqua" w:hAnsi="Book Antiqua" w:cs="SimSun"/>
          <w:b/>
          <w:bCs/>
        </w:rPr>
        <w:t>Carbone M</w:t>
      </w:r>
      <w:r w:rsidRPr="00146BCC">
        <w:rPr>
          <w:rFonts w:ascii="Book Antiqua" w:hAnsi="Book Antiqua" w:cs="SimSun"/>
        </w:rPr>
        <w:t>, Neuberger JM. Autoimmune liver disease, autoimmunity and liver transplantation. </w:t>
      </w:r>
      <w:r w:rsidRPr="00146BCC">
        <w:rPr>
          <w:rFonts w:ascii="Book Antiqua" w:hAnsi="Book Antiqua" w:cs="SimSun"/>
          <w:i/>
          <w:iCs/>
        </w:rPr>
        <w:t>J Hepatol</w:t>
      </w:r>
      <w:r w:rsidRPr="00146BCC">
        <w:rPr>
          <w:rFonts w:ascii="Book Antiqua" w:hAnsi="Book Antiqua" w:cs="SimSun"/>
        </w:rPr>
        <w:t> 2014; </w:t>
      </w:r>
      <w:r w:rsidRPr="00146BCC">
        <w:rPr>
          <w:rFonts w:ascii="Book Antiqua" w:hAnsi="Book Antiqua" w:cs="SimSun"/>
          <w:b/>
          <w:bCs/>
        </w:rPr>
        <w:t>60</w:t>
      </w:r>
      <w:r w:rsidRPr="00146BCC">
        <w:rPr>
          <w:rFonts w:ascii="Book Antiqua" w:hAnsi="Book Antiqua" w:cs="SimSun"/>
        </w:rPr>
        <w:t>: 210-223 [PMID: 24084655 DOI: 10.1016/j.jhep.2013.09.020]</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69 </w:t>
      </w:r>
      <w:r w:rsidRPr="00146BCC">
        <w:rPr>
          <w:rFonts w:ascii="Book Antiqua" w:hAnsi="Book Antiqua" w:cs="SimSun"/>
          <w:b/>
          <w:bCs/>
        </w:rPr>
        <w:t>Pappo O</w:t>
      </w:r>
      <w:r w:rsidRPr="00146BCC">
        <w:rPr>
          <w:rFonts w:ascii="Book Antiqua" w:hAnsi="Book Antiqua" w:cs="SimSun"/>
        </w:rPr>
        <w:t>, Ramos H, Starzl TE, Fung JJ, Demetris AJ. Structural integrity and identification of causes of liver allograft dysfunction occurring more than 5 years after transplantation. </w:t>
      </w:r>
      <w:r w:rsidRPr="00146BCC">
        <w:rPr>
          <w:rFonts w:ascii="Book Antiqua" w:hAnsi="Book Antiqua" w:cs="SimSun"/>
          <w:i/>
          <w:iCs/>
        </w:rPr>
        <w:t>Am J Surg Pathol</w:t>
      </w:r>
      <w:r w:rsidRPr="00146BCC">
        <w:rPr>
          <w:rFonts w:ascii="Book Antiqua" w:hAnsi="Book Antiqua" w:cs="SimSun"/>
        </w:rPr>
        <w:t> 1995; </w:t>
      </w:r>
      <w:r w:rsidRPr="00146BCC">
        <w:rPr>
          <w:rFonts w:ascii="Book Antiqua" w:hAnsi="Book Antiqua" w:cs="SimSun"/>
          <w:b/>
          <w:bCs/>
        </w:rPr>
        <w:t>19</w:t>
      </w:r>
      <w:r w:rsidRPr="00146BCC">
        <w:rPr>
          <w:rFonts w:ascii="Book Antiqua" w:hAnsi="Book Antiqua" w:cs="SimSun"/>
        </w:rPr>
        <w:t>: 192-206 [PMID: 7832279]</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70 </w:t>
      </w:r>
      <w:r w:rsidRPr="00146BCC">
        <w:rPr>
          <w:rFonts w:ascii="Book Antiqua" w:hAnsi="Book Antiqua" w:cs="SimSun"/>
          <w:b/>
          <w:bCs/>
        </w:rPr>
        <w:t>Vergani D</w:t>
      </w:r>
      <w:r w:rsidRPr="00146BCC">
        <w:rPr>
          <w:rFonts w:ascii="Book Antiqua" w:hAnsi="Book Antiqua" w:cs="SimSun"/>
        </w:rPr>
        <w:t>, Alvarez F, Bianchi FB, Cançado EL, Mackay IR, Manns MP, Nishioka M, Penner E. Liver autoimmune serology: a consensus statement from the committee for autoimmune serology of the International Autoimmune Hepatitis Group. </w:t>
      </w:r>
      <w:r w:rsidRPr="00146BCC">
        <w:rPr>
          <w:rFonts w:ascii="Book Antiqua" w:hAnsi="Book Antiqua" w:cs="SimSun"/>
          <w:i/>
          <w:iCs/>
        </w:rPr>
        <w:t>J Hepatol</w:t>
      </w:r>
      <w:r w:rsidRPr="00146BCC">
        <w:rPr>
          <w:rFonts w:ascii="Book Antiqua" w:hAnsi="Book Antiqua" w:cs="SimSun"/>
        </w:rPr>
        <w:t> 2004; </w:t>
      </w:r>
      <w:r w:rsidRPr="00146BCC">
        <w:rPr>
          <w:rFonts w:ascii="Book Antiqua" w:hAnsi="Book Antiqua" w:cs="SimSun"/>
          <w:b/>
          <w:bCs/>
        </w:rPr>
        <w:t>41</w:t>
      </w:r>
      <w:r w:rsidRPr="00146BCC">
        <w:rPr>
          <w:rFonts w:ascii="Book Antiqua" w:hAnsi="Book Antiqua" w:cs="SimSun"/>
        </w:rPr>
        <w:t>: 677-683 [PMID: 15464251 DOI: 10.1016/j.jhep.2004.08.002]</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71 </w:t>
      </w:r>
      <w:r w:rsidRPr="00146BCC">
        <w:rPr>
          <w:rFonts w:ascii="Book Antiqua" w:hAnsi="Book Antiqua" w:cs="SimSun"/>
          <w:b/>
          <w:bCs/>
        </w:rPr>
        <w:t>Vasuri F</w:t>
      </w:r>
      <w:r w:rsidRPr="00146BCC">
        <w:rPr>
          <w:rFonts w:ascii="Book Antiqua" w:hAnsi="Book Antiqua" w:cs="SimSun"/>
        </w:rPr>
        <w:t>, Malvi D, Gruppioni E, Grigioni WF, D'Errico-Grigioni A. Histopathological evaluation of recurrent hepatitis C after liver transplantation: a review. </w:t>
      </w:r>
      <w:r w:rsidRPr="00146BCC">
        <w:rPr>
          <w:rFonts w:ascii="Book Antiqua" w:hAnsi="Book Antiqua" w:cs="SimSun"/>
          <w:i/>
          <w:iCs/>
        </w:rPr>
        <w:t>World J Gastroenterol</w:t>
      </w:r>
      <w:r w:rsidRPr="00146BCC">
        <w:rPr>
          <w:rFonts w:ascii="Book Antiqua" w:hAnsi="Book Antiqua" w:cs="SimSun"/>
        </w:rPr>
        <w:t> 2014; </w:t>
      </w:r>
      <w:r w:rsidRPr="00146BCC">
        <w:rPr>
          <w:rFonts w:ascii="Book Antiqua" w:hAnsi="Book Antiqua" w:cs="SimSun"/>
          <w:b/>
          <w:bCs/>
        </w:rPr>
        <w:t>20</w:t>
      </w:r>
      <w:r w:rsidRPr="00146BCC">
        <w:rPr>
          <w:rFonts w:ascii="Book Antiqua" w:hAnsi="Book Antiqua" w:cs="SimSun"/>
        </w:rPr>
        <w:t>: 2810-2824 [PMID: 24659874 DOI: 10.3748/wjg.v20.i11.2810]</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72 </w:t>
      </w:r>
      <w:r w:rsidRPr="00146BCC">
        <w:rPr>
          <w:rFonts w:ascii="Book Antiqua" w:hAnsi="Book Antiqua" w:cs="SimSun"/>
          <w:b/>
          <w:bCs/>
        </w:rPr>
        <w:t>Zen Y</w:t>
      </w:r>
      <w:r w:rsidRPr="00146BCC">
        <w:rPr>
          <w:rFonts w:ascii="Book Antiqua" w:hAnsi="Book Antiqua" w:cs="SimSun"/>
        </w:rPr>
        <w:t>, Fujii T, Harada K, Kawano M, Yamada K, Takahira M, Nakanuma Y. Th2 and regulatory immune reactions are increased in immunoglobin G4-related sclerosing pancreatitis and cholangitis. </w:t>
      </w:r>
      <w:r w:rsidRPr="00146BCC">
        <w:rPr>
          <w:rFonts w:ascii="Book Antiqua" w:hAnsi="Book Antiqua" w:cs="SimSun"/>
          <w:i/>
          <w:iCs/>
        </w:rPr>
        <w:t>Hepatology</w:t>
      </w:r>
      <w:r w:rsidRPr="00146BCC">
        <w:rPr>
          <w:rFonts w:ascii="Book Antiqua" w:hAnsi="Book Antiqua" w:cs="SimSun"/>
        </w:rPr>
        <w:t> 2007; </w:t>
      </w:r>
      <w:r w:rsidRPr="00146BCC">
        <w:rPr>
          <w:rFonts w:ascii="Book Antiqua" w:hAnsi="Book Antiqua" w:cs="SimSun"/>
          <w:b/>
          <w:bCs/>
        </w:rPr>
        <w:t>45</w:t>
      </w:r>
      <w:r w:rsidRPr="00146BCC">
        <w:rPr>
          <w:rFonts w:ascii="Book Antiqua" w:hAnsi="Book Antiqua" w:cs="SimSun"/>
        </w:rPr>
        <w:t>: 1538-1546 [PMID: 17518371 DOI: 10.1002/hep.21697]</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73 </w:t>
      </w:r>
      <w:r w:rsidRPr="00146BCC">
        <w:rPr>
          <w:rFonts w:ascii="Book Antiqua" w:hAnsi="Book Antiqua" w:cs="SimSun"/>
          <w:b/>
          <w:bCs/>
        </w:rPr>
        <w:t>Lodato F</w:t>
      </w:r>
      <w:r w:rsidRPr="00146BCC">
        <w:rPr>
          <w:rFonts w:ascii="Book Antiqua" w:hAnsi="Book Antiqua" w:cs="SimSun"/>
        </w:rPr>
        <w:t>, Azzaroli F, Tamè MR, Di Girolamo M, Buonfiglioli F, Mazzella N, Cecinato P, Roda E, Mazzella G. G-CSF in Peg-IFN induced neutropenia in liver transplanted patients with HCV recurrence. </w:t>
      </w:r>
      <w:r w:rsidRPr="00146BCC">
        <w:rPr>
          <w:rFonts w:ascii="Book Antiqua" w:hAnsi="Book Antiqua" w:cs="SimSun"/>
          <w:i/>
          <w:iCs/>
        </w:rPr>
        <w:t>World J Gastroenterol</w:t>
      </w:r>
      <w:r w:rsidRPr="00146BCC">
        <w:rPr>
          <w:rFonts w:ascii="Book Antiqua" w:hAnsi="Book Antiqua" w:cs="SimSun"/>
        </w:rPr>
        <w:t> 2009; </w:t>
      </w:r>
      <w:r w:rsidRPr="00146BCC">
        <w:rPr>
          <w:rFonts w:ascii="Book Antiqua" w:hAnsi="Book Antiqua" w:cs="SimSun"/>
          <w:b/>
          <w:bCs/>
        </w:rPr>
        <w:t>15</w:t>
      </w:r>
      <w:r w:rsidRPr="00146BCC">
        <w:rPr>
          <w:rFonts w:ascii="Book Antiqua" w:hAnsi="Book Antiqua" w:cs="SimSun"/>
        </w:rPr>
        <w:t>: 5449-5454 [PMID: 19916175 DOI: 10.3748/wjg.15.5449]</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74 </w:t>
      </w:r>
      <w:r w:rsidRPr="00146BCC">
        <w:rPr>
          <w:rFonts w:ascii="Book Antiqua" w:hAnsi="Book Antiqua" w:cs="SimSun"/>
          <w:b/>
          <w:bCs/>
        </w:rPr>
        <w:t>Aguilera I</w:t>
      </w:r>
      <w:r w:rsidRPr="00146BCC">
        <w:rPr>
          <w:rFonts w:ascii="Book Antiqua" w:hAnsi="Book Antiqua" w:cs="SimSun"/>
        </w:rPr>
        <w:t>, Wichmann I, Sousa JM, Bernardos A, Franco E, Garcia-Lozano R, Gonzalez-Escribano MF, Núñez-Roldán A. Antibodies against glutathione S-transferase T1 in patients with immune hepatitis after liver transplantation.</w:t>
      </w:r>
      <w:r>
        <w:rPr>
          <w:rFonts w:ascii="Book Antiqua" w:hAnsi="Book Antiqua" w:cs="SimSun" w:hint="eastAsia"/>
        </w:rPr>
        <w:t xml:space="preserve"> </w:t>
      </w:r>
      <w:r w:rsidRPr="00146BCC">
        <w:rPr>
          <w:rFonts w:ascii="Book Antiqua" w:hAnsi="Book Antiqua" w:cs="SimSun"/>
          <w:i/>
          <w:iCs/>
        </w:rPr>
        <w:t>Transplant Proc</w:t>
      </w:r>
      <w:r>
        <w:rPr>
          <w:rFonts w:ascii="Book Antiqua" w:hAnsi="Book Antiqua" w:cs="SimSun" w:hint="eastAsia"/>
        </w:rPr>
        <w:t xml:space="preserve"> </w:t>
      </w:r>
      <w:r w:rsidRPr="00146BCC">
        <w:rPr>
          <w:rFonts w:ascii="Book Antiqua" w:hAnsi="Book Antiqua" w:cs="SimSun"/>
        </w:rPr>
        <w:t>2003;</w:t>
      </w:r>
      <w:r>
        <w:rPr>
          <w:rFonts w:ascii="Book Antiqua" w:hAnsi="Book Antiqua" w:cs="SimSun" w:hint="eastAsia"/>
        </w:rPr>
        <w:t xml:space="preserve"> </w:t>
      </w:r>
      <w:r w:rsidRPr="00146BCC">
        <w:rPr>
          <w:rFonts w:ascii="Book Antiqua" w:hAnsi="Book Antiqua" w:cs="SimSun"/>
          <w:b/>
          <w:bCs/>
        </w:rPr>
        <w:t>35</w:t>
      </w:r>
      <w:r w:rsidRPr="00146BCC">
        <w:rPr>
          <w:rFonts w:ascii="Book Antiqua" w:hAnsi="Book Antiqua" w:cs="SimSun"/>
        </w:rPr>
        <w:t>: 712 [PMID: 12644106 DOI: 10.1016/S0041-1345(03)00059-9]</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lastRenderedPageBreak/>
        <w:t>75 </w:t>
      </w:r>
      <w:r w:rsidRPr="00146BCC">
        <w:rPr>
          <w:rFonts w:ascii="Book Antiqua" w:hAnsi="Book Antiqua" w:cs="SimSun"/>
          <w:b/>
          <w:bCs/>
        </w:rPr>
        <w:t>Aguilera I</w:t>
      </w:r>
      <w:r w:rsidRPr="00146BCC">
        <w:rPr>
          <w:rFonts w:ascii="Book Antiqua" w:hAnsi="Book Antiqua" w:cs="SimSun"/>
        </w:rPr>
        <w:t>, Sousa JM, Gavilán F, Bernardos A, Wichmann I, Nuñez-Roldán A. Glutathione S-transferase T1 mismatch constitutes a risk factor for de novo immune hepatitis after liver transplantation. </w:t>
      </w:r>
      <w:r w:rsidRPr="00146BCC">
        <w:rPr>
          <w:rFonts w:ascii="Book Antiqua" w:hAnsi="Book Antiqua" w:cs="SimSun"/>
          <w:i/>
          <w:iCs/>
        </w:rPr>
        <w:t>Liver Transpl</w:t>
      </w:r>
      <w:r w:rsidRPr="00146BCC">
        <w:rPr>
          <w:rFonts w:ascii="Book Antiqua" w:hAnsi="Book Antiqua" w:cs="SimSun"/>
        </w:rPr>
        <w:t> 2004; </w:t>
      </w:r>
      <w:r w:rsidRPr="00146BCC">
        <w:rPr>
          <w:rFonts w:ascii="Book Antiqua" w:hAnsi="Book Antiqua" w:cs="SimSun"/>
          <w:b/>
          <w:bCs/>
        </w:rPr>
        <w:t>10</w:t>
      </w:r>
      <w:r w:rsidRPr="00146BCC">
        <w:rPr>
          <w:rFonts w:ascii="Book Antiqua" w:hAnsi="Book Antiqua" w:cs="SimSun"/>
        </w:rPr>
        <w:t>: 1166-1172 [PMID: 15350010 DOI: 10.1002/lt.20209]</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76 </w:t>
      </w:r>
      <w:r w:rsidRPr="00146BCC">
        <w:rPr>
          <w:rFonts w:ascii="Book Antiqua" w:hAnsi="Book Antiqua" w:cs="SimSun"/>
          <w:b/>
          <w:bCs/>
        </w:rPr>
        <w:t>Aguilera I</w:t>
      </w:r>
      <w:r w:rsidRPr="00146BCC">
        <w:rPr>
          <w:rFonts w:ascii="Book Antiqua" w:hAnsi="Book Antiqua" w:cs="SimSun"/>
        </w:rPr>
        <w:t>, Sousa JM, Gavilan F, Bernardos A, Wichmann I, Nuñez-Roldan A. Glutathione S-transferase T1 genetic mismatch is a risk factor for de novo immune hepatitis in liver transplantation. </w:t>
      </w:r>
      <w:r w:rsidRPr="00146BCC">
        <w:rPr>
          <w:rFonts w:ascii="Book Antiqua" w:hAnsi="Book Antiqua" w:cs="SimSun"/>
          <w:i/>
          <w:iCs/>
        </w:rPr>
        <w:t>Transplant Proc</w:t>
      </w:r>
      <w:r w:rsidRPr="00146BCC">
        <w:rPr>
          <w:rFonts w:ascii="Book Antiqua" w:hAnsi="Book Antiqua" w:cs="SimSun"/>
        </w:rPr>
        <w:t> 2005; </w:t>
      </w:r>
      <w:r w:rsidRPr="00146BCC">
        <w:rPr>
          <w:rFonts w:ascii="Book Antiqua" w:hAnsi="Book Antiqua" w:cs="SimSun"/>
          <w:b/>
          <w:bCs/>
        </w:rPr>
        <w:t>37</w:t>
      </w:r>
      <w:r w:rsidRPr="00146BCC">
        <w:rPr>
          <w:rFonts w:ascii="Book Antiqua" w:hAnsi="Book Antiqua" w:cs="SimSun"/>
        </w:rPr>
        <w:t>: 3968-3969 [PMID: 16386599 DOI: 10.1016/j.transproceed.2005.10.042]</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77 </w:t>
      </w:r>
      <w:r w:rsidRPr="00146BCC">
        <w:rPr>
          <w:rFonts w:ascii="Book Antiqua" w:hAnsi="Book Antiqua" w:cs="SimSun"/>
          <w:b/>
          <w:bCs/>
        </w:rPr>
        <w:t>Aguilera I</w:t>
      </w:r>
      <w:r w:rsidRPr="00146BCC">
        <w:rPr>
          <w:rFonts w:ascii="Book Antiqua" w:hAnsi="Book Antiqua" w:cs="SimSun"/>
        </w:rPr>
        <w:t>, Sousa JM, Gavilan F, Gomez L, Alvarez-Márquez A, Núñez-Roldán A. Complement component 4d immunostaining in liver allografts of patients with de novo immune hepatitis. </w:t>
      </w:r>
      <w:r w:rsidRPr="00146BCC">
        <w:rPr>
          <w:rFonts w:ascii="Book Antiqua" w:hAnsi="Book Antiqua" w:cs="SimSun"/>
          <w:i/>
          <w:iCs/>
        </w:rPr>
        <w:t>Liver Transpl</w:t>
      </w:r>
      <w:r w:rsidRPr="00146BCC">
        <w:rPr>
          <w:rFonts w:ascii="Book Antiqua" w:hAnsi="Book Antiqua" w:cs="SimSun"/>
        </w:rPr>
        <w:t> 2011; </w:t>
      </w:r>
      <w:r w:rsidRPr="00146BCC">
        <w:rPr>
          <w:rFonts w:ascii="Book Antiqua" w:hAnsi="Book Antiqua" w:cs="SimSun"/>
          <w:b/>
          <w:bCs/>
        </w:rPr>
        <w:t>17</w:t>
      </w:r>
      <w:r w:rsidRPr="00146BCC">
        <w:rPr>
          <w:rFonts w:ascii="Book Antiqua" w:hAnsi="Book Antiqua" w:cs="SimSun"/>
        </w:rPr>
        <w:t>: 779-788 [PMID: 21425430 DOI: 10.1002/lt.22302]</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78 </w:t>
      </w:r>
      <w:r w:rsidRPr="00146BCC">
        <w:rPr>
          <w:rFonts w:ascii="Book Antiqua" w:hAnsi="Book Antiqua" w:cs="SimSun"/>
          <w:b/>
          <w:bCs/>
        </w:rPr>
        <w:t>Aguilera I</w:t>
      </w:r>
      <w:r w:rsidRPr="00146BCC">
        <w:rPr>
          <w:rFonts w:ascii="Book Antiqua" w:hAnsi="Book Antiqua" w:cs="SimSun"/>
        </w:rPr>
        <w:t>, Sousa JM, Praena JM, Gómez-Bravo MA, Núñez-Roldan A. Choice of calcineurin inhibitor may influence the development of de novo immune hepatitis associated with anti-GSTT1 antibodies after liver transplantation. </w:t>
      </w:r>
      <w:r w:rsidRPr="00146BCC">
        <w:rPr>
          <w:rFonts w:ascii="Book Antiqua" w:hAnsi="Book Antiqua" w:cs="SimSun"/>
          <w:i/>
          <w:iCs/>
        </w:rPr>
        <w:t>Clin Transplant</w:t>
      </w:r>
      <w:r w:rsidRPr="00146BCC">
        <w:rPr>
          <w:rFonts w:ascii="Book Antiqua" w:hAnsi="Book Antiqua" w:cs="SimSun"/>
        </w:rPr>
        <w:t> </w:t>
      </w:r>
      <w:r>
        <w:rPr>
          <w:rFonts w:ascii="Book Antiqua" w:hAnsi="Book Antiqua" w:cs="SimSun" w:hint="eastAsia"/>
        </w:rPr>
        <w:t>2011</w:t>
      </w:r>
      <w:r w:rsidRPr="00146BCC">
        <w:rPr>
          <w:rFonts w:ascii="Book Antiqua" w:hAnsi="Book Antiqua" w:cs="SimSun"/>
        </w:rPr>
        <w:t>; </w:t>
      </w:r>
      <w:r w:rsidRPr="00146BCC">
        <w:rPr>
          <w:rFonts w:ascii="Book Antiqua" w:hAnsi="Book Antiqua" w:cs="SimSun"/>
          <w:b/>
          <w:bCs/>
        </w:rPr>
        <w:t>25</w:t>
      </w:r>
      <w:r w:rsidRPr="00146BCC">
        <w:rPr>
          <w:rFonts w:ascii="Book Antiqua" w:hAnsi="Book Antiqua" w:cs="SimSun"/>
        </w:rPr>
        <w:t>: 207-212 [PMID: 20236132 DOI: 10.1111/j.1399-0012.2010.01221.x]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79 </w:t>
      </w:r>
      <w:r w:rsidRPr="00146BCC">
        <w:rPr>
          <w:rFonts w:ascii="Book Antiqua" w:hAnsi="Book Antiqua" w:cs="SimSun"/>
          <w:b/>
          <w:bCs/>
        </w:rPr>
        <w:t>Salcedo M</w:t>
      </w:r>
      <w:r w:rsidRPr="00146BCC">
        <w:rPr>
          <w:rFonts w:ascii="Book Antiqua" w:hAnsi="Book Antiqua" w:cs="SimSun"/>
        </w:rPr>
        <w:t>, Rodríguez-Mahou M, Rodríguez-Sainz C, Rincón D, Alvarez E, Vicario JL, Catalina MV, Matilla A, Ripoll C, Clemente G, Bañares R. Risk factors for developing de novo autoimmune hepatitis associated with anti-glutathione S-transferase T1 antibodies after liver transplantation. </w:t>
      </w:r>
      <w:r w:rsidRPr="00146BCC">
        <w:rPr>
          <w:rFonts w:ascii="Book Antiqua" w:hAnsi="Book Antiqua" w:cs="SimSun"/>
          <w:i/>
          <w:iCs/>
        </w:rPr>
        <w:t>Liver Transpl</w:t>
      </w:r>
      <w:r w:rsidRPr="00146BCC">
        <w:rPr>
          <w:rFonts w:ascii="Book Antiqua" w:hAnsi="Book Antiqua" w:cs="SimSun"/>
        </w:rPr>
        <w:t> 2009; </w:t>
      </w:r>
      <w:r w:rsidRPr="00146BCC">
        <w:rPr>
          <w:rFonts w:ascii="Book Antiqua" w:hAnsi="Book Antiqua" w:cs="SimSun"/>
          <w:b/>
          <w:bCs/>
        </w:rPr>
        <w:t>15</w:t>
      </w:r>
      <w:r w:rsidRPr="00146BCC">
        <w:rPr>
          <w:rFonts w:ascii="Book Antiqua" w:hAnsi="Book Antiqua" w:cs="SimSun"/>
        </w:rPr>
        <w:t>: 530-539 [PMID: 19399747 DOI: 10.1002/lt.21721]</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80 </w:t>
      </w:r>
      <w:r w:rsidRPr="00146BCC">
        <w:rPr>
          <w:rFonts w:ascii="Book Antiqua" w:hAnsi="Book Antiqua" w:cs="SimSun"/>
          <w:b/>
          <w:bCs/>
        </w:rPr>
        <w:t>Wiesner RH</w:t>
      </w:r>
      <w:r w:rsidRPr="00146BCC">
        <w:rPr>
          <w:rFonts w:ascii="Book Antiqua" w:hAnsi="Book Antiqua" w:cs="SimSun"/>
        </w:rPr>
        <w:t>, Steffen BJ, David KM, Chu AH, Gordon RD, Lake JR. Mycophenolate mofetil use is associated with decreased risk of late acute rejection in adult liver transplant recipients. </w:t>
      </w:r>
      <w:r w:rsidRPr="00146BCC">
        <w:rPr>
          <w:rFonts w:ascii="Book Antiqua" w:hAnsi="Book Antiqua" w:cs="SimSun"/>
          <w:i/>
          <w:iCs/>
        </w:rPr>
        <w:t>Am J Transplant</w:t>
      </w:r>
      <w:r w:rsidRPr="00146BCC">
        <w:rPr>
          <w:rFonts w:ascii="Book Antiqua" w:hAnsi="Book Antiqua" w:cs="SimSun"/>
        </w:rPr>
        <w:t> 2006; </w:t>
      </w:r>
      <w:r w:rsidRPr="00146BCC">
        <w:rPr>
          <w:rFonts w:ascii="Book Antiqua" w:hAnsi="Book Antiqua" w:cs="SimSun"/>
          <w:b/>
          <w:bCs/>
        </w:rPr>
        <w:t>6</w:t>
      </w:r>
      <w:r w:rsidRPr="00146BCC">
        <w:rPr>
          <w:rFonts w:ascii="Book Antiqua" w:hAnsi="Book Antiqua" w:cs="SimSun"/>
        </w:rPr>
        <w:t>: 1609-1616 [PMID: 16827861 DOI: 10.1111/j.1600-6143.2006.01382.x]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81 </w:t>
      </w:r>
      <w:r w:rsidRPr="00146BCC">
        <w:rPr>
          <w:rFonts w:ascii="Book Antiqua" w:hAnsi="Book Antiqua" w:cs="SimSun"/>
          <w:b/>
          <w:bCs/>
        </w:rPr>
        <w:t>McCaughan GW</w:t>
      </w:r>
      <w:r w:rsidRPr="00146BCC">
        <w:rPr>
          <w:rFonts w:ascii="Book Antiqua" w:hAnsi="Book Antiqua" w:cs="SimSun"/>
        </w:rPr>
        <w:t>, Zekry A. Effects of immunosuppression and organ transplantation on the natural history and immunopathogenesis of hepatitis C virus infection. </w:t>
      </w:r>
      <w:r w:rsidRPr="00146BCC">
        <w:rPr>
          <w:rFonts w:ascii="Book Antiqua" w:hAnsi="Book Antiqua" w:cs="SimSun"/>
          <w:i/>
          <w:iCs/>
        </w:rPr>
        <w:t>Transpl Infect Dis</w:t>
      </w:r>
      <w:r w:rsidRPr="00146BCC">
        <w:rPr>
          <w:rFonts w:ascii="Book Antiqua" w:hAnsi="Book Antiqua" w:cs="SimSun"/>
        </w:rPr>
        <w:t> 2000; </w:t>
      </w:r>
      <w:r w:rsidRPr="00146BCC">
        <w:rPr>
          <w:rFonts w:ascii="Book Antiqua" w:hAnsi="Book Antiqua" w:cs="SimSun"/>
          <w:b/>
          <w:bCs/>
        </w:rPr>
        <w:t>2</w:t>
      </w:r>
      <w:r w:rsidRPr="00146BCC">
        <w:rPr>
          <w:rFonts w:ascii="Book Antiqua" w:hAnsi="Book Antiqua" w:cs="SimSun"/>
        </w:rPr>
        <w:t>: 166-185 [PMID: 11429029 DOI: 10.1034/j.1399-3062.2000.020403.x]</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lastRenderedPageBreak/>
        <w:t>82 </w:t>
      </w:r>
      <w:r w:rsidRPr="00146BCC">
        <w:rPr>
          <w:rFonts w:ascii="Book Antiqua" w:hAnsi="Book Antiqua" w:cs="SimSun"/>
          <w:b/>
          <w:bCs/>
        </w:rPr>
        <w:t>Zignego AL</w:t>
      </w:r>
      <w:r w:rsidRPr="00146BCC">
        <w:rPr>
          <w:rFonts w:ascii="Book Antiqua" w:hAnsi="Book Antiqua" w:cs="SimSun"/>
        </w:rPr>
        <w:t>, Giannini C, Gragnani L, Piluso A, Fognani E. Hepatitis C virus infection in the immunocompromised host: a complex scenario with variable clinical impact. </w:t>
      </w:r>
      <w:r w:rsidRPr="00146BCC">
        <w:rPr>
          <w:rFonts w:ascii="Book Antiqua" w:hAnsi="Book Antiqua" w:cs="SimSun"/>
          <w:i/>
          <w:iCs/>
        </w:rPr>
        <w:t>J Transl Med</w:t>
      </w:r>
      <w:r w:rsidRPr="00146BCC">
        <w:rPr>
          <w:rFonts w:ascii="Book Antiqua" w:hAnsi="Book Antiqua" w:cs="SimSun"/>
        </w:rPr>
        <w:t> 2012; </w:t>
      </w:r>
      <w:r w:rsidRPr="00146BCC">
        <w:rPr>
          <w:rFonts w:ascii="Book Antiqua" w:hAnsi="Book Antiqua" w:cs="SimSun"/>
          <w:b/>
          <w:bCs/>
        </w:rPr>
        <w:t>10</w:t>
      </w:r>
      <w:r w:rsidRPr="00146BCC">
        <w:rPr>
          <w:rFonts w:ascii="Book Antiqua" w:hAnsi="Book Antiqua" w:cs="SimSun"/>
        </w:rPr>
        <w:t>: 158 [PMID: 22863056 DOI: 10.1186/1479-5876-10-158]</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83 </w:t>
      </w:r>
      <w:r w:rsidRPr="00146BCC">
        <w:rPr>
          <w:rFonts w:ascii="Book Antiqua" w:hAnsi="Book Antiqua" w:cs="SimSun"/>
          <w:b/>
          <w:bCs/>
        </w:rPr>
        <w:t>Zignego AL</w:t>
      </w:r>
      <w:r w:rsidRPr="00146BCC">
        <w:rPr>
          <w:rFonts w:ascii="Book Antiqua" w:hAnsi="Book Antiqua" w:cs="SimSun"/>
        </w:rPr>
        <w:t>, Wojcik GL, Cacoub P, Visentini M, Casato M, Mangia A, Latanich R, Charles ED, Gragnani L, Terrier B, Piazzola V, Dustin LB, Khakoo SI, Busch MP, Lauer GM, Kim AY, Alric L, Thomas DL, Duggal P. Genome-wide association study of hepatitis C virus- and cryoglobulin-related vasculitis. </w:t>
      </w:r>
      <w:r w:rsidRPr="00146BCC">
        <w:rPr>
          <w:rFonts w:ascii="Book Antiqua" w:hAnsi="Book Antiqua" w:cs="SimSun"/>
          <w:i/>
          <w:iCs/>
        </w:rPr>
        <w:t>Genes Immun</w:t>
      </w:r>
      <w:r w:rsidRPr="00146BCC">
        <w:rPr>
          <w:rFonts w:ascii="Book Antiqua" w:hAnsi="Book Antiqua" w:cs="SimSun"/>
        </w:rPr>
        <w:t> 2014; </w:t>
      </w:r>
      <w:r w:rsidRPr="00146BCC">
        <w:rPr>
          <w:rFonts w:ascii="Book Antiqua" w:hAnsi="Book Antiqua" w:cs="SimSun"/>
          <w:b/>
          <w:bCs/>
        </w:rPr>
        <w:t>15</w:t>
      </w:r>
      <w:r w:rsidRPr="00146BCC">
        <w:rPr>
          <w:rFonts w:ascii="Book Antiqua" w:hAnsi="Book Antiqua" w:cs="SimSun"/>
        </w:rPr>
        <w:t>: 500-505 [PMID: 25030430 DOI: 10.1038/gene.2014.41]</w:t>
      </w:r>
    </w:p>
    <w:p w:rsidR="00B97901" w:rsidRPr="00146BCC" w:rsidRDefault="00B97901" w:rsidP="00B97901">
      <w:pPr>
        <w:spacing w:line="360" w:lineRule="auto"/>
        <w:jc w:val="both"/>
        <w:rPr>
          <w:rFonts w:ascii="Book Antiqua" w:hAnsi="Book Antiqua" w:cs="SimSun"/>
        </w:rPr>
      </w:pPr>
      <w:r w:rsidRPr="00146BCC">
        <w:rPr>
          <w:rFonts w:ascii="Book Antiqua" w:hAnsi="Book Antiqua" w:cs="SimSun"/>
        </w:rPr>
        <w:t>84 </w:t>
      </w:r>
      <w:r w:rsidRPr="00146BCC">
        <w:rPr>
          <w:rFonts w:ascii="Book Antiqua" w:hAnsi="Book Antiqua" w:cs="SimSun"/>
          <w:b/>
          <w:bCs/>
        </w:rPr>
        <w:t>Manns MP</w:t>
      </w:r>
      <w:r w:rsidRPr="00146BCC">
        <w:rPr>
          <w:rFonts w:ascii="Book Antiqua" w:hAnsi="Book Antiqua" w:cs="SimSun"/>
        </w:rPr>
        <w:t>, Czaja AJ, Gorham JD, Krawitt EL, Mieli-Vergani G, Vergani D, Vierling JM. Diagnosis and management of autoimmune hepatitis.</w:t>
      </w:r>
      <w:r>
        <w:rPr>
          <w:rFonts w:ascii="Book Antiqua" w:hAnsi="Book Antiqua" w:cs="SimSun" w:hint="eastAsia"/>
        </w:rPr>
        <w:t xml:space="preserve"> </w:t>
      </w:r>
      <w:r w:rsidRPr="00146BCC">
        <w:rPr>
          <w:rFonts w:ascii="Book Antiqua" w:hAnsi="Book Antiqua" w:cs="SimSun"/>
          <w:i/>
          <w:iCs/>
        </w:rPr>
        <w:t>Hepatology</w:t>
      </w:r>
      <w:r>
        <w:rPr>
          <w:rFonts w:ascii="Book Antiqua" w:hAnsi="Book Antiqua" w:cs="SimSun" w:hint="eastAsia"/>
        </w:rPr>
        <w:t xml:space="preserve"> </w:t>
      </w:r>
      <w:r w:rsidRPr="00146BCC">
        <w:rPr>
          <w:rFonts w:ascii="Book Antiqua" w:hAnsi="Book Antiqua" w:cs="SimSun"/>
        </w:rPr>
        <w:t>2010;</w:t>
      </w:r>
      <w:r>
        <w:rPr>
          <w:rFonts w:ascii="Book Antiqua" w:hAnsi="Book Antiqua" w:cs="SimSun" w:hint="eastAsia"/>
        </w:rPr>
        <w:t xml:space="preserve"> </w:t>
      </w:r>
      <w:r w:rsidRPr="00146BCC">
        <w:rPr>
          <w:rFonts w:ascii="Book Antiqua" w:hAnsi="Book Antiqua" w:cs="SimSun"/>
          <w:b/>
          <w:bCs/>
        </w:rPr>
        <w:t>51</w:t>
      </w:r>
      <w:r w:rsidRPr="00146BCC">
        <w:rPr>
          <w:rFonts w:ascii="Book Antiqua" w:hAnsi="Book Antiqua" w:cs="SimSun"/>
        </w:rPr>
        <w:t>: 2193-2213 [PMID: 20513004 DOI: 10.1002/hep.23584]</w:t>
      </w:r>
    </w:p>
    <w:p w:rsidR="00B97901" w:rsidRPr="008D2E7D" w:rsidRDefault="00B97901" w:rsidP="00B97901">
      <w:pPr>
        <w:wordWrap w:val="0"/>
        <w:spacing w:line="360" w:lineRule="auto"/>
        <w:jc w:val="right"/>
        <w:rPr>
          <w:rFonts w:ascii="Book Antiqua" w:hAnsi="Book Antiqua"/>
        </w:rPr>
      </w:pPr>
      <w:bookmarkStart w:id="56" w:name="OLE_LINK51"/>
      <w:bookmarkStart w:id="57" w:name="OLE_LINK52"/>
      <w:bookmarkStart w:id="58" w:name="OLE_LINK120"/>
      <w:bookmarkStart w:id="59" w:name="OLE_LINK148"/>
      <w:bookmarkStart w:id="60" w:name="OLE_LINK72"/>
      <w:bookmarkStart w:id="61" w:name="OLE_LINK112"/>
      <w:bookmarkStart w:id="62" w:name="OLE_LINK320"/>
      <w:bookmarkStart w:id="63" w:name="OLE_LINK387"/>
      <w:bookmarkStart w:id="64" w:name="OLE_LINK183"/>
      <w:bookmarkStart w:id="65" w:name="OLE_LINK254"/>
      <w:bookmarkStart w:id="66" w:name="OLE_LINK149"/>
      <w:bookmarkStart w:id="67" w:name="OLE_LINK225"/>
      <w:bookmarkStart w:id="68" w:name="OLE_LINK207"/>
      <w:bookmarkStart w:id="69" w:name="OLE_LINK226"/>
      <w:bookmarkStart w:id="70" w:name="OLE_LINK212"/>
      <w:bookmarkStart w:id="71" w:name="OLE_LINK250"/>
      <w:bookmarkStart w:id="72" w:name="OLE_LINK281"/>
      <w:bookmarkStart w:id="73" w:name="OLE_LINK282"/>
      <w:bookmarkStart w:id="74" w:name="OLE_LINK313"/>
      <w:bookmarkStart w:id="75" w:name="OLE_LINK304"/>
      <w:bookmarkStart w:id="76" w:name="OLE_LINK321"/>
      <w:bookmarkStart w:id="77" w:name="OLE_LINK385"/>
      <w:bookmarkStart w:id="78" w:name="OLE_LINK400"/>
      <w:bookmarkStart w:id="79" w:name="OLE_LINK346"/>
      <w:bookmarkStart w:id="80" w:name="OLE_LINK371"/>
      <w:bookmarkStart w:id="81" w:name="OLE_LINK334"/>
      <w:bookmarkStart w:id="82" w:name="OLE_LINK1830"/>
      <w:bookmarkStart w:id="83" w:name="OLE_LINK457"/>
      <w:bookmarkStart w:id="84" w:name="OLE_LINK288"/>
      <w:bookmarkStart w:id="85" w:name="OLE_LINK384"/>
      <w:bookmarkStart w:id="86" w:name="OLE_LINK379"/>
      <w:bookmarkStart w:id="87" w:name="OLE_LINK303"/>
      <w:bookmarkStart w:id="88" w:name="OLE_LINK450"/>
      <w:bookmarkStart w:id="89" w:name="OLE_LINK489"/>
      <w:bookmarkStart w:id="90" w:name="OLE_LINK535"/>
      <w:bookmarkStart w:id="91" w:name="OLE_LINK648"/>
      <w:bookmarkStart w:id="92" w:name="OLE_LINK686"/>
      <w:bookmarkStart w:id="93" w:name="OLE_LINK471"/>
      <w:bookmarkStart w:id="94" w:name="OLE_LINK462"/>
      <w:bookmarkStart w:id="95" w:name="OLE_LINK519"/>
      <w:bookmarkStart w:id="96" w:name="OLE_LINK575"/>
      <w:bookmarkStart w:id="97" w:name="OLE_LINK491"/>
      <w:bookmarkStart w:id="98" w:name="OLE_LINK532"/>
      <w:bookmarkStart w:id="99" w:name="OLE_LINK572"/>
      <w:bookmarkStart w:id="100" w:name="OLE_LINK574"/>
      <w:bookmarkStart w:id="101" w:name="OLE_LINK480"/>
      <w:bookmarkStart w:id="102" w:name="OLE_LINK567"/>
      <w:bookmarkStart w:id="103" w:name="OLE_LINK2700"/>
      <w:bookmarkStart w:id="104" w:name="OLE_LINK581"/>
      <w:bookmarkStart w:id="105" w:name="OLE_LINK639"/>
      <w:bookmarkStart w:id="106" w:name="OLE_LINK688"/>
      <w:bookmarkStart w:id="107" w:name="OLE_LINK722"/>
      <w:bookmarkStart w:id="108" w:name="OLE_LINK542"/>
      <w:bookmarkStart w:id="109" w:name="OLE_LINK589"/>
      <w:bookmarkStart w:id="110" w:name="OLE_LINK582"/>
      <w:bookmarkStart w:id="111" w:name="OLE_LINK640"/>
      <w:bookmarkStart w:id="112" w:name="OLE_LINK714"/>
      <w:bookmarkStart w:id="113" w:name="OLE_LINK593"/>
      <w:bookmarkStart w:id="114" w:name="OLE_LINK716"/>
      <w:bookmarkStart w:id="115" w:name="OLE_LINK770"/>
      <w:bookmarkStart w:id="116" w:name="OLE_LINK801"/>
      <w:bookmarkStart w:id="117" w:name="OLE_LINK660"/>
      <w:bookmarkStart w:id="118" w:name="OLE_LINK781"/>
      <w:bookmarkStart w:id="119" w:name="OLE_LINK833"/>
      <w:bookmarkStart w:id="120" w:name="OLE_LINK642"/>
      <w:bookmarkStart w:id="121" w:name="OLE_LINK700"/>
      <w:bookmarkStart w:id="122" w:name="OLE_LINK792"/>
      <w:bookmarkStart w:id="123" w:name="OLE_LINK2882"/>
      <w:bookmarkStart w:id="124" w:name="OLE_LINK836"/>
      <w:bookmarkStart w:id="125" w:name="OLE_LINK889"/>
      <w:bookmarkStart w:id="126" w:name="OLE_LINK782"/>
      <w:bookmarkStart w:id="127" w:name="OLE_LINK826"/>
      <w:bookmarkStart w:id="128" w:name="OLE_LINK865"/>
      <w:bookmarkStart w:id="129" w:name="OLE_LINK856"/>
      <w:bookmarkStart w:id="130" w:name="OLE_LINK908"/>
      <w:bookmarkStart w:id="131" w:name="OLE_LINK980"/>
      <w:bookmarkStart w:id="132" w:name="OLE_LINK1018"/>
      <w:bookmarkStart w:id="133" w:name="OLE_LINK1049"/>
      <w:bookmarkStart w:id="134" w:name="OLE_LINK1076"/>
      <w:bookmarkStart w:id="135" w:name="OLE_LINK1106"/>
      <w:bookmarkStart w:id="136" w:name="OLE_LINK891"/>
      <w:bookmarkStart w:id="137" w:name="OLE_LINK943"/>
      <w:bookmarkStart w:id="138" w:name="OLE_LINK981"/>
      <w:bookmarkStart w:id="139" w:name="OLE_LINK1030"/>
      <w:bookmarkStart w:id="140" w:name="OLE_LINK847"/>
      <w:bookmarkStart w:id="141" w:name="OLE_LINK909"/>
      <w:bookmarkStart w:id="142" w:name="OLE_LINK906"/>
      <w:bookmarkStart w:id="143" w:name="OLE_LINK992"/>
      <w:bookmarkStart w:id="144" w:name="OLE_LINK993"/>
      <w:bookmarkStart w:id="145" w:name="OLE_LINK1052"/>
      <w:bookmarkStart w:id="146" w:name="OLE_LINK946"/>
      <w:bookmarkStart w:id="147" w:name="OLE_LINK911"/>
      <w:bookmarkStart w:id="148" w:name="OLE_LINK930"/>
      <w:bookmarkStart w:id="149" w:name="OLE_LINK1059"/>
      <w:bookmarkStart w:id="150" w:name="OLE_LINK1174"/>
      <w:bookmarkStart w:id="151" w:name="OLE_LINK1137"/>
      <w:bookmarkStart w:id="152" w:name="OLE_LINK1167"/>
      <w:bookmarkStart w:id="153" w:name="OLE_LINK1200"/>
      <w:bookmarkStart w:id="154" w:name="OLE_LINK1241"/>
      <w:bookmarkStart w:id="155" w:name="OLE_LINK1288"/>
      <w:bookmarkStart w:id="156" w:name="OLE_LINK1056"/>
      <w:bookmarkStart w:id="157" w:name="OLE_LINK1158"/>
      <w:bookmarkStart w:id="158" w:name="OLE_LINK1175"/>
      <w:bookmarkStart w:id="159" w:name="OLE_LINK1074"/>
      <w:bookmarkStart w:id="160" w:name="OLE_LINK1169"/>
      <w:r w:rsidRPr="008D2E7D">
        <w:rPr>
          <w:rFonts w:ascii="Book Antiqua" w:hAnsi="Book Antiqua"/>
          <w:b/>
          <w:bCs/>
        </w:rPr>
        <w:t>P-Reviewer:</w:t>
      </w:r>
      <w:r>
        <w:rPr>
          <w:rFonts w:ascii="Book Antiqua" w:hAnsi="Book Antiqua" w:hint="eastAsia"/>
          <w:b/>
          <w:bCs/>
        </w:rPr>
        <w:t xml:space="preserve"> </w:t>
      </w:r>
      <w:r w:rsidRPr="00003726">
        <w:rPr>
          <w:rFonts w:ascii="Book Antiqua" w:hAnsi="Book Antiqua"/>
          <w:bCs/>
        </w:rPr>
        <w:t>Aguilera</w:t>
      </w:r>
      <w:r w:rsidRPr="00003726">
        <w:rPr>
          <w:rFonts w:ascii="Book Antiqua" w:hAnsi="Book Antiqua" w:hint="eastAsia"/>
          <w:bCs/>
        </w:rPr>
        <w:t xml:space="preserve"> </w:t>
      </w:r>
      <w:r w:rsidRPr="00003726">
        <w:rPr>
          <w:rFonts w:ascii="Book Antiqua" w:hAnsi="Book Antiqua"/>
          <w:bCs/>
        </w:rPr>
        <w:t>I</w:t>
      </w:r>
      <w:r>
        <w:rPr>
          <w:rFonts w:ascii="Book Antiqua" w:hAnsi="Book Antiqua" w:hint="eastAsia"/>
          <w:b/>
          <w:bCs/>
        </w:rPr>
        <w:t xml:space="preserve"> </w:t>
      </w:r>
      <w:r w:rsidRPr="008D2E7D">
        <w:rPr>
          <w:rFonts w:ascii="Book Antiqua" w:hAnsi="Book Antiqua"/>
          <w:b/>
          <w:bCs/>
        </w:rPr>
        <w:t>S-Editor:</w:t>
      </w:r>
      <w:r w:rsidRPr="008D2E7D">
        <w:rPr>
          <w:rFonts w:ascii="Book Antiqua" w:hAnsi="Book Antiqua" w:hint="eastAsia"/>
        </w:rPr>
        <w:t xml:space="preserve"> Gong ZM</w:t>
      </w:r>
    </w:p>
    <w:p w:rsidR="003E04B6" w:rsidRPr="00783FEF" w:rsidRDefault="00B97901" w:rsidP="00B97901">
      <w:pPr>
        <w:spacing w:line="360" w:lineRule="auto"/>
        <w:jc w:val="right"/>
        <w:rPr>
          <w:rFonts w:ascii="Book Antiqua" w:hAnsi="Book Antiqua"/>
          <w:lang w:eastAsia="zh-CN"/>
        </w:rPr>
      </w:pPr>
      <w:r w:rsidRPr="008D2E7D">
        <w:rPr>
          <w:rFonts w:ascii="Book Antiqua" w:hAnsi="Book Antiqua"/>
          <w:b/>
          <w:bCs/>
        </w:rPr>
        <w:t>L-Editor:</w:t>
      </w:r>
      <w:r w:rsidRPr="008D2E7D">
        <w:rPr>
          <w:rFonts w:ascii="Book Antiqua" w:hAnsi="Book Antiqua"/>
        </w:rPr>
        <w:t xml:space="preserve"> </w:t>
      </w:r>
      <w:r w:rsidRPr="008D2E7D">
        <w:rPr>
          <w:rFonts w:ascii="Book Antiqua" w:hAnsi="Book Antiqua"/>
          <w:b/>
          <w:bCs/>
        </w:rPr>
        <w:t>E-Editor:</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0970BE" w:rsidRPr="00783FEF" w:rsidRDefault="001D26D7" w:rsidP="00783FEF">
      <w:pPr>
        <w:pStyle w:val="NormalWeb"/>
        <w:spacing w:before="0" w:beforeAutospacing="0" w:after="0" w:afterAutospacing="0" w:line="360" w:lineRule="auto"/>
        <w:ind w:left="640"/>
        <w:jc w:val="both"/>
        <w:rPr>
          <w:rFonts w:ascii="Book Antiqua" w:hAnsi="Book Antiqua"/>
          <w:b/>
          <w:lang w:val="en-US"/>
        </w:rPr>
        <w:sectPr w:rsidR="000970BE" w:rsidRPr="00783FEF" w:rsidSect="004F3310">
          <w:footerReference w:type="even" r:id="rId11"/>
          <w:footerReference w:type="default" r:id="rId12"/>
          <w:pgSz w:w="11906" w:h="16838"/>
          <w:pgMar w:top="1440" w:right="1230" w:bottom="1440" w:left="1230" w:header="851" w:footer="992" w:gutter="0"/>
          <w:cols w:space="425"/>
          <w:docGrid w:type="lines" w:linePitch="326"/>
        </w:sectPr>
      </w:pPr>
      <w:r w:rsidRPr="00783FEF">
        <w:rPr>
          <w:rFonts w:ascii="Book Antiqua" w:hAnsi="Book Antiqua"/>
          <w:b/>
        </w:rPr>
        <w:fldChar w:fldCharType="end"/>
      </w:r>
    </w:p>
    <w:p w:rsidR="00622401" w:rsidRDefault="00622401" w:rsidP="00783FEF">
      <w:pPr>
        <w:spacing w:line="360" w:lineRule="auto"/>
        <w:jc w:val="both"/>
        <w:rPr>
          <w:rFonts w:ascii="Book Antiqua" w:hAnsi="Book Antiqua"/>
          <w:b/>
          <w:lang w:eastAsia="zh-CN"/>
        </w:rPr>
      </w:pPr>
      <w:r>
        <w:rPr>
          <w:noProof/>
          <w:lang w:eastAsia="zh-CN"/>
        </w:rPr>
        <w:lastRenderedPageBreak/>
        <w:drawing>
          <wp:inline distT="0" distB="0" distL="0" distR="0" wp14:anchorId="2DFF281E" wp14:editId="30B2CE02">
            <wp:extent cx="3987941" cy="30019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90998" cy="3004294"/>
                    </a:xfrm>
                    <a:prstGeom prst="rect">
                      <a:avLst/>
                    </a:prstGeom>
                  </pic:spPr>
                </pic:pic>
              </a:graphicData>
            </a:graphic>
          </wp:inline>
        </w:drawing>
      </w:r>
    </w:p>
    <w:p w:rsidR="00FC6252" w:rsidRDefault="00FC6252" w:rsidP="00783FEF">
      <w:pPr>
        <w:spacing w:line="360" w:lineRule="auto"/>
        <w:jc w:val="both"/>
        <w:rPr>
          <w:rFonts w:ascii="Book Antiqua" w:hAnsi="Book Antiqua"/>
          <w:b/>
          <w:lang w:eastAsia="zh-CN"/>
        </w:rPr>
      </w:pPr>
      <w:r>
        <w:rPr>
          <w:rFonts w:ascii="Book Antiqua" w:hAnsi="Book Antiqua" w:hint="eastAsia"/>
          <w:b/>
          <w:lang w:eastAsia="zh-CN"/>
        </w:rPr>
        <w:t>A</w:t>
      </w:r>
    </w:p>
    <w:p w:rsidR="00FC6252" w:rsidRDefault="00FC6252" w:rsidP="00783FEF">
      <w:pPr>
        <w:spacing w:line="360" w:lineRule="auto"/>
        <w:jc w:val="both"/>
        <w:rPr>
          <w:rFonts w:ascii="Book Antiqua" w:hAnsi="Book Antiqua"/>
          <w:b/>
          <w:lang w:eastAsia="zh-CN"/>
        </w:rPr>
      </w:pPr>
      <w:r>
        <w:rPr>
          <w:noProof/>
          <w:lang w:eastAsia="zh-CN"/>
        </w:rPr>
        <w:drawing>
          <wp:inline distT="0" distB="0" distL="0" distR="0" wp14:anchorId="7D39A0B0" wp14:editId="26D6853D">
            <wp:extent cx="3956649" cy="29674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8531" cy="2968899"/>
                    </a:xfrm>
                    <a:prstGeom prst="rect">
                      <a:avLst/>
                    </a:prstGeom>
                  </pic:spPr>
                </pic:pic>
              </a:graphicData>
            </a:graphic>
          </wp:inline>
        </w:drawing>
      </w:r>
      <w:r>
        <w:rPr>
          <w:rFonts w:ascii="Book Antiqua" w:hAnsi="Book Antiqua" w:hint="eastAsia"/>
          <w:b/>
          <w:lang w:eastAsia="zh-CN"/>
        </w:rPr>
        <w:t>.</w:t>
      </w:r>
    </w:p>
    <w:p w:rsidR="00FC6252" w:rsidRDefault="00FC6252" w:rsidP="00783FEF">
      <w:pPr>
        <w:spacing w:line="360" w:lineRule="auto"/>
        <w:jc w:val="both"/>
        <w:rPr>
          <w:rFonts w:ascii="Book Antiqua" w:hAnsi="Book Antiqua"/>
          <w:b/>
          <w:lang w:eastAsia="zh-CN"/>
        </w:rPr>
      </w:pPr>
      <w:r>
        <w:rPr>
          <w:rFonts w:ascii="Book Antiqua" w:hAnsi="Book Antiqua" w:hint="eastAsia"/>
          <w:b/>
          <w:lang w:eastAsia="zh-CN"/>
        </w:rPr>
        <w:t>B</w:t>
      </w:r>
    </w:p>
    <w:p w:rsidR="001E586D" w:rsidRPr="00FC6252" w:rsidRDefault="00FC6252" w:rsidP="00FC6252">
      <w:pPr>
        <w:spacing w:line="360" w:lineRule="auto"/>
        <w:jc w:val="both"/>
        <w:rPr>
          <w:rFonts w:ascii="Book Antiqua" w:hAnsi="Book Antiqua"/>
          <w:b/>
          <w:lang w:eastAsia="zh-CN"/>
        </w:rPr>
      </w:pPr>
      <w:r>
        <w:rPr>
          <w:rFonts w:ascii="Book Antiqua" w:hAnsi="Book Antiqua" w:hint="eastAsia"/>
          <w:b/>
          <w:lang w:eastAsia="zh-CN"/>
        </w:rPr>
        <w:t xml:space="preserve">Figure 1 The portal tract. </w:t>
      </w:r>
      <w:r w:rsidRPr="00FC6252">
        <w:rPr>
          <w:rFonts w:ascii="Book Antiqua" w:hAnsi="Book Antiqua" w:hint="eastAsia"/>
          <w:lang w:eastAsia="zh-CN"/>
        </w:rPr>
        <w:t xml:space="preserve">A: </w:t>
      </w:r>
      <w:r w:rsidRPr="00FC6252">
        <w:rPr>
          <w:rFonts w:ascii="Book Antiqua" w:hAnsi="Book Antiqua"/>
        </w:rPr>
        <w:t>A</w:t>
      </w:r>
      <w:r w:rsidR="00760142" w:rsidRPr="00FC6252">
        <w:rPr>
          <w:rFonts w:ascii="Book Antiqua" w:hAnsi="Book Antiqua"/>
        </w:rPr>
        <w:t xml:space="preserve"> moderate plasmacellular infiltrate. There is moderate interface hepatit</w:t>
      </w:r>
      <w:r>
        <w:rPr>
          <w:rFonts w:ascii="Book Antiqua" w:hAnsi="Book Antiqua"/>
        </w:rPr>
        <w:t>is. The bile duct is regular. H</w:t>
      </w:r>
      <w:r w:rsidR="00760142" w:rsidRPr="00FC6252">
        <w:rPr>
          <w:rFonts w:ascii="Book Antiqua" w:hAnsi="Book Antiqua"/>
        </w:rPr>
        <w:t>E</w:t>
      </w:r>
      <w:r w:rsidRPr="00FC6252">
        <w:rPr>
          <w:rFonts w:ascii="Book Antiqua" w:hAnsi="Book Antiqua" w:hint="eastAsia"/>
          <w:lang w:eastAsia="zh-CN"/>
        </w:rPr>
        <w:t xml:space="preserve"> </w:t>
      </w:r>
      <w:r>
        <w:rPr>
          <w:rFonts w:ascii="Book Antiqua" w:hAnsi="Book Antiqua" w:hint="eastAsia"/>
          <w:lang w:eastAsia="zh-CN"/>
        </w:rPr>
        <w:t>staining,</w:t>
      </w:r>
      <w:r w:rsidR="00760142" w:rsidRPr="00FC6252">
        <w:rPr>
          <w:rFonts w:ascii="Book Antiqua" w:hAnsi="Book Antiqua"/>
        </w:rPr>
        <w:t xml:space="preserve"> 10</w:t>
      </w:r>
      <w:r w:rsidR="00622401" w:rsidRPr="00FC6252">
        <w:rPr>
          <w:rFonts w:ascii="Book Antiqua" w:hAnsi="Book Antiqua" w:hint="eastAsia"/>
          <w:lang w:eastAsia="zh-CN"/>
        </w:rPr>
        <w:t xml:space="preserve"> </w:t>
      </w:r>
      <w:r w:rsidR="00622401" w:rsidRPr="00FC6252">
        <w:rPr>
          <w:rFonts w:ascii="Times New Roman" w:hAnsi="Times New Roman"/>
        </w:rPr>
        <w:t>×</w:t>
      </w:r>
      <w:r w:rsidR="00BC1ADC" w:rsidRPr="00A14F24">
        <w:rPr>
          <w:rFonts w:ascii="Book Antiqua" w:hAnsi="Book Antiqua" w:hint="eastAsia"/>
        </w:rPr>
        <w:t>;</w:t>
      </w:r>
      <w:r w:rsidRPr="00FC6252">
        <w:rPr>
          <w:rFonts w:ascii="Book Antiqua" w:hAnsi="Book Antiqua" w:hint="eastAsia"/>
          <w:lang w:eastAsia="zh-CN"/>
        </w:rPr>
        <w:t xml:space="preserve"> B:</w:t>
      </w:r>
      <w:r w:rsidR="001E586D" w:rsidRPr="00FC6252">
        <w:rPr>
          <w:rFonts w:ascii="Book Antiqua" w:hAnsi="Book Antiqua"/>
        </w:rPr>
        <w:t xml:space="preserve"> </w:t>
      </w:r>
      <w:r w:rsidRPr="00FC6252">
        <w:rPr>
          <w:rFonts w:ascii="Book Antiqua" w:hAnsi="Book Antiqua"/>
        </w:rPr>
        <w:t>A</w:t>
      </w:r>
      <w:r w:rsidR="001E586D" w:rsidRPr="00FC6252">
        <w:rPr>
          <w:rFonts w:ascii="Book Antiqua" w:hAnsi="Book Antiqua"/>
        </w:rPr>
        <w:t xml:space="preserve"> moderate chronic inflammatory infiltrate with plasma-cells. There is moderate interface hepatitis. The bile duct is regular. </w:t>
      </w:r>
      <w:r>
        <w:rPr>
          <w:rFonts w:ascii="Book Antiqua" w:hAnsi="Book Antiqua"/>
          <w:lang w:val="it-IT"/>
        </w:rPr>
        <w:t>H</w:t>
      </w:r>
      <w:r w:rsidR="001E586D" w:rsidRPr="00FC6252">
        <w:rPr>
          <w:rFonts w:ascii="Book Antiqua" w:hAnsi="Book Antiqua"/>
          <w:lang w:val="it-IT"/>
        </w:rPr>
        <w:t xml:space="preserve">E </w:t>
      </w:r>
      <w:r>
        <w:rPr>
          <w:rFonts w:ascii="Book Antiqua" w:hAnsi="Book Antiqua" w:hint="eastAsia"/>
          <w:lang w:eastAsia="zh-CN"/>
        </w:rPr>
        <w:t>staining,</w:t>
      </w:r>
      <w:r w:rsidRPr="00FC6252">
        <w:rPr>
          <w:rFonts w:ascii="Book Antiqua" w:hAnsi="Book Antiqua"/>
          <w:lang w:val="it-IT"/>
        </w:rPr>
        <w:t xml:space="preserve"> </w:t>
      </w:r>
      <w:r w:rsidR="001E586D" w:rsidRPr="00FC6252">
        <w:rPr>
          <w:rFonts w:ascii="Book Antiqua" w:hAnsi="Book Antiqua"/>
          <w:lang w:val="it-IT"/>
        </w:rPr>
        <w:t>20</w:t>
      </w:r>
      <w:r w:rsidR="00DB7826" w:rsidRPr="00FC6252">
        <w:rPr>
          <w:rFonts w:ascii="Book Antiqua" w:hAnsi="Book Antiqua" w:hint="eastAsia"/>
          <w:lang w:val="it-IT" w:eastAsia="zh-CN"/>
        </w:rPr>
        <w:t xml:space="preserve"> </w:t>
      </w:r>
      <w:r w:rsidR="00DB7826" w:rsidRPr="00FC6252">
        <w:rPr>
          <w:rFonts w:ascii="Times New Roman" w:hAnsi="Times New Roman"/>
          <w:lang w:val="it-IT"/>
        </w:rPr>
        <w:t>×</w:t>
      </w:r>
      <w:r>
        <w:rPr>
          <w:rFonts w:ascii="Times New Roman" w:hAnsi="Times New Roman" w:hint="eastAsia"/>
          <w:lang w:val="it-IT" w:eastAsia="zh-CN"/>
        </w:rPr>
        <w:t>.</w:t>
      </w:r>
    </w:p>
    <w:p w:rsidR="00DB7826" w:rsidRDefault="00DB7826">
      <w:pPr>
        <w:rPr>
          <w:rFonts w:ascii="Book Antiqua" w:hAnsi="Book Antiqua"/>
          <w:b/>
        </w:rPr>
      </w:pPr>
      <w:r>
        <w:rPr>
          <w:rFonts w:ascii="Book Antiqua" w:hAnsi="Book Antiqua"/>
          <w:b/>
        </w:rPr>
        <w:br w:type="page"/>
      </w:r>
    </w:p>
    <w:p w:rsidR="00DB7826" w:rsidRDefault="00DB7826" w:rsidP="00783FEF">
      <w:pPr>
        <w:spacing w:line="360" w:lineRule="auto"/>
        <w:jc w:val="both"/>
        <w:rPr>
          <w:rFonts w:ascii="Book Antiqua" w:hAnsi="Book Antiqua"/>
          <w:b/>
          <w:lang w:eastAsia="zh-CN"/>
        </w:rPr>
      </w:pPr>
      <w:r>
        <w:rPr>
          <w:noProof/>
          <w:lang w:eastAsia="zh-CN"/>
        </w:rPr>
        <w:lastRenderedPageBreak/>
        <w:drawing>
          <wp:inline distT="0" distB="0" distL="0" distR="0" wp14:anchorId="7301B2C8" wp14:editId="2334A987">
            <wp:extent cx="4023352" cy="3045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25319" cy="3046614"/>
                    </a:xfrm>
                    <a:prstGeom prst="rect">
                      <a:avLst/>
                    </a:prstGeom>
                  </pic:spPr>
                </pic:pic>
              </a:graphicData>
            </a:graphic>
          </wp:inline>
        </w:drawing>
      </w:r>
    </w:p>
    <w:p w:rsidR="001E586D" w:rsidRPr="00783FEF" w:rsidRDefault="001E586D" w:rsidP="00783FEF">
      <w:pPr>
        <w:spacing w:line="360" w:lineRule="auto"/>
        <w:jc w:val="both"/>
        <w:rPr>
          <w:rFonts w:ascii="Book Antiqua" w:hAnsi="Book Antiqua"/>
          <w:lang w:eastAsia="zh-CN"/>
        </w:rPr>
      </w:pPr>
      <w:r w:rsidRPr="00783FEF">
        <w:rPr>
          <w:rFonts w:ascii="Book Antiqua" w:hAnsi="Book Antiqua"/>
          <w:b/>
        </w:rPr>
        <w:t xml:space="preserve">Figure </w:t>
      </w:r>
      <w:r w:rsidR="00321D1B">
        <w:rPr>
          <w:rFonts w:ascii="Book Antiqua" w:hAnsi="Book Antiqua" w:hint="eastAsia"/>
          <w:b/>
          <w:lang w:eastAsia="zh-CN"/>
        </w:rPr>
        <w:t>2</w:t>
      </w:r>
      <w:r w:rsidR="00DB7826">
        <w:rPr>
          <w:rFonts w:ascii="Book Antiqua" w:hAnsi="Book Antiqua" w:hint="eastAsia"/>
          <w:b/>
          <w:lang w:eastAsia="zh-CN"/>
        </w:rPr>
        <w:t xml:space="preserve"> </w:t>
      </w:r>
      <w:r w:rsidRPr="00DB7826">
        <w:rPr>
          <w:rFonts w:ascii="Book Antiqua" w:hAnsi="Book Antiqua"/>
          <w:b/>
        </w:rPr>
        <w:t>The lobule shows hepatocellular rosettas.</w:t>
      </w:r>
      <w:r w:rsidR="00FC6252">
        <w:rPr>
          <w:rFonts w:ascii="Book Antiqua" w:hAnsi="Book Antiqua"/>
        </w:rPr>
        <w:t xml:space="preserve"> H</w:t>
      </w:r>
      <w:r w:rsidRPr="00783FEF">
        <w:rPr>
          <w:rFonts w:ascii="Book Antiqua" w:hAnsi="Book Antiqua"/>
        </w:rPr>
        <w:t xml:space="preserve">E </w:t>
      </w:r>
      <w:r w:rsidR="00FC6252">
        <w:rPr>
          <w:rFonts w:ascii="Book Antiqua" w:hAnsi="Book Antiqua" w:hint="eastAsia"/>
          <w:lang w:eastAsia="zh-CN"/>
        </w:rPr>
        <w:t xml:space="preserve">staining, </w:t>
      </w:r>
      <w:r w:rsidRPr="00783FEF">
        <w:rPr>
          <w:rFonts w:ascii="Book Antiqua" w:hAnsi="Book Antiqua"/>
        </w:rPr>
        <w:t>20</w:t>
      </w:r>
      <w:r w:rsidR="00DB7826">
        <w:rPr>
          <w:rFonts w:ascii="Book Antiqua" w:hAnsi="Book Antiqua" w:hint="eastAsia"/>
          <w:lang w:eastAsia="zh-CN"/>
        </w:rPr>
        <w:t xml:space="preserve"> </w:t>
      </w:r>
      <w:r w:rsidR="00DB7826">
        <w:rPr>
          <w:rFonts w:ascii="Times New Roman" w:hAnsi="Times New Roman"/>
        </w:rPr>
        <w:t>×</w:t>
      </w:r>
      <w:r w:rsidR="00FC6252">
        <w:rPr>
          <w:rFonts w:ascii="Times New Roman" w:hAnsi="Times New Roman" w:hint="eastAsia"/>
          <w:lang w:eastAsia="zh-CN"/>
        </w:rPr>
        <w:t>.</w:t>
      </w:r>
    </w:p>
    <w:p w:rsidR="00DB7826" w:rsidRDefault="00DB7826">
      <w:pPr>
        <w:rPr>
          <w:rFonts w:ascii="Book Antiqua" w:hAnsi="Book Antiqua"/>
          <w:lang w:val="it-IT"/>
        </w:rPr>
      </w:pPr>
      <w:r>
        <w:rPr>
          <w:rFonts w:ascii="Book Antiqua" w:hAnsi="Book Antiqua"/>
          <w:lang w:val="it-IT"/>
        </w:rPr>
        <w:br w:type="page"/>
      </w:r>
    </w:p>
    <w:p w:rsidR="004B4AA6" w:rsidRPr="00DB7826" w:rsidRDefault="004B4AA6" w:rsidP="00783FEF">
      <w:pPr>
        <w:spacing w:line="360" w:lineRule="auto"/>
        <w:jc w:val="both"/>
        <w:rPr>
          <w:rFonts w:ascii="Book Antiqua" w:hAnsi="Book Antiqua"/>
          <w:lang w:val="it-IT"/>
        </w:rPr>
        <w:sectPr w:rsidR="004B4AA6" w:rsidRPr="00DB7826" w:rsidSect="00760142">
          <w:pgSz w:w="11906" w:h="16838"/>
          <w:pgMar w:top="1440" w:right="1230" w:bottom="1440" w:left="1230" w:header="851" w:footer="992" w:gutter="0"/>
          <w:cols w:space="425"/>
          <w:docGrid w:type="lines" w:linePitch="326"/>
        </w:sectPr>
      </w:pPr>
    </w:p>
    <w:p w:rsidR="004B4AA6" w:rsidRPr="00783FEF" w:rsidRDefault="004B4AA6" w:rsidP="00783FEF">
      <w:pPr>
        <w:spacing w:line="360" w:lineRule="auto"/>
        <w:jc w:val="both"/>
        <w:rPr>
          <w:rFonts w:ascii="Book Antiqua" w:hAnsi="Book Antiqua"/>
          <w:b/>
        </w:rPr>
      </w:pPr>
      <w:r w:rsidRPr="00783FEF">
        <w:rPr>
          <w:rFonts w:ascii="Book Antiqua" w:hAnsi="Book Antiqua"/>
          <w:b/>
        </w:rPr>
        <w:lastRenderedPageBreak/>
        <w:t>Table 1</w:t>
      </w:r>
      <w:r w:rsidR="00DB7826">
        <w:rPr>
          <w:rFonts w:ascii="Book Antiqua" w:hAnsi="Book Antiqua" w:hint="eastAsia"/>
          <w:b/>
          <w:lang w:eastAsia="zh-CN"/>
        </w:rPr>
        <w:t xml:space="preserve"> </w:t>
      </w:r>
      <w:r w:rsidRPr="00DB7826">
        <w:rPr>
          <w:rFonts w:ascii="Book Antiqua" w:hAnsi="Book Antiqua"/>
          <w:b/>
        </w:rPr>
        <w:t xml:space="preserve">Differential features of </w:t>
      </w:r>
      <w:r w:rsidRPr="00DB7826">
        <w:rPr>
          <w:rFonts w:ascii="Book Antiqua" w:hAnsi="Book Antiqua"/>
          <w:b/>
          <w:i/>
        </w:rPr>
        <w:t>de novo</w:t>
      </w:r>
      <w:r w:rsidRPr="00DB7826">
        <w:rPr>
          <w:rFonts w:ascii="Book Antiqua" w:hAnsi="Book Antiqua"/>
          <w:b/>
        </w:rPr>
        <w:t xml:space="preserve"> </w:t>
      </w:r>
      <w:r w:rsidR="00DB7826" w:rsidRPr="00DB7826">
        <w:rPr>
          <w:rFonts w:ascii="Book Antiqua" w:hAnsi="Book Antiqua"/>
          <w:b/>
        </w:rPr>
        <w:t>autoimmune hepatitis</w:t>
      </w:r>
      <w:r w:rsidR="00DB7826">
        <w:rPr>
          <w:rFonts w:ascii="Book Antiqua" w:hAnsi="Book Antiqua" w:hint="eastAsia"/>
          <w:b/>
          <w:lang w:eastAsia="zh-CN"/>
        </w:rPr>
        <w:t xml:space="preserve"> </w:t>
      </w:r>
      <w:r w:rsidRPr="00DB7826">
        <w:rPr>
          <w:rFonts w:ascii="Book Antiqua" w:hAnsi="Book Antiqua"/>
          <w:b/>
        </w:rPr>
        <w:t>from other resembling etiologies of late graft dysfunction</w:t>
      </w:r>
      <w:r w:rsidR="001D26D7" w:rsidRPr="00DB7826">
        <w:rPr>
          <w:rFonts w:ascii="Book Antiqua" w:hAnsi="Book Antiqua"/>
          <w:b/>
        </w:rPr>
        <w:fldChar w:fldCharType="begin" w:fldLock="1"/>
      </w:r>
      <w:r w:rsidR="00DE1C74" w:rsidRPr="00DB7826">
        <w:rPr>
          <w:rFonts w:ascii="Book Antiqua" w:hAnsi="Book Antiqua"/>
          <w:b/>
        </w:rPr>
        <w:instrText>ADDIN CSL_CITATION { "citationItems" : [ { "id" : "ITEM-1", "itemData" : { "DOI" : "10.1016/j.cgh.2011.10.028", "ISSN" : "15423565", "abstract" : "Liver transplantation is an effective treatment for patients with end-stage acute and chronic autoimmune hepatitis. However, despite the good outcomes reported, disease recurrence is relatively common in the allograft. In addition, autoimmunity and autoimmune liver disease can arise de novo after transplantation for non-autoimmune liver disorders. Little is known about the mechanisms by which autoimmune diseases develop after liver transplantation, but genetic factors, molecular mimicry, impaired regulatory T-cell responses, and exposures to new alloantigens might be involved. Regardless of the pathogenic mechanisms, it is important to remain aware of the existence of recurrent and de novo autoimmune hepatitis after liver transplantation; these disorders are similar to classic autoimmune hepatitis and are therefore not treated with standard antirejection strategies. ?? 2012 AGA Institute.", "author" : [ { "dropping-particle" : "", "family" : "Liberal", "given" : "Rodrigo", "non-dropping-particle" : "", "parse-names" : false, "suffix" : "" }, { "dropping-particle" : "", "family" : "Longhi", "given" : "Maria Serena", "non-dropping-particle" : "", "parse-names" : false, "suffix" : "" }, { "dropping-particle" : "", "family" : "Grant", "given" : "Charlotte R.", "non-dropping-particle" : "", "parse-names" : false, "suffix" : "" }, { "dropping-particle" : "", "family" : "Mieli-Vergani", "given" : "Giorgina", "non-dropping-particle" : "", "parse-names" : false, "suffix" : "" }, { "dropping-particle" : "", "family" : "Vergani", "given" : "Diego", "non-dropping-particle" : "", "parse-names" : false, "suffix" : "" } ], "container-title" : "Clinical Gastroenterology and Hepatology", "id" : "ITEM-1", "issue" : "4", "issued" : { "date-parts" : [ [ "2012" ] ] }, "page" : "346-353", "publisher" : "Elsevier Inc.", "title" : "Autoimmune Hepatitis After Liver Transplantation", "type" : "article-journal", "volume" : "10" }, "uris" : [ "http://www.mendeley.com/documents/?uuid=961af2c0-e818-4648-b705-fe6245913a22" ] }, { "id" : "ITEM-2", "itemData" : { "DOI" : "10.1016/j.jhep.2011.03.005", "ISSN" : "01688278", "PMID" : "21426919", "abstract" : "With improved long-term survival following liver transplantation (LT), issues relating to the assessment of the liver allograft in long-term survivors are becoming increasingly relevant. Histological abnormalities are commonly present in late post-transplant biopsies, including protocol biopsies from patients who appear to be well with good graft function. Recurrent disease is the commonest recognised cause of abnormal graft histology, but may be modified by the effects of immunosuppression or interactions with other graft complications, resulting in complex or atypical changes. Other abnormalities seen in late post-transplant biopsies include rejection (which often has different appearances to those seen in the post-transplant period), de novo disease, \"idiopathic\" post-transplant hepatitis (IPTH) and nodular regenerative hyperplasia. In many cases graft dysfunction has more than one cause and liver biopsy may help to identify the predominant cause of graft damage. Problems exist with the terminology used to describe less well understood patterns of graft injury, but there is emerging evidence to suggest that late rejection, de novo autoimmune hepatitis and IPTH may all be part of an overlapping spectrum of immune-mediated injury occurring in the late post-transplant liver allograft. Careful clinico-pathological correlation is very important and the wording of the biopsy report should take into account therapeutic implications, particularly whether changes in immunosuppression may be indicated. This article will provide an overview of the main histological changes occurring in long-term survivors post-LT, focusing on areas where the assessment of late post-transplant biopsies is most relevant clinically. \u00a9 2011 European Association for the Study of the Liver. Published by Elsevier B.V. All rights reserved.", "author" : [ { "dropping-particle" : "", "family" : "H\u00fcbscher", "given" : "Stefan G.", "non-dropping-particle" : "", "parse-names" : false, "suffix" : "" } ], "container-title" : "Journal of Hepatology", "id" : "ITEM-2", "issue" : "3", "issued" : { "date-parts" : [ [ "2011" ] ] }, "page" : "702-717", "publisher" : "European Association for the Study of the Liver", "title" : "What is the long-term outcome of the liver allograft?", "type" : "article-journal", "volume" : "55" }, "uris" : [ "http://www.mendeley.com/documents/?uuid=1202adda-8c52-4574-97da-2c105d6d55cc" ] }, { "id" : "ITEM-3", "itemData" : { "DOI" : "10.1016/j.jhep.2010.11.012", "ISBN" : "0168-8278 (Print)\\r0168-8278 (Linking)", "ISSN" : "01688278", "PMID" : "21145865", "abstract" : "Hepatitis C virus (HCV) re-infection of the graft is universal and interferon based antiviral therapy remains at present the treatment of choice in HCV liver transplant recipients. Apart from the antiviral effects, interferon and ribavirin have both potent immunomodulatory properties resulting in a broad range of immune-related disorders including acute cellular rejection and chronic ductopenic rejection as well as de novo autoimmune hepatitis. Further complicating the picture, HCV infection per se is associated with a variety of autoimmune phenomena. We discuss here the immune-mediated complications and their relationship to chronic HCV and interferon based antiviral therapy. \u00a9 2010 European Association for the Study of the Liver. Published by Elsevier B.V. All rights reserved.", "author" : [ { "dropping-particle" : "", "family" : "Selzner", "given" : "Nazia", "non-dropping-particle" : "", "parse-names" : false, "suffix" : "" }, { "dropping-particle" : "", "family" : "Guindi", "given" : "Maha", "non-dropping-particle" : "", "parse-names" : false, "suffix" : "" }, { "dropping-particle" : "", "family" : "Renner", "given" : "Eberhard L.", "non-dropping-particle" : "", "parse-names" : false, "suffix" : "" }, { "dropping-particle" : "", "family" : "Berenguer", "given" : "Marina", "non-dropping-particle" : "", "parse-names" : false, "suffix" : "" } ], "container-title" : "Journal of Hepatology", "id" : "ITEM-3", "issue" : "1", "issued" : { "date-parts" : [ [ "2011" ] ] }, "page" : "207-217", "publisher" : "European Association for the Study of the Liver", "title" : "Immune-mediated complications of the graft in interferon-treated hepatitis C positive liver transplant recipients", "type" : "article-journal", "volume" : "55" }, "uris" : [ "http://www.mendeley.com/documents/?uuid=c17879d9-74c6-461c-84f6-dc0f98203d36" ] }, { "id" : "ITEM-4", "itemData" : { "DOI" : "10.1007/s10620-012-2179-3", "ISSN" : "0163-2116", "author" : [ { "dropping-particle" : "", "family" : "Czaja", "given" : "AlbertJ.", "non-dropping-particle" : "", "parse-names" : false, "suffix" : "" } ], "container-title" : "Digestive Diseases and Sciences", "id" : "ITEM-4", "issue" : "9", "issued" : { "date-parts" : [ [ "2012" ] ] }, "language" : "English", "page" : "2248-2266", "publisher" : "Springer US", "title" : "Diagnosis, Pathogenesis, and Treatment of Autoimmune Hepatitis After Liver Transplantation", "type" : "article-journal", "volume" : "57" }, "uris" : [ "http://www.mendeley.com/documents/?uuid=b1e88aac-bad0-4032-9e31-243811683c87" ] }, { "id" : "ITEM-5", "itemData" : { "ISSN" : "0168-8278 (Print)", "PMID" : "14672607", "author" : [ { "dropping-particle" : "", "family" : "Mieli-Vergani", "given" : "Giorgina", "non-dropping-particle" : "", "parse-names" : false, "suffix" : "" }, { "dropping-particle" : "", "family" : "Vergani", "given" : "Diego", "non-dropping-particle" : "", "parse-names" : false, "suffix" : "" } ], "container-title" : "Journal of hepatology", "id" : "ITEM-5", "issue" : "1", "issued" : { "date-parts" : [ [ "2004", "1" ] ] }, "language" : "eng", "page" : "3-7", "publisher-place" : "England", "title" : "De novo autoimmune hepatitis after liver transplantation.", "type" : "article-journal", "volume" : "40" }, "uris" : [ "http://www.mendeley.com/documents/?uuid=fcbe3663-1f0a-4128-b570-a4b8dd957671" ] } ], "mendeley" : { "formattedCitation" : "&lt;sup&gt;[1,2,7,8,58]&lt;/sup&gt;", "plainTextFormattedCitation" : "[1,2,7,8,58]", "previouslyFormattedCitation" : "&lt;sup&gt;[1,2,7,8,58]&lt;/sup&gt;" }, "properties" : { "noteIndex" : 0 }, "schema" : "https://github.com/citation-style-language/schema/raw/master/csl-citation.json" }</w:instrText>
      </w:r>
      <w:r w:rsidR="001D26D7" w:rsidRPr="00DB7826">
        <w:rPr>
          <w:rFonts w:ascii="Book Antiqua" w:hAnsi="Book Antiqua"/>
          <w:b/>
        </w:rPr>
        <w:fldChar w:fldCharType="separate"/>
      </w:r>
      <w:r w:rsidR="009B32AB" w:rsidRPr="00DB7826">
        <w:rPr>
          <w:rFonts w:ascii="Book Antiqua" w:hAnsi="Book Antiqua"/>
          <w:b/>
          <w:noProof/>
          <w:vertAlign w:val="superscript"/>
        </w:rPr>
        <w:t>[1,2,7,8,58]</w:t>
      </w:r>
      <w:r w:rsidR="001D26D7" w:rsidRPr="00DB7826">
        <w:rPr>
          <w:rFonts w:ascii="Book Antiqua" w:hAnsi="Book Antiqua"/>
          <w:b/>
        </w:rPr>
        <w:fldChar w:fldCharType="end"/>
      </w:r>
    </w:p>
    <w:tbl>
      <w:tblPr>
        <w:tblStyle w:val="TableSimple1"/>
        <w:tblW w:w="5000" w:type="pct"/>
        <w:tblLook w:val="03A0" w:firstRow="1" w:lastRow="0" w:firstColumn="1" w:lastColumn="1" w:noHBand="1" w:noVBand="0"/>
      </w:tblPr>
      <w:tblGrid>
        <w:gridCol w:w="1545"/>
        <w:gridCol w:w="3807"/>
        <w:gridCol w:w="2965"/>
        <w:gridCol w:w="2770"/>
        <w:gridCol w:w="3087"/>
      </w:tblGrid>
      <w:tr w:rsidR="004B4AA6" w:rsidRPr="00783FEF" w:rsidTr="00DB7826">
        <w:trPr>
          <w:cnfStyle w:val="100000000000" w:firstRow="1" w:lastRow="0" w:firstColumn="0" w:lastColumn="0" w:oddVBand="0" w:evenVBand="0" w:oddHBand="0" w:evenHBand="0" w:firstRowFirstColumn="0" w:firstRowLastColumn="0" w:lastRowFirstColumn="0" w:lastRowLastColumn="0"/>
          <w:trHeight w:val="284"/>
        </w:trPr>
        <w:tc>
          <w:tcPr>
            <w:tcW w:w="545" w:type="pct"/>
          </w:tcPr>
          <w:p w:rsidR="004B4AA6" w:rsidRPr="00783FEF" w:rsidRDefault="004B4AA6" w:rsidP="00783FEF">
            <w:pPr>
              <w:spacing w:line="360" w:lineRule="auto"/>
              <w:jc w:val="both"/>
              <w:rPr>
                <w:rFonts w:ascii="Book Antiqua" w:hAnsi="Book Antiqua"/>
                <w:b/>
              </w:rPr>
            </w:pPr>
          </w:p>
        </w:tc>
        <w:tc>
          <w:tcPr>
            <w:tcW w:w="1343" w:type="pct"/>
          </w:tcPr>
          <w:p w:rsidR="004B4AA6" w:rsidRPr="00783FEF" w:rsidRDefault="004B4AA6" w:rsidP="00DB7826">
            <w:pPr>
              <w:spacing w:line="360" w:lineRule="auto"/>
              <w:jc w:val="center"/>
              <w:rPr>
                <w:rFonts w:ascii="Book Antiqua" w:hAnsi="Book Antiqua"/>
                <w:b/>
              </w:rPr>
            </w:pPr>
            <w:r w:rsidRPr="00783FEF">
              <w:rPr>
                <w:rFonts w:ascii="Book Antiqua" w:hAnsi="Book Antiqua"/>
                <w:b/>
                <w:i/>
              </w:rPr>
              <w:t>de novo</w:t>
            </w:r>
            <w:r w:rsidRPr="00783FEF">
              <w:rPr>
                <w:rFonts w:ascii="Book Antiqua" w:hAnsi="Book Antiqua"/>
                <w:b/>
              </w:rPr>
              <w:t xml:space="preserve"> AIH</w:t>
            </w:r>
          </w:p>
        </w:tc>
        <w:tc>
          <w:tcPr>
            <w:tcW w:w="1046" w:type="pct"/>
          </w:tcPr>
          <w:p w:rsidR="004B4AA6" w:rsidRPr="00783FEF" w:rsidRDefault="004B4AA6" w:rsidP="00DB7826">
            <w:pPr>
              <w:spacing w:line="360" w:lineRule="auto"/>
              <w:jc w:val="center"/>
              <w:rPr>
                <w:rFonts w:ascii="Book Antiqua" w:hAnsi="Book Antiqua"/>
                <w:b/>
              </w:rPr>
            </w:pPr>
            <w:r w:rsidRPr="00783FEF">
              <w:rPr>
                <w:rFonts w:ascii="Book Antiqua" w:hAnsi="Book Antiqua"/>
                <w:b/>
              </w:rPr>
              <w:t>HCV recurrence</w:t>
            </w:r>
          </w:p>
        </w:tc>
        <w:tc>
          <w:tcPr>
            <w:tcW w:w="977" w:type="pct"/>
          </w:tcPr>
          <w:p w:rsidR="004B4AA6" w:rsidRPr="00783FEF" w:rsidRDefault="004B4AA6" w:rsidP="00DB7826">
            <w:pPr>
              <w:spacing w:line="360" w:lineRule="auto"/>
              <w:jc w:val="center"/>
              <w:rPr>
                <w:rFonts w:ascii="Book Antiqua" w:hAnsi="Book Antiqua"/>
                <w:b/>
              </w:rPr>
            </w:pPr>
            <w:r w:rsidRPr="00783FEF">
              <w:rPr>
                <w:rFonts w:ascii="Book Antiqua" w:hAnsi="Book Antiqua"/>
                <w:b/>
              </w:rPr>
              <w:t>Acute rejection</w:t>
            </w:r>
          </w:p>
        </w:tc>
        <w:tc>
          <w:tcPr>
            <w:tcW w:w="1090" w:type="pct"/>
          </w:tcPr>
          <w:p w:rsidR="004B4AA6" w:rsidRPr="00783FEF" w:rsidRDefault="004B4AA6" w:rsidP="00DB7826">
            <w:pPr>
              <w:spacing w:line="360" w:lineRule="auto"/>
              <w:jc w:val="center"/>
              <w:rPr>
                <w:rFonts w:ascii="Book Antiqua" w:hAnsi="Book Antiqua"/>
                <w:b/>
              </w:rPr>
            </w:pPr>
            <w:r w:rsidRPr="00783FEF">
              <w:rPr>
                <w:rFonts w:ascii="Book Antiqua" w:hAnsi="Book Antiqua"/>
                <w:b/>
              </w:rPr>
              <w:t>Chronic rejection</w:t>
            </w:r>
          </w:p>
        </w:tc>
      </w:tr>
      <w:tr w:rsidR="004B4AA6" w:rsidRPr="00783FEF" w:rsidTr="00DB7826">
        <w:trPr>
          <w:trHeight w:val="1134"/>
        </w:trPr>
        <w:tc>
          <w:tcPr>
            <w:tcW w:w="545" w:type="pct"/>
          </w:tcPr>
          <w:p w:rsidR="004B4AA6" w:rsidRPr="00DB7826" w:rsidRDefault="004B4AA6" w:rsidP="00DB7826">
            <w:pPr>
              <w:spacing w:line="360" w:lineRule="auto"/>
              <w:rPr>
                <w:rFonts w:ascii="Book Antiqua" w:hAnsi="Book Antiqua"/>
              </w:rPr>
            </w:pPr>
            <w:r w:rsidRPr="00DB7826">
              <w:rPr>
                <w:rFonts w:ascii="Book Antiqua" w:hAnsi="Book Antiqua"/>
              </w:rPr>
              <w:t>Laboratory onset</w:t>
            </w:r>
          </w:p>
        </w:tc>
        <w:tc>
          <w:tcPr>
            <w:tcW w:w="1343" w:type="pct"/>
          </w:tcPr>
          <w:p w:rsidR="004B4AA6" w:rsidRPr="00783FEF" w:rsidRDefault="004B4AA6" w:rsidP="00DB7826">
            <w:pPr>
              <w:spacing w:line="360" w:lineRule="auto"/>
              <w:jc w:val="center"/>
              <w:rPr>
                <w:rFonts w:ascii="Book Antiqua" w:hAnsi="Book Antiqua"/>
              </w:rPr>
            </w:pPr>
            <w:r w:rsidRPr="00783FEF">
              <w:rPr>
                <w:rFonts w:ascii="Book Antiqua" w:hAnsi="Book Antiqua"/>
              </w:rPr>
              <w:t>HBV/HCV/HIV/CMV/EBV negative</w:t>
            </w:r>
          </w:p>
          <w:p w:rsidR="004B4AA6" w:rsidRPr="00783FEF" w:rsidRDefault="004B4AA6" w:rsidP="00DB7826">
            <w:pPr>
              <w:spacing w:line="360" w:lineRule="auto"/>
              <w:jc w:val="center"/>
              <w:rPr>
                <w:rFonts w:ascii="Book Antiqua" w:hAnsi="Book Antiqua"/>
              </w:rPr>
            </w:pPr>
            <w:r w:rsidRPr="00783FEF">
              <w:rPr>
                <w:rFonts w:ascii="Book Antiqua" w:hAnsi="Book Antiqua"/>
              </w:rPr>
              <w:t>Moderate liver enzymes increase</w:t>
            </w:r>
          </w:p>
          <w:p w:rsidR="004B4AA6" w:rsidRPr="00783FEF" w:rsidRDefault="004B4AA6" w:rsidP="00DB7826">
            <w:pPr>
              <w:spacing w:line="360" w:lineRule="auto"/>
              <w:jc w:val="center"/>
              <w:rPr>
                <w:rFonts w:ascii="Book Antiqua" w:hAnsi="Book Antiqua"/>
              </w:rPr>
            </w:pPr>
            <w:r w:rsidRPr="00783FEF">
              <w:rPr>
                <w:rFonts w:ascii="Book Antiqua" w:hAnsi="Book Antiqua"/>
              </w:rPr>
              <w:t>High IgG concentrations</w:t>
            </w:r>
          </w:p>
          <w:p w:rsidR="004B4AA6" w:rsidRPr="00783FEF" w:rsidRDefault="004B4AA6" w:rsidP="00DB7826">
            <w:pPr>
              <w:spacing w:line="360" w:lineRule="auto"/>
              <w:jc w:val="center"/>
              <w:rPr>
                <w:rFonts w:ascii="Book Antiqua" w:hAnsi="Book Antiqua"/>
              </w:rPr>
            </w:pPr>
            <w:r w:rsidRPr="00783FEF">
              <w:rPr>
                <w:rFonts w:ascii="Book Antiqua" w:hAnsi="Book Antiqua"/>
              </w:rPr>
              <w:t>Positivity for ANA, SMA, LKM, atypical LKM (anti-GSTT1), and/or AMA</w:t>
            </w:r>
          </w:p>
          <w:p w:rsidR="004B4AA6" w:rsidRPr="00783FEF" w:rsidRDefault="004B4AA6" w:rsidP="00DB7826">
            <w:pPr>
              <w:spacing w:line="360" w:lineRule="auto"/>
              <w:jc w:val="center"/>
              <w:rPr>
                <w:rFonts w:ascii="Book Antiqua" w:hAnsi="Book Antiqua"/>
              </w:rPr>
            </w:pPr>
          </w:p>
        </w:tc>
        <w:tc>
          <w:tcPr>
            <w:tcW w:w="1046" w:type="pct"/>
          </w:tcPr>
          <w:p w:rsidR="004B4AA6" w:rsidRPr="00783FEF" w:rsidRDefault="004B4AA6" w:rsidP="00DB7826">
            <w:pPr>
              <w:spacing w:line="360" w:lineRule="auto"/>
              <w:jc w:val="center"/>
              <w:rPr>
                <w:rFonts w:ascii="Book Antiqua" w:hAnsi="Book Antiqua"/>
              </w:rPr>
            </w:pPr>
            <w:r w:rsidRPr="00783FEF">
              <w:rPr>
                <w:rFonts w:ascii="Book Antiqua" w:hAnsi="Book Antiqua"/>
              </w:rPr>
              <w:t>HCV-RNA positive</w:t>
            </w:r>
          </w:p>
          <w:p w:rsidR="004B4AA6" w:rsidRPr="00783FEF" w:rsidRDefault="004B4AA6" w:rsidP="00DB7826">
            <w:pPr>
              <w:spacing w:line="360" w:lineRule="auto"/>
              <w:jc w:val="center"/>
              <w:rPr>
                <w:rFonts w:ascii="Book Antiqua" w:hAnsi="Book Antiqua"/>
              </w:rPr>
            </w:pPr>
            <w:r w:rsidRPr="00783FEF">
              <w:rPr>
                <w:rFonts w:ascii="Book Antiqua" w:hAnsi="Book Antiqua"/>
              </w:rPr>
              <w:t>Low-moderate liver enzymes increase</w:t>
            </w:r>
          </w:p>
          <w:p w:rsidR="004B4AA6" w:rsidRPr="00783FEF" w:rsidRDefault="004B4AA6" w:rsidP="00DB7826">
            <w:pPr>
              <w:spacing w:line="360" w:lineRule="auto"/>
              <w:jc w:val="center"/>
              <w:rPr>
                <w:rFonts w:ascii="Book Antiqua" w:hAnsi="Book Antiqua"/>
              </w:rPr>
            </w:pPr>
            <w:r w:rsidRPr="00783FEF">
              <w:rPr>
                <w:rFonts w:ascii="Book Antiqua" w:hAnsi="Book Antiqua"/>
              </w:rPr>
              <w:t>ANA frequently positive</w:t>
            </w:r>
          </w:p>
          <w:p w:rsidR="004B4AA6" w:rsidRPr="00783FEF" w:rsidRDefault="004B4AA6" w:rsidP="00DB7826">
            <w:pPr>
              <w:spacing w:line="360" w:lineRule="auto"/>
              <w:jc w:val="center"/>
              <w:rPr>
                <w:rFonts w:ascii="Book Antiqua" w:hAnsi="Book Antiqua"/>
              </w:rPr>
            </w:pPr>
            <w:r w:rsidRPr="00783FEF">
              <w:rPr>
                <w:rFonts w:ascii="Book Antiqua" w:hAnsi="Book Antiqua"/>
              </w:rPr>
              <w:t>SMA, AMA, LKM rarely positive</w:t>
            </w:r>
          </w:p>
          <w:p w:rsidR="004B4AA6" w:rsidRPr="00783FEF" w:rsidRDefault="004B4AA6" w:rsidP="00DB7826">
            <w:pPr>
              <w:spacing w:line="360" w:lineRule="auto"/>
              <w:jc w:val="center"/>
              <w:rPr>
                <w:rFonts w:ascii="Book Antiqua" w:hAnsi="Book Antiqua"/>
              </w:rPr>
            </w:pPr>
          </w:p>
        </w:tc>
        <w:tc>
          <w:tcPr>
            <w:tcW w:w="977" w:type="pct"/>
          </w:tcPr>
          <w:p w:rsidR="004B4AA6" w:rsidRPr="00783FEF" w:rsidRDefault="004B4AA6" w:rsidP="00DB7826">
            <w:pPr>
              <w:spacing w:line="360" w:lineRule="auto"/>
              <w:jc w:val="center"/>
              <w:rPr>
                <w:rFonts w:ascii="Book Antiqua" w:hAnsi="Book Antiqua"/>
              </w:rPr>
            </w:pPr>
            <w:r w:rsidRPr="00783FEF">
              <w:rPr>
                <w:rFonts w:ascii="Book Antiqua" w:hAnsi="Book Antiqua"/>
              </w:rPr>
              <w:t>Transaminases elevation</w:t>
            </w:r>
          </w:p>
          <w:p w:rsidR="004B4AA6" w:rsidRPr="00783FEF" w:rsidRDefault="004B4AA6" w:rsidP="00DB7826">
            <w:pPr>
              <w:spacing w:line="360" w:lineRule="auto"/>
              <w:jc w:val="center"/>
              <w:rPr>
                <w:rFonts w:ascii="Book Antiqua" w:hAnsi="Book Antiqua"/>
              </w:rPr>
            </w:pPr>
            <w:r w:rsidRPr="00783FEF">
              <w:rPr>
                <w:rFonts w:ascii="Book Antiqua" w:hAnsi="Book Antiqua"/>
              </w:rPr>
              <w:t>Immunosuppressants levels under protective limits</w:t>
            </w:r>
          </w:p>
          <w:p w:rsidR="004B4AA6" w:rsidRPr="00783FEF" w:rsidRDefault="004B4AA6" w:rsidP="00DB7826">
            <w:pPr>
              <w:spacing w:line="360" w:lineRule="auto"/>
              <w:jc w:val="center"/>
              <w:rPr>
                <w:rFonts w:ascii="Book Antiqua" w:hAnsi="Book Antiqua"/>
              </w:rPr>
            </w:pPr>
            <w:r w:rsidRPr="00783FEF">
              <w:rPr>
                <w:rFonts w:ascii="Book Antiqua" w:hAnsi="Book Antiqua"/>
              </w:rPr>
              <w:t>Autoantibodies negative or mild positive</w:t>
            </w:r>
          </w:p>
          <w:p w:rsidR="004B4AA6" w:rsidRPr="00783FEF" w:rsidRDefault="004B4AA6" w:rsidP="00DB7826">
            <w:pPr>
              <w:spacing w:line="360" w:lineRule="auto"/>
              <w:jc w:val="center"/>
              <w:rPr>
                <w:rFonts w:ascii="Book Antiqua" w:hAnsi="Book Antiqua"/>
              </w:rPr>
            </w:pPr>
          </w:p>
        </w:tc>
        <w:tc>
          <w:tcPr>
            <w:tcW w:w="1090" w:type="pct"/>
          </w:tcPr>
          <w:p w:rsidR="004B4AA6" w:rsidRPr="00783FEF" w:rsidRDefault="004B4AA6" w:rsidP="00DB7826">
            <w:pPr>
              <w:spacing w:line="360" w:lineRule="auto"/>
              <w:jc w:val="center"/>
              <w:rPr>
                <w:rFonts w:ascii="Book Antiqua" w:hAnsi="Book Antiqua"/>
              </w:rPr>
            </w:pPr>
            <w:r w:rsidRPr="00783FEF">
              <w:rPr>
                <w:rFonts w:ascii="Book Antiqua" w:hAnsi="Book Antiqua"/>
              </w:rPr>
              <w:t>Transaminases normal/slightly increased</w:t>
            </w:r>
          </w:p>
          <w:p w:rsidR="004B4AA6" w:rsidRPr="00783FEF" w:rsidRDefault="004B4AA6" w:rsidP="00DB7826">
            <w:pPr>
              <w:spacing w:line="360" w:lineRule="auto"/>
              <w:jc w:val="center"/>
              <w:rPr>
                <w:rFonts w:ascii="Book Antiqua" w:hAnsi="Book Antiqua"/>
              </w:rPr>
            </w:pPr>
            <w:r w:rsidRPr="00783FEF">
              <w:rPr>
                <w:rFonts w:ascii="Book Antiqua" w:hAnsi="Book Antiqua"/>
              </w:rPr>
              <w:t>Immunosuppressants levels under protective limits</w:t>
            </w:r>
          </w:p>
          <w:p w:rsidR="004B4AA6" w:rsidRPr="00783FEF" w:rsidRDefault="004B4AA6" w:rsidP="00DB7826">
            <w:pPr>
              <w:spacing w:line="360" w:lineRule="auto"/>
              <w:jc w:val="center"/>
              <w:rPr>
                <w:rFonts w:ascii="Book Antiqua" w:hAnsi="Book Antiqua"/>
              </w:rPr>
            </w:pPr>
            <w:r w:rsidRPr="00783FEF">
              <w:rPr>
                <w:rFonts w:ascii="Book Antiqua" w:hAnsi="Book Antiqua"/>
              </w:rPr>
              <w:t>Autoantibodies negative/mild positive</w:t>
            </w:r>
          </w:p>
        </w:tc>
      </w:tr>
      <w:tr w:rsidR="004B4AA6" w:rsidRPr="00783FEF" w:rsidTr="00DB7826">
        <w:trPr>
          <w:trHeight w:val="1134"/>
        </w:trPr>
        <w:tc>
          <w:tcPr>
            <w:tcW w:w="545" w:type="pct"/>
          </w:tcPr>
          <w:p w:rsidR="004B4AA6" w:rsidRPr="00DB7826" w:rsidRDefault="004B4AA6" w:rsidP="00DB7826">
            <w:pPr>
              <w:spacing w:line="360" w:lineRule="auto"/>
              <w:rPr>
                <w:rFonts w:ascii="Book Antiqua" w:hAnsi="Book Antiqua"/>
              </w:rPr>
            </w:pPr>
            <w:r w:rsidRPr="00DB7826">
              <w:rPr>
                <w:rFonts w:ascii="Book Antiqua" w:hAnsi="Book Antiqua"/>
              </w:rPr>
              <w:t>Clinical presentation</w:t>
            </w:r>
          </w:p>
        </w:tc>
        <w:tc>
          <w:tcPr>
            <w:tcW w:w="1343" w:type="pct"/>
          </w:tcPr>
          <w:p w:rsidR="004B4AA6" w:rsidRPr="00783FEF" w:rsidRDefault="004B4AA6" w:rsidP="00DB7826">
            <w:pPr>
              <w:spacing w:line="360" w:lineRule="auto"/>
              <w:jc w:val="center"/>
              <w:rPr>
                <w:rFonts w:ascii="Book Antiqua" w:hAnsi="Book Antiqua"/>
              </w:rPr>
            </w:pPr>
            <w:r w:rsidRPr="00783FEF">
              <w:rPr>
                <w:rFonts w:ascii="Book Antiqua" w:hAnsi="Book Antiqua"/>
              </w:rPr>
              <w:t>Onset variable from indolent to overt, may follow an antiviral treatment for HCV recurrence, especially when viral clearance is obtained</w:t>
            </w:r>
          </w:p>
          <w:p w:rsidR="004B4AA6" w:rsidRPr="00783FEF" w:rsidRDefault="004B4AA6" w:rsidP="00DB7826">
            <w:pPr>
              <w:spacing w:line="360" w:lineRule="auto"/>
              <w:jc w:val="center"/>
              <w:rPr>
                <w:rFonts w:ascii="Book Antiqua" w:hAnsi="Book Antiqua"/>
              </w:rPr>
            </w:pPr>
            <w:r w:rsidRPr="00783FEF">
              <w:rPr>
                <w:rFonts w:ascii="Book Antiqua" w:hAnsi="Book Antiqua"/>
              </w:rPr>
              <w:t>IAHG probable/definite diagnosis</w:t>
            </w:r>
          </w:p>
        </w:tc>
        <w:tc>
          <w:tcPr>
            <w:tcW w:w="1046" w:type="pct"/>
          </w:tcPr>
          <w:p w:rsidR="004B4AA6" w:rsidRPr="00783FEF" w:rsidRDefault="004B4AA6" w:rsidP="00DB7826">
            <w:pPr>
              <w:spacing w:line="360" w:lineRule="auto"/>
              <w:jc w:val="center"/>
              <w:rPr>
                <w:rFonts w:ascii="Book Antiqua" w:hAnsi="Book Antiqua"/>
              </w:rPr>
            </w:pPr>
            <w:r w:rsidRPr="00783FEF">
              <w:rPr>
                <w:rFonts w:ascii="Book Antiqua" w:hAnsi="Book Antiqua"/>
              </w:rPr>
              <w:t>Gradual progression to cirrhosis except severe forms</w:t>
            </w:r>
          </w:p>
        </w:tc>
        <w:tc>
          <w:tcPr>
            <w:tcW w:w="977" w:type="pct"/>
          </w:tcPr>
          <w:p w:rsidR="004B4AA6" w:rsidRPr="00783FEF" w:rsidRDefault="004B4AA6" w:rsidP="00DB7826">
            <w:pPr>
              <w:spacing w:line="360" w:lineRule="auto"/>
              <w:jc w:val="center"/>
              <w:rPr>
                <w:rFonts w:ascii="Book Antiqua" w:hAnsi="Book Antiqua"/>
              </w:rPr>
            </w:pPr>
            <w:r w:rsidRPr="00783FEF">
              <w:rPr>
                <w:rFonts w:ascii="Book Antiqua" w:hAnsi="Book Antiqua"/>
              </w:rPr>
              <w:t>Rapidly progressive deterioration of liver function scores</w:t>
            </w:r>
          </w:p>
          <w:p w:rsidR="004B4AA6" w:rsidRPr="00783FEF" w:rsidRDefault="004B4AA6" w:rsidP="00DB7826">
            <w:pPr>
              <w:spacing w:line="360" w:lineRule="auto"/>
              <w:jc w:val="center"/>
              <w:rPr>
                <w:rFonts w:ascii="Book Antiqua" w:hAnsi="Book Antiqua"/>
              </w:rPr>
            </w:pPr>
          </w:p>
        </w:tc>
        <w:tc>
          <w:tcPr>
            <w:tcW w:w="1090" w:type="pct"/>
          </w:tcPr>
          <w:p w:rsidR="004B4AA6" w:rsidRPr="00783FEF" w:rsidRDefault="004B4AA6" w:rsidP="00DB7826">
            <w:pPr>
              <w:spacing w:line="360" w:lineRule="auto"/>
              <w:jc w:val="center"/>
              <w:rPr>
                <w:rFonts w:ascii="Book Antiqua" w:hAnsi="Book Antiqua"/>
              </w:rPr>
            </w:pPr>
            <w:r w:rsidRPr="00783FEF">
              <w:rPr>
                <w:rFonts w:ascii="Book Antiqua" w:hAnsi="Book Antiqua"/>
              </w:rPr>
              <w:t>Silent onset</w:t>
            </w:r>
          </w:p>
          <w:p w:rsidR="004B4AA6" w:rsidRPr="00783FEF" w:rsidRDefault="004B4AA6" w:rsidP="00DB7826">
            <w:pPr>
              <w:spacing w:line="360" w:lineRule="auto"/>
              <w:jc w:val="center"/>
              <w:rPr>
                <w:rFonts w:ascii="Book Antiqua" w:hAnsi="Book Antiqua"/>
              </w:rPr>
            </w:pPr>
            <w:r w:rsidRPr="00783FEF">
              <w:rPr>
                <w:rFonts w:ascii="Book Antiqua" w:hAnsi="Book Antiqua"/>
              </w:rPr>
              <w:t>Slow progression to deterioration of liver function scores</w:t>
            </w:r>
          </w:p>
          <w:p w:rsidR="004B4AA6" w:rsidRPr="00783FEF" w:rsidRDefault="004B4AA6" w:rsidP="00DB7826">
            <w:pPr>
              <w:spacing w:line="360" w:lineRule="auto"/>
              <w:jc w:val="center"/>
              <w:rPr>
                <w:rFonts w:ascii="Book Antiqua" w:hAnsi="Book Antiqua"/>
              </w:rPr>
            </w:pPr>
          </w:p>
        </w:tc>
      </w:tr>
      <w:tr w:rsidR="004B4AA6" w:rsidRPr="00783FEF" w:rsidTr="00DB7826">
        <w:trPr>
          <w:trHeight w:val="1134"/>
        </w:trPr>
        <w:tc>
          <w:tcPr>
            <w:tcW w:w="545" w:type="pct"/>
          </w:tcPr>
          <w:p w:rsidR="004B4AA6" w:rsidRPr="00DB7826" w:rsidRDefault="004B4AA6" w:rsidP="00DB7826">
            <w:pPr>
              <w:spacing w:line="360" w:lineRule="auto"/>
              <w:rPr>
                <w:rFonts w:ascii="Book Antiqua" w:hAnsi="Book Antiqua"/>
              </w:rPr>
            </w:pPr>
            <w:r w:rsidRPr="00DB7826">
              <w:rPr>
                <w:rFonts w:ascii="Book Antiqua" w:hAnsi="Book Antiqua"/>
              </w:rPr>
              <w:lastRenderedPageBreak/>
              <w:t>Histology</w:t>
            </w:r>
          </w:p>
        </w:tc>
        <w:tc>
          <w:tcPr>
            <w:tcW w:w="1343" w:type="pct"/>
          </w:tcPr>
          <w:p w:rsidR="004B4AA6" w:rsidRPr="00783FEF" w:rsidRDefault="004B4AA6" w:rsidP="00DB7826">
            <w:pPr>
              <w:spacing w:line="360" w:lineRule="auto"/>
              <w:jc w:val="center"/>
              <w:rPr>
                <w:rFonts w:ascii="Book Antiqua" w:hAnsi="Book Antiqua"/>
              </w:rPr>
            </w:pPr>
            <w:r w:rsidRPr="00783FEF">
              <w:rPr>
                <w:rFonts w:ascii="Book Antiqua" w:hAnsi="Book Antiqua"/>
              </w:rPr>
              <w:t>Portal tract infiltrate rich in plasma-cells</w:t>
            </w:r>
          </w:p>
          <w:p w:rsidR="004B4AA6" w:rsidRPr="00783FEF" w:rsidRDefault="004B4AA6" w:rsidP="00DB7826">
            <w:pPr>
              <w:spacing w:line="360" w:lineRule="auto"/>
              <w:jc w:val="center"/>
              <w:rPr>
                <w:rFonts w:ascii="Book Antiqua" w:hAnsi="Book Antiqua"/>
              </w:rPr>
            </w:pPr>
            <w:r w:rsidRPr="00783FEF">
              <w:rPr>
                <w:rFonts w:ascii="Book Antiqua" w:hAnsi="Book Antiqua"/>
              </w:rPr>
              <w:t>Interface hepatitis</w:t>
            </w:r>
          </w:p>
          <w:p w:rsidR="004B4AA6" w:rsidRPr="00783FEF" w:rsidRDefault="004B4AA6" w:rsidP="00DB7826">
            <w:pPr>
              <w:spacing w:line="360" w:lineRule="auto"/>
              <w:jc w:val="center"/>
              <w:rPr>
                <w:rFonts w:ascii="Book Antiqua" w:hAnsi="Book Antiqua"/>
              </w:rPr>
            </w:pPr>
            <w:r w:rsidRPr="00783FEF">
              <w:rPr>
                <w:rFonts w:ascii="Book Antiqua" w:hAnsi="Book Antiqua"/>
              </w:rPr>
              <w:t>Rosette</w:t>
            </w:r>
          </w:p>
          <w:p w:rsidR="004B4AA6" w:rsidRPr="00783FEF" w:rsidRDefault="004B4AA6" w:rsidP="00DB7826">
            <w:pPr>
              <w:spacing w:line="360" w:lineRule="auto"/>
              <w:jc w:val="center"/>
              <w:rPr>
                <w:rFonts w:ascii="Book Antiqua" w:hAnsi="Book Antiqua"/>
              </w:rPr>
            </w:pPr>
            <w:r w:rsidRPr="00783FEF">
              <w:rPr>
                <w:rFonts w:ascii="Book Antiqua" w:hAnsi="Book Antiqua"/>
              </w:rPr>
              <w:t>Lobular inflammation ±bridging/confluent necrotic foci</w:t>
            </w:r>
          </w:p>
        </w:tc>
        <w:tc>
          <w:tcPr>
            <w:tcW w:w="1046" w:type="pct"/>
          </w:tcPr>
          <w:p w:rsidR="004B4AA6" w:rsidRPr="00783FEF" w:rsidRDefault="004B4AA6" w:rsidP="00DB7826">
            <w:pPr>
              <w:spacing w:line="360" w:lineRule="auto"/>
              <w:jc w:val="center"/>
              <w:rPr>
                <w:rFonts w:ascii="Book Antiqua" w:hAnsi="Book Antiqua"/>
              </w:rPr>
            </w:pPr>
            <w:r w:rsidRPr="00783FEF">
              <w:rPr>
                <w:rFonts w:ascii="Book Antiqua" w:hAnsi="Book Antiqua"/>
              </w:rPr>
              <w:t>Chronic flogistic infiltrate</w:t>
            </w:r>
          </w:p>
          <w:p w:rsidR="004B4AA6" w:rsidRPr="00783FEF" w:rsidRDefault="004B4AA6" w:rsidP="00DB7826">
            <w:pPr>
              <w:spacing w:line="360" w:lineRule="auto"/>
              <w:jc w:val="center"/>
              <w:rPr>
                <w:rFonts w:ascii="Book Antiqua" w:hAnsi="Book Antiqua"/>
              </w:rPr>
            </w:pPr>
            <w:r w:rsidRPr="00783FEF">
              <w:rPr>
                <w:rFonts w:ascii="Book Antiqua" w:hAnsi="Book Antiqua"/>
              </w:rPr>
              <w:t>Possible interface hepatitis</w:t>
            </w:r>
          </w:p>
          <w:p w:rsidR="004B4AA6" w:rsidRPr="00783FEF" w:rsidRDefault="004B4AA6" w:rsidP="00DB7826">
            <w:pPr>
              <w:spacing w:line="360" w:lineRule="auto"/>
              <w:jc w:val="center"/>
              <w:rPr>
                <w:rFonts w:ascii="Book Antiqua" w:hAnsi="Book Antiqua"/>
              </w:rPr>
            </w:pPr>
            <w:r w:rsidRPr="00783FEF">
              <w:rPr>
                <w:rFonts w:ascii="Book Antiqua" w:hAnsi="Book Antiqua"/>
              </w:rPr>
              <w:t>Confluent/bridging necrosis</w:t>
            </w:r>
          </w:p>
          <w:p w:rsidR="004B4AA6" w:rsidRPr="00783FEF" w:rsidRDefault="004B4AA6" w:rsidP="00DB7826">
            <w:pPr>
              <w:spacing w:line="360" w:lineRule="auto"/>
              <w:jc w:val="center"/>
              <w:rPr>
                <w:rFonts w:ascii="Book Antiqua" w:hAnsi="Book Antiqua"/>
              </w:rPr>
            </w:pPr>
            <w:r w:rsidRPr="00783FEF">
              <w:rPr>
                <w:rFonts w:ascii="Book Antiqua" w:hAnsi="Book Antiqua"/>
              </w:rPr>
              <w:t>Progression to cirrhosis</w:t>
            </w:r>
          </w:p>
          <w:p w:rsidR="004B4AA6" w:rsidRPr="00783FEF" w:rsidRDefault="004B4AA6" w:rsidP="00DB7826">
            <w:pPr>
              <w:spacing w:line="360" w:lineRule="auto"/>
              <w:jc w:val="center"/>
              <w:rPr>
                <w:rFonts w:ascii="Book Antiqua" w:hAnsi="Book Antiqua"/>
              </w:rPr>
            </w:pPr>
            <w:r w:rsidRPr="00783FEF">
              <w:rPr>
                <w:rFonts w:ascii="Book Antiqua" w:hAnsi="Book Antiqua"/>
              </w:rPr>
              <w:t>Possible fibrosing cholestatic hepatitis</w:t>
            </w:r>
          </w:p>
        </w:tc>
        <w:tc>
          <w:tcPr>
            <w:tcW w:w="977" w:type="pct"/>
          </w:tcPr>
          <w:p w:rsidR="004B4AA6" w:rsidRPr="00783FEF" w:rsidRDefault="004B4AA6" w:rsidP="00DB7826">
            <w:pPr>
              <w:spacing w:line="360" w:lineRule="auto"/>
              <w:jc w:val="center"/>
              <w:rPr>
                <w:rFonts w:ascii="Book Antiqua" w:hAnsi="Book Antiqua"/>
              </w:rPr>
            </w:pPr>
            <w:r w:rsidRPr="00783FEF">
              <w:rPr>
                <w:rFonts w:ascii="Book Antiqua" w:hAnsi="Book Antiqua"/>
              </w:rPr>
              <w:t>Central perivenulitis</w:t>
            </w:r>
          </w:p>
          <w:p w:rsidR="004B4AA6" w:rsidRPr="00783FEF" w:rsidRDefault="004B4AA6" w:rsidP="00DB7826">
            <w:pPr>
              <w:spacing w:line="360" w:lineRule="auto"/>
              <w:jc w:val="center"/>
              <w:rPr>
                <w:rFonts w:ascii="Book Antiqua" w:hAnsi="Book Antiqua"/>
              </w:rPr>
            </w:pPr>
            <w:r w:rsidRPr="00783FEF">
              <w:rPr>
                <w:rFonts w:ascii="Book Antiqua" w:hAnsi="Book Antiqua"/>
              </w:rPr>
              <w:t>Hepatic venous endothelitis</w:t>
            </w:r>
          </w:p>
          <w:p w:rsidR="004B4AA6" w:rsidRPr="00783FEF" w:rsidRDefault="004B4AA6" w:rsidP="00DB7826">
            <w:pPr>
              <w:spacing w:line="360" w:lineRule="auto"/>
              <w:jc w:val="center"/>
              <w:rPr>
                <w:rFonts w:ascii="Book Antiqua" w:hAnsi="Book Antiqua"/>
              </w:rPr>
            </w:pPr>
            <w:r w:rsidRPr="00783FEF">
              <w:rPr>
                <w:rFonts w:ascii="Book Antiqua" w:hAnsi="Book Antiqua"/>
              </w:rPr>
              <w:t>Mononuclear/mixed portal infiltrate</w:t>
            </w:r>
          </w:p>
          <w:p w:rsidR="004B4AA6" w:rsidRPr="00783FEF" w:rsidRDefault="004B4AA6" w:rsidP="00DB7826">
            <w:pPr>
              <w:spacing w:line="360" w:lineRule="auto"/>
              <w:jc w:val="center"/>
              <w:rPr>
                <w:rFonts w:ascii="Book Antiqua" w:hAnsi="Book Antiqua"/>
              </w:rPr>
            </w:pPr>
            <w:r w:rsidRPr="00783FEF">
              <w:rPr>
                <w:rFonts w:ascii="Book Antiqua" w:hAnsi="Book Antiqua"/>
              </w:rPr>
              <w:t>Bile ducts inflammation</w:t>
            </w:r>
          </w:p>
        </w:tc>
        <w:tc>
          <w:tcPr>
            <w:tcW w:w="1090" w:type="pct"/>
          </w:tcPr>
          <w:p w:rsidR="004B4AA6" w:rsidRPr="00783FEF" w:rsidRDefault="004B4AA6" w:rsidP="00DB7826">
            <w:pPr>
              <w:spacing w:line="360" w:lineRule="auto"/>
              <w:jc w:val="center"/>
              <w:rPr>
                <w:rFonts w:ascii="Book Antiqua" w:hAnsi="Book Antiqua"/>
              </w:rPr>
            </w:pPr>
            <w:r w:rsidRPr="00783FEF">
              <w:rPr>
                <w:rFonts w:ascii="Book Antiqua" w:hAnsi="Book Antiqua"/>
              </w:rPr>
              <w:t>Biliary inflammatory and ischemic pattern: bile ductopenia and inflammation, artheriolar/capillary obliterative features or loss</w:t>
            </w:r>
          </w:p>
        </w:tc>
      </w:tr>
      <w:tr w:rsidR="004B4AA6" w:rsidRPr="00783FEF" w:rsidTr="00DB7826">
        <w:trPr>
          <w:trHeight w:val="1134"/>
        </w:trPr>
        <w:tc>
          <w:tcPr>
            <w:tcW w:w="545" w:type="pct"/>
          </w:tcPr>
          <w:p w:rsidR="004B4AA6" w:rsidRPr="00DB7826" w:rsidRDefault="004B4AA6" w:rsidP="00DB7826">
            <w:pPr>
              <w:spacing w:line="360" w:lineRule="auto"/>
              <w:rPr>
                <w:rFonts w:ascii="Book Antiqua" w:hAnsi="Book Antiqua"/>
              </w:rPr>
            </w:pPr>
            <w:r w:rsidRPr="00DB7826">
              <w:rPr>
                <w:rFonts w:ascii="Book Antiqua" w:hAnsi="Book Antiqua"/>
              </w:rPr>
              <w:t>Treatment</w:t>
            </w:r>
          </w:p>
        </w:tc>
        <w:tc>
          <w:tcPr>
            <w:tcW w:w="1343" w:type="pct"/>
          </w:tcPr>
          <w:p w:rsidR="004B4AA6" w:rsidRPr="00783FEF" w:rsidRDefault="004B4AA6" w:rsidP="00DB7826">
            <w:pPr>
              <w:spacing w:line="360" w:lineRule="auto"/>
              <w:jc w:val="center"/>
              <w:rPr>
                <w:rFonts w:ascii="Book Antiqua" w:hAnsi="Book Antiqua"/>
              </w:rPr>
            </w:pPr>
            <w:r w:rsidRPr="00783FEF">
              <w:rPr>
                <w:rFonts w:ascii="Book Antiqua" w:hAnsi="Book Antiqua"/>
              </w:rPr>
              <w:t>Prednis(ol)one ±</w:t>
            </w:r>
            <w:r w:rsidR="00DB7826">
              <w:rPr>
                <w:rFonts w:ascii="Book Antiqua" w:hAnsi="Book Antiqua" w:hint="eastAsia"/>
                <w:lang w:eastAsia="zh-CN"/>
              </w:rPr>
              <w:t xml:space="preserve"> </w:t>
            </w:r>
            <w:r w:rsidRPr="00783FEF">
              <w:rPr>
                <w:rFonts w:ascii="Book Antiqua" w:hAnsi="Book Antiqua"/>
              </w:rPr>
              <w:t>MMF/azathioprine</w:t>
            </w:r>
          </w:p>
        </w:tc>
        <w:tc>
          <w:tcPr>
            <w:tcW w:w="1046" w:type="pct"/>
          </w:tcPr>
          <w:p w:rsidR="004B4AA6" w:rsidRPr="00783FEF" w:rsidRDefault="004B4AA6" w:rsidP="00DB7826">
            <w:pPr>
              <w:spacing w:line="360" w:lineRule="auto"/>
              <w:jc w:val="center"/>
              <w:rPr>
                <w:rFonts w:ascii="Book Antiqua" w:hAnsi="Book Antiqua"/>
              </w:rPr>
            </w:pPr>
            <w:r w:rsidRPr="00783FEF">
              <w:rPr>
                <w:rFonts w:ascii="Book Antiqua" w:hAnsi="Book Antiqua"/>
              </w:rPr>
              <w:t>Antiviral treatment</w:t>
            </w:r>
          </w:p>
          <w:p w:rsidR="004B4AA6" w:rsidRPr="00783FEF" w:rsidRDefault="004B4AA6" w:rsidP="00DB7826">
            <w:pPr>
              <w:spacing w:line="360" w:lineRule="auto"/>
              <w:jc w:val="center"/>
              <w:rPr>
                <w:rFonts w:ascii="Book Antiqua" w:hAnsi="Book Antiqua"/>
              </w:rPr>
            </w:pPr>
            <w:r w:rsidRPr="00783FEF">
              <w:rPr>
                <w:rFonts w:ascii="Book Antiqua" w:hAnsi="Book Antiqua"/>
              </w:rPr>
              <w:t>Immunosuppression levels monitoring</w:t>
            </w:r>
          </w:p>
        </w:tc>
        <w:tc>
          <w:tcPr>
            <w:tcW w:w="977" w:type="pct"/>
          </w:tcPr>
          <w:p w:rsidR="004B4AA6" w:rsidRPr="00783FEF" w:rsidRDefault="004B4AA6" w:rsidP="00DB7826">
            <w:pPr>
              <w:spacing w:line="360" w:lineRule="auto"/>
              <w:jc w:val="center"/>
              <w:rPr>
                <w:rFonts w:ascii="Book Antiqua" w:hAnsi="Book Antiqua"/>
              </w:rPr>
            </w:pPr>
            <w:r w:rsidRPr="00783FEF">
              <w:rPr>
                <w:rFonts w:ascii="Book Antiqua" w:hAnsi="Book Antiqua"/>
              </w:rPr>
              <w:t>Steroids bolus</w:t>
            </w:r>
          </w:p>
          <w:p w:rsidR="004B4AA6" w:rsidRPr="00783FEF" w:rsidRDefault="004B4AA6" w:rsidP="00DB7826">
            <w:pPr>
              <w:spacing w:line="360" w:lineRule="auto"/>
              <w:jc w:val="center"/>
              <w:rPr>
                <w:rFonts w:ascii="Book Antiqua" w:hAnsi="Book Antiqua"/>
              </w:rPr>
            </w:pPr>
            <w:r w:rsidRPr="00783FEF">
              <w:rPr>
                <w:rFonts w:ascii="Book Antiqua" w:hAnsi="Book Antiqua"/>
              </w:rPr>
              <w:t>Adjustment of immunosuppressive regimen</w:t>
            </w:r>
          </w:p>
        </w:tc>
        <w:tc>
          <w:tcPr>
            <w:tcW w:w="1090" w:type="pct"/>
          </w:tcPr>
          <w:p w:rsidR="004B4AA6" w:rsidRPr="00783FEF" w:rsidRDefault="004B4AA6" w:rsidP="00DB7826">
            <w:pPr>
              <w:spacing w:line="360" w:lineRule="auto"/>
              <w:jc w:val="center"/>
              <w:rPr>
                <w:rFonts w:ascii="Book Antiqua" w:hAnsi="Book Antiqua"/>
              </w:rPr>
            </w:pPr>
            <w:r w:rsidRPr="00783FEF">
              <w:rPr>
                <w:rFonts w:ascii="Book Antiqua" w:hAnsi="Book Antiqua"/>
              </w:rPr>
              <w:t>Steroids bolus</w:t>
            </w:r>
          </w:p>
          <w:p w:rsidR="004B4AA6" w:rsidRPr="00783FEF" w:rsidRDefault="004B4AA6" w:rsidP="00DB7826">
            <w:pPr>
              <w:spacing w:line="360" w:lineRule="auto"/>
              <w:jc w:val="center"/>
              <w:rPr>
                <w:rFonts w:ascii="Book Antiqua" w:hAnsi="Book Antiqua"/>
              </w:rPr>
            </w:pPr>
            <w:r w:rsidRPr="00783FEF">
              <w:rPr>
                <w:rFonts w:ascii="Book Antiqua" w:hAnsi="Book Antiqua"/>
              </w:rPr>
              <w:t>Switch to/addition of a new immunosuppressant and/or optimization of current regimen)</w:t>
            </w:r>
          </w:p>
        </w:tc>
      </w:tr>
    </w:tbl>
    <w:p w:rsidR="004B4AA6" w:rsidRPr="00783FEF" w:rsidRDefault="00DB7826" w:rsidP="00783FEF">
      <w:pPr>
        <w:spacing w:line="360" w:lineRule="auto"/>
        <w:jc w:val="both"/>
        <w:rPr>
          <w:rFonts w:ascii="Book Antiqua" w:hAnsi="Book Antiqua"/>
          <w:lang w:eastAsia="zh-CN"/>
        </w:rPr>
      </w:pPr>
      <w:r>
        <w:rPr>
          <w:rFonts w:ascii="Book Antiqua" w:hAnsi="Book Antiqua" w:hint="eastAsia"/>
          <w:lang w:eastAsia="zh-CN"/>
        </w:rPr>
        <w:t xml:space="preserve">AIH: </w:t>
      </w:r>
      <w:r w:rsidRPr="00DB7826">
        <w:rPr>
          <w:rFonts w:ascii="Book Antiqua" w:hAnsi="Book Antiqua"/>
          <w:caps/>
          <w:lang w:eastAsia="zh-CN"/>
        </w:rPr>
        <w:t>a</w:t>
      </w:r>
      <w:r w:rsidRPr="00DB7826">
        <w:rPr>
          <w:rFonts w:ascii="Book Antiqua" w:hAnsi="Book Antiqua"/>
          <w:lang w:eastAsia="zh-CN"/>
        </w:rPr>
        <w:t>utoimmune hepatitis</w:t>
      </w:r>
      <w:r>
        <w:rPr>
          <w:rFonts w:ascii="Book Antiqua" w:hAnsi="Book Antiqua" w:hint="eastAsia"/>
          <w:lang w:eastAsia="zh-CN"/>
        </w:rPr>
        <w:t xml:space="preserve">; </w:t>
      </w:r>
      <w:r w:rsidR="004B4AA6" w:rsidRPr="00783FEF">
        <w:rPr>
          <w:rFonts w:ascii="Book Antiqua" w:hAnsi="Book Antiqua"/>
        </w:rPr>
        <w:t xml:space="preserve">HBV: Hepatitis B virus; HCV: </w:t>
      </w:r>
      <w:r w:rsidR="004B4AA6" w:rsidRPr="00DB7826">
        <w:rPr>
          <w:rFonts w:ascii="Book Antiqua" w:hAnsi="Book Antiqua"/>
          <w:caps/>
        </w:rPr>
        <w:t>h</w:t>
      </w:r>
      <w:r w:rsidR="004B4AA6" w:rsidRPr="00783FEF">
        <w:rPr>
          <w:rFonts w:ascii="Book Antiqua" w:hAnsi="Book Antiqua"/>
        </w:rPr>
        <w:t xml:space="preserve">epatitis C virus; HIV: </w:t>
      </w:r>
      <w:r w:rsidR="004B4AA6" w:rsidRPr="00DB7826">
        <w:rPr>
          <w:rFonts w:ascii="Book Antiqua" w:hAnsi="Book Antiqua"/>
          <w:caps/>
        </w:rPr>
        <w:t>h</w:t>
      </w:r>
      <w:r w:rsidR="004B4AA6" w:rsidRPr="00783FEF">
        <w:rPr>
          <w:rFonts w:ascii="Book Antiqua" w:hAnsi="Book Antiqua"/>
        </w:rPr>
        <w:t xml:space="preserve">uman immunodeficiency virus; CMV: </w:t>
      </w:r>
      <w:r w:rsidR="004B4AA6" w:rsidRPr="00DB7826">
        <w:rPr>
          <w:rFonts w:ascii="Book Antiqua" w:hAnsi="Book Antiqua"/>
          <w:caps/>
        </w:rPr>
        <w:t>c</w:t>
      </w:r>
      <w:r w:rsidR="004B4AA6" w:rsidRPr="00783FEF">
        <w:rPr>
          <w:rFonts w:ascii="Book Antiqua" w:hAnsi="Book Antiqua"/>
        </w:rPr>
        <w:t xml:space="preserve">ytomegalovirus; EBV: Epstein-Barr virus; ANA: </w:t>
      </w:r>
      <w:r w:rsidR="004B4AA6" w:rsidRPr="00DB7826">
        <w:rPr>
          <w:rFonts w:ascii="Book Antiqua" w:hAnsi="Book Antiqua"/>
          <w:caps/>
        </w:rPr>
        <w:t>a</w:t>
      </w:r>
      <w:r w:rsidR="004B4AA6" w:rsidRPr="00783FEF">
        <w:rPr>
          <w:rFonts w:ascii="Book Antiqua" w:hAnsi="Book Antiqua"/>
        </w:rPr>
        <w:t xml:space="preserve">ntinuclear antibody; SMA: </w:t>
      </w:r>
      <w:r w:rsidR="004B4AA6" w:rsidRPr="00DB7826">
        <w:rPr>
          <w:rFonts w:ascii="Book Antiqua" w:hAnsi="Book Antiqua"/>
          <w:caps/>
        </w:rPr>
        <w:t>s</w:t>
      </w:r>
      <w:r w:rsidR="004B4AA6" w:rsidRPr="00783FEF">
        <w:rPr>
          <w:rFonts w:ascii="Book Antiqua" w:hAnsi="Book Antiqua"/>
        </w:rPr>
        <w:t>mooth muscle antibody; LKM</w:t>
      </w:r>
      <w:r>
        <w:rPr>
          <w:rFonts w:ascii="Book Antiqua" w:hAnsi="Book Antiqua" w:hint="eastAsia"/>
          <w:lang w:eastAsia="zh-CN"/>
        </w:rPr>
        <w:t>:</w:t>
      </w:r>
      <w:r w:rsidR="004B4AA6" w:rsidRPr="00783FEF">
        <w:rPr>
          <w:rFonts w:ascii="Book Antiqua" w:hAnsi="Book Antiqua"/>
        </w:rPr>
        <w:t xml:space="preserve"> </w:t>
      </w:r>
      <w:r w:rsidR="004B4AA6" w:rsidRPr="00DB7826">
        <w:rPr>
          <w:rFonts w:ascii="Book Antiqua" w:hAnsi="Book Antiqua"/>
          <w:caps/>
        </w:rPr>
        <w:t>l</w:t>
      </w:r>
      <w:r w:rsidR="004B4AA6" w:rsidRPr="00783FEF">
        <w:rPr>
          <w:rFonts w:ascii="Book Antiqua" w:hAnsi="Book Antiqua"/>
        </w:rPr>
        <w:t xml:space="preserve">iver kidney-microsomal antibody; GSTT1: </w:t>
      </w:r>
      <w:r w:rsidR="004B4AA6" w:rsidRPr="00DB7826">
        <w:rPr>
          <w:rFonts w:ascii="Book Antiqua" w:hAnsi="Book Antiqua" w:cs="AdvGulliv-R"/>
          <w:caps/>
          <w:color w:val="000000"/>
          <w:lang w:eastAsia="it-IT"/>
        </w:rPr>
        <w:t>g</w:t>
      </w:r>
      <w:r w:rsidR="004B4AA6" w:rsidRPr="00783FEF">
        <w:rPr>
          <w:rFonts w:ascii="Book Antiqua" w:hAnsi="Book Antiqua" w:cs="AdvGulliv-R"/>
          <w:color w:val="000000"/>
          <w:lang w:eastAsia="it-IT"/>
        </w:rPr>
        <w:t>lutathione S-transferase T1</w:t>
      </w:r>
      <w:r w:rsidR="004B4AA6" w:rsidRPr="00783FEF">
        <w:rPr>
          <w:rFonts w:ascii="Book Antiqua" w:hAnsi="Book Antiqua"/>
        </w:rPr>
        <w:t xml:space="preserve">; AMA: </w:t>
      </w:r>
      <w:r w:rsidR="004B4AA6" w:rsidRPr="00DB7826">
        <w:rPr>
          <w:rFonts w:ascii="Book Antiqua" w:hAnsi="Book Antiqua"/>
          <w:caps/>
        </w:rPr>
        <w:t>a</w:t>
      </w:r>
      <w:r w:rsidR="004B4AA6" w:rsidRPr="00783FEF">
        <w:rPr>
          <w:rFonts w:ascii="Book Antiqua" w:hAnsi="Book Antiqua"/>
        </w:rPr>
        <w:t xml:space="preserve">nti-mitochondrial antibody; IAHG: International </w:t>
      </w:r>
      <w:r w:rsidRPr="00783FEF">
        <w:rPr>
          <w:rFonts w:ascii="Book Antiqua" w:hAnsi="Book Antiqua"/>
        </w:rPr>
        <w:t>a</w:t>
      </w:r>
      <w:r w:rsidR="004B4AA6" w:rsidRPr="00783FEF">
        <w:rPr>
          <w:rFonts w:ascii="Book Antiqua" w:hAnsi="Book Antiqua"/>
        </w:rPr>
        <w:t xml:space="preserve">utoimmune </w:t>
      </w:r>
      <w:r w:rsidRPr="00783FEF">
        <w:rPr>
          <w:rFonts w:ascii="Book Antiqua" w:hAnsi="Book Antiqua"/>
        </w:rPr>
        <w:t>h</w:t>
      </w:r>
      <w:r w:rsidR="004B4AA6" w:rsidRPr="00783FEF">
        <w:rPr>
          <w:rFonts w:ascii="Book Antiqua" w:hAnsi="Book Antiqua"/>
        </w:rPr>
        <w:t xml:space="preserve">epatitis </w:t>
      </w:r>
      <w:r w:rsidRPr="00783FEF">
        <w:rPr>
          <w:rFonts w:ascii="Book Antiqua" w:hAnsi="Book Antiqua"/>
        </w:rPr>
        <w:t>g</w:t>
      </w:r>
      <w:r w:rsidR="004B4AA6" w:rsidRPr="00783FEF">
        <w:rPr>
          <w:rFonts w:ascii="Book Antiqua" w:hAnsi="Book Antiqua"/>
        </w:rPr>
        <w:t xml:space="preserve">roup; MMF: </w:t>
      </w:r>
      <w:r w:rsidR="004B4AA6" w:rsidRPr="00DB7826">
        <w:rPr>
          <w:rFonts w:ascii="Book Antiqua" w:hAnsi="Book Antiqua"/>
          <w:caps/>
        </w:rPr>
        <w:t>m</w:t>
      </w:r>
      <w:r w:rsidR="004B4AA6" w:rsidRPr="00783FEF">
        <w:rPr>
          <w:rFonts w:ascii="Book Antiqua" w:hAnsi="Book Antiqua"/>
        </w:rPr>
        <w:t>ycophenola</w:t>
      </w:r>
      <w:r w:rsidR="00DC5137" w:rsidRPr="00783FEF">
        <w:rPr>
          <w:rFonts w:ascii="Book Antiqua" w:hAnsi="Book Antiqua"/>
        </w:rPr>
        <w:t>te</w:t>
      </w:r>
      <w:r>
        <w:rPr>
          <w:rFonts w:ascii="Book Antiqua" w:hAnsi="Book Antiqua" w:hint="eastAsia"/>
          <w:lang w:eastAsia="zh-CN"/>
        </w:rPr>
        <w:t xml:space="preserve"> </w:t>
      </w:r>
      <w:r w:rsidR="00DC5137" w:rsidRPr="00783FEF">
        <w:rPr>
          <w:rFonts w:ascii="Book Antiqua" w:hAnsi="Book Antiqua"/>
        </w:rPr>
        <w:t>mofetil</w:t>
      </w:r>
      <w:r>
        <w:rPr>
          <w:rFonts w:ascii="Book Antiqua" w:hAnsi="Book Antiqua" w:hint="eastAsia"/>
          <w:lang w:eastAsia="zh-CN"/>
        </w:rPr>
        <w:t>.</w:t>
      </w:r>
    </w:p>
    <w:sectPr w:rsidR="004B4AA6" w:rsidRPr="00783FEF" w:rsidSect="00DC5137">
      <w:pgSz w:w="16838" w:h="11906" w:orient="landscape"/>
      <w:pgMar w:top="1230" w:right="1440" w:bottom="123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399" w:rsidRDefault="00B26399">
      <w:r>
        <w:separator/>
      </w:r>
    </w:p>
  </w:endnote>
  <w:endnote w:type="continuationSeparator" w:id="0">
    <w:p w:rsidR="00B26399" w:rsidRDefault="00B26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Bookman-Light">
    <w:panose1 w:val="00000000000000000000"/>
    <w:charset w:val="00"/>
    <w:family w:val="auto"/>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AdvGulliv-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401" w:rsidRDefault="00622401"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2401" w:rsidRDefault="00622401" w:rsidP="0077673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401" w:rsidRDefault="00622401"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398E">
      <w:rPr>
        <w:rStyle w:val="PageNumber"/>
        <w:noProof/>
      </w:rPr>
      <w:t>30</w:t>
    </w:r>
    <w:r>
      <w:rPr>
        <w:rStyle w:val="PageNumber"/>
      </w:rPr>
      <w:fldChar w:fldCharType="end"/>
    </w:r>
  </w:p>
  <w:p w:rsidR="00622401" w:rsidRDefault="00622401" w:rsidP="0077673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399" w:rsidRDefault="00B26399">
      <w:r>
        <w:separator/>
      </w:r>
    </w:p>
  </w:footnote>
  <w:footnote w:type="continuationSeparator" w:id="0">
    <w:p w:rsidR="00B26399" w:rsidRDefault="00B263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E7AA4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C85B09"/>
    <w:multiLevelType w:val="hybridMultilevel"/>
    <w:tmpl w:val="0F6E55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332774"/>
    <w:multiLevelType w:val="hybridMultilevel"/>
    <w:tmpl w:val="0F6E55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E124440"/>
    <w:multiLevelType w:val="multilevel"/>
    <w:tmpl w:val="6A54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1D52FA"/>
    <w:multiLevelType w:val="hybridMultilevel"/>
    <w:tmpl w:val="0F6E55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1B11961"/>
    <w:multiLevelType w:val="hybridMultilevel"/>
    <w:tmpl w:val="D9F8A7AA"/>
    <w:lvl w:ilvl="0" w:tplc="736087E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4FC67DE"/>
    <w:multiLevelType w:val="hybridMultilevel"/>
    <w:tmpl w:val="EF02BF5C"/>
    <w:lvl w:ilvl="0" w:tplc="736087E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F0438BA"/>
    <w:multiLevelType w:val="hybridMultilevel"/>
    <w:tmpl w:val="0F6E55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671755D"/>
    <w:multiLevelType w:val="hybridMultilevel"/>
    <w:tmpl w:val="D9F8A7AA"/>
    <w:lvl w:ilvl="0" w:tplc="736087E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1B273D"/>
    <w:multiLevelType w:val="hybridMultilevel"/>
    <w:tmpl w:val="06042304"/>
    <w:lvl w:ilvl="0" w:tplc="262A6466">
      <w:numFmt w:val="bullet"/>
      <w:lvlText w:val="-"/>
      <w:lvlJc w:val="left"/>
      <w:pPr>
        <w:ind w:left="720" w:hanging="360"/>
      </w:pPr>
      <w:rPr>
        <w:rFonts w:ascii="Book Antiqua" w:eastAsia="SimSu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1107E4"/>
    <w:multiLevelType w:val="hybridMultilevel"/>
    <w:tmpl w:val="D9F8A7AA"/>
    <w:lvl w:ilvl="0" w:tplc="736087E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FBA0AC7"/>
    <w:multiLevelType w:val="hybridMultilevel"/>
    <w:tmpl w:val="25385F56"/>
    <w:lvl w:ilvl="0" w:tplc="6B3C6F60">
      <w:numFmt w:val="bullet"/>
      <w:lvlText w:val="-"/>
      <w:lvlJc w:val="left"/>
      <w:pPr>
        <w:ind w:left="720" w:hanging="360"/>
      </w:pPr>
      <w:rPr>
        <w:rFonts w:ascii="Book Antiqua" w:eastAsia="SimSu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D01C4B"/>
    <w:multiLevelType w:val="hybridMultilevel"/>
    <w:tmpl w:val="D9F8A7AA"/>
    <w:lvl w:ilvl="0" w:tplc="736087E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8"/>
  </w:num>
  <w:num w:numId="3">
    <w:abstractNumId w:val="10"/>
  </w:num>
  <w:num w:numId="4">
    <w:abstractNumId w:val="5"/>
  </w:num>
  <w:num w:numId="5">
    <w:abstractNumId w:val="3"/>
  </w:num>
  <w:num w:numId="6">
    <w:abstractNumId w:val="7"/>
  </w:num>
  <w:num w:numId="7">
    <w:abstractNumId w:val="1"/>
  </w:num>
  <w:num w:numId="8">
    <w:abstractNumId w:val="4"/>
  </w:num>
  <w:num w:numId="9">
    <w:abstractNumId w:val="2"/>
  </w:num>
  <w:num w:numId="10">
    <w:abstractNumId w:val="9"/>
  </w:num>
  <w:num w:numId="11">
    <w:abstractNumId w:val="1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283"/>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AC3"/>
    <w:rsid w:val="00000B42"/>
    <w:rsid w:val="0000471C"/>
    <w:rsid w:val="000148B7"/>
    <w:rsid w:val="00022CCF"/>
    <w:rsid w:val="00026A7F"/>
    <w:rsid w:val="00026E1E"/>
    <w:rsid w:val="000272F3"/>
    <w:rsid w:val="0003078A"/>
    <w:rsid w:val="000316BF"/>
    <w:rsid w:val="00032027"/>
    <w:rsid w:val="0003443C"/>
    <w:rsid w:val="00035802"/>
    <w:rsid w:val="000359D3"/>
    <w:rsid w:val="00035F39"/>
    <w:rsid w:val="00037ABD"/>
    <w:rsid w:val="000413F6"/>
    <w:rsid w:val="000449BB"/>
    <w:rsid w:val="00044EF7"/>
    <w:rsid w:val="0005080B"/>
    <w:rsid w:val="000528FD"/>
    <w:rsid w:val="0005499B"/>
    <w:rsid w:val="00054D84"/>
    <w:rsid w:val="00061AFA"/>
    <w:rsid w:val="0006357D"/>
    <w:rsid w:val="000635C8"/>
    <w:rsid w:val="00064CA4"/>
    <w:rsid w:val="00065F6A"/>
    <w:rsid w:val="000722C1"/>
    <w:rsid w:val="000727EC"/>
    <w:rsid w:val="00075C0C"/>
    <w:rsid w:val="0007743D"/>
    <w:rsid w:val="000779EE"/>
    <w:rsid w:val="00081C2B"/>
    <w:rsid w:val="00082065"/>
    <w:rsid w:val="00083661"/>
    <w:rsid w:val="00083F82"/>
    <w:rsid w:val="00090508"/>
    <w:rsid w:val="00091EA3"/>
    <w:rsid w:val="00091F93"/>
    <w:rsid w:val="00092463"/>
    <w:rsid w:val="000970B2"/>
    <w:rsid w:val="000970BE"/>
    <w:rsid w:val="000A02EF"/>
    <w:rsid w:val="000A3B16"/>
    <w:rsid w:val="000A471E"/>
    <w:rsid w:val="000A5D5A"/>
    <w:rsid w:val="000A767E"/>
    <w:rsid w:val="000B0A44"/>
    <w:rsid w:val="000B0BAC"/>
    <w:rsid w:val="000B12DD"/>
    <w:rsid w:val="000C242D"/>
    <w:rsid w:val="000C2593"/>
    <w:rsid w:val="000C36F0"/>
    <w:rsid w:val="000C41B6"/>
    <w:rsid w:val="000C6654"/>
    <w:rsid w:val="000D028D"/>
    <w:rsid w:val="000D1F8D"/>
    <w:rsid w:val="000D3A4A"/>
    <w:rsid w:val="000D3C2D"/>
    <w:rsid w:val="000D42D4"/>
    <w:rsid w:val="000D4CC1"/>
    <w:rsid w:val="000D6884"/>
    <w:rsid w:val="000E266E"/>
    <w:rsid w:val="000E291B"/>
    <w:rsid w:val="000F319B"/>
    <w:rsid w:val="000F3B26"/>
    <w:rsid w:val="000F4868"/>
    <w:rsid w:val="000F521E"/>
    <w:rsid w:val="000F63FE"/>
    <w:rsid w:val="0010062C"/>
    <w:rsid w:val="0010545D"/>
    <w:rsid w:val="00106CBE"/>
    <w:rsid w:val="00111110"/>
    <w:rsid w:val="00111662"/>
    <w:rsid w:val="001126DC"/>
    <w:rsid w:val="0011446D"/>
    <w:rsid w:val="0011452D"/>
    <w:rsid w:val="00117F4D"/>
    <w:rsid w:val="001339EA"/>
    <w:rsid w:val="00134668"/>
    <w:rsid w:val="00134C31"/>
    <w:rsid w:val="00140455"/>
    <w:rsid w:val="00144423"/>
    <w:rsid w:val="0015097F"/>
    <w:rsid w:val="00152CEC"/>
    <w:rsid w:val="001537E2"/>
    <w:rsid w:val="00156A19"/>
    <w:rsid w:val="001632D6"/>
    <w:rsid w:val="001646AF"/>
    <w:rsid w:val="001652E4"/>
    <w:rsid w:val="00170D44"/>
    <w:rsid w:val="00171DD1"/>
    <w:rsid w:val="001727A6"/>
    <w:rsid w:val="001748CC"/>
    <w:rsid w:val="00176ABE"/>
    <w:rsid w:val="0018045A"/>
    <w:rsid w:val="00180AFD"/>
    <w:rsid w:val="00180D13"/>
    <w:rsid w:val="00181D75"/>
    <w:rsid w:val="001824DA"/>
    <w:rsid w:val="0018257C"/>
    <w:rsid w:val="00183330"/>
    <w:rsid w:val="00186F8F"/>
    <w:rsid w:val="00187B7A"/>
    <w:rsid w:val="0019006E"/>
    <w:rsid w:val="00190EE9"/>
    <w:rsid w:val="00191CAC"/>
    <w:rsid w:val="0019582D"/>
    <w:rsid w:val="001A231C"/>
    <w:rsid w:val="001A464C"/>
    <w:rsid w:val="001A7660"/>
    <w:rsid w:val="001A7A03"/>
    <w:rsid w:val="001B337D"/>
    <w:rsid w:val="001B5838"/>
    <w:rsid w:val="001B6738"/>
    <w:rsid w:val="001C0FBD"/>
    <w:rsid w:val="001C43F7"/>
    <w:rsid w:val="001D0DBF"/>
    <w:rsid w:val="001D251E"/>
    <w:rsid w:val="001D26D7"/>
    <w:rsid w:val="001D2FD9"/>
    <w:rsid w:val="001D30AB"/>
    <w:rsid w:val="001D5317"/>
    <w:rsid w:val="001D7266"/>
    <w:rsid w:val="001E05C9"/>
    <w:rsid w:val="001E1CFC"/>
    <w:rsid w:val="001E33C4"/>
    <w:rsid w:val="001E3FDF"/>
    <w:rsid w:val="001E54C4"/>
    <w:rsid w:val="001E586D"/>
    <w:rsid w:val="001F13D7"/>
    <w:rsid w:val="001F1C4B"/>
    <w:rsid w:val="001F6A6A"/>
    <w:rsid w:val="001F7E9A"/>
    <w:rsid w:val="00206FEF"/>
    <w:rsid w:val="00207C27"/>
    <w:rsid w:val="00213582"/>
    <w:rsid w:val="002147AA"/>
    <w:rsid w:val="00216517"/>
    <w:rsid w:val="002176AD"/>
    <w:rsid w:val="00222C53"/>
    <w:rsid w:val="00224E6B"/>
    <w:rsid w:val="002257CA"/>
    <w:rsid w:val="00225C7E"/>
    <w:rsid w:val="00227BA1"/>
    <w:rsid w:val="00233A75"/>
    <w:rsid w:val="002357AE"/>
    <w:rsid w:val="00235848"/>
    <w:rsid w:val="00237820"/>
    <w:rsid w:val="00243B38"/>
    <w:rsid w:val="0024564C"/>
    <w:rsid w:val="00250635"/>
    <w:rsid w:val="00250798"/>
    <w:rsid w:val="00251625"/>
    <w:rsid w:val="00254DA9"/>
    <w:rsid w:val="00255C64"/>
    <w:rsid w:val="00257C33"/>
    <w:rsid w:val="00260AF4"/>
    <w:rsid w:val="00260D13"/>
    <w:rsid w:val="00261AF0"/>
    <w:rsid w:val="0026200B"/>
    <w:rsid w:val="002647FA"/>
    <w:rsid w:val="002700BE"/>
    <w:rsid w:val="002734E7"/>
    <w:rsid w:val="00276BA1"/>
    <w:rsid w:val="002771CD"/>
    <w:rsid w:val="00280164"/>
    <w:rsid w:val="0028162B"/>
    <w:rsid w:val="00286756"/>
    <w:rsid w:val="00287A78"/>
    <w:rsid w:val="002929CA"/>
    <w:rsid w:val="00294EC8"/>
    <w:rsid w:val="00297B86"/>
    <w:rsid w:val="002A4517"/>
    <w:rsid w:val="002A5E87"/>
    <w:rsid w:val="002A7456"/>
    <w:rsid w:val="002A77C8"/>
    <w:rsid w:val="002B1079"/>
    <w:rsid w:val="002B2394"/>
    <w:rsid w:val="002C0932"/>
    <w:rsid w:val="002C3365"/>
    <w:rsid w:val="002C46A0"/>
    <w:rsid w:val="002C4D02"/>
    <w:rsid w:val="002C6FDA"/>
    <w:rsid w:val="002C7AA1"/>
    <w:rsid w:val="002C7EB3"/>
    <w:rsid w:val="002D0FBD"/>
    <w:rsid w:val="002D3195"/>
    <w:rsid w:val="002D40BA"/>
    <w:rsid w:val="002E2230"/>
    <w:rsid w:val="002E4095"/>
    <w:rsid w:val="002E5850"/>
    <w:rsid w:val="002E5D6A"/>
    <w:rsid w:val="002E76B4"/>
    <w:rsid w:val="002F2264"/>
    <w:rsid w:val="002F230A"/>
    <w:rsid w:val="002F3A64"/>
    <w:rsid w:val="002F4216"/>
    <w:rsid w:val="002F579C"/>
    <w:rsid w:val="003019CC"/>
    <w:rsid w:val="003042CC"/>
    <w:rsid w:val="00305969"/>
    <w:rsid w:val="00307632"/>
    <w:rsid w:val="00313948"/>
    <w:rsid w:val="00313CC1"/>
    <w:rsid w:val="00313F52"/>
    <w:rsid w:val="0031487B"/>
    <w:rsid w:val="00314B91"/>
    <w:rsid w:val="00321D1B"/>
    <w:rsid w:val="00322AB8"/>
    <w:rsid w:val="00324F62"/>
    <w:rsid w:val="00325AA7"/>
    <w:rsid w:val="0032701B"/>
    <w:rsid w:val="00327960"/>
    <w:rsid w:val="0033083B"/>
    <w:rsid w:val="00335E33"/>
    <w:rsid w:val="00351761"/>
    <w:rsid w:val="00351AAB"/>
    <w:rsid w:val="00352BE4"/>
    <w:rsid w:val="00353216"/>
    <w:rsid w:val="003554C7"/>
    <w:rsid w:val="00357CC2"/>
    <w:rsid w:val="00361BE5"/>
    <w:rsid w:val="003643DF"/>
    <w:rsid w:val="00365A80"/>
    <w:rsid w:val="0036704A"/>
    <w:rsid w:val="00367FC2"/>
    <w:rsid w:val="00373421"/>
    <w:rsid w:val="00374ED0"/>
    <w:rsid w:val="003834DC"/>
    <w:rsid w:val="003837FE"/>
    <w:rsid w:val="00385302"/>
    <w:rsid w:val="00386267"/>
    <w:rsid w:val="0039076C"/>
    <w:rsid w:val="003931CC"/>
    <w:rsid w:val="003945EB"/>
    <w:rsid w:val="003959A8"/>
    <w:rsid w:val="00396F7D"/>
    <w:rsid w:val="0039799E"/>
    <w:rsid w:val="003A36A0"/>
    <w:rsid w:val="003A57F1"/>
    <w:rsid w:val="003A73F9"/>
    <w:rsid w:val="003B2366"/>
    <w:rsid w:val="003B3CC7"/>
    <w:rsid w:val="003C09FC"/>
    <w:rsid w:val="003C1842"/>
    <w:rsid w:val="003C43E0"/>
    <w:rsid w:val="003C673D"/>
    <w:rsid w:val="003D39C4"/>
    <w:rsid w:val="003D3D27"/>
    <w:rsid w:val="003D4F71"/>
    <w:rsid w:val="003D5CF0"/>
    <w:rsid w:val="003D618C"/>
    <w:rsid w:val="003D7094"/>
    <w:rsid w:val="003E033F"/>
    <w:rsid w:val="003E04B6"/>
    <w:rsid w:val="003E280A"/>
    <w:rsid w:val="003E298D"/>
    <w:rsid w:val="003E475C"/>
    <w:rsid w:val="003E5252"/>
    <w:rsid w:val="003E5708"/>
    <w:rsid w:val="003F12AA"/>
    <w:rsid w:val="003F5C72"/>
    <w:rsid w:val="003F663E"/>
    <w:rsid w:val="004051EB"/>
    <w:rsid w:val="0040527A"/>
    <w:rsid w:val="0040659E"/>
    <w:rsid w:val="00407DE4"/>
    <w:rsid w:val="00410EF0"/>
    <w:rsid w:val="004130D0"/>
    <w:rsid w:val="00416EDD"/>
    <w:rsid w:val="0042197B"/>
    <w:rsid w:val="00422BD0"/>
    <w:rsid w:val="0042485C"/>
    <w:rsid w:val="0042697C"/>
    <w:rsid w:val="004273C2"/>
    <w:rsid w:val="00427630"/>
    <w:rsid w:val="00427F6E"/>
    <w:rsid w:val="00430A6B"/>
    <w:rsid w:val="00432A55"/>
    <w:rsid w:val="004332C3"/>
    <w:rsid w:val="00441122"/>
    <w:rsid w:val="0044331F"/>
    <w:rsid w:val="00445386"/>
    <w:rsid w:val="00450D7B"/>
    <w:rsid w:val="004512CB"/>
    <w:rsid w:val="0045276B"/>
    <w:rsid w:val="004528F7"/>
    <w:rsid w:val="0045548C"/>
    <w:rsid w:val="004604D6"/>
    <w:rsid w:val="00460F80"/>
    <w:rsid w:val="00462199"/>
    <w:rsid w:val="004666D6"/>
    <w:rsid w:val="004743AC"/>
    <w:rsid w:val="004766D1"/>
    <w:rsid w:val="00477066"/>
    <w:rsid w:val="0048110A"/>
    <w:rsid w:val="00482203"/>
    <w:rsid w:val="0048233B"/>
    <w:rsid w:val="0049446E"/>
    <w:rsid w:val="00495607"/>
    <w:rsid w:val="00495792"/>
    <w:rsid w:val="00495E8E"/>
    <w:rsid w:val="0049674D"/>
    <w:rsid w:val="004978A8"/>
    <w:rsid w:val="004978D8"/>
    <w:rsid w:val="004A2152"/>
    <w:rsid w:val="004A4E46"/>
    <w:rsid w:val="004B000E"/>
    <w:rsid w:val="004B3945"/>
    <w:rsid w:val="004B46E9"/>
    <w:rsid w:val="004B4AA6"/>
    <w:rsid w:val="004B4F4D"/>
    <w:rsid w:val="004B5377"/>
    <w:rsid w:val="004B6B11"/>
    <w:rsid w:val="004C2CD8"/>
    <w:rsid w:val="004C4B35"/>
    <w:rsid w:val="004C4CC9"/>
    <w:rsid w:val="004D15D1"/>
    <w:rsid w:val="004D1A8F"/>
    <w:rsid w:val="004D7D6D"/>
    <w:rsid w:val="004E224D"/>
    <w:rsid w:val="004E2465"/>
    <w:rsid w:val="004E28B6"/>
    <w:rsid w:val="004E2A2D"/>
    <w:rsid w:val="004E30E5"/>
    <w:rsid w:val="004E36E1"/>
    <w:rsid w:val="004E44C6"/>
    <w:rsid w:val="004E6CB0"/>
    <w:rsid w:val="004E6E32"/>
    <w:rsid w:val="004F3310"/>
    <w:rsid w:val="004F484E"/>
    <w:rsid w:val="004F4C84"/>
    <w:rsid w:val="004F60F0"/>
    <w:rsid w:val="005016F6"/>
    <w:rsid w:val="00501DBF"/>
    <w:rsid w:val="00507132"/>
    <w:rsid w:val="00512BE1"/>
    <w:rsid w:val="00513277"/>
    <w:rsid w:val="005133B6"/>
    <w:rsid w:val="00517B63"/>
    <w:rsid w:val="00523CA5"/>
    <w:rsid w:val="00524460"/>
    <w:rsid w:val="00527D27"/>
    <w:rsid w:val="00527EE5"/>
    <w:rsid w:val="00534328"/>
    <w:rsid w:val="005434ED"/>
    <w:rsid w:val="00544951"/>
    <w:rsid w:val="005512C3"/>
    <w:rsid w:val="00554909"/>
    <w:rsid w:val="00554F26"/>
    <w:rsid w:val="00556837"/>
    <w:rsid w:val="0055710A"/>
    <w:rsid w:val="005607CE"/>
    <w:rsid w:val="0056137E"/>
    <w:rsid w:val="005626F2"/>
    <w:rsid w:val="00565B4D"/>
    <w:rsid w:val="00565DE9"/>
    <w:rsid w:val="0056793B"/>
    <w:rsid w:val="005710A3"/>
    <w:rsid w:val="00576727"/>
    <w:rsid w:val="00580938"/>
    <w:rsid w:val="005838CC"/>
    <w:rsid w:val="00590439"/>
    <w:rsid w:val="00590972"/>
    <w:rsid w:val="005913A4"/>
    <w:rsid w:val="00591856"/>
    <w:rsid w:val="00594F3C"/>
    <w:rsid w:val="005965B2"/>
    <w:rsid w:val="00596C41"/>
    <w:rsid w:val="005A387F"/>
    <w:rsid w:val="005A4103"/>
    <w:rsid w:val="005A48F9"/>
    <w:rsid w:val="005B1196"/>
    <w:rsid w:val="005B462F"/>
    <w:rsid w:val="005B5F38"/>
    <w:rsid w:val="005B62E6"/>
    <w:rsid w:val="005B652C"/>
    <w:rsid w:val="005C1B19"/>
    <w:rsid w:val="005C1D52"/>
    <w:rsid w:val="005C289C"/>
    <w:rsid w:val="005C39DD"/>
    <w:rsid w:val="005C4D9B"/>
    <w:rsid w:val="005C5C8E"/>
    <w:rsid w:val="005E0897"/>
    <w:rsid w:val="005E1808"/>
    <w:rsid w:val="005E4B41"/>
    <w:rsid w:val="005E4C6A"/>
    <w:rsid w:val="005F0925"/>
    <w:rsid w:val="005F0DE2"/>
    <w:rsid w:val="005F690F"/>
    <w:rsid w:val="005F7770"/>
    <w:rsid w:val="00600D49"/>
    <w:rsid w:val="006048F3"/>
    <w:rsid w:val="00604E5D"/>
    <w:rsid w:val="006056F8"/>
    <w:rsid w:val="00612C9A"/>
    <w:rsid w:val="0061369D"/>
    <w:rsid w:val="00613769"/>
    <w:rsid w:val="00614AA7"/>
    <w:rsid w:val="00617653"/>
    <w:rsid w:val="00622161"/>
    <w:rsid w:val="00622401"/>
    <w:rsid w:val="00625110"/>
    <w:rsid w:val="00627C54"/>
    <w:rsid w:val="00627CED"/>
    <w:rsid w:val="00627D31"/>
    <w:rsid w:val="00630BC7"/>
    <w:rsid w:val="00631166"/>
    <w:rsid w:val="0063390D"/>
    <w:rsid w:val="0063402E"/>
    <w:rsid w:val="00640752"/>
    <w:rsid w:val="00640AC7"/>
    <w:rsid w:val="0064350D"/>
    <w:rsid w:val="00643700"/>
    <w:rsid w:val="00643EEC"/>
    <w:rsid w:val="006462B8"/>
    <w:rsid w:val="0064794A"/>
    <w:rsid w:val="006516C2"/>
    <w:rsid w:val="00652A32"/>
    <w:rsid w:val="00655295"/>
    <w:rsid w:val="00655D99"/>
    <w:rsid w:val="006602D3"/>
    <w:rsid w:val="00662817"/>
    <w:rsid w:val="00662FF3"/>
    <w:rsid w:val="00667283"/>
    <w:rsid w:val="00673FF9"/>
    <w:rsid w:val="0067600B"/>
    <w:rsid w:val="00676B86"/>
    <w:rsid w:val="00680216"/>
    <w:rsid w:val="00680D46"/>
    <w:rsid w:val="00682863"/>
    <w:rsid w:val="00683C24"/>
    <w:rsid w:val="0068488D"/>
    <w:rsid w:val="006850CE"/>
    <w:rsid w:val="00694245"/>
    <w:rsid w:val="00696F01"/>
    <w:rsid w:val="006973EC"/>
    <w:rsid w:val="006A6DA6"/>
    <w:rsid w:val="006B0E43"/>
    <w:rsid w:val="006B1480"/>
    <w:rsid w:val="006B1D72"/>
    <w:rsid w:val="006B3CC7"/>
    <w:rsid w:val="006B4C0C"/>
    <w:rsid w:val="006B5341"/>
    <w:rsid w:val="006C0A15"/>
    <w:rsid w:val="006C1EBC"/>
    <w:rsid w:val="006C6ECB"/>
    <w:rsid w:val="006C7A0D"/>
    <w:rsid w:val="006D10E8"/>
    <w:rsid w:val="006D2138"/>
    <w:rsid w:val="006D33B2"/>
    <w:rsid w:val="006D77B7"/>
    <w:rsid w:val="006E0318"/>
    <w:rsid w:val="006E1D80"/>
    <w:rsid w:val="006E2406"/>
    <w:rsid w:val="006E2F09"/>
    <w:rsid w:val="006E3BBE"/>
    <w:rsid w:val="006F033D"/>
    <w:rsid w:val="006F0525"/>
    <w:rsid w:val="006F2E54"/>
    <w:rsid w:val="006F3C12"/>
    <w:rsid w:val="006F41B0"/>
    <w:rsid w:val="006F5643"/>
    <w:rsid w:val="00700212"/>
    <w:rsid w:val="00702505"/>
    <w:rsid w:val="00711491"/>
    <w:rsid w:val="00711C4D"/>
    <w:rsid w:val="00715976"/>
    <w:rsid w:val="00716598"/>
    <w:rsid w:val="00716EE0"/>
    <w:rsid w:val="00731018"/>
    <w:rsid w:val="00731394"/>
    <w:rsid w:val="00732055"/>
    <w:rsid w:val="00735502"/>
    <w:rsid w:val="0073561E"/>
    <w:rsid w:val="007373AE"/>
    <w:rsid w:val="007454B6"/>
    <w:rsid w:val="0074640C"/>
    <w:rsid w:val="007520B1"/>
    <w:rsid w:val="00754A1B"/>
    <w:rsid w:val="0075680E"/>
    <w:rsid w:val="0075769A"/>
    <w:rsid w:val="00760142"/>
    <w:rsid w:val="00761D6A"/>
    <w:rsid w:val="007640C5"/>
    <w:rsid w:val="007658C3"/>
    <w:rsid w:val="00770006"/>
    <w:rsid w:val="00770217"/>
    <w:rsid w:val="00773153"/>
    <w:rsid w:val="007738C4"/>
    <w:rsid w:val="0077490A"/>
    <w:rsid w:val="0077673F"/>
    <w:rsid w:val="00777C59"/>
    <w:rsid w:val="00780761"/>
    <w:rsid w:val="00783FEF"/>
    <w:rsid w:val="00784632"/>
    <w:rsid w:val="0078613E"/>
    <w:rsid w:val="00791988"/>
    <w:rsid w:val="0079410F"/>
    <w:rsid w:val="00794FB8"/>
    <w:rsid w:val="0079576B"/>
    <w:rsid w:val="0079596C"/>
    <w:rsid w:val="007A06F4"/>
    <w:rsid w:val="007A3A57"/>
    <w:rsid w:val="007A61CC"/>
    <w:rsid w:val="007B0ADE"/>
    <w:rsid w:val="007B199C"/>
    <w:rsid w:val="007B1A44"/>
    <w:rsid w:val="007B51DF"/>
    <w:rsid w:val="007B523D"/>
    <w:rsid w:val="007B58B5"/>
    <w:rsid w:val="007B5ECF"/>
    <w:rsid w:val="007B5F08"/>
    <w:rsid w:val="007B6114"/>
    <w:rsid w:val="007C01E4"/>
    <w:rsid w:val="007C474B"/>
    <w:rsid w:val="007C5D43"/>
    <w:rsid w:val="007C7B5D"/>
    <w:rsid w:val="007D0291"/>
    <w:rsid w:val="007D07ED"/>
    <w:rsid w:val="007D0899"/>
    <w:rsid w:val="007D1507"/>
    <w:rsid w:val="007D242E"/>
    <w:rsid w:val="007D2C28"/>
    <w:rsid w:val="007D32F4"/>
    <w:rsid w:val="007D3366"/>
    <w:rsid w:val="007D51D5"/>
    <w:rsid w:val="007E09EE"/>
    <w:rsid w:val="007E0ACA"/>
    <w:rsid w:val="007E3A94"/>
    <w:rsid w:val="007E4E14"/>
    <w:rsid w:val="007E62B6"/>
    <w:rsid w:val="007F1B28"/>
    <w:rsid w:val="007F3091"/>
    <w:rsid w:val="007F4EEF"/>
    <w:rsid w:val="007F767C"/>
    <w:rsid w:val="007F7B2D"/>
    <w:rsid w:val="00801824"/>
    <w:rsid w:val="008026BF"/>
    <w:rsid w:val="00804895"/>
    <w:rsid w:val="00807606"/>
    <w:rsid w:val="00810B86"/>
    <w:rsid w:val="008143B6"/>
    <w:rsid w:val="00815AAB"/>
    <w:rsid w:val="0081683B"/>
    <w:rsid w:val="008176B8"/>
    <w:rsid w:val="00817E6D"/>
    <w:rsid w:val="0082398E"/>
    <w:rsid w:val="00825925"/>
    <w:rsid w:val="0082674E"/>
    <w:rsid w:val="008273E5"/>
    <w:rsid w:val="008417D4"/>
    <w:rsid w:val="00842B71"/>
    <w:rsid w:val="0084454B"/>
    <w:rsid w:val="008463CE"/>
    <w:rsid w:val="008479A8"/>
    <w:rsid w:val="00852839"/>
    <w:rsid w:val="00853178"/>
    <w:rsid w:val="00865226"/>
    <w:rsid w:val="00880CE1"/>
    <w:rsid w:val="00881448"/>
    <w:rsid w:val="00883032"/>
    <w:rsid w:val="00884522"/>
    <w:rsid w:val="008874EE"/>
    <w:rsid w:val="0089077A"/>
    <w:rsid w:val="00890D6B"/>
    <w:rsid w:val="0089225B"/>
    <w:rsid w:val="00894B02"/>
    <w:rsid w:val="008A260E"/>
    <w:rsid w:val="008A5B0D"/>
    <w:rsid w:val="008A5B6E"/>
    <w:rsid w:val="008B2555"/>
    <w:rsid w:val="008B6B51"/>
    <w:rsid w:val="008C4ABB"/>
    <w:rsid w:val="008C687B"/>
    <w:rsid w:val="008E4647"/>
    <w:rsid w:val="008E7EDB"/>
    <w:rsid w:val="008F37A9"/>
    <w:rsid w:val="008F40E7"/>
    <w:rsid w:val="008F544F"/>
    <w:rsid w:val="008F6247"/>
    <w:rsid w:val="00903586"/>
    <w:rsid w:val="00904FA3"/>
    <w:rsid w:val="009073C6"/>
    <w:rsid w:val="00910292"/>
    <w:rsid w:val="009107EF"/>
    <w:rsid w:val="009132FB"/>
    <w:rsid w:val="00914CFA"/>
    <w:rsid w:val="00920129"/>
    <w:rsid w:val="009233F0"/>
    <w:rsid w:val="009256B3"/>
    <w:rsid w:val="009258F2"/>
    <w:rsid w:val="00925A5C"/>
    <w:rsid w:val="00927CF7"/>
    <w:rsid w:val="009336C8"/>
    <w:rsid w:val="009371C5"/>
    <w:rsid w:val="009424BD"/>
    <w:rsid w:val="00944C2B"/>
    <w:rsid w:val="00944E0A"/>
    <w:rsid w:val="00944F34"/>
    <w:rsid w:val="009466AE"/>
    <w:rsid w:val="00951183"/>
    <w:rsid w:val="00952ED2"/>
    <w:rsid w:val="00953888"/>
    <w:rsid w:val="0095703D"/>
    <w:rsid w:val="00957857"/>
    <w:rsid w:val="00957E7D"/>
    <w:rsid w:val="009601FC"/>
    <w:rsid w:val="009616AC"/>
    <w:rsid w:val="00963473"/>
    <w:rsid w:val="0096416E"/>
    <w:rsid w:val="00964CB6"/>
    <w:rsid w:val="00964DF0"/>
    <w:rsid w:val="00966192"/>
    <w:rsid w:val="00970D28"/>
    <w:rsid w:val="0097152F"/>
    <w:rsid w:val="00973C1C"/>
    <w:rsid w:val="00974BC0"/>
    <w:rsid w:val="00974FD6"/>
    <w:rsid w:val="009767BB"/>
    <w:rsid w:val="00976D79"/>
    <w:rsid w:val="009773E1"/>
    <w:rsid w:val="009816E1"/>
    <w:rsid w:val="00983289"/>
    <w:rsid w:val="00983F53"/>
    <w:rsid w:val="009848FF"/>
    <w:rsid w:val="009877C1"/>
    <w:rsid w:val="00991464"/>
    <w:rsid w:val="0099189D"/>
    <w:rsid w:val="0099613E"/>
    <w:rsid w:val="009977B8"/>
    <w:rsid w:val="009A04F3"/>
    <w:rsid w:val="009B03A9"/>
    <w:rsid w:val="009B2113"/>
    <w:rsid w:val="009B32AB"/>
    <w:rsid w:val="009B42F7"/>
    <w:rsid w:val="009C6D68"/>
    <w:rsid w:val="009C6FE0"/>
    <w:rsid w:val="009C7739"/>
    <w:rsid w:val="009D189C"/>
    <w:rsid w:val="009D3675"/>
    <w:rsid w:val="009D46E4"/>
    <w:rsid w:val="009E595A"/>
    <w:rsid w:val="009E65B4"/>
    <w:rsid w:val="009F09F1"/>
    <w:rsid w:val="009F3CB3"/>
    <w:rsid w:val="009F4D50"/>
    <w:rsid w:val="009F5C79"/>
    <w:rsid w:val="009F5E4D"/>
    <w:rsid w:val="009F6E5C"/>
    <w:rsid w:val="00A009EF"/>
    <w:rsid w:val="00A00FA4"/>
    <w:rsid w:val="00A01F8C"/>
    <w:rsid w:val="00A03D34"/>
    <w:rsid w:val="00A049A8"/>
    <w:rsid w:val="00A06653"/>
    <w:rsid w:val="00A13466"/>
    <w:rsid w:val="00A13C85"/>
    <w:rsid w:val="00A13EA7"/>
    <w:rsid w:val="00A14F24"/>
    <w:rsid w:val="00A16AD3"/>
    <w:rsid w:val="00A213BE"/>
    <w:rsid w:val="00A24A2B"/>
    <w:rsid w:val="00A251F6"/>
    <w:rsid w:val="00A2670E"/>
    <w:rsid w:val="00A30472"/>
    <w:rsid w:val="00A34DCC"/>
    <w:rsid w:val="00A359CB"/>
    <w:rsid w:val="00A40F3C"/>
    <w:rsid w:val="00A41212"/>
    <w:rsid w:val="00A4302B"/>
    <w:rsid w:val="00A44C11"/>
    <w:rsid w:val="00A44CEC"/>
    <w:rsid w:val="00A55EAF"/>
    <w:rsid w:val="00A5763D"/>
    <w:rsid w:val="00A67561"/>
    <w:rsid w:val="00A73302"/>
    <w:rsid w:val="00A75D02"/>
    <w:rsid w:val="00A77DEA"/>
    <w:rsid w:val="00A77E82"/>
    <w:rsid w:val="00A80D0F"/>
    <w:rsid w:val="00A814AC"/>
    <w:rsid w:val="00A93E12"/>
    <w:rsid w:val="00A95074"/>
    <w:rsid w:val="00A97F76"/>
    <w:rsid w:val="00AA1C14"/>
    <w:rsid w:val="00AA207F"/>
    <w:rsid w:val="00AA33A3"/>
    <w:rsid w:val="00AA4E09"/>
    <w:rsid w:val="00AA6EB8"/>
    <w:rsid w:val="00AA79CB"/>
    <w:rsid w:val="00AA79E9"/>
    <w:rsid w:val="00AA7BE9"/>
    <w:rsid w:val="00AB094B"/>
    <w:rsid w:val="00AB10F3"/>
    <w:rsid w:val="00AB5317"/>
    <w:rsid w:val="00AB5D8E"/>
    <w:rsid w:val="00AC0D2E"/>
    <w:rsid w:val="00AC37AA"/>
    <w:rsid w:val="00AC3C2F"/>
    <w:rsid w:val="00AD138A"/>
    <w:rsid w:val="00AD357C"/>
    <w:rsid w:val="00AD3899"/>
    <w:rsid w:val="00AD3C08"/>
    <w:rsid w:val="00AD3E29"/>
    <w:rsid w:val="00AE0034"/>
    <w:rsid w:val="00AF2BD0"/>
    <w:rsid w:val="00AF64A3"/>
    <w:rsid w:val="00AF7544"/>
    <w:rsid w:val="00B01ADE"/>
    <w:rsid w:val="00B01D08"/>
    <w:rsid w:val="00B03D1B"/>
    <w:rsid w:val="00B06C6A"/>
    <w:rsid w:val="00B06E95"/>
    <w:rsid w:val="00B07BC4"/>
    <w:rsid w:val="00B13AF0"/>
    <w:rsid w:val="00B14FD9"/>
    <w:rsid w:val="00B17F12"/>
    <w:rsid w:val="00B20ED8"/>
    <w:rsid w:val="00B21C2A"/>
    <w:rsid w:val="00B21DE0"/>
    <w:rsid w:val="00B228AD"/>
    <w:rsid w:val="00B22A32"/>
    <w:rsid w:val="00B26399"/>
    <w:rsid w:val="00B31E0A"/>
    <w:rsid w:val="00B4110E"/>
    <w:rsid w:val="00B4218E"/>
    <w:rsid w:val="00B474F7"/>
    <w:rsid w:val="00B51370"/>
    <w:rsid w:val="00B5230A"/>
    <w:rsid w:val="00B54299"/>
    <w:rsid w:val="00B56B6C"/>
    <w:rsid w:val="00B56F58"/>
    <w:rsid w:val="00B60097"/>
    <w:rsid w:val="00B6071B"/>
    <w:rsid w:val="00B607C5"/>
    <w:rsid w:val="00B63B11"/>
    <w:rsid w:val="00B6417F"/>
    <w:rsid w:val="00B64D33"/>
    <w:rsid w:val="00B6612C"/>
    <w:rsid w:val="00B66855"/>
    <w:rsid w:val="00B72FCB"/>
    <w:rsid w:val="00B74213"/>
    <w:rsid w:val="00B80662"/>
    <w:rsid w:val="00B816C8"/>
    <w:rsid w:val="00B8382C"/>
    <w:rsid w:val="00B903B4"/>
    <w:rsid w:val="00B91C4B"/>
    <w:rsid w:val="00B92080"/>
    <w:rsid w:val="00B94D07"/>
    <w:rsid w:val="00B94D62"/>
    <w:rsid w:val="00B97901"/>
    <w:rsid w:val="00BA168A"/>
    <w:rsid w:val="00BA386F"/>
    <w:rsid w:val="00BA62B9"/>
    <w:rsid w:val="00BA63C5"/>
    <w:rsid w:val="00BA666E"/>
    <w:rsid w:val="00BA6750"/>
    <w:rsid w:val="00BA760E"/>
    <w:rsid w:val="00BB3BBF"/>
    <w:rsid w:val="00BB57D9"/>
    <w:rsid w:val="00BB6694"/>
    <w:rsid w:val="00BB793E"/>
    <w:rsid w:val="00BB79BB"/>
    <w:rsid w:val="00BC10B8"/>
    <w:rsid w:val="00BC1ADC"/>
    <w:rsid w:val="00BC3F1E"/>
    <w:rsid w:val="00BD1BAA"/>
    <w:rsid w:val="00BE00E0"/>
    <w:rsid w:val="00BE03D6"/>
    <w:rsid w:val="00BE5466"/>
    <w:rsid w:val="00BE5971"/>
    <w:rsid w:val="00BE5D2A"/>
    <w:rsid w:val="00BE658F"/>
    <w:rsid w:val="00BE6AC3"/>
    <w:rsid w:val="00BF483D"/>
    <w:rsid w:val="00C0198A"/>
    <w:rsid w:val="00C029C6"/>
    <w:rsid w:val="00C0592B"/>
    <w:rsid w:val="00C067DA"/>
    <w:rsid w:val="00C1158E"/>
    <w:rsid w:val="00C11F83"/>
    <w:rsid w:val="00C1589D"/>
    <w:rsid w:val="00C172D9"/>
    <w:rsid w:val="00C203C6"/>
    <w:rsid w:val="00C20620"/>
    <w:rsid w:val="00C22EB5"/>
    <w:rsid w:val="00C2484D"/>
    <w:rsid w:val="00C258DE"/>
    <w:rsid w:val="00C3018F"/>
    <w:rsid w:val="00C310E3"/>
    <w:rsid w:val="00C311E2"/>
    <w:rsid w:val="00C32569"/>
    <w:rsid w:val="00C34D46"/>
    <w:rsid w:val="00C35606"/>
    <w:rsid w:val="00C35699"/>
    <w:rsid w:val="00C421A3"/>
    <w:rsid w:val="00C42D01"/>
    <w:rsid w:val="00C43D59"/>
    <w:rsid w:val="00C44A15"/>
    <w:rsid w:val="00C47351"/>
    <w:rsid w:val="00C477FF"/>
    <w:rsid w:val="00C50962"/>
    <w:rsid w:val="00C52FC8"/>
    <w:rsid w:val="00C554AD"/>
    <w:rsid w:val="00C645E9"/>
    <w:rsid w:val="00C6528A"/>
    <w:rsid w:val="00C71486"/>
    <w:rsid w:val="00C725BE"/>
    <w:rsid w:val="00C72A02"/>
    <w:rsid w:val="00C736BC"/>
    <w:rsid w:val="00C754E8"/>
    <w:rsid w:val="00C75D58"/>
    <w:rsid w:val="00C76637"/>
    <w:rsid w:val="00C81596"/>
    <w:rsid w:val="00C84001"/>
    <w:rsid w:val="00C862B9"/>
    <w:rsid w:val="00C8717D"/>
    <w:rsid w:val="00C94FA4"/>
    <w:rsid w:val="00C95080"/>
    <w:rsid w:val="00C95710"/>
    <w:rsid w:val="00C95900"/>
    <w:rsid w:val="00C96531"/>
    <w:rsid w:val="00C96810"/>
    <w:rsid w:val="00CA2563"/>
    <w:rsid w:val="00CA2D5B"/>
    <w:rsid w:val="00CA31E6"/>
    <w:rsid w:val="00CA3247"/>
    <w:rsid w:val="00CA6FE8"/>
    <w:rsid w:val="00CB213A"/>
    <w:rsid w:val="00CB4D9D"/>
    <w:rsid w:val="00CC2CE6"/>
    <w:rsid w:val="00CC5CD9"/>
    <w:rsid w:val="00CC5E1E"/>
    <w:rsid w:val="00CC6135"/>
    <w:rsid w:val="00CC77FE"/>
    <w:rsid w:val="00CC7D88"/>
    <w:rsid w:val="00CD1034"/>
    <w:rsid w:val="00CD23A4"/>
    <w:rsid w:val="00CD30B3"/>
    <w:rsid w:val="00CD312C"/>
    <w:rsid w:val="00CD3A58"/>
    <w:rsid w:val="00CD4EAB"/>
    <w:rsid w:val="00CD533B"/>
    <w:rsid w:val="00CD605B"/>
    <w:rsid w:val="00CD698F"/>
    <w:rsid w:val="00CE4169"/>
    <w:rsid w:val="00CE4E95"/>
    <w:rsid w:val="00CE717F"/>
    <w:rsid w:val="00CE71AA"/>
    <w:rsid w:val="00CE79FD"/>
    <w:rsid w:val="00CE7CE7"/>
    <w:rsid w:val="00CE7D81"/>
    <w:rsid w:val="00CF0A3F"/>
    <w:rsid w:val="00CF1E5B"/>
    <w:rsid w:val="00CF5A66"/>
    <w:rsid w:val="00CF606F"/>
    <w:rsid w:val="00D05848"/>
    <w:rsid w:val="00D10157"/>
    <w:rsid w:val="00D110B5"/>
    <w:rsid w:val="00D12161"/>
    <w:rsid w:val="00D143F4"/>
    <w:rsid w:val="00D1468A"/>
    <w:rsid w:val="00D146C8"/>
    <w:rsid w:val="00D149D7"/>
    <w:rsid w:val="00D1588E"/>
    <w:rsid w:val="00D167F2"/>
    <w:rsid w:val="00D16806"/>
    <w:rsid w:val="00D16B3C"/>
    <w:rsid w:val="00D20432"/>
    <w:rsid w:val="00D25AFF"/>
    <w:rsid w:val="00D27BEE"/>
    <w:rsid w:val="00D33111"/>
    <w:rsid w:val="00D35263"/>
    <w:rsid w:val="00D35397"/>
    <w:rsid w:val="00D3663B"/>
    <w:rsid w:val="00D41635"/>
    <w:rsid w:val="00D43A97"/>
    <w:rsid w:val="00D470AB"/>
    <w:rsid w:val="00D47E8E"/>
    <w:rsid w:val="00D501EA"/>
    <w:rsid w:val="00D511DC"/>
    <w:rsid w:val="00D51CAF"/>
    <w:rsid w:val="00D5337B"/>
    <w:rsid w:val="00D549AF"/>
    <w:rsid w:val="00D54F34"/>
    <w:rsid w:val="00D54F87"/>
    <w:rsid w:val="00D552B5"/>
    <w:rsid w:val="00D55F98"/>
    <w:rsid w:val="00D5741E"/>
    <w:rsid w:val="00D64B52"/>
    <w:rsid w:val="00D65299"/>
    <w:rsid w:val="00D67E9C"/>
    <w:rsid w:val="00D70FE8"/>
    <w:rsid w:val="00D71C08"/>
    <w:rsid w:val="00D74C86"/>
    <w:rsid w:val="00D82349"/>
    <w:rsid w:val="00D83731"/>
    <w:rsid w:val="00D83852"/>
    <w:rsid w:val="00D84540"/>
    <w:rsid w:val="00D95E9F"/>
    <w:rsid w:val="00DA18DB"/>
    <w:rsid w:val="00DA34F5"/>
    <w:rsid w:val="00DA67D5"/>
    <w:rsid w:val="00DB0F97"/>
    <w:rsid w:val="00DB256D"/>
    <w:rsid w:val="00DB3ABE"/>
    <w:rsid w:val="00DB492D"/>
    <w:rsid w:val="00DB4940"/>
    <w:rsid w:val="00DB6038"/>
    <w:rsid w:val="00DB7826"/>
    <w:rsid w:val="00DC5137"/>
    <w:rsid w:val="00DD0124"/>
    <w:rsid w:val="00DD472B"/>
    <w:rsid w:val="00DD52C4"/>
    <w:rsid w:val="00DE0AAA"/>
    <w:rsid w:val="00DE1123"/>
    <w:rsid w:val="00DE1C74"/>
    <w:rsid w:val="00DE7E49"/>
    <w:rsid w:val="00DF070B"/>
    <w:rsid w:val="00DF4A7B"/>
    <w:rsid w:val="00E013F0"/>
    <w:rsid w:val="00E03587"/>
    <w:rsid w:val="00E04464"/>
    <w:rsid w:val="00E074EA"/>
    <w:rsid w:val="00E078F8"/>
    <w:rsid w:val="00E10854"/>
    <w:rsid w:val="00E111A1"/>
    <w:rsid w:val="00E11EF1"/>
    <w:rsid w:val="00E12608"/>
    <w:rsid w:val="00E128F0"/>
    <w:rsid w:val="00E15A8C"/>
    <w:rsid w:val="00E16135"/>
    <w:rsid w:val="00E1696D"/>
    <w:rsid w:val="00E21464"/>
    <w:rsid w:val="00E23AB1"/>
    <w:rsid w:val="00E2474F"/>
    <w:rsid w:val="00E2527E"/>
    <w:rsid w:val="00E2740B"/>
    <w:rsid w:val="00E2760B"/>
    <w:rsid w:val="00E32E5B"/>
    <w:rsid w:val="00E36D23"/>
    <w:rsid w:val="00E37F91"/>
    <w:rsid w:val="00E41BC6"/>
    <w:rsid w:val="00E54A2E"/>
    <w:rsid w:val="00E559EC"/>
    <w:rsid w:val="00E577F9"/>
    <w:rsid w:val="00E60435"/>
    <w:rsid w:val="00E62221"/>
    <w:rsid w:val="00E62D4D"/>
    <w:rsid w:val="00E63863"/>
    <w:rsid w:val="00E65C6F"/>
    <w:rsid w:val="00E73C3D"/>
    <w:rsid w:val="00E82FC4"/>
    <w:rsid w:val="00E8708E"/>
    <w:rsid w:val="00E93DCD"/>
    <w:rsid w:val="00E949C4"/>
    <w:rsid w:val="00E970BA"/>
    <w:rsid w:val="00EA1E66"/>
    <w:rsid w:val="00EA3FB5"/>
    <w:rsid w:val="00EA737D"/>
    <w:rsid w:val="00EA749D"/>
    <w:rsid w:val="00EB0F72"/>
    <w:rsid w:val="00EB0FC3"/>
    <w:rsid w:val="00EB268C"/>
    <w:rsid w:val="00EB2C2C"/>
    <w:rsid w:val="00EC2C7B"/>
    <w:rsid w:val="00EC38B2"/>
    <w:rsid w:val="00EC5826"/>
    <w:rsid w:val="00EC6B7E"/>
    <w:rsid w:val="00EC7DD0"/>
    <w:rsid w:val="00ED1633"/>
    <w:rsid w:val="00ED1900"/>
    <w:rsid w:val="00ED5439"/>
    <w:rsid w:val="00ED78F1"/>
    <w:rsid w:val="00EE004D"/>
    <w:rsid w:val="00EE099D"/>
    <w:rsid w:val="00EE1B89"/>
    <w:rsid w:val="00EE42E3"/>
    <w:rsid w:val="00EE51A8"/>
    <w:rsid w:val="00EE75B5"/>
    <w:rsid w:val="00EF3AFE"/>
    <w:rsid w:val="00EF3B8C"/>
    <w:rsid w:val="00EF3D12"/>
    <w:rsid w:val="00EF5864"/>
    <w:rsid w:val="00F01B1D"/>
    <w:rsid w:val="00F025E2"/>
    <w:rsid w:val="00F028E5"/>
    <w:rsid w:val="00F03B7D"/>
    <w:rsid w:val="00F04474"/>
    <w:rsid w:val="00F067BD"/>
    <w:rsid w:val="00F1210D"/>
    <w:rsid w:val="00F1220F"/>
    <w:rsid w:val="00F1271F"/>
    <w:rsid w:val="00F12A7E"/>
    <w:rsid w:val="00F1332F"/>
    <w:rsid w:val="00F13F13"/>
    <w:rsid w:val="00F15026"/>
    <w:rsid w:val="00F167A6"/>
    <w:rsid w:val="00F26846"/>
    <w:rsid w:val="00F26CC7"/>
    <w:rsid w:val="00F31DAF"/>
    <w:rsid w:val="00F330ED"/>
    <w:rsid w:val="00F35C11"/>
    <w:rsid w:val="00F365C3"/>
    <w:rsid w:val="00F37AE0"/>
    <w:rsid w:val="00F40772"/>
    <w:rsid w:val="00F41E66"/>
    <w:rsid w:val="00F43A7B"/>
    <w:rsid w:val="00F54696"/>
    <w:rsid w:val="00F5615C"/>
    <w:rsid w:val="00F56259"/>
    <w:rsid w:val="00F5779E"/>
    <w:rsid w:val="00F60CBF"/>
    <w:rsid w:val="00F631AE"/>
    <w:rsid w:val="00F66E12"/>
    <w:rsid w:val="00F73157"/>
    <w:rsid w:val="00F75BF4"/>
    <w:rsid w:val="00F76B9E"/>
    <w:rsid w:val="00F8008B"/>
    <w:rsid w:val="00F81681"/>
    <w:rsid w:val="00F83E84"/>
    <w:rsid w:val="00F84FD4"/>
    <w:rsid w:val="00F868DE"/>
    <w:rsid w:val="00F87764"/>
    <w:rsid w:val="00F879E5"/>
    <w:rsid w:val="00F90333"/>
    <w:rsid w:val="00F9326D"/>
    <w:rsid w:val="00F938DE"/>
    <w:rsid w:val="00F94C55"/>
    <w:rsid w:val="00FA09FE"/>
    <w:rsid w:val="00FA2DC1"/>
    <w:rsid w:val="00FA3631"/>
    <w:rsid w:val="00FA3B09"/>
    <w:rsid w:val="00FA3E97"/>
    <w:rsid w:val="00FA7F78"/>
    <w:rsid w:val="00FB12AC"/>
    <w:rsid w:val="00FB36EB"/>
    <w:rsid w:val="00FB43B2"/>
    <w:rsid w:val="00FB7D45"/>
    <w:rsid w:val="00FC6252"/>
    <w:rsid w:val="00FC6A00"/>
    <w:rsid w:val="00FD0F8C"/>
    <w:rsid w:val="00FD2FCF"/>
    <w:rsid w:val="00FD5DED"/>
    <w:rsid w:val="00FD72E6"/>
    <w:rsid w:val="00FD7F37"/>
    <w:rsid w:val="00FE02BB"/>
    <w:rsid w:val="00FE0B12"/>
    <w:rsid w:val="00FE2FE3"/>
    <w:rsid w:val="00FE5748"/>
    <w:rsid w:val="00FF651F"/>
    <w:rsid w:val="00FF779E"/>
    <w:rsid w:val="00FF79A3"/>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9D5FAD1-E729-464F-93AB-20833B8C2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9CA"/>
    <w:rPr>
      <w:sz w:val="24"/>
      <w:szCs w:val="24"/>
      <w:lang w:val="en-US" w:eastAsia="en-US"/>
    </w:rPr>
  </w:style>
  <w:style w:type="paragraph" w:styleId="Heading1">
    <w:name w:val="heading 1"/>
    <w:basedOn w:val="Normal"/>
    <w:next w:val="Normal"/>
    <w:link w:val="Titolo1Carattere"/>
    <w:uiPriority w:val="9"/>
    <w:qFormat/>
    <w:rsid w:val="002929CA"/>
    <w:pPr>
      <w:keepNext/>
      <w:spacing w:before="240" w:after="60"/>
      <w:outlineLvl w:val="0"/>
    </w:pPr>
    <w:rPr>
      <w:rFonts w:ascii="Cambria" w:hAnsi="Cambria"/>
      <w:b/>
      <w:bCs/>
      <w:kern w:val="32"/>
      <w:sz w:val="32"/>
      <w:szCs w:val="32"/>
    </w:rPr>
  </w:style>
  <w:style w:type="paragraph" w:styleId="Heading2">
    <w:name w:val="heading 2"/>
    <w:basedOn w:val="Normal"/>
    <w:next w:val="Normal"/>
    <w:link w:val="Titolo2Carattere"/>
    <w:uiPriority w:val="9"/>
    <w:semiHidden/>
    <w:unhideWhenUsed/>
    <w:qFormat/>
    <w:rsid w:val="002929CA"/>
    <w:pPr>
      <w:keepNext/>
      <w:spacing w:before="240" w:after="60"/>
      <w:outlineLvl w:val="1"/>
    </w:pPr>
    <w:rPr>
      <w:rFonts w:ascii="Cambria" w:hAnsi="Cambria"/>
      <w:b/>
      <w:bCs/>
      <w:i/>
      <w:iCs/>
      <w:sz w:val="28"/>
      <w:szCs w:val="28"/>
    </w:rPr>
  </w:style>
  <w:style w:type="paragraph" w:styleId="Heading3">
    <w:name w:val="heading 3"/>
    <w:basedOn w:val="Normal"/>
    <w:next w:val="Normal"/>
    <w:link w:val="Titolo3Carattere"/>
    <w:uiPriority w:val="9"/>
    <w:unhideWhenUsed/>
    <w:qFormat/>
    <w:rsid w:val="002929CA"/>
    <w:pPr>
      <w:keepNext/>
      <w:spacing w:before="240" w:after="60"/>
      <w:outlineLvl w:val="2"/>
    </w:pPr>
    <w:rPr>
      <w:rFonts w:ascii="Cambria" w:hAnsi="Cambria"/>
      <w:b/>
      <w:bCs/>
      <w:sz w:val="26"/>
      <w:szCs w:val="26"/>
    </w:rPr>
  </w:style>
  <w:style w:type="paragraph" w:styleId="Heading4">
    <w:name w:val="heading 4"/>
    <w:basedOn w:val="Normal"/>
    <w:next w:val="Normal"/>
    <w:link w:val="Titolo4Carattere"/>
    <w:uiPriority w:val="9"/>
    <w:semiHidden/>
    <w:unhideWhenUsed/>
    <w:qFormat/>
    <w:rsid w:val="002929CA"/>
    <w:pPr>
      <w:keepNext/>
      <w:spacing w:before="240" w:after="60"/>
      <w:outlineLvl w:val="3"/>
    </w:pPr>
    <w:rPr>
      <w:b/>
      <w:bCs/>
      <w:sz w:val="28"/>
      <w:szCs w:val="28"/>
    </w:rPr>
  </w:style>
  <w:style w:type="paragraph" w:styleId="Heading5">
    <w:name w:val="heading 5"/>
    <w:basedOn w:val="Normal"/>
    <w:next w:val="Normal"/>
    <w:link w:val="Titolo5Carattere"/>
    <w:uiPriority w:val="9"/>
    <w:semiHidden/>
    <w:unhideWhenUsed/>
    <w:qFormat/>
    <w:rsid w:val="002929CA"/>
    <w:pPr>
      <w:spacing w:before="240" w:after="60"/>
      <w:outlineLvl w:val="4"/>
    </w:pPr>
    <w:rPr>
      <w:b/>
      <w:bCs/>
      <w:i/>
      <w:iCs/>
      <w:sz w:val="26"/>
      <w:szCs w:val="26"/>
    </w:rPr>
  </w:style>
  <w:style w:type="paragraph" w:styleId="Heading6">
    <w:name w:val="heading 6"/>
    <w:basedOn w:val="Normal"/>
    <w:next w:val="Normal"/>
    <w:link w:val="Titolo6Carattere"/>
    <w:uiPriority w:val="9"/>
    <w:semiHidden/>
    <w:unhideWhenUsed/>
    <w:qFormat/>
    <w:rsid w:val="002929CA"/>
    <w:pPr>
      <w:spacing w:before="240" w:after="60"/>
      <w:outlineLvl w:val="5"/>
    </w:pPr>
    <w:rPr>
      <w:b/>
      <w:bCs/>
      <w:sz w:val="20"/>
      <w:szCs w:val="20"/>
    </w:rPr>
  </w:style>
  <w:style w:type="paragraph" w:styleId="Heading7">
    <w:name w:val="heading 7"/>
    <w:basedOn w:val="Normal"/>
    <w:next w:val="Normal"/>
    <w:link w:val="Titolo7Carattere"/>
    <w:uiPriority w:val="9"/>
    <w:semiHidden/>
    <w:unhideWhenUsed/>
    <w:qFormat/>
    <w:rsid w:val="002929CA"/>
    <w:pPr>
      <w:spacing w:before="240" w:after="60"/>
      <w:outlineLvl w:val="6"/>
    </w:pPr>
  </w:style>
  <w:style w:type="paragraph" w:styleId="Heading8">
    <w:name w:val="heading 8"/>
    <w:basedOn w:val="Normal"/>
    <w:next w:val="Normal"/>
    <w:link w:val="Titolo8Carattere"/>
    <w:uiPriority w:val="9"/>
    <w:semiHidden/>
    <w:unhideWhenUsed/>
    <w:qFormat/>
    <w:rsid w:val="002929CA"/>
    <w:pPr>
      <w:spacing w:before="240" w:after="60"/>
      <w:outlineLvl w:val="7"/>
    </w:pPr>
    <w:rPr>
      <w:i/>
      <w:iCs/>
    </w:rPr>
  </w:style>
  <w:style w:type="paragraph" w:styleId="Heading9">
    <w:name w:val="heading 9"/>
    <w:basedOn w:val="Normal"/>
    <w:next w:val="Normal"/>
    <w:link w:val="Titolo9Carattere"/>
    <w:uiPriority w:val="9"/>
    <w:semiHidden/>
    <w:unhideWhenUsed/>
    <w:qFormat/>
    <w:rsid w:val="002929CA"/>
    <w:pPr>
      <w:spacing w:before="240" w:after="6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7A03"/>
    <w:rPr>
      <w:color w:val="0000FF"/>
      <w:u w:val="single"/>
    </w:rPr>
  </w:style>
  <w:style w:type="character" w:styleId="Strong">
    <w:name w:val="Strong"/>
    <w:uiPriority w:val="22"/>
    <w:qFormat/>
    <w:rsid w:val="002929CA"/>
    <w:rPr>
      <w:b/>
      <w:bCs/>
    </w:rPr>
  </w:style>
  <w:style w:type="paragraph" w:styleId="Footer">
    <w:name w:val="footer"/>
    <w:basedOn w:val="Normal"/>
    <w:rsid w:val="0077673F"/>
    <w:pPr>
      <w:tabs>
        <w:tab w:val="center" w:pos="4153"/>
        <w:tab w:val="right" w:pos="8306"/>
      </w:tabs>
      <w:snapToGrid w:val="0"/>
    </w:pPr>
    <w:rPr>
      <w:sz w:val="18"/>
      <w:szCs w:val="18"/>
    </w:rPr>
  </w:style>
  <w:style w:type="character" w:styleId="PageNumber">
    <w:name w:val="page number"/>
    <w:basedOn w:val="DefaultParagraphFont"/>
    <w:rsid w:val="0077673F"/>
  </w:style>
  <w:style w:type="paragraph" w:styleId="Header">
    <w:name w:val="header"/>
    <w:basedOn w:val="Normal"/>
    <w:link w:val="IntestazioneCarattere"/>
    <w:rsid w:val="00D16806"/>
    <w:pPr>
      <w:pBdr>
        <w:bottom w:val="single" w:sz="6" w:space="1" w:color="auto"/>
      </w:pBdr>
      <w:tabs>
        <w:tab w:val="center" w:pos="4153"/>
        <w:tab w:val="right" w:pos="8306"/>
      </w:tabs>
      <w:snapToGrid w:val="0"/>
      <w:jc w:val="center"/>
    </w:pPr>
    <w:rPr>
      <w:kern w:val="2"/>
      <w:sz w:val="18"/>
      <w:szCs w:val="18"/>
    </w:rPr>
  </w:style>
  <w:style w:type="character" w:customStyle="1" w:styleId="IntestazioneCarattere">
    <w:name w:val="Intestazione Carattere"/>
    <w:link w:val="Header"/>
    <w:rsid w:val="00D16806"/>
    <w:rPr>
      <w:kern w:val="2"/>
      <w:sz w:val="18"/>
      <w:szCs w:val="18"/>
    </w:rPr>
  </w:style>
  <w:style w:type="paragraph" w:styleId="CommentText">
    <w:name w:val="annotation text"/>
    <w:basedOn w:val="Normal"/>
    <w:link w:val="TestocommentoCarattere"/>
    <w:unhideWhenUsed/>
    <w:rsid w:val="00A30472"/>
    <w:rPr>
      <w:sz w:val="20"/>
      <w:szCs w:val="20"/>
      <w:lang w:val="fr-FR" w:eastAsia="fr-FR"/>
    </w:rPr>
  </w:style>
  <w:style w:type="character" w:customStyle="1" w:styleId="TestocommentoCarattere">
    <w:name w:val="Testo commento Carattere"/>
    <w:link w:val="CommentText"/>
    <w:rsid w:val="00A30472"/>
    <w:rPr>
      <w:lang w:val="fr-FR" w:eastAsia="fr-FR"/>
    </w:rPr>
  </w:style>
  <w:style w:type="paragraph" w:styleId="BalloonText">
    <w:name w:val="Balloon Text"/>
    <w:basedOn w:val="Normal"/>
    <w:link w:val="TestofumettoCarattere"/>
    <w:rsid w:val="00E128F0"/>
    <w:rPr>
      <w:rFonts w:ascii="SimSun"/>
      <w:kern w:val="2"/>
      <w:sz w:val="18"/>
      <w:szCs w:val="18"/>
    </w:rPr>
  </w:style>
  <w:style w:type="character" w:customStyle="1" w:styleId="TestofumettoCarattere">
    <w:name w:val="Testo fumetto Carattere"/>
    <w:link w:val="BalloonText"/>
    <w:rsid w:val="00E128F0"/>
    <w:rPr>
      <w:rFonts w:ascii="SimSun"/>
      <w:kern w:val="2"/>
      <w:sz w:val="18"/>
      <w:szCs w:val="18"/>
    </w:rPr>
  </w:style>
  <w:style w:type="paragraph" w:styleId="NormalWeb">
    <w:name w:val="Normal (Web)"/>
    <w:basedOn w:val="Normal"/>
    <w:uiPriority w:val="99"/>
    <w:unhideWhenUsed/>
    <w:rsid w:val="009D46E4"/>
    <w:pPr>
      <w:spacing w:before="100" w:beforeAutospacing="1" w:after="100" w:afterAutospacing="1"/>
    </w:pPr>
    <w:rPr>
      <w:lang w:val="it-IT" w:eastAsia="it-IT"/>
    </w:rPr>
  </w:style>
  <w:style w:type="character" w:customStyle="1" w:styleId="highlight2">
    <w:name w:val="highlight2"/>
    <w:rsid w:val="00032027"/>
  </w:style>
  <w:style w:type="character" w:customStyle="1" w:styleId="Titolo1Carattere">
    <w:name w:val="Titolo 1 Carattere"/>
    <w:link w:val="Heading1"/>
    <w:uiPriority w:val="9"/>
    <w:rsid w:val="002929CA"/>
    <w:rPr>
      <w:rFonts w:ascii="Cambria" w:eastAsia="Times New Roman" w:hAnsi="Cambria"/>
      <w:b/>
      <w:bCs/>
      <w:kern w:val="32"/>
      <w:sz w:val="32"/>
      <w:szCs w:val="32"/>
    </w:rPr>
  </w:style>
  <w:style w:type="character" w:customStyle="1" w:styleId="ui-ncbitoggler-master-text">
    <w:name w:val="ui-ncbitoggler-master-text"/>
    <w:basedOn w:val="DefaultParagraphFont"/>
    <w:rsid w:val="00430A6B"/>
  </w:style>
  <w:style w:type="character" w:customStyle="1" w:styleId="ref-journal">
    <w:name w:val="ref-journal"/>
    <w:rsid w:val="00FA3E97"/>
  </w:style>
  <w:style w:type="character" w:customStyle="1" w:styleId="ref-vol">
    <w:name w:val="ref-vol"/>
    <w:rsid w:val="00FA3E97"/>
  </w:style>
  <w:style w:type="character" w:customStyle="1" w:styleId="Titolo2Carattere">
    <w:name w:val="Titolo 2 Carattere"/>
    <w:link w:val="Heading2"/>
    <w:uiPriority w:val="9"/>
    <w:semiHidden/>
    <w:rsid w:val="002929CA"/>
    <w:rPr>
      <w:rFonts w:ascii="Cambria" w:eastAsia="Times New Roman" w:hAnsi="Cambria"/>
      <w:b/>
      <w:bCs/>
      <w:i/>
      <w:iCs/>
      <w:sz w:val="28"/>
      <w:szCs w:val="28"/>
    </w:rPr>
  </w:style>
  <w:style w:type="character" w:customStyle="1" w:styleId="Titolo3Carattere">
    <w:name w:val="Titolo 3 Carattere"/>
    <w:link w:val="Heading3"/>
    <w:uiPriority w:val="9"/>
    <w:rsid w:val="002929CA"/>
    <w:rPr>
      <w:rFonts w:ascii="Cambria" w:eastAsia="Times New Roman" w:hAnsi="Cambria" w:cs="Arial"/>
      <w:b/>
      <w:bCs/>
      <w:sz w:val="26"/>
      <w:szCs w:val="26"/>
    </w:rPr>
  </w:style>
  <w:style w:type="character" w:customStyle="1" w:styleId="Titolo4Carattere">
    <w:name w:val="Titolo 4 Carattere"/>
    <w:link w:val="Heading4"/>
    <w:uiPriority w:val="9"/>
    <w:semiHidden/>
    <w:rsid w:val="002929CA"/>
    <w:rPr>
      <w:b/>
      <w:bCs/>
      <w:sz w:val="28"/>
      <w:szCs w:val="28"/>
    </w:rPr>
  </w:style>
  <w:style w:type="character" w:customStyle="1" w:styleId="Titolo5Carattere">
    <w:name w:val="Titolo 5 Carattere"/>
    <w:link w:val="Heading5"/>
    <w:uiPriority w:val="9"/>
    <w:semiHidden/>
    <w:rsid w:val="002929CA"/>
    <w:rPr>
      <w:b/>
      <w:bCs/>
      <w:i/>
      <w:iCs/>
      <w:sz w:val="26"/>
      <w:szCs w:val="26"/>
    </w:rPr>
  </w:style>
  <w:style w:type="character" w:customStyle="1" w:styleId="Titolo6Carattere">
    <w:name w:val="Titolo 6 Carattere"/>
    <w:link w:val="Heading6"/>
    <w:uiPriority w:val="9"/>
    <w:semiHidden/>
    <w:rsid w:val="002929CA"/>
    <w:rPr>
      <w:b/>
      <w:bCs/>
    </w:rPr>
  </w:style>
  <w:style w:type="character" w:customStyle="1" w:styleId="Titolo7Carattere">
    <w:name w:val="Titolo 7 Carattere"/>
    <w:link w:val="Heading7"/>
    <w:uiPriority w:val="9"/>
    <w:semiHidden/>
    <w:rsid w:val="002929CA"/>
    <w:rPr>
      <w:sz w:val="24"/>
      <w:szCs w:val="24"/>
    </w:rPr>
  </w:style>
  <w:style w:type="character" w:customStyle="1" w:styleId="Titolo8Carattere">
    <w:name w:val="Titolo 8 Carattere"/>
    <w:link w:val="Heading8"/>
    <w:uiPriority w:val="9"/>
    <w:semiHidden/>
    <w:rsid w:val="002929CA"/>
    <w:rPr>
      <w:i/>
      <w:iCs/>
      <w:sz w:val="24"/>
      <w:szCs w:val="24"/>
    </w:rPr>
  </w:style>
  <w:style w:type="character" w:customStyle="1" w:styleId="Titolo9Carattere">
    <w:name w:val="Titolo 9 Carattere"/>
    <w:link w:val="Heading9"/>
    <w:uiPriority w:val="9"/>
    <w:semiHidden/>
    <w:rsid w:val="002929CA"/>
    <w:rPr>
      <w:rFonts w:ascii="Cambria" w:eastAsia="Times New Roman" w:hAnsi="Cambria"/>
    </w:rPr>
  </w:style>
  <w:style w:type="paragraph" w:styleId="Title">
    <w:name w:val="Title"/>
    <w:basedOn w:val="Normal"/>
    <w:next w:val="Normal"/>
    <w:link w:val="TitoloCarattere"/>
    <w:uiPriority w:val="10"/>
    <w:qFormat/>
    <w:rsid w:val="002929CA"/>
    <w:pPr>
      <w:spacing w:before="240" w:after="60"/>
      <w:jc w:val="center"/>
      <w:outlineLvl w:val="0"/>
    </w:pPr>
    <w:rPr>
      <w:rFonts w:ascii="Cambria" w:hAnsi="Cambria"/>
      <w:b/>
      <w:bCs/>
      <w:kern w:val="28"/>
      <w:sz w:val="32"/>
      <w:szCs w:val="32"/>
    </w:rPr>
  </w:style>
  <w:style w:type="character" w:customStyle="1" w:styleId="TitoloCarattere">
    <w:name w:val="Titolo Carattere"/>
    <w:link w:val="Title"/>
    <w:uiPriority w:val="10"/>
    <w:rsid w:val="002929CA"/>
    <w:rPr>
      <w:rFonts w:ascii="Cambria" w:eastAsia="Times New Roman" w:hAnsi="Cambria"/>
      <w:b/>
      <w:bCs/>
      <w:kern w:val="28"/>
      <w:sz w:val="32"/>
      <w:szCs w:val="32"/>
    </w:rPr>
  </w:style>
  <w:style w:type="paragraph" w:styleId="Subtitle">
    <w:name w:val="Subtitle"/>
    <w:basedOn w:val="Normal"/>
    <w:next w:val="Normal"/>
    <w:link w:val="SottotitoloCarattere"/>
    <w:uiPriority w:val="11"/>
    <w:qFormat/>
    <w:rsid w:val="002929CA"/>
    <w:pPr>
      <w:spacing w:after="60"/>
      <w:jc w:val="center"/>
      <w:outlineLvl w:val="1"/>
    </w:pPr>
    <w:rPr>
      <w:rFonts w:ascii="Cambria" w:hAnsi="Cambria"/>
    </w:rPr>
  </w:style>
  <w:style w:type="character" w:customStyle="1" w:styleId="SottotitoloCarattere">
    <w:name w:val="Sottotitolo Carattere"/>
    <w:link w:val="Subtitle"/>
    <w:uiPriority w:val="11"/>
    <w:rsid w:val="002929CA"/>
    <w:rPr>
      <w:rFonts w:ascii="Cambria" w:eastAsia="Times New Roman" w:hAnsi="Cambria"/>
      <w:sz w:val="24"/>
      <w:szCs w:val="24"/>
    </w:rPr>
  </w:style>
  <w:style w:type="character" w:styleId="Emphasis">
    <w:name w:val="Emphasis"/>
    <w:uiPriority w:val="20"/>
    <w:qFormat/>
    <w:rsid w:val="002929CA"/>
    <w:rPr>
      <w:rFonts w:ascii="Calibri" w:hAnsi="Calibri"/>
      <w:b/>
      <w:i/>
      <w:iCs/>
    </w:rPr>
  </w:style>
  <w:style w:type="paragraph" w:styleId="NoSpacing">
    <w:name w:val="No Spacing"/>
    <w:basedOn w:val="Normal"/>
    <w:uiPriority w:val="1"/>
    <w:qFormat/>
    <w:rsid w:val="002929CA"/>
    <w:rPr>
      <w:szCs w:val="32"/>
    </w:rPr>
  </w:style>
  <w:style w:type="paragraph" w:styleId="ListParagraph">
    <w:name w:val="List Paragraph"/>
    <w:basedOn w:val="Normal"/>
    <w:uiPriority w:val="34"/>
    <w:qFormat/>
    <w:rsid w:val="002929CA"/>
    <w:pPr>
      <w:ind w:left="720"/>
      <w:contextualSpacing/>
    </w:pPr>
  </w:style>
  <w:style w:type="paragraph" w:styleId="Quote">
    <w:name w:val="Quote"/>
    <w:basedOn w:val="Normal"/>
    <w:next w:val="Normal"/>
    <w:link w:val="CitazioneCarattere"/>
    <w:uiPriority w:val="29"/>
    <w:qFormat/>
    <w:rsid w:val="002929CA"/>
    <w:rPr>
      <w:i/>
    </w:rPr>
  </w:style>
  <w:style w:type="character" w:customStyle="1" w:styleId="CitazioneCarattere">
    <w:name w:val="Citazione Carattere"/>
    <w:link w:val="Quote"/>
    <w:uiPriority w:val="29"/>
    <w:rsid w:val="002929CA"/>
    <w:rPr>
      <w:i/>
      <w:sz w:val="24"/>
      <w:szCs w:val="24"/>
    </w:rPr>
  </w:style>
  <w:style w:type="paragraph" w:styleId="IntenseQuote">
    <w:name w:val="Intense Quote"/>
    <w:basedOn w:val="Normal"/>
    <w:next w:val="Normal"/>
    <w:link w:val="CitazioneintensaCarattere"/>
    <w:uiPriority w:val="30"/>
    <w:qFormat/>
    <w:rsid w:val="002929CA"/>
    <w:pPr>
      <w:ind w:left="720" w:right="720"/>
    </w:pPr>
    <w:rPr>
      <w:b/>
      <w:i/>
      <w:szCs w:val="20"/>
    </w:rPr>
  </w:style>
  <w:style w:type="character" w:customStyle="1" w:styleId="CitazioneintensaCarattere">
    <w:name w:val="Citazione intensa Carattere"/>
    <w:link w:val="IntenseQuote"/>
    <w:uiPriority w:val="30"/>
    <w:rsid w:val="002929CA"/>
    <w:rPr>
      <w:b/>
      <w:i/>
      <w:sz w:val="24"/>
    </w:rPr>
  </w:style>
  <w:style w:type="character" w:styleId="SubtleEmphasis">
    <w:name w:val="Subtle Emphasis"/>
    <w:uiPriority w:val="19"/>
    <w:qFormat/>
    <w:rsid w:val="002929CA"/>
    <w:rPr>
      <w:i/>
      <w:color w:val="5A5A5A"/>
    </w:rPr>
  </w:style>
  <w:style w:type="character" w:styleId="IntenseEmphasis">
    <w:name w:val="Intense Emphasis"/>
    <w:uiPriority w:val="21"/>
    <w:qFormat/>
    <w:rsid w:val="002929CA"/>
    <w:rPr>
      <w:b/>
      <w:i/>
      <w:sz w:val="24"/>
      <w:szCs w:val="24"/>
      <w:u w:val="single"/>
    </w:rPr>
  </w:style>
  <w:style w:type="character" w:styleId="SubtleReference">
    <w:name w:val="Subtle Reference"/>
    <w:uiPriority w:val="31"/>
    <w:qFormat/>
    <w:rsid w:val="002929CA"/>
    <w:rPr>
      <w:sz w:val="24"/>
      <w:szCs w:val="24"/>
      <w:u w:val="single"/>
    </w:rPr>
  </w:style>
  <w:style w:type="character" w:styleId="IntenseReference">
    <w:name w:val="Intense Reference"/>
    <w:uiPriority w:val="32"/>
    <w:qFormat/>
    <w:rsid w:val="002929CA"/>
    <w:rPr>
      <w:b/>
      <w:sz w:val="24"/>
      <w:u w:val="single"/>
    </w:rPr>
  </w:style>
  <w:style w:type="character" w:styleId="BookTitle">
    <w:name w:val="Book Title"/>
    <w:uiPriority w:val="33"/>
    <w:qFormat/>
    <w:rsid w:val="002929CA"/>
    <w:rPr>
      <w:rFonts w:ascii="Cambria" w:eastAsia="Times New Roman" w:hAnsi="Cambria"/>
      <w:b/>
      <w:i/>
      <w:sz w:val="24"/>
      <w:szCs w:val="24"/>
    </w:rPr>
  </w:style>
  <w:style w:type="paragraph" w:styleId="TOCHeading">
    <w:name w:val="TOC Heading"/>
    <w:basedOn w:val="Heading1"/>
    <w:next w:val="Normal"/>
    <w:uiPriority w:val="39"/>
    <w:semiHidden/>
    <w:unhideWhenUsed/>
    <w:qFormat/>
    <w:rsid w:val="002929CA"/>
    <w:pPr>
      <w:outlineLvl w:val="9"/>
    </w:pPr>
  </w:style>
  <w:style w:type="character" w:styleId="CommentReference">
    <w:name w:val="annotation reference"/>
    <w:rsid w:val="006973EC"/>
    <w:rPr>
      <w:sz w:val="18"/>
      <w:szCs w:val="18"/>
    </w:rPr>
  </w:style>
  <w:style w:type="paragraph" w:styleId="CommentSubject">
    <w:name w:val="annotation subject"/>
    <w:basedOn w:val="CommentText"/>
    <w:next w:val="CommentText"/>
    <w:link w:val="SoggettocommentoCarattere"/>
    <w:rsid w:val="006973EC"/>
    <w:rPr>
      <w:b/>
      <w:bCs/>
      <w:lang w:val="en-US" w:eastAsia="en-US"/>
    </w:rPr>
  </w:style>
  <w:style w:type="character" w:customStyle="1" w:styleId="SoggettocommentoCarattere">
    <w:name w:val="Soggetto commento Carattere"/>
    <w:link w:val="CommentSubject"/>
    <w:rsid w:val="006973EC"/>
    <w:rPr>
      <w:b/>
      <w:bCs/>
      <w:lang w:val="en-US" w:eastAsia="en-US"/>
    </w:rPr>
  </w:style>
  <w:style w:type="paragraph" w:styleId="Revision">
    <w:name w:val="Revision"/>
    <w:hidden/>
    <w:uiPriority w:val="71"/>
    <w:rsid w:val="00A049A8"/>
    <w:rPr>
      <w:sz w:val="24"/>
      <w:szCs w:val="24"/>
      <w:lang w:val="en-US" w:eastAsia="en-US"/>
    </w:rPr>
  </w:style>
  <w:style w:type="character" w:customStyle="1" w:styleId="apple-converted-space">
    <w:name w:val="apple-converted-space"/>
    <w:basedOn w:val="DefaultParagraphFont"/>
    <w:rsid w:val="004E6E32"/>
  </w:style>
  <w:style w:type="character" w:customStyle="1" w:styleId="highlight">
    <w:name w:val="highlight"/>
    <w:basedOn w:val="DefaultParagraphFont"/>
    <w:rsid w:val="000F63FE"/>
  </w:style>
  <w:style w:type="table" w:styleId="TableClassic1">
    <w:name w:val="Table Classic 1"/>
    <w:basedOn w:val="TableNormal"/>
    <w:rsid w:val="00DE112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DE11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1">
    <w:name w:val="正文1"/>
    <w:uiPriority w:val="99"/>
    <w:rsid w:val="000F3B26"/>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3144">
      <w:bodyDiv w:val="1"/>
      <w:marLeft w:val="0"/>
      <w:marRight w:val="0"/>
      <w:marTop w:val="0"/>
      <w:marBottom w:val="0"/>
      <w:divBdr>
        <w:top w:val="none" w:sz="0" w:space="0" w:color="auto"/>
        <w:left w:val="none" w:sz="0" w:space="0" w:color="auto"/>
        <w:bottom w:val="none" w:sz="0" w:space="0" w:color="auto"/>
        <w:right w:val="none" w:sz="0" w:space="0" w:color="auto"/>
      </w:divBdr>
    </w:div>
    <w:div w:id="103036377">
      <w:bodyDiv w:val="1"/>
      <w:marLeft w:val="0"/>
      <w:marRight w:val="0"/>
      <w:marTop w:val="0"/>
      <w:marBottom w:val="0"/>
      <w:divBdr>
        <w:top w:val="none" w:sz="0" w:space="0" w:color="auto"/>
        <w:left w:val="none" w:sz="0" w:space="0" w:color="auto"/>
        <w:bottom w:val="none" w:sz="0" w:space="0" w:color="auto"/>
        <w:right w:val="none" w:sz="0" w:space="0" w:color="auto"/>
      </w:divBdr>
      <w:divsChild>
        <w:div w:id="1695493142">
          <w:marLeft w:val="0"/>
          <w:marRight w:val="0"/>
          <w:marTop w:val="0"/>
          <w:marBottom w:val="0"/>
          <w:divBdr>
            <w:top w:val="none" w:sz="0" w:space="0" w:color="auto"/>
            <w:left w:val="none" w:sz="0" w:space="0" w:color="auto"/>
            <w:bottom w:val="none" w:sz="0" w:space="0" w:color="auto"/>
            <w:right w:val="none" w:sz="0" w:space="0" w:color="auto"/>
          </w:divBdr>
        </w:div>
        <w:div w:id="558175126">
          <w:marLeft w:val="0"/>
          <w:marRight w:val="0"/>
          <w:marTop w:val="0"/>
          <w:marBottom w:val="0"/>
          <w:divBdr>
            <w:top w:val="none" w:sz="0" w:space="0" w:color="auto"/>
            <w:left w:val="none" w:sz="0" w:space="0" w:color="auto"/>
            <w:bottom w:val="none" w:sz="0" w:space="0" w:color="auto"/>
            <w:right w:val="none" w:sz="0" w:space="0" w:color="auto"/>
          </w:divBdr>
        </w:div>
        <w:div w:id="895819291">
          <w:marLeft w:val="0"/>
          <w:marRight w:val="0"/>
          <w:marTop w:val="0"/>
          <w:marBottom w:val="0"/>
          <w:divBdr>
            <w:top w:val="none" w:sz="0" w:space="0" w:color="auto"/>
            <w:left w:val="none" w:sz="0" w:space="0" w:color="auto"/>
            <w:bottom w:val="none" w:sz="0" w:space="0" w:color="auto"/>
            <w:right w:val="none" w:sz="0" w:space="0" w:color="auto"/>
          </w:divBdr>
          <w:divsChild>
            <w:div w:id="1499422258">
              <w:marLeft w:val="0"/>
              <w:marRight w:val="0"/>
              <w:marTop w:val="0"/>
              <w:marBottom w:val="0"/>
              <w:divBdr>
                <w:top w:val="none" w:sz="0" w:space="0" w:color="auto"/>
                <w:left w:val="none" w:sz="0" w:space="0" w:color="auto"/>
                <w:bottom w:val="none" w:sz="0" w:space="0" w:color="auto"/>
                <w:right w:val="none" w:sz="0" w:space="0" w:color="auto"/>
              </w:divBdr>
              <w:divsChild>
                <w:div w:id="1391611010">
                  <w:marLeft w:val="0"/>
                  <w:marRight w:val="0"/>
                  <w:marTop w:val="0"/>
                  <w:marBottom w:val="0"/>
                  <w:divBdr>
                    <w:top w:val="none" w:sz="0" w:space="0" w:color="auto"/>
                    <w:left w:val="none" w:sz="0" w:space="0" w:color="auto"/>
                    <w:bottom w:val="none" w:sz="0" w:space="0" w:color="auto"/>
                    <w:right w:val="none" w:sz="0" w:space="0" w:color="auto"/>
                  </w:divBdr>
                  <w:divsChild>
                    <w:div w:id="670374373">
                      <w:marLeft w:val="0"/>
                      <w:marRight w:val="0"/>
                      <w:marTop w:val="0"/>
                      <w:marBottom w:val="0"/>
                      <w:divBdr>
                        <w:top w:val="none" w:sz="0" w:space="0" w:color="auto"/>
                        <w:left w:val="none" w:sz="0" w:space="0" w:color="auto"/>
                        <w:bottom w:val="none" w:sz="0" w:space="0" w:color="auto"/>
                        <w:right w:val="none" w:sz="0" w:space="0" w:color="auto"/>
                      </w:divBdr>
                      <w:divsChild>
                        <w:div w:id="184248446">
                          <w:marLeft w:val="0"/>
                          <w:marRight w:val="0"/>
                          <w:marTop w:val="0"/>
                          <w:marBottom w:val="0"/>
                          <w:divBdr>
                            <w:top w:val="none" w:sz="0" w:space="0" w:color="auto"/>
                            <w:left w:val="none" w:sz="0" w:space="0" w:color="auto"/>
                            <w:bottom w:val="none" w:sz="0" w:space="0" w:color="auto"/>
                            <w:right w:val="none" w:sz="0" w:space="0" w:color="auto"/>
                          </w:divBdr>
                          <w:divsChild>
                            <w:div w:id="132721969">
                              <w:marLeft w:val="0"/>
                              <w:marRight w:val="0"/>
                              <w:marTop w:val="0"/>
                              <w:marBottom w:val="0"/>
                              <w:divBdr>
                                <w:top w:val="none" w:sz="0" w:space="0" w:color="auto"/>
                                <w:left w:val="none" w:sz="0" w:space="0" w:color="auto"/>
                                <w:bottom w:val="none" w:sz="0" w:space="0" w:color="auto"/>
                                <w:right w:val="none" w:sz="0" w:space="0" w:color="auto"/>
                              </w:divBdr>
                              <w:divsChild>
                                <w:div w:id="1356225844">
                                  <w:marLeft w:val="0"/>
                                  <w:marRight w:val="0"/>
                                  <w:marTop w:val="0"/>
                                  <w:marBottom w:val="0"/>
                                  <w:divBdr>
                                    <w:top w:val="none" w:sz="0" w:space="0" w:color="auto"/>
                                    <w:left w:val="none" w:sz="0" w:space="0" w:color="auto"/>
                                    <w:bottom w:val="none" w:sz="0" w:space="0" w:color="auto"/>
                                    <w:right w:val="none" w:sz="0" w:space="0" w:color="auto"/>
                                  </w:divBdr>
                                  <w:divsChild>
                                    <w:div w:id="2135512912">
                                      <w:marLeft w:val="0"/>
                                      <w:marRight w:val="0"/>
                                      <w:marTop w:val="0"/>
                                      <w:marBottom w:val="0"/>
                                      <w:divBdr>
                                        <w:top w:val="none" w:sz="0" w:space="0" w:color="auto"/>
                                        <w:left w:val="none" w:sz="0" w:space="0" w:color="auto"/>
                                        <w:bottom w:val="none" w:sz="0" w:space="0" w:color="auto"/>
                                        <w:right w:val="none" w:sz="0" w:space="0" w:color="auto"/>
                                      </w:divBdr>
                                      <w:divsChild>
                                        <w:div w:id="1960792854">
                                          <w:marLeft w:val="0"/>
                                          <w:marRight w:val="0"/>
                                          <w:marTop w:val="0"/>
                                          <w:marBottom w:val="0"/>
                                          <w:divBdr>
                                            <w:top w:val="none" w:sz="0" w:space="0" w:color="auto"/>
                                            <w:left w:val="none" w:sz="0" w:space="0" w:color="auto"/>
                                            <w:bottom w:val="none" w:sz="0" w:space="0" w:color="auto"/>
                                            <w:right w:val="none" w:sz="0" w:space="0" w:color="auto"/>
                                          </w:divBdr>
                                          <w:divsChild>
                                            <w:div w:id="1571967238">
                                              <w:marLeft w:val="0"/>
                                              <w:marRight w:val="0"/>
                                              <w:marTop w:val="0"/>
                                              <w:marBottom w:val="0"/>
                                              <w:divBdr>
                                                <w:top w:val="none" w:sz="0" w:space="0" w:color="auto"/>
                                                <w:left w:val="none" w:sz="0" w:space="0" w:color="auto"/>
                                                <w:bottom w:val="none" w:sz="0" w:space="0" w:color="auto"/>
                                                <w:right w:val="none" w:sz="0" w:space="0" w:color="auto"/>
                                              </w:divBdr>
                                              <w:divsChild>
                                                <w:div w:id="1544363757">
                                                  <w:marLeft w:val="0"/>
                                                  <w:marRight w:val="0"/>
                                                  <w:marTop w:val="0"/>
                                                  <w:marBottom w:val="0"/>
                                                  <w:divBdr>
                                                    <w:top w:val="none" w:sz="0" w:space="0" w:color="auto"/>
                                                    <w:left w:val="none" w:sz="0" w:space="0" w:color="auto"/>
                                                    <w:bottom w:val="none" w:sz="0" w:space="0" w:color="auto"/>
                                                    <w:right w:val="none" w:sz="0" w:space="0" w:color="auto"/>
                                                  </w:divBdr>
                                                  <w:divsChild>
                                                    <w:div w:id="1994868713">
                                                      <w:marLeft w:val="0"/>
                                                      <w:marRight w:val="0"/>
                                                      <w:marTop w:val="0"/>
                                                      <w:marBottom w:val="0"/>
                                                      <w:divBdr>
                                                        <w:top w:val="none" w:sz="0" w:space="0" w:color="auto"/>
                                                        <w:left w:val="none" w:sz="0" w:space="0" w:color="auto"/>
                                                        <w:bottom w:val="none" w:sz="0" w:space="0" w:color="auto"/>
                                                        <w:right w:val="none" w:sz="0" w:space="0" w:color="auto"/>
                                                      </w:divBdr>
                                                      <w:divsChild>
                                                        <w:div w:id="1751467241">
                                                          <w:marLeft w:val="0"/>
                                                          <w:marRight w:val="0"/>
                                                          <w:marTop w:val="0"/>
                                                          <w:marBottom w:val="0"/>
                                                          <w:divBdr>
                                                            <w:top w:val="none" w:sz="0" w:space="0" w:color="auto"/>
                                                            <w:left w:val="none" w:sz="0" w:space="0" w:color="auto"/>
                                                            <w:bottom w:val="none" w:sz="0" w:space="0" w:color="auto"/>
                                                            <w:right w:val="none" w:sz="0" w:space="0" w:color="auto"/>
                                                          </w:divBdr>
                                                          <w:divsChild>
                                                            <w:div w:id="1860196951">
                                                              <w:marLeft w:val="0"/>
                                                              <w:marRight w:val="0"/>
                                                              <w:marTop w:val="0"/>
                                                              <w:marBottom w:val="0"/>
                                                              <w:divBdr>
                                                                <w:top w:val="none" w:sz="0" w:space="0" w:color="auto"/>
                                                                <w:left w:val="none" w:sz="0" w:space="0" w:color="auto"/>
                                                                <w:bottom w:val="none" w:sz="0" w:space="0" w:color="auto"/>
                                                                <w:right w:val="none" w:sz="0" w:space="0" w:color="auto"/>
                                                              </w:divBdr>
                                                              <w:divsChild>
                                                                <w:div w:id="916138314">
                                                                  <w:marLeft w:val="0"/>
                                                                  <w:marRight w:val="0"/>
                                                                  <w:marTop w:val="0"/>
                                                                  <w:marBottom w:val="0"/>
                                                                  <w:divBdr>
                                                                    <w:top w:val="none" w:sz="0" w:space="0" w:color="auto"/>
                                                                    <w:left w:val="none" w:sz="0" w:space="0" w:color="auto"/>
                                                                    <w:bottom w:val="none" w:sz="0" w:space="0" w:color="auto"/>
                                                                    <w:right w:val="none" w:sz="0" w:space="0" w:color="auto"/>
                                                                  </w:divBdr>
                                                                  <w:divsChild>
                                                                    <w:div w:id="625965019">
                                                                      <w:marLeft w:val="0"/>
                                                                      <w:marRight w:val="0"/>
                                                                      <w:marTop w:val="0"/>
                                                                      <w:marBottom w:val="0"/>
                                                                      <w:divBdr>
                                                                        <w:top w:val="none" w:sz="0" w:space="0" w:color="auto"/>
                                                                        <w:left w:val="none" w:sz="0" w:space="0" w:color="auto"/>
                                                                        <w:bottom w:val="none" w:sz="0" w:space="0" w:color="auto"/>
                                                                        <w:right w:val="none" w:sz="0" w:space="0" w:color="auto"/>
                                                                      </w:divBdr>
                                                                      <w:divsChild>
                                                                        <w:div w:id="1834712159">
                                                                          <w:marLeft w:val="0"/>
                                                                          <w:marRight w:val="0"/>
                                                                          <w:marTop w:val="0"/>
                                                                          <w:marBottom w:val="0"/>
                                                                          <w:divBdr>
                                                                            <w:top w:val="none" w:sz="0" w:space="0" w:color="auto"/>
                                                                            <w:left w:val="none" w:sz="0" w:space="0" w:color="auto"/>
                                                                            <w:bottom w:val="none" w:sz="0" w:space="0" w:color="auto"/>
                                                                            <w:right w:val="none" w:sz="0" w:space="0" w:color="auto"/>
                                                                          </w:divBdr>
                                                                          <w:divsChild>
                                                                            <w:div w:id="604188191">
                                                                              <w:marLeft w:val="0"/>
                                                                              <w:marRight w:val="0"/>
                                                                              <w:marTop w:val="0"/>
                                                                              <w:marBottom w:val="0"/>
                                                                              <w:divBdr>
                                                                                <w:top w:val="none" w:sz="0" w:space="0" w:color="auto"/>
                                                                                <w:left w:val="none" w:sz="0" w:space="0" w:color="auto"/>
                                                                                <w:bottom w:val="none" w:sz="0" w:space="0" w:color="auto"/>
                                                                                <w:right w:val="none" w:sz="0" w:space="0" w:color="auto"/>
                                                                              </w:divBdr>
                                                                              <w:divsChild>
                                                                                <w:div w:id="1747264976">
                                                                                  <w:marLeft w:val="0"/>
                                                                                  <w:marRight w:val="0"/>
                                                                                  <w:marTop w:val="0"/>
                                                                                  <w:marBottom w:val="0"/>
                                                                                  <w:divBdr>
                                                                                    <w:top w:val="none" w:sz="0" w:space="0" w:color="auto"/>
                                                                                    <w:left w:val="none" w:sz="0" w:space="0" w:color="auto"/>
                                                                                    <w:bottom w:val="none" w:sz="0" w:space="0" w:color="auto"/>
                                                                                    <w:right w:val="none" w:sz="0" w:space="0" w:color="auto"/>
                                                                                  </w:divBdr>
                                                                                  <w:divsChild>
                                                                                    <w:div w:id="2108646936">
                                                                                      <w:marLeft w:val="0"/>
                                                                                      <w:marRight w:val="0"/>
                                                                                      <w:marTop w:val="0"/>
                                                                                      <w:marBottom w:val="0"/>
                                                                                      <w:divBdr>
                                                                                        <w:top w:val="none" w:sz="0" w:space="0" w:color="auto"/>
                                                                                        <w:left w:val="none" w:sz="0" w:space="0" w:color="auto"/>
                                                                                        <w:bottom w:val="none" w:sz="0" w:space="0" w:color="auto"/>
                                                                                        <w:right w:val="none" w:sz="0" w:space="0" w:color="auto"/>
                                                                                      </w:divBdr>
                                                                                      <w:divsChild>
                                                                                        <w:div w:id="719939159">
                                                                                          <w:marLeft w:val="0"/>
                                                                                          <w:marRight w:val="0"/>
                                                                                          <w:marTop w:val="0"/>
                                                                                          <w:marBottom w:val="0"/>
                                                                                          <w:divBdr>
                                                                                            <w:top w:val="none" w:sz="0" w:space="0" w:color="auto"/>
                                                                                            <w:left w:val="none" w:sz="0" w:space="0" w:color="auto"/>
                                                                                            <w:bottom w:val="none" w:sz="0" w:space="0" w:color="auto"/>
                                                                                            <w:right w:val="none" w:sz="0" w:space="0" w:color="auto"/>
                                                                                          </w:divBdr>
                                                                                          <w:divsChild>
                                                                                            <w:div w:id="862014400">
                                                                                              <w:marLeft w:val="0"/>
                                                                                              <w:marRight w:val="0"/>
                                                                                              <w:marTop w:val="0"/>
                                                                                              <w:marBottom w:val="0"/>
                                                                                              <w:divBdr>
                                                                                                <w:top w:val="none" w:sz="0" w:space="0" w:color="auto"/>
                                                                                                <w:left w:val="none" w:sz="0" w:space="0" w:color="auto"/>
                                                                                                <w:bottom w:val="none" w:sz="0" w:space="0" w:color="auto"/>
                                                                                                <w:right w:val="none" w:sz="0" w:space="0" w:color="auto"/>
                                                                                              </w:divBdr>
                                                                                              <w:divsChild>
                                                                                                <w:div w:id="932206325">
                                                                                                  <w:marLeft w:val="0"/>
                                                                                                  <w:marRight w:val="0"/>
                                                                                                  <w:marTop w:val="0"/>
                                                                                                  <w:marBottom w:val="0"/>
                                                                                                  <w:divBdr>
                                                                                                    <w:top w:val="none" w:sz="0" w:space="0" w:color="auto"/>
                                                                                                    <w:left w:val="none" w:sz="0" w:space="0" w:color="auto"/>
                                                                                                    <w:bottom w:val="none" w:sz="0" w:space="0" w:color="auto"/>
                                                                                                    <w:right w:val="none" w:sz="0" w:space="0" w:color="auto"/>
                                                                                                  </w:divBdr>
                                                                                                  <w:divsChild>
                                                                                                    <w:div w:id="1202935399">
                                                                                                      <w:marLeft w:val="0"/>
                                                                                                      <w:marRight w:val="0"/>
                                                                                                      <w:marTop w:val="0"/>
                                                                                                      <w:marBottom w:val="0"/>
                                                                                                      <w:divBdr>
                                                                                                        <w:top w:val="none" w:sz="0" w:space="0" w:color="auto"/>
                                                                                                        <w:left w:val="none" w:sz="0" w:space="0" w:color="auto"/>
                                                                                                        <w:bottom w:val="none" w:sz="0" w:space="0" w:color="auto"/>
                                                                                                        <w:right w:val="none" w:sz="0" w:space="0" w:color="auto"/>
                                                                                                      </w:divBdr>
                                                                                                      <w:divsChild>
                                                                                                        <w:div w:id="643585130">
                                                                                                          <w:marLeft w:val="0"/>
                                                                                                          <w:marRight w:val="0"/>
                                                                                                          <w:marTop w:val="0"/>
                                                                                                          <w:marBottom w:val="0"/>
                                                                                                          <w:divBdr>
                                                                                                            <w:top w:val="none" w:sz="0" w:space="0" w:color="auto"/>
                                                                                                            <w:left w:val="none" w:sz="0" w:space="0" w:color="auto"/>
                                                                                                            <w:bottom w:val="none" w:sz="0" w:space="0" w:color="auto"/>
                                                                                                            <w:right w:val="none" w:sz="0" w:space="0" w:color="auto"/>
                                                                                                          </w:divBdr>
                                                                                                          <w:divsChild>
                                                                                                            <w:div w:id="91752373">
                                                                                                              <w:marLeft w:val="0"/>
                                                                                                              <w:marRight w:val="0"/>
                                                                                                              <w:marTop w:val="0"/>
                                                                                                              <w:marBottom w:val="0"/>
                                                                                                              <w:divBdr>
                                                                                                                <w:top w:val="none" w:sz="0" w:space="0" w:color="auto"/>
                                                                                                                <w:left w:val="none" w:sz="0" w:space="0" w:color="auto"/>
                                                                                                                <w:bottom w:val="none" w:sz="0" w:space="0" w:color="auto"/>
                                                                                                                <w:right w:val="none" w:sz="0" w:space="0" w:color="auto"/>
                                                                                                              </w:divBdr>
                                                                                                              <w:divsChild>
                                                                                                                <w:div w:id="1401706226">
                                                                                                                  <w:marLeft w:val="0"/>
                                                                                                                  <w:marRight w:val="0"/>
                                                                                                                  <w:marTop w:val="0"/>
                                                                                                                  <w:marBottom w:val="0"/>
                                                                                                                  <w:divBdr>
                                                                                                                    <w:top w:val="none" w:sz="0" w:space="0" w:color="auto"/>
                                                                                                                    <w:left w:val="none" w:sz="0" w:space="0" w:color="auto"/>
                                                                                                                    <w:bottom w:val="none" w:sz="0" w:space="0" w:color="auto"/>
                                                                                                                    <w:right w:val="none" w:sz="0" w:space="0" w:color="auto"/>
                                                                                                                  </w:divBdr>
                                                                                                                  <w:divsChild>
                                                                                                                    <w:div w:id="1274631723">
                                                                                                                      <w:marLeft w:val="0"/>
                                                                                                                      <w:marRight w:val="0"/>
                                                                                                                      <w:marTop w:val="0"/>
                                                                                                                      <w:marBottom w:val="0"/>
                                                                                                                      <w:divBdr>
                                                                                                                        <w:top w:val="none" w:sz="0" w:space="0" w:color="auto"/>
                                                                                                                        <w:left w:val="none" w:sz="0" w:space="0" w:color="auto"/>
                                                                                                                        <w:bottom w:val="none" w:sz="0" w:space="0" w:color="auto"/>
                                                                                                                        <w:right w:val="none" w:sz="0" w:space="0" w:color="auto"/>
                                                                                                                      </w:divBdr>
                                                                                                                      <w:divsChild>
                                                                                                                        <w:div w:id="114253239">
                                                                                                                          <w:marLeft w:val="0"/>
                                                                                                                          <w:marRight w:val="0"/>
                                                                                                                          <w:marTop w:val="0"/>
                                                                                                                          <w:marBottom w:val="0"/>
                                                                                                                          <w:divBdr>
                                                                                                                            <w:top w:val="none" w:sz="0" w:space="0" w:color="auto"/>
                                                                                                                            <w:left w:val="none" w:sz="0" w:space="0" w:color="auto"/>
                                                                                                                            <w:bottom w:val="none" w:sz="0" w:space="0" w:color="auto"/>
                                                                                                                            <w:right w:val="none" w:sz="0" w:space="0" w:color="auto"/>
                                                                                                                          </w:divBdr>
                                                                                                                          <w:divsChild>
                                                                                                                            <w:div w:id="1159225717">
                                                                                                                              <w:marLeft w:val="0"/>
                                                                                                                              <w:marRight w:val="0"/>
                                                                                                                              <w:marTop w:val="0"/>
                                                                                                                              <w:marBottom w:val="0"/>
                                                                                                                              <w:divBdr>
                                                                                                                                <w:top w:val="none" w:sz="0" w:space="0" w:color="auto"/>
                                                                                                                                <w:left w:val="none" w:sz="0" w:space="0" w:color="auto"/>
                                                                                                                                <w:bottom w:val="none" w:sz="0" w:space="0" w:color="auto"/>
                                                                                                                                <w:right w:val="none" w:sz="0" w:space="0" w:color="auto"/>
                                                                                                                              </w:divBdr>
                                                                                                                              <w:divsChild>
                                                                                                                                <w:div w:id="287319225">
                                                                                                                                  <w:marLeft w:val="0"/>
                                                                                                                                  <w:marRight w:val="0"/>
                                                                                                                                  <w:marTop w:val="0"/>
                                                                                                                                  <w:marBottom w:val="0"/>
                                                                                                                                  <w:divBdr>
                                                                                                                                    <w:top w:val="none" w:sz="0" w:space="0" w:color="auto"/>
                                                                                                                                    <w:left w:val="none" w:sz="0" w:space="0" w:color="auto"/>
                                                                                                                                    <w:bottom w:val="none" w:sz="0" w:space="0" w:color="auto"/>
                                                                                                                                    <w:right w:val="none" w:sz="0" w:space="0" w:color="auto"/>
                                                                                                                                  </w:divBdr>
                                                                                                                                  <w:divsChild>
                                                                                                                                    <w:div w:id="1756586900">
                                                                                                                                      <w:marLeft w:val="0"/>
                                                                                                                                      <w:marRight w:val="0"/>
                                                                                                                                      <w:marTop w:val="0"/>
                                                                                                                                      <w:marBottom w:val="0"/>
                                                                                                                                      <w:divBdr>
                                                                                                                                        <w:top w:val="none" w:sz="0" w:space="0" w:color="auto"/>
                                                                                                                                        <w:left w:val="none" w:sz="0" w:space="0" w:color="auto"/>
                                                                                                                                        <w:bottom w:val="none" w:sz="0" w:space="0" w:color="auto"/>
                                                                                                                                        <w:right w:val="none" w:sz="0" w:space="0" w:color="auto"/>
                                                                                                                                      </w:divBdr>
                                                                                                                                      <w:divsChild>
                                                                                                                                        <w:div w:id="312686990">
                                                                                                                                          <w:marLeft w:val="0"/>
                                                                                                                                          <w:marRight w:val="0"/>
                                                                                                                                          <w:marTop w:val="0"/>
                                                                                                                                          <w:marBottom w:val="0"/>
                                                                                                                                          <w:divBdr>
                                                                                                                                            <w:top w:val="none" w:sz="0" w:space="0" w:color="auto"/>
                                                                                                                                            <w:left w:val="none" w:sz="0" w:space="0" w:color="auto"/>
                                                                                                                                            <w:bottom w:val="none" w:sz="0" w:space="0" w:color="auto"/>
                                                                                                                                            <w:right w:val="none" w:sz="0" w:space="0" w:color="auto"/>
                                                                                                                                          </w:divBdr>
                                                                                                                                          <w:divsChild>
                                                                                                                                            <w:div w:id="1838226791">
                                                                                                                                              <w:marLeft w:val="0"/>
                                                                                                                                              <w:marRight w:val="0"/>
                                                                                                                                              <w:marTop w:val="0"/>
                                                                                                                                              <w:marBottom w:val="0"/>
                                                                                                                                              <w:divBdr>
                                                                                                                                                <w:top w:val="none" w:sz="0" w:space="0" w:color="auto"/>
                                                                                                                                                <w:left w:val="none" w:sz="0" w:space="0" w:color="auto"/>
                                                                                                                                                <w:bottom w:val="none" w:sz="0" w:space="0" w:color="auto"/>
                                                                                                                                                <w:right w:val="none" w:sz="0" w:space="0" w:color="auto"/>
                                                                                                                                              </w:divBdr>
                                                                                                                                              <w:divsChild>
                                                                                                                                                <w:div w:id="1186098123">
                                                                                                                                                  <w:marLeft w:val="0"/>
                                                                                                                                                  <w:marRight w:val="0"/>
                                                                                                                                                  <w:marTop w:val="0"/>
                                                                                                                                                  <w:marBottom w:val="0"/>
                                                                                                                                                  <w:divBdr>
                                                                                                                                                    <w:top w:val="none" w:sz="0" w:space="0" w:color="auto"/>
                                                                                                                                                    <w:left w:val="none" w:sz="0" w:space="0" w:color="auto"/>
                                                                                                                                                    <w:bottom w:val="none" w:sz="0" w:space="0" w:color="auto"/>
                                                                                                                                                    <w:right w:val="none" w:sz="0" w:space="0" w:color="auto"/>
                                                                                                                                                  </w:divBdr>
                                                                                                                                                  <w:divsChild>
                                                                                                                                                    <w:div w:id="2099136144">
                                                                                                                                                      <w:marLeft w:val="0"/>
                                                                                                                                                      <w:marRight w:val="0"/>
                                                                                                                                                      <w:marTop w:val="0"/>
                                                                                                                                                      <w:marBottom w:val="0"/>
                                                                                                                                                      <w:divBdr>
                                                                                                                                                        <w:top w:val="none" w:sz="0" w:space="0" w:color="auto"/>
                                                                                                                                                        <w:left w:val="none" w:sz="0" w:space="0" w:color="auto"/>
                                                                                                                                                        <w:bottom w:val="none" w:sz="0" w:space="0" w:color="auto"/>
                                                                                                                                                        <w:right w:val="none" w:sz="0" w:space="0" w:color="auto"/>
                                                                                                                                                      </w:divBdr>
                                                                                                                                                      <w:divsChild>
                                                                                                                                                        <w:div w:id="1899582954">
                                                                                                                                                          <w:marLeft w:val="0"/>
                                                                                                                                                          <w:marRight w:val="0"/>
                                                                                                                                                          <w:marTop w:val="0"/>
                                                                                                                                                          <w:marBottom w:val="0"/>
                                                                                                                                                          <w:divBdr>
                                                                                                                                                            <w:top w:val="none" w:sz="0" w:space="0" w:color="auto"/>
                                                                                                                                                            <w:left w:val="none" w:sz="0" w:space="0" w:color="auto"/>
                                                                                                                                                            <w:bottom w:val="none" w:sz="0" w:space="0" w:color="auto"/>
                                                                                                                                                            <w:right w:val="none" w:sz="0" w:space="0" w:color="auto"/>
                                                                                                                                                          </w:divBdr>
                                                                                                                                                          <w:divsChild>
                                                                                                                                                            <w:div w:id="1812861817">
                                                                                                                                                              <w:marLeft w:val="0"/>
                                                                                                                                                              <w:marRight w:val="0"/>
                                                                                                                                                              <w:marTop w:val="0"/>
                                                                                                                                                              <w:marBottom w:val="0"/>
                                                                                                                                                              <w:divBdr>
                                                                                                                                                                <w:top w:val="none" w:sz="0" w:space="0" w:color="auto"/>
                                                                                                                                                                <w:left w:val="none" w:sz="0" w:space="0" w:color="auto"/>
                                                                                                                                                                <w:bottom w:val="none" w:sz="0" w:space="0" w:color="auto"/>
                                                                                                                                                                <w:right w:val="none" w:sz="0" w:space="0" w:color="auto"/>
                                                                                                                                                              </w:divBdr>
                                                                                                                                                              <w:divsChild>
                                                                                                                                                                <w:div w:id="557783152">
                                                                                                                                                                  <w:marLeft w:val="0"/>
                                                                                                                                                                  <w:marRight w:val="0"/>
                                                                                                                                                                  <w:marTop w:val="0"/>
                                                                                                                                                                  <w:marBottom w:val="0"/>
                                                                                                                                                                  <w:divBdr>
                                                                                                                                                                    <w:top w:val="none" w:sz="0" w:space="0" w:color="auto"/>
                                                                                                                                                                    <w:left w:val="none" w:sz="0" w:space="0" w:color="auto"/>
                                                                                                                                                                    <w:bottom w:val="none" w:sz="0" w:space="0" w:color="auto"/>
                                                                                                                                                                    <w:right w:val="none" w:sz="0" w:space="0" w:color="auto"/>
                                                                                                                                                                  </w:divBdr>
                                                                                                                                                                  <w:divsChild>
                                                                                                                                                                    <w:div w:id="2124567655">
                                                                                                                                                                      <w:marLeft w:val="0"/>
                                                                                                                                                                      <w:marRight w:val="0"/>
                                                                                                                                                                      <w:marTop w:val="0"/>
                                                                                                                                                                      <w:marBottom w:val="0"/>
                                                                                                                                                                      <w:divBdr>
                                                                                                                                                                        <w:top w:val="none" w:sz="0" w:space="0" w:color="auto"/>
                                                                                                                                                                        <w:left w:val="none" w:sz="0" w:space="0" w:color="auto"/>
                                                                                                                                                                        <w:bottom w:val="none" w:sz="0" w:space="0" w:color="auto"/>
                                                                                                                                                                        <w:right w:val="none" w:sz="0" w:space="0" w:color="auto"/>
                                                                                                                                                                      </w:divBdr>
                                                                                                                                                                      <w:divsChild>
                                                                                                                                                                        <w:div w:id="1177967377">
                                                                                                                                                                          <w:marLeft w:val="0"/>
                                                                                                                                                                          <w:marRight w:val="0"/>
                                                                                                                                                                          <w:marTop w:val="0"/>
                                                                                                                                                                          <w:marBottom w:val="0"/>
                                                                                                                                                                          <w:divBdr>
                                                                                                                                                                            <w:top w:val="none" w:sz="0" w:space="0" w:color="auto"/>
                                                                                                                                                                            <w:left w:val="none" w:sz="0" w:space="0" w:color="auto"/>
                                                                                                                                                                            <w:bottom w:val="none" w:sz="0" w:space="0" w:color="auto"/>
                                                                                                                                                                            <w:right w:val="none" w:sz="0" w:space="0" w:color="auto"/>
                                                                                                                                                                          </w:divBdr>
                                                                                                                                                                          <w:divsChild>
                                                                                                                                                                            <w:div w:id="1021669125">
                                                                                                                                                                              <w:marLeft w:val="0"/>
                                                                                                                                                                              <w:marRight w:val="0"/>
                                                                                                                                                                              <w:marTop w:val="0"/>
                                                                                                                                                                              <w:marBottom w:val="0"/>
                                                                                                                                                                              <w:divBdr>
                                                                                                                                                                                <w:top w:val="none" w:sz="0" w:space="0" w:color="auto"/>
                                                                                                                                                                                <w:left w:val="none" w:sz="0" w:space="0" w:color="auto"/>
                                                                                                                                                                                <w:bottom w:val="none" w:sz="0" w:space="0" w:color="auto"/>
                                                                                                                                                                                <w:right w:val="none" w:sz="0" w:space="0" w:color="auto"/>
                                                                                                                                                                              </w:divBdr>
                                                                                                                                                                              <w:divsChild>
                                                                                                                                                                                <w:div w:id="293023860">
                                                                                                                                                                                  <w:marLeft w:val="0"/>
                                                                                                                                                                                  <w:marRight w:val="0"/>
                                                                                                                                                                                  <w:marTop w:val="0"/>
                                                                                                                                                                                  <w:marBottom w:val="0"/>
                                                                                                                                                                                  <w:divBdr>
                                                                                                                                                                                    <w:top w:val="none" w:sz="0" w:space="0" w:color="auto"/>
                                                                                                                                                                                    <w:left w:val="none" w:sz="0" w:space="0" w:color="auto"/>
                                                                                                                                                                                    <w:bottom w:val="none" w:sz="0" w:space="0" w:color="auto"/>
                                                                                                                                                                                    <w:right w:val="none" w:sz="0" w:space="0" w:color="auto"/>
                                                                                                                                                                                  </w:divBdr>
                                                                                                                                                                                  <w:divsChild>
                                                                                                                                                                                    <w:div w:id="1636108674">
                                                                                                                                                                                      <w:marLeft w:val="0"/>
                                                                                                                                                                                      <w:marRight w:val="0"/>
                                                                                                                                                                                      <w:marTop w:val="0"/>
                                                                                                                                                                                      <w:marBottom w:val="0"/>
                                                                                                                                                                                      <w:divBdr>
                                                                                                                                                                                        <w:top w:val="none" w:sz="0" w:space="0" w:color="auto"/>
                                                                                                                                                                                        <w:left w:val="none" w:sz="0" w:space="0" w:color="auto"/>
                                                                                                                                                                                        <w:bottom w:val="none" w:sz="0" w:space="0" w:color="auto"/>
                                                                                                                                                                                        <w:right w:val="none" w:sz="0" w:space="0" w:color="auto"/>
                                                                                                                                                                                      </w:divBdr>
                                                                                                                                                                                      <w:divsChild>
                                                                                                                                                                                        <w:div w:id="1840072505">
                                                                                                                                                                                          <w:marLeft w:val="0"/>
                                                                                                                                                                                          <w:marRight w:val="0"/>
                                                                                                                                                                                          <w:marTop w:val="0"/>
                                                                                                                                                                                          <w:marBottom w:val="0"/>
                                                                                                                                                                                          <w:divBdr>
                                                                                                                                                                                            <w:top w:val="none" w:sz="0" w:space="0" w:color="auto"/>
                                                                                                                                                                                            <w:left w:val="none" w:sz="0" w:space="0" w:color="auto"/>
                                                                                                                                                                                            <w:bottom w:val="none" w:sz="0" w:space="0" w:color="auto"/>
                                                                                                                                                                                            <w:right w:val="none" w:sz="0" w:space="0" w:color="auto"/>
                                                                                                                                                                                          </w:divBdr>
                                                                                                                                                                                          <w:divsChild>
                                                                                                                                                                                            <w:div w:id="1262496970">
                                                                                                                                                                                              <w:marLeft w:val="0"/>
                                                                                                                                                                                              <w:marRight w:val="0"/>
                                                                                                                                                                                              <w:marTop w:val="0"/>
                                                                                                                                                                                              <w:marBottom w:val="0"/>
                                                                                                                                                                                              <w:divBdr>
                                                                                                                                                                                                <w:top w:val="none" w:sz="0" w:space="0" w:color="auto"/>
                                                                                                                                                                                                <w:left w:val="none" w:sz="0" w:space="0" w:color="auto"/>
                                                                                                                                                                                                <w:bottom w:val="none" w:sz="0" w:space="0" w:color="auto"/>
                                                                                                                                                                                                <w:right w:val="none" w:sz="0" w:space="0" w:color="auto"/>
                                                                                                                                                                                              </w:divBdr>
                                                                                                                                                                                              <w:divsChild>
                                                                                                                                                                                                <w:div w:id="2043944402">
                                                                                                                                                                                                  <w:marLeft w:val="0"/>
                                                                                                                                                                                                  <w:marRight w:val="0"/>
                                                                                                                                                                                                  <w:marTop w:val="0"/>
                                                                                                                                                                                                  <w:marBottom w:val="0"/>
                                                                                                                                                                                                  <w:divBdr>
                                                                                                                                                                                                    <w:top w:val="none" w:sz="0" w:space="0" w:color="auto"/>
                                                                                                                                                                                                    <w:left w:val="none" w:sz="0" w:space="0" w:color="auto"/>
                                                                                                                                                                                                    <w:bottom w:val="none" w:sz="0" w:space="0" w:color="auto"/>
                                                                                                                                                                                                    <w:right w:val="none" w:sz="0" w:space="0" w:color="auto"/>
                                                                                                                                                                                                  </w:divBdr>
                                                                                                                                                                                                  <w:divsChild>
                                                                                                                                                                                                    <w:div w:id="621155754">
                                                                                                                                                                                                      <w:marLeft w:val="0"/>
                                                                                                                                                                                                      <w:marRight w:val="0"/>
                                                                                                                                                                                                      <w:marTop w:val="0"/>
                                                                                                                                                                                                      <w:marBottom w:val="0"/>
                                                                                                                                                                                                      <w:divBdr>
                                                                                                                                                                                                        <w:top w:val="none" w:sz="0" w:space="0" w:color="auto"/>
                                                                                                                                                                                                        <w:left w:val="none" w:sz="0" w:space="0" w:color="auto"/>
                                                                                                                                                                                                        <w:bottom w:val="none" w:sz="0" w:space="0" w:color="auto"/>
                                                                                                                                                                                                        <w:right w:val="none" w:sz="0" w:space="0" w:color="auto"/>
                                                                                                                                                                                                      </w:divBdr>
                                                                                                                                                                                                      <w:divsChild>
                                                                                                                                                                                                        <w:div w:id="940801397">
                                                                                                                                                                                                          <w:marLeft w:val="0"/>
                                                                                                                                                                                                          <w:marRight w:val="0"/>
                                                                                                                                                                                                          <w:marTop w:val="0"/>
                                                                                                                                                                                                          <w:marBottom w:val="0"/>
                                                                                                                                                                                                          <w:divBdr>
                                                                                                                                                                                                            <w:top w:val="none" w:sz="0" w:space="0" w:color="auto"/>
                                                                                                                                                                                                            <w:left w:val="none" w:sz="0" w:space="0" w:color="auto"/>
                                                                                                                                                                                                            <w:bottom w:val="none" w:sz="0" w:space="0" w:color="auto"/>
                                                                                                                                                                                                            <w:right w:val="none" w:sz="0" w:space="0" w:color="auto"/>
                                                                                                                                                                                                          </w:divBdr>
                                                                                                                                                                                                          <w:divsChild>
                                                                                                                                                                                                            <w:div w:id="1407608626">
                                                                                                                                                                                                              <w:marLeft w:val="0"/>
                                                                                                                                                                                                              <w:marRight w:val="0"/>
                                                                                                                                                                                                              <w:marTop w:val="0"/>
                                                                                                                                                                                                              <w:marBottom w:val="0"/>
                                                                                                                                                                                                              <w:divBdr>
                                                                                                                                                                                                                <w:top w:val="none" w:sz="0" w:space="0" w:color="auto"/>
                                                                                                                                                                                                                <w:left w:val="none" w:sz="0" w:space="0" w:color="auto"/>
                                                                                                                                                                                                                <w:bottom w:val="none" w:sz="0" w:space="0" w:color="auto"/>
                                                                                                                                                                                                                <w:right w:val="none" w:sz="0" w:space="0" w:color="auto"/>
                                                                                                                                                                                                              </w:divBdr>
                                                                                                                                                                                                              <w:divsChild>
                                                                                                                                                                                                                <w:div w:id="1917284671">
                                                                                                                                                                                                                  <w:marLeft w:val="0"/>
                                                                                                                                                                                                                  <w:marRight w:val="0"/>
                                                                                                                                                                                                                  <w:marTop w:val="0"/>
                                                                                                                                                                                                                  <w:marBottom w:val="0"/>
                                                                                                                                                                                                                  <w:divBdr>
                                                                                                                                                                                                                    <w:top w:val="none" w:sz="0" w:space="0" w:color="auto"/>
                                                                                                                                                                                                                    <w:left w:val="none" w:sz="0" w:space="0" w:color="auto"/>
                                                                                                                                                                                                                    <w:bottom w:val="none" w:sz="0" w:space="0" w:color="auto"/>
                                                                                                                                                                                                                    <w:right w:val="none" w:sz="0" w:space="0" w:color="auto"/>
                                                                                                                                                                                                                  </w:divBdr>
                                                                                                                                                                                                                  <w:divsChild>
                                                                                                                                                                                                                    <w:div w:id="7487840">
                                                                                                                                                                                                                      <w:marLeft w:val="0"/>
                                                                                                                                                                                                                      <w:marRight w:val="0"/>
                                                                                                                                                                                                                      <w:marTop w:val="0"/>
                                                                                                                                                                                                                      <w:marBottom w:val="0"/>
                                                                                                                                                                                                                      <w:divBdr>
                                                                                                                                                                                                                        <w:top w:val="none" w:sz="0" w:space="0" w:color="auto"/>
                                                                                                                                                                                                                        <w:left w:val="none" w:sz="0" w:space="0" w:color="auto"/>
                                                                                                                                                                                                                        <w:bottom w:val="none" w:sz="0" w:space="0" w:color="auto"/>
                                                                                                                                                                                                                        <w:right w:val="none" w:sz="0" w:space="0" w:color="auto"/>
                                                                                                                                                                                                                      </w:divBdr>
                                                                                                                                                                                                                      <w:divsChild>
                                                                                                                                                                                                                        <w:div w:id="128865298">
                                                                                                                                                                                                                          <w:marLeft w:val="0"/>
                                                                                                                                                                                                                          <w:marRight w:val="0"/>
                                                                                                                                                                                                                          <w:marTop w:val="0"/>
                                                                                                                                                                                                                          <w:marBottom w:val="0"/>
                                                                                                                                                                                                                          <w:divBdr>
                                                                                                                                                                                                                            <w:top w:val="none" w:sz="0" w:space="0" w:color="auto"/>
                                                                                                                                                                                                                            <w:left w:val="none" w:sz="0" w:space="0" w:color="auto"/>
                                                                                                                                                                                                                            <w:bottom w:val="none" w:sz="0" w:space="0" w:color="auto"/>
                                                                                                                                                                                                                            <w:right w:val="none" w:sz="0" w:space="0" w:color="auto"/>
                                                                                                                                                                                                                          </w:divBdr>
                                                                                                                                                                                                                          <w:divsChild>
                                                                                                                                                                                                                            <w:div w:id="1442411504">
                                                                                                                                                                                                                              <w:marLeft w:val="0"/>
                                                                                                                                                                                                                              <w:marRight w:val="0"/>
                                                                                                                                                                                                                              <w:marTop w:val="0"/>
                                                                                                                                                                                                                              <w:marBottom w:val="0"/>
                                                                                                                                                                                                                              <w:divBdr>
                                                                                                                                                                                                                                <w:top w:val="none" w:sz="0" w:space="0" w:color="auto"/>
                                                                                                                                                                                                                                <w:left w:val="none" w:sz="0" w:space="0" w:color="auto"/>
                                                                                                                                                                                                                                <w:bottom w:val="none" w:sz="0" w:space="0" w:color="auto"/>
                                                                                                                                                                                                                                <w:right w:val="none" w:sz="0" w:space="0" w:color="auto"/>
                                                                                                                                                                                                                              </w:divBdr>
                                                                                                                                                                                                                              <w:divsChild>
                                                                                                                                                                                                                                <w:div w:id="27225207">
                                                                                                                                                                                                                                  <w:marLeft w:val="0"/>
                                                                                                                                                                                                                                  <w:marRight w:val="0"/>
                                                                                                                                                                                                                                  <w:marTop w:val="0"/>
                                                                                                                                                                                                                                  <w:marBottom w:val="0"/>
                                                                                                                                                                                                                                  <w:divBdr>
                                                                                                                                                                                                                                    <w:top w:val="none" w:sz="0" w:space="0" w:color="auto"/>
                                                                                                                                                                                                                                    <w:left w:val="none" w:sz="0" w:space="0" w:color="auto"/>
                                                                                                                                                                                                                                    <w:bottom w:val="none" w:sz="0" w:space="0" w:color="auto"/>
                                                                                                                                                                                                                                    <w:right w:val="none" w:sz="0" w:space="0" w:color="auto"/>
                                                                                                                                                                                                                                  </w:divBdr>
                                                                                                                                                                                                                                  <w:divsChild>
                                                                                                                                                                                                                                    <w:div w:id="211162262">
                                                                                                                                                                                                                                      <w:marLeft w:val="0"/>
                                                                                                                                                                                                                                      <w:marRight w:val="0"/>
                                                                                                                                                                                                                                      <w:marTop w:val="0"/>
                                                                                                                                                                                                                                      <w:marBottom w:val="0"/>
                                                                                                                                                                                                                                      <w:divBdr>
                                                                                                                                                                                                                                        <w:top w:val="none" w:sz="0" w:space="0" w:color="auto"/>
                                                                                                                                                                                                                                        <w:left w:val="none" w:sz="0" w:space="0" w:color="auto"/>
                                                                                                                                                                                                                                        <w:bottom w:val="none" w:sz="0" w:space="0" w:color="auto"/>
                                                                                                                                                                                                                                        <w:right w:val="none" w:sz="0" w:space="0" w:color="auto"/>
                                                                                                                                                                                                                                      </w:divBdr>
                                                                                                                                                                                                                                      <w:divsChild>
                                                                                                                                                                                                                                        <w:div w:id="1517033529">
                                                                                                                                                                                                                                          <w:marLeft w:val="0"/>
                                                                                                                                                                                                                                          <w:marRight w:val="0"/>
                                                                                                                                                                                                                                          <w:marTop w:val="0"/>
                                                                                                                                                                                                                                          <w:marBottom w:val="0"/>
                                                                                                                                                                                                                                          <w:divBdr>
                                                                                                                                                                                                                                            <w:top w:val="none" w:sz="0" w:space="0" w:color="auto"/>
                                                                                                                                                                                                                                            <w:left w:val="none" w:sz="0" w:space="0" w:color="auto"/>
                                                                                                                                                                                                                                            <w:bottom w:val="none" w:sz="0" w:space="0" w:color="auto"/>
                                                                                                                                                                                                                                            <w:right w:val="none" w:sz="0" w:space="0" w:color="auto"/>
                                                                                                                                                                                                                                          </w:divBdr>
                                                                                                                                                                                                                                          <w:divsChild>
                                                                                                                                                                                                                                            <w:div w:id="1742217936">
                                                                                                                                                                                                                                              <w:marLeft w:val="0"/>
                                                                                                                                                                                                                                              <w:marRight w:val="0"/>
                                                                                                                                                                                                                                              <w:marTop w:val="0"/>
                                                                                                                                                                                                                                              <w:marBottom w:val="0"/>
                                                                                                                                                                                                                                              <w:divBdr>
                                                                                                                                                                                                                                                <w:top w:val="none" w:sz="0" w:space="0" w:color="auto"/>
                                                                                                                                                                                                                                                <w:left w:val="none" w:sz="0" w:space="0" w:color="auto"/>
                                                                                                                                                                                                                                                <w:bottom w:val="none" w:sz="0" w:space="0" w:color="auto"/>
                                                                                                                                                                                                                                                <w:right w:val="none" w:sz="0" w:space="0" w:color="auto"/>
                                                                                                                                                                                                                                              </w:divBdr>
                                                                                                                                                                                                                                              <w:divsChild>
                                                                                                                                                                                                                                                <w:div w:id="498353782">
                                                                                                                                                                                                                                                  <w:marLeft w:val="0"/>
                                                                                                                                                                                                                                                  <w:marRight w:val="0"/>
                                                                                                                                                                                                                                                  <w:marTop w:val="0"/>
                                                                                                                                                                                                                                                  <w:marBottom w:val="0"/>
                                                                                                                                                                                                                                                  <w:divBdr>
                                                                                                                                                                                                                                                    <w:top w:val="none" w:sz="0" w:space="0" w:color="auto"/>
                                                                                                                                                                                                                                                    <w:left w:val="none" w:sz="0" w:space="0" w:color="auto"/>
                                                                                                                                                                                                                                                    <w:bottom w:val="none" w:sz="0" w:space="0" w:color="auto"/>
                                                                                                                                                                                                                                                    <w:right w:val="none" w:sz="0" w:space="0" w:color="auto"/>
                                                                                                                                                                                                                                                  </w:divBdr>
                                                                                                                                                                                                                                                  <w:divsChild>
                                                                                                                                                                                                                                                    <w:div w:id="1861579501">
                                                                                                                                                                                                                                                      <w:marLeft w:val="0"/>
                                                                                                                                                                                                                                                      <w:marRight w:val="0"/>
                                                                                                                                                                                                                                                      <w:marTop w:val="0"/>
                                                                                                                                                                                                                                                      <w:marBottom w:val="0"/>
                                                                                                                                                                                                                                                      <w:divBdr>
                                                                                                                                                                                                                                                        <w:top w:val="none" w:sz="0" w:space="0" w:color="auto"/>
                                                                                                                                                                                                                                                        <w:left w:val="none" w:sz="0" w:space="0" w:color="auto"/>
                                                                                                                                                                                                                                                        <w:bottom w:val="none" w:sz="0" w:space="0" w:color="auto"/>
                                                                                                                                                                                                                                                        <w:right w:val="none" w:sz="0" w:space="0" w:color="auto"/>
                                                                                                                                                                                                                                                      </w:divBdr>
                                                                                                                                                                                                                                                      <w:divsChild>
                                                                                                                                                                                                                                                        <w:div w:id="117725692">
                                                                                                                                                                                                                                                          <w:marLeft w:val="0"/>
                                                                                                                                                                                                                                                          <w:marRight w:val="0"/>
                                                                                                                                                                                                                                                          <w:marTop w:val="0"/>
                                                                                                                                                                                                                                                          <w:marBottom w:val="0"/>
                                                                                                                                                                                                                                                          <w:divBdr>
                                                                                                                                                                                                                                                            <w:top w:val="none" w:sz="0" w:space="0" w:color="auto"/>
                                                                                                                                                                                                                                                            <w:left w:val="none" w:sz="0" w:space="0" w:color="auto"/>
                                                                                                                                                                                                                                                            <w:bottom w:val="none" w:sz="0" w:space="0" w:color="auto"/>
                                                                                                                                                                                                                                                            <w:right w:val="none" w:sz="0" w:space="0" w:color="auto"/>
                                                                                                                                                                                                                                                          </w:divBdr>
                                                                                                                                                                                                                                                          <w:divsChild>
                                                                                                                                                                                                                                                            <w:div w:id="449857148">
                                                                                                                                                                                                                                                              <w:marLeft w:val="0"/>
                                                                                                                                                                                                                                                              <w:marRight w:val="0"/>
                                                                                                                                                                                                                                                              <w:marTop w:val="0"/>
                                                                                                                                                                                                                                                              <w:marBottom w:val="0"/>
                                                                                                                                                                                                                                                              <w:divBdr>
                                                                                                                                                                                                                                                                <w:top w:val="none" w:sz="0" w:space="0" w:color="auto"/>
                                                                                                                                                                                                                                                                <w:left w:val="none" w:sz="0" w:space="0" w:color="auto"/>
                                                                                                                                                                                                                                                                <w:bottom w:val="none" w:sz="0" w:space="0" w:color="auto"/>
                                                                                                                                                                                                                                                                <w:right w:val="none" w:sz="0" w:space="0" w:color="auto"/>
                                                                                                                                                                                                                                                              </w:divBdr>
                                                                                                                                                                                                                                                              <w:divsChild>
                                                                                                                                                                                                                                                                <w:div w:id="1780950415">
                                                                                                                                                                                                                                                                  <w:marLeft w:val="0"/>
                                                                                                                                                                                                                                                                  <w:marRight w:val="0"/>
                                                                                                                                                                                                                                                                  <w:marTop w:val="0"/>
                                                                                                                                                                                                                                                                  <w:marBottom w:val="0"/>
                                                                                                                                                                                                                                                                  <w:divBdr>
                                                                                                                                                                                                                                                                    <w:top w:val="none" w:sz="0" w:space="0" w:color="auto"/>
                                                                                                                                                                                                                                                                    <w:left w:val="none" w:sz="0" w:space="0" w:color="auto"/>
                                                                                                                                                                                                                                                                    <w:bottom w:val="none" w:sz="0" w:space="0" w:color="auto"/>
                                                                                                                                                                                                                                                                    <w:right w:val="none" w:sz="0" w:space="0" w:color="auto"/>
                                                                                                                                                                                                                                                                  </w:divBdr>
                                                                                                                                                                                                                                                                  <w:divsChild>
                                                                                                                                                                                                                                                                    <w:div w:id="1668438748">
                                                                                                                                                                                                                                                                      <w:marLeft w:val="0"/>
                                                                                                                                                                                                                                                                      <w:marRight w:val="0"/>
                                                                                                                                                                                                                                                                      <w:marTop w:val="0"/>
                                                                                                                                                                                                                                                                      <w:marBottom w:val="0"/>
                                                                                                                                                                                                                                                                      <w:divBdr>
                                                                                                                                                                                                                                                                        <w:top w:val="none" w:sz="0" w:space="0" w:color="auto"/>
                                                                                                                                                                                                                                                                        <w:left w:val="none" w:sz="0" w:space="0" w:color="auto"/>
                                                                                                                                                                                                                                                                        <w:bottom w:val="none" w:sz="0" w:space="0" w:color="auto"/>
                                                                                                                                                                                                                                                                        <w:right w:val="none" w:sz="0" w:space="0" w:color="auto"/>
                                                                                                                                                                                                                                                                      </w:divBdr>
                                                                                                                                                                                                                                                                      <w:divsChild>
                                                                                                                                                                                                                                                                        <w:div w:id="2025134729">
                                                                                                                                                                                                                                                                          <w:marLeft w:val="0"/>
                                                                                                                                                                                                                                                                          <w:marRight w:val="0"/>
                                                                                                                                                                                                                                                                          <w:marTop w:val="0"/>
                                                                                                                                                                                                                                                                          <w:marBottom w:val="0"/>
                                                                                                                                                                                                                                                                          <w:divBdr>
                                                                                                                                                                                                                                                                            <w:top w:val="none" w:sz="0" w:space="0" w:color="auto"/>
                                                                                                                                                                                                                                                                            <w:left w:val="none" w:sz="0" w:space="0" w:color="auto"/>
                                                                                                                                                                                                                                                                            <w:bottom w:val="none" w:sz="0" w:space="0" w:color="auto"/>
                                                                                                                                                                                                                                                                            <w:right w:val="none" w:sz="0" w:space="0" w:color="auto"/>
                                                                                                                                                                                                                                                                          </w:divBdr>
                                                                                                                                                                                                                                                                          <w:divsChild>
                                                                                                                                                                                                                                                                            <w:div w:id="371031904">
                                                                                                                                                                                                                                                                              <w:marLeft w:val="0"/>
                                                                                                                                                                                                                                                                              <w:marRight w:val="0"/>
                                                                                                                                                                                                                                                                              <w:marTop w:val="0"/>
                                                                                                                                                                                                                                                                              <w:marBottom w:val="0"/>
                                                                                                                                                                                                                                                                              <w:divBdr>
                                                                                                                                                                                                                                                                                <w:top w:val="none" w:sz="0" w:space="0" w:color="auto"/>
                                                                                                                                                                                                                                                                                <w:left w:val="none" w:sz="0" w:space="0" w:color="auto"/>
                                                                                                                                                                                                                                                                                <w:bottom w:val="none" w:sz="0" w:space="0" w:color="auto"/>
                                                                                                                                                                                                                                                                                <w:right w:val="none" w:sz="0" w:space="0" w:color="auto"/>
                                                                                                                                                                                                                                                                              </w:divBdr>
                                                                                                                                                                                                                                                                              <w:divsChild>
                                                                                                                                                                                                                                                                                <w:div w:id="1786999022">
                                                                                                                                                                                                                                                                                  <w:marLeft w:val="0"/>
                                                                                                                                                                                                                                                                                  <w:marRight w:val="0"/>
                                                                                                                                                                                                                                                                                  <w:marTop w:val="0"/>
                                                                                                                                                                                                                                                                                  <w:marBottom w:val="0"/>
                                                                                                                                                                                                                                                                                  <w:divBdr>
                                                                                                                                                                                                                                                                                    <w:top w:val="none" w:sz="0" w:space="0" w:color="auto"/>
                                                                                                                                                                                                                                                                                    <w:left w:val="none" w:sz="0" w:space="0" w:color="auto"/>
                                                                                                                                                                                                                                                                                    <w:bottom w:val="none" w:sz="0" w:space="0" w:color="auto"/>
                                                                                                                                                                                                                                                                                    <w:right w:val="none" w:sz="0" w:space="0" w:color="auto"/>
                                                                                                                                                                                                                                                                                  </w:divBdr>
                                                                                                                                                                                                                                                                                  <w:divsChild>
                                                                                                                                                                                                                                                                                    <w:div w:id="1417824068">
                                                                                                                                                                                                                                                                                      <w:marLeft w:val="0"/>
                                                                                                                                                                                                                                                                                      <w:marRight w:val="0"/>
                                                                                                                                                                                                                                                                                      <w:marTop w:val="0"/>
                                                                                                                                                                                                                                                                                      <w:marBottom w:val="0"/>
                                                                                                                                                                                                                                                                                      <w:divBdr>
                                                                                                                                                                                                                                                                                        <w:top w:val="none" w:sz="0" w:space="0" w:color="auto"/>
                                                                                                                                                                                                                                                                                        <w:left w:val="none" w:sz="0" w:space="0" w:color="auto"/>
                                                                                                                                                                                                                                                                                        <w:bottom w:val="none" w:sz="0" w:space="0" w:color="auto"/>
                                                                                                                                                                                                                                                                                        <w:right w:val="none" w:sz="0" w:space="0" w:color="auto"/>
                                                                                                                                                                                                                                                                                      </w:divBdr>
                                                                                                                                                                                                                                                                                      <w:divsChild>
                                                                                                                                                                                                                                                                                        <w:div w:id="2102212335">
                                                                                                                                                                                                                                                                                          <w:marLeft w:val="0"/>
                                                                                                                                                                                                                                                                                          <w:marRight w:val="0"/>
                                                                                                                                                                                                                                                                                          <w:marTop w:val="0"/>
                                                                                                                                                                                                                                                                                          <w:marBottom w:val="0"/>
                                                                                                                                                                                                                                                                                          <w:divBdr>
                                                                                                                                                                                                                                                                                            <w:top w:val="none" w:sz="0" w:space="0" w:color="auto"/>
                                                                                                                                                                                                                                                                                            <w:left w:val="none" w:sz="0" w:space="0" w:color="auto"/>
                                                                                                                                                                                                                                                                                            <w:bottom w:val="none" w:sz="0" w:space="0" w:color="auto"/>
                                                                                                                                                                                                                                                                                            <w:right w:val="none" w:sz="0" w:space="0" w:color="auto"/>
                                                                                                                                                                                                                                                                                          </w:divBdr>
                                                                                                                                                                                                                                                                                          <w:divsChild>
                                                                                                                                                                                                                                                                                            <w:div w:id="1987197221">
                                                                                                                                                                                                                                                                                              <w:marLeft w:val="0"/>
                                                                                                                                                                                                                                                                                              <w:marRight w:val="0"/>
                                                                                                                                                                                                                                                                                              <w:marTop w:val="0"/>
                                                                                                                                                                                                                                                                                              <w:marBottom w:val="0"/>
                                                                                                                                                                                                                                                                                              <w:divBdr>
                                                                                                                                                                                                                                                                                                <w:top w:val="none" w:sz="0" w:space="0" w:color="auto"/>
                                                                                                                                                                                                                                                                                                <w:left w:val="none" w:sz="0" w:space="0" w:color="auto"/>
                                                                                                                                                                                                                                                                                                <w:bottom w:val="none" w:sz="0" w:space="0" w:color="auto"/>
                                                                                                                                                                                                                                                                                                <w:right w:val="none" w:sz="0" w:space="0" w:color="auto"/>
                                                                                                                                                                                                                                                                                              </w:divBdr>
                                                                                                                                                                                                                                                                                              <w:divsChild>
                                                                                                                                                                                                                                                                                                <w:div w:id="822546907">
                                                                                                                                                                                                                                                                                                  <w:marLeft w:val="0"/>
                                                                                                                                                                                                                                                                                                  <w:marRight w:val="0"/>
                                                                                                                                                                                                                                                                                                  <w:marTop w:val="0"/>
                                                                                                                                                                                                                                                                                                  <w:marBottom w:val="0"/>
                                                                                                                                                                                                                                                                                                  <w:divBdr>
                                                                                                                                                                                                                                                                                                    <w:top w:val="none" w:sz="0" w:space="0" w:color="auto"/>
                                                                                                                                                                                                                                                                                                    <w:left w:val="none" w:sz="0" w:space="0" w:color="auto"/>
                                                                                                                                                                                                                                                                                                    <w:bottom w:val="none" w:sz="0" w:space="0" w:color="auto"/>
                                                                                                                                                                                                                                                                                                    <w:right w:val="none" w:sz="0" w:space="0" w:color="auto"/>
                                                                                                                                                                                                                                                                                                  </w:divBdr>
                                                                                                                                                                                                                                                                                                  <w:divsChild>
                                                                                                                                                                                                                                                                                                    <w:div w:id="501940514">
                                                                                                                                                                                                                                                                                                      <w:marLeft w:val="0"/>
                                                                                                                                                                                                                                                                                                      <w:marRight w:val="0"/>
                                                                                                                                                                                                                                                                                                      <w:marTop w:val="0"/>
                                                                                                                                                                                                                                                                                                      <w:marBottom w:val="0"/>
                                                                                                                                                                                                                                                                                                      <w:divBdr>
                                                                                                                                                                                                                                                                                                        <w:top w:val="none" w:sz="0" w:space="0" w:color="auto"/>
                                                                                                                                                                                                                                                                                                        <w:left w:val="none" w:sz="0" w:space="0" w:color="auto"/>
                                                                                                                                                                                                                                                                                                        <w:bottom w:val="none" w:sz="0" w:space="0" w:color="auto"/>
                                                                                                                                                                                                                                                                                                        <w:right w:val="none" w:sz="0" w:space="0" w:color="auto"/>
                                                                                                                                                                                                                                                                                                      </w:divBdr>
                                                                                                                                                                                                                                                                                                      <w:divsChild>
                                                                                                                                                                                                                                                                                                        <w:div w:id="817771743">
                                                                                                                                                                                                                                                                                                          <w:marLeft w:val="0"/>
                                                                                                                                                                                                                                                                                                          <w:marRight w:val="0"/>
                                                                                                                                                                                                                                                                                                          <w:marTop w:val="0"/>
                                                                                                                                                                                                                                                                                                          <w:marBottom w:val="0"/>
                                                                                                                                                                                                                                                                                                          <w:divBdr>
                                                                                                                                                                                                                                                                                                            <w:top w:val="none" w:sz="0" w:space="0" w:color="auto"/>
                                                                                                                                                                                                                                                                                                            <w:left w:val="none" w:sz="0" w:space="0" w:color="auto"/>
                                                                                                                                                                                                                                                                                                            <w:bottom w:val="none" w:sz="0" w:space="0" w:color="auto"/>
                                                                                                                                                                                                                                                                                                            <w:right w:val="none" w:sz="0" w:space="0" w:color="auto"/>
                                                                                                                                                                                                                                                                                                          </w:divBdr>
                                                                                                                                                                                                                                                                                                          <w:divsChild>
                                                                                                                                                                                                                                                                                                            <w:div w:id="1555002892">
                                                                                                                                                                                                                                                                                                              <w:marLeft w:val="0"/>
                                                                                                                                                                                                                                                                                                              <w:marRight w:val="0"/>
                                                                                                                                                                                                                                                                                                              <w:marTop w:val="0"/>
                                                                                                                                                                                                                                                                                                              <w:marBottom w:val="0"/>
                                                                                                                                                                                                                                                                                                              <w:divBdr>
                                                                                                                                                                                                                                                                                                                <w:top w:val="none" w:sz="0" w:space="0" w:color="auto"/>
                                                                                                                                                                                                                                                                                                                <w:left w:val="none" w:sz="0" w:space="0" w:color="auto"/>
                                                                                                                                                                                                                                                                                                                <w:bottom w:val="none" w:sz="0" w:space="0" w:color="auto"/>
                                                                                                                                                                                                                                                                                                                <w:right w:val="none" w:sz="0" w:space="0" w:color="auto"/>
                                                                                                                                                                                                                                                                                                              </w:divBdr>
                                                                                                                                                                                                                                                                                                              <w:divsChild>
                                                                                                                                                                                                                                                                                                                <w:div w:id="774205976">
                                                                                                                                                                                                                                                                                                                  <w:marLeft w:val="0"/>
                                                                                                                                                                                                                                                                                                                  <w:marRight w:val="0"/>
                                                                                                                                                                                                                                                                                                                  <w:marTop w:val="0"/>
                                                                                                                                                                                                                                                                                                                  <w:marBottom w:val="0"/>
                                                                                                                                                                                                                                                                                                                  <w:divBdr>
                                                                                                                                                                                                                                                                                                                    <w:top w:val="none" w:sz="0" w:space="0" w:color="auto"/>
                                                                                                                                                                                                                                                                                                                    <w:left w:val="none" w:sz="0" w:space="0" w:color="auto"/>
                                                                                                                                                                                                                                                                                                                    <w:bottom w:val="none" w:sz="0" w:space="0" w:color="auto"/>
                                                                                                                                                                                                                                                                                                                    <w:right w:val="none" w:sz="0" w:space="0" w:color="auto"/>
                                                                                                                                                                                                                                                                                                                  </w:divBdr>
                                                                                                                                                                                                                                                                                                                  <w:divsChild>
                                                                                                                                                                                                                                                                                                                    <w:div w:id="222564413">
                                                                                                                                                                                                                                                                                                                      <w:marLeft w:val="0"/>
                                                                                                                                                                                                                                                                                                                      <w:marRight w:val="0"/>
                                                                                                                                                                                                                                                                                                                      <w:marTop w:val="0"/>
                                                                                                                                                                                                                                                                                                                      <w:marBottom w:val="0"/>
                                                                                                                                                                                                                                                                                                                      <w:divBdr>
                                                                                                                                                                                                                                                                                                                        <w:top w:val="none" w:sz="0" w:space="0" w:color="auto"/>
                                                                                                                                                                                                                                                                                                                        <w:left w:val="none" w:sz="0" w:space="0" w:color="auto"/>
                                                                                                                                                                                                                                                                                                                        <w:bottom w:val="none" w:sz="0" w:space="0" w:color="auto"/>
                                                                                                                                                                                                                                                                                                                        <w:right w:val="none" w:sz="0" w:space="0" w:color="auto"/>
                                                                                                                                                                                                                                                                                                                      </w:divBdr>
                                                                                                                                                                                                                                                                                                                      <w:divsChild>
                                                                                                                                                                                                                                                                                                                        <w:div w:id="2066483465">
                                                                                                                                                                                                                                                                                                                          <w:marLeft w:val="0"/>
                                                                                                                                                                                                                                                                                                                          <w:marRight w:val="0"/>
                                                                                                                                                                                                                                                                                                                          <w:marTop w:val="0"/>
                                                                                                                                                                                                                                                                                                                          <w:marBottom w:val="0"/>
                                                                                                                                                                                                                                                                                                                          <w:divBdr>
                                                                                                                                                                                                                                                                                                                            <w:top w:val="none" w:sz="0" w:space="0" w:color="auto"/>
                                                                                                                                                                                                                                                                                                                            <w:left w:val="none" w:sz="0" w:space="0" w:color="auto"/>
                                                                                                                                                                                                                                                                                                                            <w:bottom w:val="none" w:sz="0" w:space="0" w:color="auto"/>
                                                                                                                                                                                                                                                                                                                            <w:right w:val="none" w:sz="0" w:space="0" w:color="auto"/>
                                                                                                                                                                                                                                                                                                                          </w:divBdr>
                                                                                                                                                                                                                                                                                                                          <w:divsChild>
                                                                                                                                                                                                                                                                                                                            <w:div w:id="298536201">
                                                                                                                                                                                                                                                                                                                              <w:marLeft w:val="0"/>
                                                                                                                                                                                                                                                                                                                              <w:marRight w:val="0"/>
                                                                                                                                                                                                                                                                                                                              <w:marTop w:val="0"/>
                                                                                                                                                                                                                                                                                                                              <w:marBottom w:val="0"/>
                                                                                                                                                                                                                                                                                                                              <w:divBdr>
                                                                                                                                                                                                                                                                                                                                <w:top w:val="none" w:sz="0" w:space="0" w:color="auto"/>
                                                                                                                                                                                                                                                                                                                                <w:left w:val="none" w:sz="0" w:space="0" w:color="auto"/>
                                                                                                                                                                                                                                                                                                                                <w:bottom w:val="none" w:sz="0" w:space="0" w:color="auto"/>
                                                                                                                                                                                                                                                                                                                                <w:right w:val="none" w:sz="0" w:space="0" w:color="auto"/>
                                                                                                                                                                                                                                                                                                                              </w:divBdr>
                                                                                                                                                                                                                                                                                                                              <w:divsChild>
                                                                                                                                                                                                                                                                                                                                <w:div w:id="345332113">
                                                                                                                                                                                                                                                                                                                                  <w:marLeft w:val="0"/>
                                                                                                                                                                                                                                                                                                                                  <w:marRight w:val="0"/>
                                                                                                                                                                                                                                                                                                                                  <w:marTop w:val="0"/>
                                                                                                                                                                                                                                                                                                                                  <w:marBottom w:val="0"/>
                                                                                                                                                                                                                                                                                                                                  <w:divBdr>
                                                                                                                                                                                                                                                                                                                                    <w:top w:val="none" w:sz="0" w:space="0" w:color="auto"/>
                                                                                                                                                                                                                                                                                                                                    <w:left w:val="none" w:sz="0" w:space="0" w:color="auto"/>
                                                                                                                                                                                                                                                                                                                                    <w:bottom w:val="none" w:sz="0" w:space="0" w:color="auto"/>
                                                                                                                                                                                                                                                                                                                                    <w:right w:val="none" w:sz="0" w:space="0" w:color="auto"/>
                                                                                                                                                                                                                                                                                                                                  </w:divBdr>
                                                                                                                                                                                                                                                                                                                                  <w:divsChild>
                                                                                                                                                                                                                                                                                                                                    <w:div w:id="1213300352">
                                                                                                                                                                                                                                                                                                                                      <w:marLeft w:val="0"/>
                                                                                                                                                                                                                                                                                                                                      <w:marRight w:val="0"/>
                                                                                                                                                                                                                                                                                                                                      <w:marTop w:val="0"/>
                                                                                                                                                                                                                                                                                                                                      <w:marBottom w:val="0"/>
                                                                                                                                                                                                                                                                                                                                      <w:divBdr>
                                                                                                                                                                                                                                                                                                                                        <w:top w:val="none" w:sz="0" w:space="0" w:color="auto"/>
                                                                                                                                                                                                                                                                                                                                        <w:left w:val="none" w:sz="0" w:space="0" w:color="auto"/>
                                                                                                                                                                                                                                                                                                                                        <w:bottom w:val="none" w:sz="0" w:space="0" w:color="auto"/>
                                                                                                                                                                                                                                                                                                                                        <w:right w:val="none" w:sz="0" w:space="0" w:color="auto"/>
                                                                                                                                                                                                                                                                                                                                      </w:divBdr>
                                                                                                                                                                                                                                                                                                                                      <w:divsChild>
                                                                                                                                                                                                                                                                                                                                        <w:div w:id="339626929">
                                                                                                                                                                                                                                                                                                                                          <w:marLeft w:val="0"/>
                                                                                                                                                                                                                                                                                                                                          <w:marRight w:val="0"/>
                                                                                                                                                                                                                                                                                                                                          <w:marTop w:val="0"/>
                                                                                                                                                                                                                                                                                                                                          <w:marBottom w:val="0"/>
                                                                                                                                                                                                                                                                                                                                          <w:divBdr>
                                                                                                                                                                                                                                                                                                                                            <w:top w:val="none" w:sz="0" w:space="0" w:color="auto"/>
                                                                                                                                                                                                                                                                                                                                            <w:left w:val="none" w:sz="0" w:space="0" w:color="auto"/>
                                                                                                                                                                                                                                                                                                                                            <w:bottom w:val="none" w:sz="0" w:space="0" w:color="auto"/>
                                                                                                                                                                                                                                                                                                                                            <w:right w:val="none" w:sz="0" w:space="0" w:color="auto"/>
                                                                                                                                                                                                                                                                                                                                          </w:divBdr>
                                                                                                                                                                                                                                                                                                                                          <w:divsChild>
                                                                                                                                                                                                                                                                                                                                            <w:div w:id="312949648">
                                                                                                                                                                                                                                                                                                                                              <w:marLeft w:val="0"/>
                                                                                                                                                                                                                                                                                                                                              <w:marRight w:val="0"/>
                                                                                                                                                                                                                                                                                                                                              <w:marTop w:val="0"/>
                                                                                                                                                                                                                                                                                                                                              <w:marBottom w:val="0"/>
                                                                                                                                                                                                                                                                                                                                              <w:divBdr>
                                                                                                                                                                                                                                                                                                                                                <w:top w:val="none" w:sz="0" w:space="0" w:color="auto"/>
                                                                                                                                                                                                                                                                                                                                                <w:left w:val="none" w:sz="0" w:space="0" w:color="auto"/>
                                                                                                                                                                                                                                                                                                                                                <w:bottom w:val="none" w:sz="0" w:space="0" w:color="auto"/>
                                                                                                                                                                                                                                                                                                                                                <w:right w:val="none" w:sz="0" w:space="0" w:color="auto"/>
                                                                                                                                                                                                                                                                                                                                              </w:divBdr>
                                                                                                                                                                                                                                                                                                                                              <w:divsChild>
                                                                                                                                                                                                                                                                                                                                                <w:div w:id="1106774725">
                                                                                                                                                                                                                                                                                                                                                  <w:marLeft w:val="0"/>
                                                                                                                                                                                                                                                                                                                                                  <w:marRight w:val="0"/>
                                                                                                                                                                                                                                                                                                                                                  <w:marTop w:val="0"/>
                                                                                                                                                                                                                                                                                                                                                  <w:marBottom w:val="0"/>
                                                                                                                                                                                                                                                                                                                                                  <w:divBdr>
                                                                                                                                                                                                                                                                                                                                                    <w:top w:val="none" w:sz="0" w:space="0" w:color="auto"/>
                                                                                                                                                                                                                                                                                                                                                    <w:left w:val="none" w:sz="0" w:space="0" w:color="auto"/>
                                                                                                                                                                                                                                                                                                                                                    <w:bottom w:val="none" w:sz="0" w:space="0" w:color="auto"/>
                                                                                                                                                                                                                                                                                                                                                    <w:right w:val="none" w:sz="0" w:space="0" w:color="auto"/>
                                                                                                                                                                                                                                                                                                                                                  </w:divBdr>
                                                                                                                                                                                                                                                                                                                                                  <w:divsChild>
                                                                                                                                                                                                                                                                                                                                                    <w:div w:id="1747722790">
                                                                                                                                                                                                                                                                                                                                                      <w:marLeft w:val="0"/>
                                                                                                                                                                                                                                                                                                                                                      <w:marRight w:val="0"/>
                                                                                                                                                                                                                                                                                                                                                      <w:marTop w:val="0"/>
                                                                                                                                                                                                                                                                                                                                                      <w:marBottom w:val="0"/>
                                                                                                                                                                                                                                                                                                                                                      <w:divBdr>
                                                                                                                                                                                                                                                                                                                                                        <w:top w:val="none" w:sz="0" w:space="0" w:color="auto"/>
                                                                                                                                                                                                                                                                                                                                                        <w:left w:val="none" w:sz="0" w:space="0" w:color="auto"/>
                                                                                                                                                                                                                                                                                                                                                        <w:bottom w:val="none" w:sz="0" w:space="0" w:color="auto"/>
                                                                                                                                                                                                                                                                                                                                                        <w:right w:val="none" w:sz="0" w:space="0" w:color="auto"/>
                                                                                                                                                                                                                                                                                                                                                      </w:divBdr>
                                                                                                                                                                                                                                                                                                                                                      <w:divsChild>
                                                                                                                                                                                                                                                                                                                                                        <w:div w:id="1903560389">
                                                                                                                                                                                                                                                                                                                                                          <w:marLeft w:val="0"/>
                                                                                                                                                                                                                                                                                                                                                          <w:marRight w:val="0"/>
                                                                                                                                                                                                                                                                                                                                                          <w:marTop w:val="0"/>
                                                                                                                                                                                                                                                                                                                                                          <w:marBottom w:val="0"/>
                                                                                                                                                                                                                                                                                                                                                          <w:divBdr>
                                                                                                                                                                                                                                                                                                                                                            <w:top w:val="none" w:sz="0" w:space="0" w:color="auto"/>
                                                                                                                                                                                                                                                                                                                                                            <w:left w:val="none" w:sz="0" w:space="0" w:color="auto"/>
                                                                                                                                                                                                                                                                                                                                                            <w:bottom w:val="none" w:sz="0" w:space="0" w:color="auto"/>
                                                                                                                                                                                                                                                                                                                                                            <w:right w:val="none" w:sz="0" w:space="0" w:color="auto"/>
                                                                                                                                                                                                                                                                                                                                                          </w:divBdr>
                                                                                                                                                                                                                                                                                                                                                          <w:divsChild>
                                                                                                                                                                                                                                                                                                                                                            <w:div w:id="1446803916">
                                                                                                                                                                                                                                                                                                                                                              <w:marLeft w:val="0"/>
                                                                                                                                                                                                                                                                                                                                                              <w:marRight w:val="0"/>
                                                                                                                                                                                                                                                                                                                                                              <w:marTop w:val="0"/>
                                                                                                                                                                                                                                                                                                                                                              <w:marBottom w:val="0"/>
                                                                                                                                                                                                                                                                                                                                                              <w:divBdr>
                                                                                                                                                                                                                                                                                                                                                                <w:top w:val="none" w:sz="0" w:space="0" w:color="auto"/>
                                                                                                                                                                                                                                                                                                                                                                <w:left w:val="none" w:sz="0" w:space="0" w:color="auto"/>
                                                                                                                                                                                                                                                                                                                                                                <w:bottom w:val="none" w:sz="0" w:space="0" w:color="auto"/>
                                                                                                                                                                                                                                                                                                                                                                <w:right w:val="none" w:sz="0" w:space="0" w:color="auto"/>
                                                                                                                                                                                                                                                                                                                                                              </w:divBdr>
                                                                                                                                                                                                                                                                                                                                                              <w:divsChild>
                                                                                                                                                                                                                                                                                                                                                                <w:div w:id="1960456831">
                                                                                                                                                                                                                                                                                                                                                                  <w:marLeft w:val="0"/>
                                                                                                                                                                                                                                                                                                                                                                  <w:marRight w:val="0"/>
                                                                                                                                                                                                                                                                                                                                                                  <w:marTop w:val="0"/>
                                                                                                                                                                                                                                                                                                                                                                  <w:marBottom w:val="0"/>
                                                                                                                                                                                                                                                                                                                                                                  <w:divBdr>
                                                                                                                                                                                                                                                                                                                                                                    <w:top w:val="none" w:sz="0" w:space="0" w:color="auto"/>
                                                                                                                                                                                                                                                                                                                                                                    <w:left w:val="none" w:sz="0" w:space="0" w:color="auto"/>
                                                                                                                                                                                                                                                                                                                                                                    <w:bottom w:val="none" w:sz="0" w:space="0" w:color="auto"/>
                                                                                                                                                                                                                                                                                                                                                                    <w:right w:val="none" w:sz="0" w:space="0" w:color="auto"/>
                                                                                                                                                                                                                                                                                                                                                                  </w:divBdr>
                                                                                                                                                                                                                                                                                                                                                                  <w:divsChild>
                                                                                                                                                                                                                                                                                                                                                                    <w:div w:id="68430047">
                                                                                                                                                                                                                                                                                                                                                                      <w:marLeft w:val="0"/>
                                                                                                                                                                                                                                                                                                                                                                      <w:marRight w:val="0"/>
                                                                                                                                                                                                                                                                                                                                                                      <w:marTop w:val="0"/>
                                                                                                                                                                                                                                                                                                                                                                      <w:marBottom w:val="0"/>
                                                                                                                                                                                                                                                                                                                                                                      <w:divBdr>
                                                                                                                                                                                                                                                                                                                                                                        <w:top w:val="none" w:sz="0" w:space="0" w:color="auto"/>
                                                                                                                                                                                                                                                                                                                                                                        <w:left w:val="none" w:sz="0" w:space="0" w:color="auto"/>
                                                                                                                                                                                                                                                                                                                                                                        <w:bottom w:val="none" w:sz="0" w:space="0" w:color="auto"/>
                                                                                                                                                                                                                                                                                                                                                                        <w:right w:val="none" w:sz="0" w:space="0" w:color="auto"/>
                                                                                                                                                                                                                                                                                                                                                                      </w:divBdr>
                                                                                                                                                                                                                                                                                                                                                                      <w:divsChild>
                                                                                                                                                                                                                                                                                                                                                                        <w:div w:id="1264723529">
                                                                                                                                                                                                                                                                                                                                                                          <w:marLeft w:val="0"/>
                                                                                                                                                                                                                                                                                                                                                                          <w:marRight w:val="0"/>
                                                                                                                                                                                                                                                                                                                                                                          <w:marTop w:val="0"/>
                                                                                                                                                                                                                                                                                                                                                                          <w:marBottom w:val="0"/>
                                                                                                                                                                                                                                                                                                                                                                          <w:divBdr>
                                                                                                                                                                                                                                                                                                                                                                            <w:top w:val="none" w:sz="0" w:space="0" w:color="auto"/>
                                                                                                                                                                                                                                                                                                                                                                            <w:left w:val="none" w:sz="0" w:space="0" w:color="auto"/>
                                                                                                                                                                                                                                                                                                                                                                            <w:bottom w:val="none" w:sz="0" w:space="0" w:color="auto"/>
                                                                                                                                                                                                                                                                                                                                                                            <w:right w:val="none" w:sz="0" w:space="0" w:color="auto"/>
                                                                                                                                                                                                                                                                                                                                                                          </w:divBdr>
                                                                                                                                                                                                                                                                                                                                                                          <w:divsChild>
                                                                                                                                                                                                                                                                                                                                                                            <w:div w:id="1146051187">
                                                                                                                                                                                                                                                                                                                                                                              <w:marLeft w:val="0"/>
                                                                                                                                                                                                                                                                                                                                                                              <w:marRight w:val="0"/>
                                                                                                                                                                                                                                                                                                                                                                              <w:marTop w:val="0"/>
                                                                                                                                                                                                                                                                                                                                                                              <w:marBottom w:val="0"/>
                                                                                                                                                                                                                                                                                                                                                                              <w:divBdr>
                                                                                                                                                                                                                                                                                                                                                                                <w:top w:val="none" w:sz="0" w:space="0" w:color="auto"/>
                                                                                                                                                                                                                                                                                                                                                                                <w:left w:val="none" w:sz="0" w:space="0" w:color="auto"/>
                                                                                                                                                                                                                                                                                                                                                                                <w:bottom w:val="none" w:sz="0" w:space="0" w:color="auto"/>
                                                                                                                                                                                                                                                                                                                                                                                <w:right w:val="none" w:sz="0" w:space="0" w:color="auto"/>
                                                                                                                                                                                                                                                                                                                                                                              </w:divBdr>
                                                                                                                                                                                                                                                                                                                                                                              <w:divsChild>
                                                                                                                                                                                                                                                                                                                                                                                <w:div w:id="838886126">
                                                                                                                                                                                                                                                                                                                                                                                  <w:marLeft w:val="0"/>
                                                                                                                                                                                                                                                                                                                                                                                  <w:marRight w:val="0"/>
                                                                                                                                                                                                                                                                                                                                                                                  <w:marTop w:val="0"/>
                                                                                                                                                                                                                                                                                                                                                                                  <w:marBottom w:val="0"/>
                                                                                                                                                                                                                                                                                                                                                                                  <w:divBdr>
                                                                                                                                                                                                                                                                                                                                                                                    <w:top w:val="none" w:sz="0" w:space="0" w:color="auto"/>
                                                                                                                                                                                                                                                                                                                                                                                    <w:left w:val="none" w:sz="0" w:space="0" w:color="auto"/>
                                                                                                                                                                                                                                                                                                                                                                                    <w:bottom w:val="none" w:sz="0" w:space="0" w:color="auto"/>
                                                                                                                                                                                                                                                                                                                                                                                    <w:right w:val="none" w:sz="0" w:space="0" w:color="auto"/>
                                                                                                                                                                                                                                                                                                                                                                                  </w:divBdr>
                                                                                                                                                                                                                                                                                                                                                                                  <w:divsChild>
                                                                                                                                                                                                                                                                                                                                                                                    <w:div w:id="764157569">
                                                                                                                                                                                                                                                                                                                                                                                      <w:marLeft w:val="0"/>
                                                                                                                                                                                                                                                                                                                                                                                      <w:marRight w:val="0"/>
                                                                                                                                                                                                                                                                                                                                                                                      <w:marTop w:val="0"/>
                                                                                                                                                                                                                                                                                                                                                                                      <w:marBottom w:val="0"/>
                                                                                                                                                                                                                                                                                                                                                                                      <w:divBdr>
                                                                                                                                                                                                                                                                                                                                                                                        <w:top w:val="none" w:sz="0" w:space="0" w:color="auto"/>
                                                                                                                                                                                                                                                                                                                                                                                        <w:left w:val="none" w:sz="0" w:space="0" w:color="auto"/>
                                                                                                                                                                                                                                                                                                                                                                                        <w:bottom w:val="none" w:sz="0" w:space="0" w:color="auto"/>
                                                                                                                                                                                                                                                                                                                                                                                        <w:right w:val="none" w:sz="0" w:space="0" w:color="auto"/>
                                                                                                                                                                                                                                                                                                                                                                                      </w:divBdr>
                                                                                                                                                                                                                                                                                                                                                                                      <w:divsChild>
                                                                                                                                                                                                                                                                                                                                                                                        <w:div w:id="850485690">
                                                                                                                                                                                                                                                                                                                                                                                          <w:marLeft w:val="0"/>
                                                                                                                                                                                                                                                                                                                                                                                          <w:marRight w:val="0"/>
                                                                                                                                                                                                                                                                                                                                                                                          <w:marTop w:val="0"/>
                                                                                                                                                                                                                                                                                                                                                                                          <w:marBottom w:val="0"/>
                                                                                                                                                                                                                                                                                                                                                                                          <w:divBdr>
                                                                                                                                                                                                                                                                                                                                                                                            <w:top w:val="none" w:sz="0" w:space="0" w:color="auto"/>
                                                                                                                                                                                                                                                                                                                                                                                            <w:left w:val="none" w:sz="0" w:space="0" w:color="auto"/>
                                                                                                                                                                                                                                                                                                                                                                                            <w:bottom w:val="none" w:sz="0" w:space="0" w:color="auto"/>
                                                                                                                                                                                                                                                                                                                                                                                            <w:right w:val="none" w:sz="0" w:space="0" w:color="auto"/>
                                                                                                                                                                                                                                                                                                                                                                                          </w:divBdr>
                                                                                                                                                                                                                                                                                                                                                                                          <w:divsChild>
                                                                                                                                                                                                                                                                                                                                                                                            <w:div w:id="453791710">
                                                                                                                                                                                                                                                                                                                                                                                              <w:marLeft w:val="0"/>
                                                                                                                                                                                                                                                                                                                                                                                              <w:marRight w:val="0"/>
                                                                                                                                                                                                                                                                                                                                                                                              <w:marTop w:val="0"/>
                                                                                                                                                                                                                                                                                                                                                                                              <w:marBottom w:val="0"/>
                                                                                                                                                                                                                                                                                                                                                                                              <w:divBdr>
                                                                                                                                                                                                                                                                                                                                                                                                <w:top w:val="none" w:sz="0" w:space="0" w:color="auto"/>
                                                                                                                                                                                                                                                                                                                                                                                                <w:left w:val="none" w:sz="0" w:space="0" w:color="auto"/>
                                                                                                                                                                                                                                                                                                                                                                                                <w:bottom w:val="none" w:sz="0" w:space="0" w:color="auto"/>
                                                                                                                                                                                                                                                                                                                                                                                                <w:right w:val="none" w:sz="0" w:space="0" w:color="auto"/>
                                                                                                                                                                                                                                                                                                                                                                                              </w:divBdr>
                                                                                                                                                                                                                                                                                                                                                                                              <w:divsChild>
                                                                                                                                                                                                                                                                                                                                                                                                <w:div w:id="596250715">
                                                                                                                                                                                                                                                                                                                                                                                                  <w:marLeft w:val="0"/>
                                                                                                                                                                                                                                                                                                                                                                                                  <w:marRight w:val="0"/>
                                                                                                                                                                                                                                                                                                                                                                                                  <w:marTop w:val="0"/>
                                                                                                                                                                                                                                                                                                                                                                                                  <w:marBottom w:val="0"/>
                                                                                                                                                                                                                                                                                                                                                                                                  <w:divBdr>
                                                                                                                                                                                                                                                                                                                                                                                                    <w:top w:val="none" w:sz="0" w:space="0" w:color="auto"/>
                                                                                                                                                                                                                                                                                                                                                                                                    <w:left w:val="none" w:sz="0" w:space="0" w:color="auto"/>
                                                                                                                                                                                                                                                                                                                                                                                                    <w:bottom w:val="none" w:sz="0" w:space="0" w:color="auto"/>
                                                                                                                                                                                                                                                                                                                                                                                                    <w:right w:val="none" w:sz="0" w:space="0" w:color="auto"/>
                                                                                                                                                                                                                                                                                                                                                                                                  </w:divBdr>
                                                                                                                                                                                                                                                                                                                                                                                                  <w:divsChild>
                                                                                                                                                                                                                                                                                                                                                                                                    <w:div w:id="772435126">
                                                                                                                                                                                                                                                                                                                                                                                                      <w:marLeft w:val="0"/>
                                                                                                                                                                                                                                                                                                                                                                                                      <w:marRight w:val="0"/>
                                                                                                                                                                                                                                                                                                                                                                                                      <w:marTop w:val="0"/>
                                                                                                                                                                                                                                                                                                                                                                                                      <w:marBottom w:val="0"/>
                                                                                                                                                                                                                                                                                                                                                                                                      <w:divBdr>
                                                                                                                                                                                                                                                                                                                                                                                                        <w:top w:val="none" w:sz="0" w:space="0" w:color="auto"/>
                                                                                                                                                                                                                                                                                                                                                                                                        <w:left w:val="none" w:sz="0" w:space="0" w:color="auto"/>
                                                                                                                                                                                                                                                                                                                                                                                                        <w:bottom w:val="none" w:sz="0" w:space="0" w:color="auto"/>
                                                                                                                                                                                                                                                                                                                                                                                                        <w:right w:val="none" w:sz="0" w:space="0" w:color="auto"/>
                                                                                                                                                                                                                                                                                                                                                                                                      </w:divBdr>
                                                                                                                                                                                                                                                                                                                                                                                                      <w:divsChild>
                                                                                                                                                                                                                                                                                                                                                                                                        <w:div w:id="282157768">
                                                                                                                                                                                                                                                                                                                                                                                                          <w:marLeft w:val="0"/>
                                                                                                                                                                                                                                                                                                                                                                                                          <w:marRight w:val="0"/>
                                                                                                                                                                                                                                                                                                                                                                                                          <w:marTop w:val="0"/>
                                                                                                                                                                                                                                                                                                                                                                                                          <w:marBottom w:val="0"/>
                                                                                                                                                                                                                                                                                                                                                                                                          <w:divBdr>
                                                                                                                                                                                                                                                                                                                                                                                                            <w:top w:val="none" w:sz="0" w:space="0" w:color="auto"/>
                                                                                                                                                                                                                                                                                                                                                                                                            <w:left w:val="none" w:sz="0" w:space="0" w:color="auto"/>
                                                                                                                                                                                                                                                                                                                                                                                                            <w:bottom w:val="none" w:sz="0" w:space="0" w:color="auto"/>
                                                                                                                                                                                                                                                                                                                                                                                                            <w:right w:val="none" w:sz="0" w:space="0" w:color="auto"/>
                                                                                                                                                                                                                                                                                                                                                                                                          </w:divBdr>
                                                                                                                                                                                                                                                                                                                                                                                                          <w:divsChild>
                                                                                                                                                                                                                                                                                                                                                                                                            <w:div w:id="231084504">
                                                                                                                                                                                                                                                                                                                                                                                                              <w:marLeft w:val="0"/>
                                                                                                                                                                                                                                                                                                                                                                                                              <w:marRight w:val="0"/>
                                                                                                                                                                                                                                                                                                                                                                                                              <w:marTop w:val="0"/>
                                                                                                                                                                                                                                                                                                                                                                                                              <w:marBottom w:val="0"/>
                                                                                                                                                                                                                                                                                                                                                                                                              <w:divBdr>
                                                                                                                                                                                                                                                                                                                                                                                                                <w:top w:val="none" w:sz="0" w:space="0" w:color="auto"/>
                                                                                                                                                                                                                                                                                                                                                                                                                <w:left w:val="none" w:sz="0" w:space="0" w:color="auto"/>
                                                                                                                                                                                                                                                                                                                                                                                                                <w:bottom w:val="none" w:sz="0" w:space="0" w:color="auto"/>
                                                                                                                                                                                                                                                                                                                                                                                                                <w:right w:val="none" w:sz="0" w:space="0" w:color="auto"/>
                                                                                                                                                                                                                                                                                                                                                                                                              </w:divBdr>
                                                                                                                                                                                                                                                                                                                                                                                                              <w:divsChild>
                                                                                                                                                                                                                                                                                                                                                                                                                <w:div w:id="104812356">
                                                                                                                                                                                                                                                                                                                                                                                                                  <w:marLeft w:val="0"/>
                                                                                                                                                                                                                                                                                                                                                                                                                  <w:marRight w:val="0"/>
                                                                                                                                                                                                                                                                                                                                                                                                                  <w:marTop w:val="0"/>
                                                                                                                                                                                                                                                                                                                                                                                                                  <w:marBottom w:val="0"/>
                                                                                                                                                                                                                                                                                                                                                                                                                  <w:divBdr>
                                                                                                                                                                                                                                                                                                                                                                                                                    <w:top w:val="none" w:sz="0" w:space="0" w:color="auto"/>
                                                                                                                                                                                                                                                                                                                                                                                                                    <w:left w:val="none" w:sz="0" w:space="0" w:color="auto"/>
                                                                                                                                                                                                                                                                                                                                                                                                                    <w:bottom w:val="none" w:sz="0" w:space="0" w:color="auto"/>
                                                                                                                                                                                                                                                                                                                                                                                                                    <w:right w:val="none" w:sz="0" w:space="0" w:color="auto"/>
                                                                                                                                                                                                                                                                                                                                                                                                                  </w:divBdr>
                                                                                                                                                                                                                                                                                                                                                                                                                  <w:divsChild>
                                                                                                                                                                                                                                                                                                                                                                                                                    <w:div w:id="777797814">
                                                                                                                                                                                                                                                                                                                                                                                                                      <w:marLeft w:val="0"/>
                                                                                                                                                                                                                                                                                                                                                                                                                      <w:marRight w:val="0"/>
                                                                                                                                                                                                                                                                                                                                                                                                                      <w:marTop w:val="0"/>
                                                                                                                                                                                                                                                                                                                                                                                                                      <w:marBottom w:val="0"/>
                                                                                                                                                                                                                                                                                                                                                                                                                      <w:divBdr>
                                                                                                                                                                                                                                                                                                                                                                                                                        <w:top w:val="none" w:sz="0" w:space="0" w:color="auto"/>
                                                                                                                                                                                                                                                                                                                                                                                                                        <w:left w:val="none" w:sz="0" w:space="0" w:color="auto"/>
                                                                                                                                                                                                                                                                                                                                                                                                                        <w:bottom w:val="none" w:sz="0" w:space="0" w:color="auto"/>
                                                                                                                                                                                                                                                                                                                                                                                                                        <w:right w:val="none" w:sz="0" w:space="0" w:color="auto"/>
                                                                                                                                                                                                                                                                                                                                                                                                                      </w:divBdr>
                                                                                                                                                                                                                                                                                                                                                                                                                      <w:divsChild>
                                                                                                                                                                                                                                                                                                                                                                                                                        <w:div w:id="1815875280">
                                                                                                                                                                                                                                                                                                                                                                                                                          <w:marLeft w:val="0"/>
                                                                                                                                                                                                                                                                                                                                                                                                                          <w:marRight w:val="0"/>
                                                                                                                                                                                                                                                                                                                                                                                                                          <w:marTop w:val="0"/>
                                                                                                                                                                                                                                                                                                                                                                                                                          <w:marBottom w:val="0"/>
                                                                                                                                                                                                                                                                                                                                                                                                                          <w:divBdr>
                                                                                                                                                                                                                                                                                                                                                                                                                            <w:top w:val="none" w:sz="0" w:space="0" w:color="auto"/>
                                                                                                                                                                                                                                                                                                                                                                                                                            <w:left w:val="none" w:sz="0" w:space="0" w:color="auto"/>
                                                                                                                                                                                                                                                                                                                                                                                                                            <w:bottom w:val="none" w:sz="0" w:space="0" w:color="auto"/>
                                                                                                                                                                                                                                                                                                                                                                                                                            <w:right w:val="none" w:sz="0" w:space="0" w:color="auto"/>
                                                                                                                                                                                                                                                                                                                                                                                                                          </w:divBdr>
                                                                                                                                                                                                                                                                                                                                                                                                                          <w:divsChild>
                                                                                                                                                                                                                                                                                                                                                                                                                            <w:div w:id="699555376">
                                                                                                                                                                                                                                                                                                                                                                                                                              <w:marLeft w:val="0"/>
                                                                                                                                                                                                                                                                                                                                                                                                                              <w:marRight w:val="0"/>
                                                                                                                                                                                                                                                                                                                                                                                                                              <w:marTop w:val="0"/>
                                                                                                                                                                                                                                                                                                                                                                                                                              <w:marBottom w:val="0"/>
                                                                                                                                                                                                                                                                                                                                                                                                                              <w:divBdr>
                                                                                                                                                                                                                                                                                                                                                                                                                                <w:top w:val="none" w:sz="0" w:space="0" w:color="auto"/>
                                                                                                                                                                                                                                                                                                                                                                                                                                <w:left w:val="none" w:sz="0" w:space="0" w:color="auto"/>
                                                                                                                                                                                                                                                                                                                                                                                                                                <w:bottom w:val="none" w:sz="0" w:space="0" w:color="auto"/>
                                                                                                                                                                                                                                                                                                                                                                                                                                <w:right w:val="none" w:sz="0" w:space="0" w:color="auto"/>
                                                                                                                                                                                                                                                                                                                                                                                                                              </w:divBdr>
                                                                                                                                                                                                                                                                                                                                                                                                                              <w:divsChild>
                                                                                                                                                                                                                                                                                                                                                                                                                                <w:div w:id="1049690375">
                                                                                                                                                                                                                                                                                                                                                                                                                                  <w:marLeft w:val="0"/>
                                                                                                                                                                                                                                                                                                                                                                                                                                  <w:marRight w:val="0"/>
                                                                                                                                                                                                                                                                                                                                                                                                                                  <w:marTop w:val="0"/>
                                                                                                                                                                                                                                                                                                                                                                                                                                  <w:marBottom w:val="0"/>
                                                                                                                                                                                                                                                                                                                                                                                                                                  <w:divBdr>
                                                                                                                                                                                                                                                                                                                                                                                                                                    <w:top w:val="none" w:sz="0" w:space="0" w:color="auto"/>
                                                                                                                                                                                                                                                                                                                                                                                                                                    <w:left w:val="none" w:sz="0" w:space="0" w:color="auto"/>
                                                                                                                                                                                                                                                                                                                                                                                                                                    <w:bottom w:val="none" w:sz="0" w:space="0" w:color="auto"/>
                                                                                                                                                                                                                                                                                                                                                                                                                                    <w:right w:val="none" w:sz="0" w:space="0" w:color="auto"/>
                                                                                                                                                                                                                                                                                                                                                                                                                                  </w:divBdr>
                                                                                                                                                                                                                                                                                                                                                                                                                                  <w:divsChild>
                                                                                                                                                                                                                                                                                                                                                                                                                                    <w:div w:id="539517973">
                                                                                                                                                                                                                                                                                                                                                                                                                                      <w:marLeft w:val="0"/>
                                                                                                                                                                                                                                                                                                                                                                                                                                      <w:marRight w:val="0"/>
                                                                                                                                                                                                                                                                                                                                                                                                                                      <w:marTop w:val="0"/>
                                                                                                                                                                                                                                                                                                                                                                                                                                      <w:marBottom w:val="0"/>
                                                                                                                                                                                                                                                                                                                                                                                                                                      <w:divBdr>
                                                                                                                                                                                                                                                                                                                                                                                                                                        <w:top w:val="none" w:sz="0" w:space="0" w:color="auto"/>
                                                                                                                                                                                                                                                                                                                                                                                                                                        <w:left w:val="none" w:sz="0" w:space="0" w:color="auto"/>
                                                                                                                                                                                                                                                                                                                                                                                                                                        <w:bottom w:val="none" w:sz="0" w:space="0" w:color="auto"/>
                                                                                                                                                                                                                                                                                                                                                                                                                                        <w:right w:val="none" w:sz="0" w:space="0" w:color="auto"/>
                                                                                                                                                                                                                                                                                                                                                                                                                                      </w:divBdr>
                                                                                                                                                                                                                                                                                                                                                                                                                                      <w:divsChild>
                                                                                                                                                                                                                                                                                                                                                                                                                                        <w:div w:id="1179348028">
                                                                                                                                                                                                                                                                                                                                                                                                                                          <w:marLeft w:val="0"/>
                                                                                                                                                                                                                                                                                                                                                                                                                                          <w:marRight w:val="0"/>
                                                                                                                                                                                                                                                                                                                                                                                                                                          <w:marTop w:val="0"/>
                                                                                                                                                                                                                                                                                                                                                                                                                                          <w:marBottom w:val="0"/>
                                                                                                                                                                                                                                                                                                                                                                                                                                          <w:divBdr>
                                                                                                                                                                                                                                                                                                                                                                                                                                            <w:top w:val="none" w:sz="0" w:space="0" w:color="auto"/>
                                                                                                                                                                                                                                                                                                                                                                                                                                            <w:left w:val="none" w:sz="0" w:space="0" w:color="auto"/>
                                                                                                                                                                                                                                                                                                                                                                                                                                            <w:bottom w:val="none" w:sz="0" w:space="0" w:color="auto"/>
                                                                                                                                                                                                                                                                                                                                                                                                                                            <w:right w:val="none" w:sz="0" w:space="0" w:color="auto"/>
                                                                                                                                                                                                                                                                                                                                                                                                                                          </w:divBdr>
                                                                                                                                                                                                                                                                                                                                                                                                                                          <w:divsChild>
                                                                                                                                                                                                                                                                                                                                                                                                                                            <w:div w:id="2048868901">
                                                                                                                                                                                                                                                                                                                                                                                                                                              <w:marLeft w:val="0"/>
                                                                                                                                                                                                                                                                                                                                                                                                                                              <w:marRight w:val="0"/>
                                                                                                                                                                                                                                                                                                                                                                                                                                              <w:marTop w:val="0"/>
                                                                                                                                                                                                                                                                                                                                                                                                                                              <w:marBottom w:val="0"/>
                                                                                                                                                                                                                                                                                                                                                                                                                                              <w:divBdr>
                                                                                                                                                                                                                                                                                                                                                                                                                                                <w:top w:val="none" w:sz="0" w:space="0" w:color="auto"/>
                                                                                                                                                                                                                                                                                                                                                                                                                                                <w:left w:val="none" w:sz="0" w:space="0" w:color="auto"/>
                                                                                                                                                                                                                                                                                                                                                                                                                                                <w:bottom w:val="none" w:sz="0" w:space="0" w:color="auto"/>
                                                                                                                                                                                                                                                                                                                                                                                                                                                <w:right w:val="none" w:sz="0" w:space="0" w:color="auto"/>
                                                                                                                                                                                                                                                                                                                                                                                                                                              </w:divBdr>
                                                                                                                                                                                                                                                                                                                                                                                                                                              <w:divsChild>
                                                                                                                                                                                                                                                                                                                                                                                                                                                <w:div w:id="255673098">
                                                                                                                                                                                                                                                                                                                                                                                                                                                  <w:marLeft w:val="0"/>
                                                                                                                                                                                                                                                                                                                                                                                                                                                  <w:marRight w:val="0"/>
                                                                                                                                                                                                                                                                                                                                                                                                                                                  <w:marTop w:val="0"/>
                                                                                                                                                                                                                                                                                                                                                                                                                                                  <w:marBottom w:val="0"/>
                                                                                                                                                                                                                                                                                                                                                                                                                                                  <w:divBdr>
                                                                                                                                                                                                                                                                                                                                                                                                                                                    <w:top w:val="none" w:sz="0" w:space="0" w:color="auto"/>
                                                                                                                                                                                                                                                                                                                                                                                                                                                    <w:left w:val="none" w:sz="0" w:space="0" w:color="auto"/>
                                                                                                                                                                                                                                                                                                                                                                                                                                                    <w:bottom w:val="none" w:sz="0" w:space="0" w:color="auto"/>
                                                                                                                                                                                                                                                                                                                                                                                                                                                    <w:right w:val="none" w:sz="0" w:space="0" w:color="auto"/>
                                                                                                                                                                                                                                                                                                                                                                                                                                                  </w:divBdr>
                                                                                                                                                                                                                                                                                                                                                                                                                                                  <w:divsChild>
                                                                                                                                                                                                                                                                                                                                                                                                                                                    <w:div w:id="893271885">
                                                                                                                                                                                                                                                                                                                                                                                                                                                      <w:marLeft w:val="0"/>
                                                                                                                                                                                                                                                                                                                                                                                                                                                      <w:marRight w:val="0"/>
                                                                                                                                                                                                                                                                                                                                                                                                                                                      <w:marTop w:val="0"/>
                                                                                                                                                                                                                                                                                                                                                                                                                                                      <w:marBottom w:val="0"/>
                                                                                                                                                                                                                                                                                                                                                                                                                                                      <w:divBdr>
                                                                                                                                                                                                                                                                                                                                                                                                                                                        <w:top w:val="none" w:sz="0" w:space="0" w:color="auto"/>
                                                                                                                                                                                                                                                                                                                                                                                                                                                        <w:left w:val="none" w:sz="0" w:space="0" w:color="auto"/>
                                                                                                                                                                                                                                                                                                                                                                                                                                                        <w:bottom w:val="none" w:sz="0" w:space="0" w:color="auto"/>
                                                                                                                                                                                                                                                                                                                                                                                                                                                        <w:right w:val="none" w:sz="0" w:space="0" w:color="auto"/>
                                                                                                                                                                                                                                                                                                                                                                                                                                                      </w:divBdr>
                                                                                                                                                                                                                                                                                                                                                                                                                                                      <w:divsChild>
                                                                                                                                                                                                                                                                                                                                                                                                                                                        <w:div w:id="1115828216">
                                                                                                                                                                                                                                                                                                                                                                                                                                                          <w:marLeft w:val="0"/>
                                                                                                                                                                                                                                                                                                                                                                                                                                                          <w:marRight w:val="0"/>
                                                                                                                                                                                                                                                                                                                                                                                                                                                          <w:marTop w:val="0"/>
                                                                                                                                                                                                                                                                                                                                                                                                                                                          <w:marBottom w:val="0"/>
                                                                                                                                                                                                                                                                                                                                                                                                                                                          <w:divBdr>
                                                                                                                                                                                                                                                                                                                                                                                                                                                            <w:top w:val="none" w:sz="0" w:space="0" w:color="auto"/>
                                                                                                                                                                                                                                                                                                                                                                                                                                                            <w:left w:val="none" w:sz="0" w:space="0" w:color="auto"/>
                                                                                                                                                                                                                                                                                                                                                                                                                                                            <w:bottom w:val="none" w:sz="0" w:space="0" w:color="auto"/>
                                                                                                                                                                                                                                                                                                                                                                                                                                                            <w:right w:val="none" w:sz="0" w:space="0" w:color="auto"/>
                                                                                                                                                                                                                                                                                                                                                                                                                                                          </w:divBdr>
                                                                                                                                                                                                                                                                                                                                                                                                                                                          <w:divsChild>
                                                                                                                                                                                                                                                                                                                                                                                                                                                            <w:div w:id="806244251">
                                                                                                                                                                                                                                                                                                                                                                                                                                                              <w:marLeft w:val="0"/>
                                                                                                                                                                                                                                                                                                                                                                                                                                                              <w:marRight w:val="0"/>
                                                                                                                                                                                                                                                                                                                                                                                                                                                              <w:marTop w:val="0"/>
                                                                                                                                                                                                                                                                                                                                                                                                                                                              <w:marBottom w:val="0"/>
                                                                                                                                                                                                                                                                                                                                                                                                                                                              <w:divBdr>
                                                                                                                                                                                                                                                                                                                                                                                                                                                                <w:top w:val="none" w:sz="0" w:space="0" w:color="auto"/>
                                                                                                                                                                                                                                                                                                                                                                                                                                                                <w:left w:val="none" w:sz="0" w:space="0" w:color="auto"/>
                                                                                                                                                                                                                                                                                                                                                                                                                                                                <w:bottom w:val="none" w:sz="0" w:space="0" w:color="auto"/>
                                                                                                                                                                                                                                                                                                                                                                                                                                                                <w:right w:val="none" w:sz="0" w:space="0" w:color="auto"/>
                                                                                                                                                                                                                                                                                                                                                                                                                                                              </w:divBdr>
                                                                                                                                                                                                                                                                                                                                                                                                                                                              <w:divsChild>
                                                                                                                                                                                                                                                                                                                                                                                                                                                                <w:div w:id="1851681950">
                                                                                                                                                                                                                                                                                                                                                                                                                                                                  <w:marLeft w:val="0"/>
                                                                                                                                                                                                                                                                                                                                                                                                                                                                  <w:marRight w:val="0"/>
                                                                                                                                                                                                                                                                                                                                                                                                                                                                  <w:marTop w:val="0"/>
                                                                                                                                                                                                                                                                                                                                                                                                                                                                  <w:marBottom w:val="0"/>
                                                                                                                                                                                                                                                                                                                                                                                                                                                                  <w:divBdr>
                                                                                                                                                                                                                                                                                                                                                                                                                                                                    <w:top w:val="none" w:sz="0" w:space="0" w:color="auto"/>
                                                                                                                                                                                                                                                                                                                                                                                                                                                                    <w:left w:val="none" w:sz="0" w:space="0" w:color="auto"/>
                                                                                                                                                                                                                                                                                                                                                                                                                                                                    <w:bottom w:val="none" w:sz="0" w:space="0" w:color="auto"/>
                                                                                                                                                                                                                                                                                                                                                                                                                                                                    <w:right w:val="none" w:sz="0" w:space="0" w:color="auto"/>
                                                                                                                                                                                                                                                                                                                                                                                                                                                                  </w:divBdr>
                                                                                                                                                                                                                                                                                                                                                                                                                                                                  <w:divsChild>
                                                                                                                                                                                                                                                                                                                                                                                                                                                                    <w:div w:id="516895431">
                                                                                                                                                                                                                                                                                                                                                                                                                                                                      <w:marLeft w:val="0"/>
                                                                                                                                                                                                                                                                                                                                                                                                                                                                      <w:marRight w:val="0"/>
                                                                                                                                                                                                                                                                                                                                                                                                                                                                      <w:marTop w:val="0"/>
                                                                                                                                                                                                                                                                                                                                                                                                                                                                      <w:marBottom w:val="0"/>
                                                                                                                                                                                                                                                                                                                                                                                                                                                                      <w:divBdr>
                                                                                                                                                                                                                                                                                                                                                                                                                                                                        <w:top w:val="none" w:sz="0" w:space="0" w:color="auto"/>
                                                                                                                                                                                                                                                                                                                                                                                                                                                                        <w:left w:val="none" w:sz="0" w:space="0" w:color="auto"/>
                                                                                                                                                                                                                                                                                                                                                                                                                                                                        <w:bottom w:val="none" w:sz="0" w:space="0" w:color="auto"/>
                                                                                                                                                                                                                                                                                                                                                                                                                                                                        <w:right w:val="none" w:sz="0" w:space="0" w:color="auto"/>
                                                                                                                                                                                                                                                                                                                                                                                                                                                                      </w:divBdr>
                                                                                                                                                                                                                                                                                                                                                                                                                                                                      <w:divsChild>
                                                                                                                                                                                                                                                                                                                                                                                                                                                                        <w:div w:id="99032692">
                                                                                                                                                                                                                                                                                                                                                                                                                                                                          <w:marLeft w:val="0"/>
                                                                                                                                                                                                                                                                                                                                                                                                                                                                          <w:marRight w:val="0"/>
                                                                                                                                                                                                                                                                                                                                                                                                                                                                          <w:marTop w:val="0"/>
                                                                                                                                                                                                                                                                                                                                                                                                                                                                          <w:marBottom w:val="0"/>
                                                                                                                                                                                                                                                                                                                                                                                                                                                                          <w:divBdr>
                                                                                                                                                                                                                                                                                                                                                                                                                                                                            <w:top w:val="none" w:sz="0" w:space="0" w:color="auto"/>
                                                                                                                                                                                                                                                                                                                                                                                                                                                                            <w:left w:val="none" w:sz="0" w:space="0" w:color="auto"/>
                                                                                                                                                                                                                                                                                                                                                                                                                                                                            <w:bottom w:val="none" w:sz="0" w:space="0" w:color="auto"/>
                                                                                                                                                                                                                                                                                                                                                                                                                                                                            <w:right w:val="none" w:sz="0" w:space="0" w:color="auto"/>
                                                                                                                                                                                                                                                                                                                                                                                                                                                                          </w:divBdr>
                                                                                                                                                                                                                                                                                                                                                                                                                                                                          <w:divsChild>
                                                                                                                                                                                                                                                                                                                                                                                                                                                                            <w:div w:id="705370013">
                                                                                                                                                                                                                                                                                                                                                                                                                                                                              <w:marLeft w:val="0"/>
                                                                                                                                                                                                                                                                                                                                                                                                                                                                              <w:marRight w:val="0"/>
                                                                                                                                                                                                                                                                                                                                                                                                                                                                              <w:marTop w:val="0"/>
                                                                                                                                                                                                                                                                                                                                                                                                                                                                              <w:marBottom w:val="0"/>
                                                                                                                                                                                                                                                                                                                                                                                                                                                                              <w:divBdr>
                                                                                                                                                                                                                                                                                                                                                                                                                                                                                <w:top w:val="none" w:sz="0" w:space="0" w:color="auto"/>
                                                                                                                                                                                                                                                                                                                                                                                                                                                                                <w:left w:val="none" w:sz="0" w:space="0" w:color="auto"/>
                                                                                                                                                                                                                                                                                                                                                                                                                                                                                <w:bottom w:val="none" w:sz="0" w:space="0" w:color="auto"/>
                                                                                                                                                                                                                                                                                                                                                                                                                                                                                <w:right w:val="none" w:sz="0" w:space="0" w:color="auto"/>
                                                                                                                                                                                                                                                                                                                                                                                                                                                                              </w:divBdr>
                                                                                                                                                                                                                                                                                                                                                                                                                                                                              <w:divsChild>
                                                                                                                                                                                                                                                                                                                                                                                                                                                                                <w:div w:id="706219805">
                                                                                                                                                                                                                                                                                                                                                                                                                                                                                  <w:marLeft w:val="0"/>
                                                                                                                                                                                                                                                                                                                                                                                                                                                                                  <w:marRight w:val="0"/>
                                                                                                                                                                                                                                                                                                                                                                                                                                                                                  <w:marTop w:val="0"/>
                                                                                                                                                                                                                                                                                                                                                                                                                                                                                  <w:marBottom w:val="0"/>
                                                                                                                                                                                                                                                                                                                                                                                                                                                                                  <w:divBdr>
                                                                                                                                                                                                                                                                                                                                                                                                                                                                                    <w:top w:val="none" w:sz="0" w:space="0" w:color="auto"/>
                                                                                                                                                                                                                                                                                                                                                                                                                                                                                    <w:left w:val="none" w:sz="0" w:space="0" w:color="auto"/>
                                                                                                                                                                                                                                                                                                                                                                                                                                                                                    <w:bottom w:val="none" w:sz="0" w:space="0" w:color="auto"/>
                                                                                                                                                                                                                                                                                                                                                                                                                                                                                    <w:right w:val="none" w:sz="0" w:space="0" w:color="auto"/>
                                                                                                                                                                                                                                                                                                                                                                                                                                                                                  </w:divBdr>
                                                                                                                                                                                                                                                                                                                                                                                                                                                                                  <w:divsChild>
                                                                                                                                                                                                                                                                                                                                                                                                                                                                                    <w:div w:id="501285796">
                                                                                                                                                                                                                                                                                                                                                                                                                                                                                      <w:marLeft w:val="0"/>
                                                                                                                                                                                                                                                                                                                                                                                                                                                                                      <w:marRight w:val="0"/>
                                                                                                                                                                                                                                                                                                                                                                                                                                                                                      <w:marTop w:val="0"/>
                                                                                                                                                                                                                                                                                                                                                                                                                                                                                      <w:marBottom w:val="0"/>
                                                                                                                                                                                                                                                                                                                                                                                                                                                                                      <w:divBdr>
                                                                                                                                                                                                                                                                                                                                                                                                                                                                                        <w:top w:val="none" w:sz="0" w:space="0" w:color="auto"/>
                                                                                                                                                                                                                                                                                                                                                                                                                                                                                        <w:left w:val="none" w:sz="0" w:space="0" w:color="auto"/>
                                                                                                                                                                                                                                                                                                                                                                                                                                                                                        <w:bottom w:val="none" w:sz="0" w:space="0" w:color="auto"/>
                                                                                                                                                                                                                                                                                                                                                                                                                                                                                        <w:right w:val="none" w:sz="0" w:space="0" w:color="auto"/>
                                                                                                                                                                                                                                                                                                                                                                                                                                                                                      </w:divBdr>
                                                                                                                                                                                                                                                                                                                                                                                                                                                                                      <w:divsChild>
                                                                                                                                                                                                                                                                                                                                                                                                                                                                                        <w:div w:id="1929078477">
                                                                                                                                                                                                                                                                                                                                                                                                                                                                                          <w:marLeft w:val="0"/>
                                                                                                                                                                                                                                                                                                                                                                                                                                                                                          <w:marRight w:val="0"/>
                                                                                                                                                                                                                                                                                                                                                                                                                                                                                          <w:marTop w:val="0"/>
                                                                                                                                                                                                                                                                                                                                                                                                                                                                                          <w:marBottom w:val="0"/>
                                                                                                                                                                                                                                                                                                                                                                                                                                                                                          <w:divBdr>
                                                                                                                                                                                                                                                                                                                                                                                                                                                                                            <w:top w:val="none" w:sz="0" w:space="0" w:color="auto"/>
                                                                                                                                                                                                                                                                                                                                                                                                                                                                                            <w:left w:val="none" w:sz="0" w:space="0" w:color="auto"/>
                                                                                                                                                                                                                                                                                                                                                                                                                                                                                            <w:bottom w:val="none" w:sz="0" w:space="0" w:color="auto"/>
                                                                                                                                                                                                                                                                                                                                                                                                                                                                                            <w:right w:val="none" w:sz="0" w:space="0" w:color="auto"/>
                                                                                                                                                                                                                                                                                                                                                                                                                                                                                          </w:divBdr>
                                                                                                                                                                                                                                                                                                                                                                                                                                                                                          <w:divsChild>
                                                                                                                                                                                                                                                                                                                                                                                                                                                                                            <w:div w:id="1183327090">
                                                                                                                                                                                                                                                                                                                                                                                                                                                                                              <w:marLeft w:val="0"/>
                                                                                                                                                                                                                                                                                                                                                                                                                                                                                              <w:marRight w:val="0"/>
                                                                                                                                                                                                                                                                                                                                                                                                                                                                                              <w:marTop w:val="0"/>
                                                                                                                                                                                                                                                                                                                                                                                                                                                                                              <w:marBottom w:val="0"/>
                                                                                                                                                                                                                                                                                                                                                                                                                                                                                              <w:divBdr>
                                                                                                                                                                                                                                                                                                                                                                                                                                                                                                <w:top w:val="none" w:sz="0" w:space="0" w:color="auto"/>
                                                                                                                                                                                                                                                                                                                                                                                                                                                                                                <w:left w:val="none" w:sz="0" w:space="0" w:color="auto"/>
                                                                                                                                                                                                                                                                                                                                                                                                                                                                                                <w:bottom w:val="none" w:sz="0" w:space="0" w:color="auto"/>
                                                                                                                                                                                                                                                                                                                                                                                                                                                                                                <w:right w:val="none" w:sz="0" w:space="0" w:color="auto"/>
                                                                                                                                                                                                                                                                                                                                                                                                                                                                                              </w:divBdr>
                                                                                                                                                                                                                                                                                                                                                                                                                                                                                              <w:divsChild>
                                                                                                                                                                                                                                                                                                                                                                                                                                                                                                <w:div w:id="1369649553">
                                                                                                                                                                                                                                                                                                                                                                                                                                                                                                  <w:marLeft w:val="0"/>
                                                                                                                                                                                                                                                                                                                                                                                                                                                                                                  <w:marRight w:val="0"/>
                                                                                                                                                                                                                                                                                                                                                                                                                                                                                                  <w:marTop w:val="0"/>
                                                                                                                                                                                                                                                                                                                                                                                                                                                                                                  <w:marBottom w:val="0"/>
                                                                                                                                                                                                                                                                                                                                                                                                                                                                                                  <w:divBdr>
                                                                                                                                                                                                                                                                                                                                                                                                                                                                                                    <w:top w:val="none" w:sz="0" w:space="0" w:color="auto"/>
                                                                                                                                                                                                                                                                                                                                                                                                                                                                                                    <w:left w:val="none" w:sz="0" w:space="0" w:color="auto"/>
                                                                                                                                                                                                                                                                                                                                                                                                                                                                                                    <w:bottom w:val="none" w:sz="0" w:space="0" w:color="auto"/>
                                                                                                                                                                                                                                                                                                                                                                                                                                                                                                    <w:right w:val="none" w:sz="0" w:space="0" w:color="auto"/>
                                                                                                                                                                                                                                                                                                                                                                                                                                                                                                  </w:divBdr>
                                                                                                                                                                                                                                                                                                                                                                                                                                                                                                  <w:divsChild>
                                                                                                                                                                                                                                                                                                                                                                                                                                                                                                    <w:div w:id="867255272">
                                                                                                                                                                                                                                                                                                                                                                                                                                                                                                      <w:marLeft w:val="0"/>
                                                                                                                                                                                                                                                                                                                                                                                                                                                                                                      <w:marRight w:val="0"/>
                                                                                                                                                                                                                                                                                                                                                                                                                                                                                                      <w:marTop w:val="0"/>
                                                                                                                                                                                                                                                                                                                                                                                                                                                                                                      <w:marBottom w:val="0"/>
                                                                                                                                                                                                                                                                                                                                                                                                                                                                                                      <w:divBdr>
                                                                                                                                                                                                                                                                                                                                                                                                                                                                                                        <w:top w:val="none" w:sz="0" w:space="0" w:color="auto"/>
                                                                                                                                                                                                                                                                                                                                                                                                                                                                                                        <w:left w:val="none" w:sz="0" w:space="0" w:color="auto"/>
                                                                                                                                                                                                                                                                                                                                                                                                                                                                                                        <w:bottom w:val="none" w:sz="0" w:space="0" w:color="auto"/>
                                                                                                                                                                                                                                                                                                                                                                                                                                                                                                        <w:right w:val="none" w:sz="0" w:space="0" w:color="auto"/>
                                                                                                                                                                                                                                                                                                                                                                                                                                                                                                      </w:divBdr>
                                                                                                                                                                                                                                                                                                                                                                                                                                                                                                      <w:divsChild>
                                                                                                                                                                                                                                                                                                                                                                                                                                                                                                        <w:div w:id="990523711">
                                                                                                                                                                                                                                                                                                                                                                                                                                                                                                          <w:marLeft w:val="0"/>
                                                                                                                                                                                                                                                                                                                                                                                                                                                                                                          <w:marRight w:val="0"/>
                                                                                                                                                                                                                                                                                                                                                                                                                                                                                                          <w:marTop w:val="0"/>
                                                                                                                                                                                                                                                                                                                                                                                                                                                                                                          <w:marBottom w:val="0"/>
                                                                                                                                                                                                                                                                                                                                                                                                                                                                                                          <w:divBdr>
                                                                                                                                                                                                                                                                                                                                                                                                                                                                                                            <w:top w:val="none" w:sz="0" w:space="0" w:color="auto"/>
                                                                                                                                                                                                                                                                                                                                                                                                                                                                                                            <w:left w:val="none" w:sz="0" w:space="0" w:color="auto"/>
                                                                                                                                                                                                                                                                                                                                                                                                                                                                                                            <w:bottom w:val="none" w:sz="0" w:space="0" w:color="auto"/>
                                                                                                                                                                                                                                                                                                                                                                                                                                                                                                            <w:right w:val="none" w:sz="0" w:space="0" w:color="auto"/>
                                                                                                                                                                                                                                                                                                                                                                                                                                                                                                          </w:divBdr>
                                                                                                                                                                                                                                                                                                                                                                                                                                                                                                          <w:divsChild>
                                                                                                                                                                                                                                                                                                                                                                                                                                                                                                            <w:div w:id="562984711">
                                                                                                                                                                                                                                                                                                                                                                                                                                                                                                              <w:marLeft w:val="0"/>
                                                                                                                                                                                                                                                                                                                                                                                                                                                                                                              <w:marRight w:val="0"/>
                                                                                                                                                                                                                                                                                                                                                                                                                                                                                                              <w:marTop w:val="0"/>
                                                                                                                                                                                                                                                                                                                                                                                                                                                                                                              <w:marBottom w:val="0"/>
                                                                                                                                                                                                                                                                                                                                                                                                                                                                                                              <w:divBdr>
                                                                                                                                                                                                                                                                                                                                                                                                                                                                                                                <w:top w:val="none" w:sz="0" w:space="0" w:color="auto"/>
                                                                                                                                                                                                                                                                                                                                                                                                                                                                                                                <w:left w:val="none" w:sz="0" w:space="0" w:color="auto"/>
                                                                                                                                                                                                                                                                                                                                                                                                                                                                                                                <w:bottom w:val="none" w:sz="0" w:space="0" w:color="auto"/>
                                                                                                                                                                                                                                                                                                                                                                                                                                                                                                                <w:right w:val="none" w:sz="0" w:space="0" w:color="auto"/>
                                                                                                                                                                                                                                                                                                                                                                                                                                                                                                              </w:divBdr>
                                                                                                                                                                                                                                                                                                                                                                                                                                                                                                              <w:divsChild>
                                                                                                                                                                                                                                                                                                                                                                                                                                                                                                                <w:div w:id="495852070">
                                                                                                                                                                                                                                                                                                                                                                                                                                                                                                                  <w:marLeft w:val="0"/>
                                                                                                                                                                                                                                                                                                                                                                                                                                                                                                                  <w:marRight w:val="0"/>
                                                                                                                                                                                                                                                                                                                                                                                                                                                                                                                  <w:marTop w:val="0"/>
                                                                                                                                                                                                                                                                                                                                                                                                                                                                                                                  <w:marBottom w:val="0"/>
                                                                                                                                                                                                                                                                                                                                                                                                                                                                                                                  <w:divBdr>
                                                                                                                                                                                                                                                                                                                                                                                                                                                                                                                    <w:top w:val="none" w:sz="0" w:space="0" w:color="auto"/>
                                                                                                                                                                                                                                                                                                                                                                                                                                                                                                                    <w:left w:val="none" w:sz="0" w:space="0" w:color="auto"/>
                                                                                                                                                                                                                                                                                                                                                                                                                                                                                                                    <w:bottom w:val="none" w:sz="0" w:space="0" w:color="auto"/>
                                                                                                                                                                                                                                                                                                                                                                                                                                                                                                                    <w:right w:val="none" w:sz="0" w:space="0" w:color="auto"/>
                                                                                                                                                                                                                                                                                                                                                                                                                                                                                                                  </w:divBdr>
                                                                                                                                                                                                                                                                                                                                                                                                                                                                                                                  <w:divsChild>
                                                                                                                                                                                                                                                                                                                                                                                                                                                                                                                    <w:div w:id="1600677396">
                                                                                                                                                                                                                                                                                                                                                                                                                                                                                                                      <w:marLeft w:val="0"/>
                                                                                                                                                                                                                                                                                                                                                                                                                                                                                                                      <w:marRight w:val="0"/>
                                                                                                                                                                                                                                                                                                                                                                                                                                                                                                                      <w:marTop w:val="0"/>
                                                                                                                                                                                                                                                                                                                                                                                                                                                                                                                      <w:marBottom w:val="0"/>
                                                                                                                                                                                                                                                                                                                                                                                                                                                                                                                      <w:divBdr>
                                                                                                                                                                                                                                                                                                                                                                                                                                                                                                                        <w:top w:val="none" w:sz="0" w:space="0" w:color="auto"/>
                                                                                                                                                                                                                                                                                                                                                                                                                                                                                                                        <w:left w:val="none" w:sz="0" w:space="0" w:color="auto"/>
                                                                                                                                                                                                                                                                                                                                                                                                                                                                                                                        <w:bottom w:val="none" w:sz="0" w:space="0" w:color="auto"/>
                                                                                                                                                                                                                                                                                                                                                                                                                                                                                                                        <w:right w:val="none" w:sz="0" w:space="0" w:color="auto"/>
                                                                                                                                                                                                                                                                                                                                                                                                                                                                                                                      </w:divBdr>
                                                                                                                                                                                                                                                                                                                                                                                                                                                                                                                      <w:divsChild>
                                                                                                                                                                                                                                                                                                                                                                                                                                                                                                                        <w:div w:id="34237517">
                                                                                                                                                                                                                                                                                                                                                                                                                                                                                                                          <w:marLeft w:val="0"/>
                                                                                                                                                                                                                                                                                                                                                                                                                                                                                                                          <w:marRight w:val="0"/>
                                                                                                                                                                                                                                                                                                                                                                                                                                                                                                                          <w:marTop w:val="0"/>
                                                                                                                                                                                                                                                                                                                                                                                                                                                                                                                          <w:marBottom w:val="0"/>
                                                                                                                                                                                                                                                                                                                                                                                                                                                                                                                          <w:divBdr>
                                                                                                                                                                                                                                                                                                                                                                                                                                                                                                                            <w:top w:val="none" w:sz="0" w:space="0" w:color="auto"/>
                                                                                                                                                                                                                                                                                                                                                                                                                                                                                                                            <w:left w:val="none" w:sz="0" w:space="0" w:color="auto"/>
                                                                                                                                                                                                                                                                                                                                                                                                                                                                                                                            <w:bottom w:val="none" w:sz="0" w:space="0" w:color="auto"/>
                                                                                                                                                                                                                                                                                                                                                                                                                                                                                                                            <w:right w:val="none" w:sz="0" w:space="0" w:color="auto"/>
                                                                                                                                                                                                                                                                                                                                                                                                                                                                                                                          </w:divBdr>
                                                                                                                                                                                                                                                                                                                                                                                                                                                                                                                          <w:divsChild>
                                                                                                                                                                                                                                                                                                                                                                                                                                                                                                                            <w:div w:id="12982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ncbi.nlm.nih.gov/pubmed/25611558" TargetMode="External"/><Relationship Id="rId4" Type="http://schemas.openxmlformats.org/officeDocument/2006/relationships/settings" Target="settings.xml"/><Relationship Id="rId9" Type="http://schemas.openxmlformats.org/officeDocument/2006/relationships/hyperlink" Target="mailto:pietro.andreone@unibo.it" TargetMode="External"/><Relationship Id="rId14"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CEC264-9E47-4C4E-AB4F-2B091D7B9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30</Pages>
  <Words>69510</Words>
  <Characters>396211</Characters>
  <Application>Microsoft Office Word</Application>
  <DocSecurity>0</DocSecurity>
  <Lines>3301</Lines>
  <Paragraphs>929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Format for review</vt:lpstr>
      <vt:lpstr>Format for review</vt:lpstr>
    </vt:vector>
  </TitlesOfParts>
  <Company>Microsoft</Company>
  <LinksUpToDate>false</LinksUpToDate>
  <CharactersWithSpaces>464792</CharactersWithSpaces>
  <SharedDoc>false</SharedDoc>
  <HLinks>
    <vt:vector size="216" baseType="variant">
      <vt:variant>
        <vt:i4>3866642</vt:i4>
      </vt:variant>
      <vt:variant>
        <vt:i4>105</vt:i4>
      </vt:variant>
      <vt:variant>
        <vt:i4>0</vt:i4>
      </vt:variant>
      <vt:variant>
        <vt:i4>5</vt:i4>
      </vt:variant>
      <vt:variant>
        <vt:lpwstr>http://www.ncbi.nlm.nih.gov/pubmed/17518371</vt:lpwstr>
      </vt:variant>
      <vt:variant>
        <vt:lpwstr/>
      </vt:variant>
      <vt:variant>
        <vt:i4>6029328</vt:i4>
      </vt:variant>
      <vt:variant>
        <vt:i4>102</vt:i4>
      </vt:variant>
      <vt:variant>
        <vt:i4>0</vt:i4>
      </vt:variant>
      <vt:variant>
        <vt:i4>5</vt:i4>
      </vt:variant>
      <vt:variant>
        <vt:lpwstr>http://www.ncbi.nlm.nih.gov/pubmed/?term=Nakanuma Y%5BAuthor%5D&amp;cauthor=true&amp;cauthor_uid=17518371</vt:lpwstr>
      </vt:variant>
      <vt:variant>
        <vt:lpwstr/>
      </vt:variant>
      <vt:variant>
        <vt:i4>6225944</vt:i4>
      </vt:variant>
      <vt:variant>
        <vt:i4>99</vt:i4>
      </vt:variant>
      <vt:variant>
        <vt:i4>0</vt:i4>
      </vt:variant>
      <vt:variant>
        <vt:i4>5</vt:i4>
      </vt:variant>
      <vt:variant>
        <vt:lpwstr>http://www.ncbi.nlm.nih.gov/pubmed/?term=Takahira M%5BAuthor%5D&amp;cauthor=true&amp;cauthor_uid=17518371</vt:lpwstr>
      </vt:variant>
      <vt:variant>
        <vt:lpwstr/>
      </vt:variant>
      <vt:variant>
        <vt:i4>2752631</vt:i4>
      </vt:variant>
      <vt:variant>
        <vt:i4>96</vt:i4>
      </vt:variant>
      <vt:variant>
        <vt:i4>0</vt:i4>
      </vt:variant>
      <vt:variant>
        <vt:i4>5</vt:i4>
      </vt:variant>
      <vt:variant>
        <vt:lpwstr>http://www.ncbi.nlm.nih.gov/pubmed/?term=Yamada K%5BAuthor%5D&amp;cauthor=true&amp;cauthor_uid=17518371</vt:lpwstr>
      </vt:variant>
      <vt:variant>
        <vt:lpwstr/>
      </vt:variant>
      <vt:variant>
        <vt:i4>2621567</vt:i4>
      </vt:variant>
      <vt:variant>
        <vt:i4>93</vt:i4>
      </vt:variant>
      <vt:variant>
        <vt:i4>0</vt:i4>
      </vt:variant>
      <vt:variant>
        <vt:i4>5</vt:i4>
      </vt:variant>
      <vt:variant>
        <vt:lpwstr>http://www.ncbi.nlm.nih.gov/pubmed/?term=Kawano M%5BAuthor%5D&amp;cauthor=true&amp;cauthor_uid=17518371</vt:lpwstr>
      </vt:variant>
      <vt:variant>
        <vt:lpwstr/>
      </vt:variant>
      <vt:variant>
        <vt:i4>2359415</vt:i4>
      </vt:variant>
      <vt:variant>
        <vt:i4>90</vt:i4>
      </vt:variant>
      <vt:variant>
        <vt:i4>0</vt:i4>
      </vt:variant>
      <vt:variant>
        <vt:i4>5</vt:i4>
      </vt:variant>
      <vt:variant>
        <vt:lpwstr>http://www.ncbi.nlm.nih.gov/pubmed/?term=Harada K%5BAuthor%5D&amp;cauthor=true&amp;cauthor_uid=17518371</vt:lpwstr>
      </vt:variant>
      <vt:variant>
        <vt:lpwstr/>
      </vt:variant>
      <vt:variant>
        <vt:i4>4587628</vt:i4>
      </vt:variant>
      <vt:variant>
        <vt:i4>87</vt:i4>
      </vt:variant>
      <vt:variant>
        <vt:i4>0</vt:i4>
      </vt:variant>
      <vt:variant>
        <vt:i4>5</vt:i4>
      </vt:variant>
      <vt:variant>
        <vt:lpwstr>http://www.ncbi.nlm.nih.gov/pubmed/?term=Fujii T%5BAuthor%5D&amp;cauthor=true&amp;cauthor_uid=17518371</vt:lpwstr>
      </vt:variant>
      <vt:variant>
        <vt:lpwstr/>
      </vt:variant>
      <vt:variant>
        <vt:i4>3801109</vt:i4>
      </vt:variant>
      <vt:variant>
        <vt:i4>84</vt:i4>
      </vt:variant>
      <vt:variant>
        <vt:i4>0</vt:i4>
      </vt:variant>
      <vt:variant>
        <vt:i4>5</vt:i4>
      </vt:variant>
      <vt:variant>
        <vt:lpwstr>http://www.ncbi.nlm.nih.gov/pubmed/?term=Zen Y%5BAuthor%5D&amp;cauthor=true&amp;cauthor_uid=17518371</vt:lpwstr>
      </vt:variant>
      <vt:variant>
        <vt:lpwstr/>
      </vt:variant>
      <vt:variant>
        <vt:i4>458877</vt:i4>
      </vt:variant>
      <vt:variant>
        <vt:i4>81</vt:i4>
      </vt:variant>
      <vt:variant>
        <vt:i4>0</vt:i4>
      </vt:variant>
      <vt:variant>
        <vt:i4>5</vt:i4>
      </vt:variant>
      <vt:variant>
        <vt:lpwstr>javascript:document.dx_doi_org_B13_form.submit();</vt:lpwstr>
      </vt:variant>
      <vt:variant>
        <vt:lpwstr/>
      </vt:variant>
      <vt:variant>
        <vt:i4>3407894</vt:i4>
      </vt:variant>
      <vt:variant>
        <vt:i4>78</vt:i4>
      </vt:variant>
      <vt:variant>
        <vt:i4>0</vt:i4>
      </vt:variant>
      <vt:variant>
        <vt:i4>5</vt:i4>
      </vt:variant>
      <vt:variant>
        <vt:lpwstr>http://www.ncbi.nlm.nih.gov/pubmed/15464251</vt:lpwstr>
      </vt:variant>
      <vt:variant>
        <vt:lpwstr/>
      </vt:variant>
      <vt:variant>
        <vt:i4>8192051</vt:i4>
      </vt:variant>
      <vt:variant>
        <vt:i4>75</vt:i4>
      </vt:variant>
      <vt:variant>
        <vt:i4>0</vt:i4>
      </vt:variant>
      <vt:variant>
        <vt:i4>5</vt:i4>
      </vt:variant>
      <vt:variant>
        <vt:lpwstr>javascript:document.dx_doi_org_B6_form.submit();</vt:lpwstr>
      </vt:variant>
      <vt:variant>
        <vt:lpwstr/>
      </vt:variant>
      <vt:variant>
        <vt:i4>3997720</vt:i4>
      </vt:variant>
      <vt:variant>
        <vt:i4>72</vt:i4>
      </vt:variant>
      <vt:variant>
        <vt:i4>0</vt:i4>
      </vt:variant>
      <vt:variant>
        <vt:i4>5</vt:i4>
      </vt:variant>
      <vt:variant>
        <vt:lpwstr>http://www.ncbi.nlm.nih.gov/pubmed/10580593</vt:lpwstr>
      </vt:variant>
      <vt:variant>
        <vt:lpwstr/>
      </vt:variant>
      <vt:variant>
        <vt:i4>3276851</vt:i4>
      </vt:variant>
      <vt:variant>
        <vt:i4>69</vt:i4>
      </vt:variant>
      <vt:variant>
        <vt:i4>0</vt:i4>
      </vt:variant>
      <vt:variant>
        <vt:i4>5</vt:i4>
      </vt:variant>
      <vt:variant>
        <vt:lpwstr>http://www.ncbi.nlm.nih.gov/pubmed/24108496</vt:lpwstr>
      </vt:variant>
      <vt:variant>
        <vt:lpwstr>#</vt:lpwstr>
      </vt:variant>
      <vt:variant>
        <vt:i4>5701695</vt:i4>
      </vt:variant>
      <vt:variant>
        <vt:i4>66</vt:i4>
      </vt:variant>
      <vt:variant>
        <vt:i4>0</vt:i4>
      </vt:variant>
      <vt:variant>
        <vt:i4>5</vt:i4>
      </vt:variant>
      <vt:variant>
        <vt:lpwstr>http://www.ncbi.nlm.nih.gov/pubmed/?term=Sanchez-Fueyo A%5BAuthor%5D&amp;cauthor=true&amp;cauthor_uid=24108496</vt:lpwstr>
      </vt:variant>
      <vt:variant>
        <vt:lpwstr/>
      </vt:variant>
      <vt:variant>
        <vt:i4>5177349</vt:i4>
      </vt:variant>
      <vt:variant>
        <vt:i4>63</vt:i4>
      </vt:variant>
      <vt:variant>
        <vt:i4>0</vt:i4>
      </vt:variant>
      <vt:variant>
        <vt:i4>5</vt:i4>
      </vt:variant>
      <vt:variant>
        <vt:lpwstr>javascript:document.dx_doi_org_B121_form.submit();</vt:lpwstr>
      </vt:variant>
      <vt:variant>
        <vt:lpwstr/>
      </vt:variant>
      <vt:variant>
        <vt:i4>3473428</vt:i4>
      </vt:variant>
      <vt:variant>
        <vt:i4>60</vt:i4>
      </vt:variant>
      <vt:variant>
        <vt:i4>0</vt:i4>
      </vt:variant>
      <vt:variant>
        <vt:i4>5</vt:i4>
      </vt:variant>
      <vt:variant>
        <vt:lpwstr>http://www.ncbi.nlm.nih.gov/pubmed/14672607</vt:lpwstr>
      </vt:variant>
      <vt:variant>
        <vt:lpwstr/>
      </vt:variant>
      <vt:variant>
        <vt:i4>4980748</vt:i4>
      </vt:variant>
      <vt:variant>
        <vt:i4>57</vt:i4>
      </vt:variant>
      <vt:variant>
        <vt:i4>0</vt:i4>
      </vt:variant>
      <vt:variant>
        <vt:i4>5</vt:i4>
      </vt:variant>
      <vt:variant>
        <vt:lpwstr>javascript:document.dx_doi_org_B118_form.submit();</vt:lpwstr>
      </vt:variant>
      <vt:variant>
        <vt:lpwstr/>
      </vt:variant>
      <vt:variant>
        <vt:i4>3538967</vt:i4>
      </vt:variant>
      <vt:variant>
        <vt:i4>54</vt:i4>
      </vt:variant>
      <vt:variant>
        <vt:i4>0</vt:i4>
      </vt:variant>
      <vt:variant>
        <vt:i4>5</vt:i4>
      </vt:variant>
      <vt:variant>
        <vt:lpwstr>http://www.ncbi.nlm.nih.gov/pubmed/16477242</vt:lpwstr>
      </vt:variant>
      <vt:variant>
        <vt:lpwstr/>
      </vt:variant>
      <vt:variant>
        <vt:i4>3538967</vt:i4>
      </vt:variant>
      <vt:variant>
        <vt:i4>51</vt:i4>
      </vt:variant>
      <vt:variant>
        <vt:i4>0</vt:i4>
      </vt:variant>
      <vt:variant>
        <vt:i4>5</vt:i4>
      </vt:variant>
      <vt:variant>
        <vt:lpwstr>http://www.ncbi.nlm.nih.gov/pubmed/22672703</vt:lpwstr>
      </vt:variant>
      <vt:variant>
        <vt:lpwstr/>
      </vt:variant>
      <vt:variant>
        <vt:i4>3276820</vt:i4>
      </vt:variant>
      <vt:variant>
        <vt:i4>48</vt:i4>
      </vt:variant>
      <vt:variant>
        <vt:i4>0</vt:i4>
      </vt:variant>
      <vt:variant>
        <vt:i4>5</vt:i4>
      </vt:variant>
      <vt:variant>
        <vt:lpwstr>http://www.ncbi.nlm.nih.gov/pubmed/18581476</vt:lpwstr>
      </vt:variant>
      <vt:variant>
        <vt:lpwstr/>
      </vt:variant>
      <vt:variant>
        <vt:i4>2621457</vt:i4>
      </vt:variant>
      <vt:variant>
        <vt:i4>45</vt:i4>
      </vt:variant>
      <vt:variant>
        <vt:i4>0</vt:i4>
      </vt:variant>
      <vt:variant>
        <vt:i4>5</vt:i4>
      </vt:variant>
      <vt:variant>
        <vt:lpwstr>http://www.ncbi.nlm.nih.gov/pubmed/?term=Alvarez F%5BAuthor%5D&amp;cauthor=true&amp;cauthor_uid=18581476</vt:lpwstr>
      </vt:variant>
      <vt:variant>
        <vt:lpwstr/>
      </vt:variant>
      <vt:variant>
        <vt:i4>3801109</vt:i4>
      </vt:variant>
      <vt:variant>
        <vt:i4>42</vt:i4>
      </vt:variant>
      <vt:variant>
        <vt:i4>0</vt:i4>
      </vt:variant>
      <vt:variant>
        <vt:i4>5</vt:i4>
      </vt:variant>
      <vt:variant>
        <vt:lpwstr>http://www.ncbi.nlm.nih.gov/pubmed/?term=Marleau D%5BAuthor%5D&amp;cauthor=true&amp;cauthor_uid=18581476</vt:lpwstr>
      </vt:variant>
      <vt:variant>
        <vt:lpwstr/>
      </vt:variant>
      <vt:variant>
        <vt:i4>2424947</vt:i4>
      </vt:variant>
      <vt:variant>
        <vt:i4>39</vt:i4>
      </vt:variant>
      <vt:variant>
        <vt:i4>0</vt:i4>
      </vt:variant>
      <vt:variant>
        <vt:i4>5</vt:i4>
      </vt:variant>
      <vt:variant>
        <vt:lpwstr>http://www.ncbi.nlm.nih.gov/pubmed/?term=Martin S%5BAuthor%5D&amp;cauthor=true&amp;cauthor_uid=18581476</vt:lpwstr>
      </vt:variant>
      <vt:variant>
        <vt:lpwstr/>
      </vt:variant>
      <vt:variant>
        <vt:i4>1048640</vt:i4>
      </vt:variant>
      <vt:variant>
        <vt:i4>36</vt:i4>
      </vt:variant>
      <vt:variant>
        <vt:i4>0</vt:i4>
      </vt:variant>
      <vt:variant>
        <vt:i4>5</vt:i4>
      </vt:variant>
      <vt:variant>
        <vt:lpwstr>http://www.ncbi.nlm.nih.gov/pubmed/?term=Fournet JC%5BAuthor%5D&amp;cauthor=true&amp;cauthor_uid=18581476</vt:lpwstr>
      </vt:variant>
      <vt:variant>
        <vt:lpwstr/>
      </vt:variant>
      <vt:variant>
        <vt:i4>7209041</vt:i4>
      </vt:variant>
      <vt:variant>
        <vt:i4>33</vt:i4>
      </vt:variant>
      <vt:variant>
        <vt:i4>0</vt:i4>
      </vt:variant>
      <vt:variant>
        <vt:i4>5</vt:i4>
      </vt:variant>
      <vt:variant>
        <vt:lpwstr>http://www.ncbi.nlm.nih.gov/pubmed/?term=Soglio DB%5BAuthor%5D&amp;cauthor=true&amp;cauthor_uid=18581476</vt:lpwstr>
      </vt:variant>
      <vt:variant>
        <vt:lpwstr/>
      </vt:variant>
      <vt:variant>
        <vt:i4>2490471</vt:i4>
      </vt:variant>
      <vt:variant>
        <vt:i4>30</vt:i4>
      </vt:variant>
      <vt:variant>
        <vt:i4>0</vt:i4>
      </vt:variant>
      <vt:variant>
        <vt:i4>5</vt:i4>
      </vt:variant>
      <vt:variant>
        <vt:lpwstr>http://www.ncbi.nlm.nih.gov/pubmed/?term=Herzog D%5BAuthor%5D&amp;cauthor=true&amp;cauthor_uid=18581476</vt:lpwstr>
      </vt:variant>
      <vt:variant>
        <vt:lpwstr/>
      </vt:variant>
      <vt:variant>
        <vt:i4>7536647</vt:i4>
      </vt:variant>
      <vt:variant>
        <vt:i4>27</vt:i4>
      </vt:variant>
      <vt:variant>
        <vt:i4>0</vt:i4>
      </vt:variant>
      <vt:variant>
        <vt:i4>5</vt:i4>
      </vt:variant>
      <vt:variant>
        <vt:lpwstr>http://dx.doi.org/10.1016/S0009-8981(01)00509-5</vt:lpwstr>
      </vt:variant>
      <vt:variant>
        <vt:lpwstr/>
      </vt:variant>
      <vt:variant>
        <vt:i4>3407888</vt:i4>
      </vt:variant>
      <vt:variant>
        <vt:i4>24</vt:i4>
      </vt:variant>
      <vt:variant>
        <vt:i4>0</vt:i4>
      </vt:variant>
      <vt:variant>
        <vt:i4>5</vt:i4>
      </vt:variant>
      <vt:variant>
        <vt:lpwstr>http://www.ncbi.nlm.nih.gov/pubmed/10385638</vt:lpwstr>
      </vt:variant>
      <vt:variant>
        <vt:lpwstr/>
      </vt:variant>
      <vt:variant>
        <vt:i4>3539066</vt:i4>
      </vt:variant>
      <vt:variant>
        <vt:i4>21</vt:i4>
      </vt:variant>
      <vt:variant>
        <vt:i4>0</vt:i4>
      </vt:variant>
      <vt:variant>
        <vt:i4>5</vt:i4>
      </vt:variant>
      <vt:variant>
        <vt:lpwstr>http://www.ncbi.nlm.nih.gov/pubmed/?term=Hudson M%5BAuthor%5D&amp;cauthor=true&amp;cauthor_uid=10385638</vt:lpwstr>
      </vt:variant>
      <vt:variant>
        <vt:lpwstr/>
      </vt:variant>
      <vt:variant>
        <vt:i4>4849690</vt:i4>
      </vt:variant>
      <vt:variant>
        <vt:i4>18</vt:i4>
      </vt:variant>
      <vt:variant>
        <vt:i4>0</vt:i4>
      </vt:variant>
      <vt:variant>
        <vt:i4>5</vt:i4>
      </vt:variant>
      <vt:variant>
        <vt:lpwstr>http://www.ncbi.nlm.nih.gov/pubmed/?term=Williams R%5BAuthor%5D&amp;cauthor=true&amp;cauthor_uid=10385638</vt:lpwstr>
      </vt:variant>
      <vt:variant>
        <vt:lpwstr/>
      </vt:variant>
      <vt:variant>
        <vt:i4>65599</vt:i4>
      </vt:variant>
      <vt:variant>
        <vt:i4>15</vt:i4>
      </vt:variant>
      <vt:variant>
        <vt:i4>0</vt:i4>
      </vt:variant>
      <vt:variant>
        <vt:i4>5</vt:i4>
      </vt:variant>
      <vt:variant>
        <vt:lpwstr>http://www.ncbi.nlm.nih.gov/pubmed/?term=Burt AD%5BAuthor%5D&amp;cauthor=true&amp;cauthor_uid=10385638</vt:lpwstr>
      </vt:variant>
      <vt:variant>
        <vt:lpwstr/>
      </vt:variant>
      <vt:variant>
        <vt:i4>5505033</vt:i4>
      </vt:variant>
      <vt:variant>
        <vt:i4>12</vt:i4>
      </vt:variant>
      <vt:variant>
        <vt:i4>0</vt:i4>
      </vt:variant>
      <vt:variant>
        <vt:i4>5</vt:i4>
      </vt:variant>
      <vt:variant>
        <vt:lpwstr>http://www.ncbi.nlm.nih.gov/pubmed/?term=Portmann B%5BAuthor%5D&amp;cauthor=true&amp;cauthor_uid=10385638</vt:lpwstr>
      </vt:variant>
      <vt:variant>
        <vt:lpwstr/>
      </vt:variant>
      <vt:variant>
        <vt:i4>7209021</vt:i4>
      </vt:variant>
      <vt:variant>
        <vt:i4>9</vt:i4>
      </vt:variant>
      <vt:variant>
        <vt:i4>0</vt:i4>
      </vt:variant>
      <vt:variant>
        <vt:i4>5</vt:i4>
      </vt:variant>
      <vt:variant>
        <vt:lpwstr>http://www.ncbi.nlm.nih.gov/pubmed/?term=James OF%5BAuthor%5D&amp;cauthor=true&amp;cauthor_uid=10385638</vt:lpwstr>
      </vt:variant>
      <vt:variant>
        <vt:lpwstr/>
      </vt:variant>
      <vt:variant>
        <vt:i4>6684720</vt:i4>
      </vt:variant>
      <vt:variant>
        <vt:i4>6</vt:i4>
      </vt:variant>
      <vt:variant>
        <vt:i4>0</vt:i4>
      </vt:variant>
      <vt:variant>
        <vt:i4>5</vt:i4>
      </vt:variant>
      <vt:variant>
        <vt:lpwstr>http://www.ncbi.nlm.nih.gov/pubmed/?term=Jones DE%5BAuthor%5D&amp;cauthor=true&amp;cauthor_uid=10385638</vt:lpwstr>
      </vt:variant>
      <vt:variant>
        <vt:lpwstr/>
      </vt:variant>
      <vt:variant>
        <vt:i4>7405580</vt:i4>
      </vt:variant>
      <vt:variant>
        <vt:i4>3</vt:i4>
      </vt:variant>
      <vt:variant>
        <vt:i4>0</vt:i4>
      </vt:variant>
      <vt:variant>
        <vt:i4>5</vt:i4>
      </vt:variant>
      <vt:variant>
        <vt:lpwstr>http://dx.doi.org/10.1016/S0959-8049(01)00267-2</vt:lpwstr>
      </vt:variant>
      <vt:variant>
        <vt:lpwstr/>
      </vt:variant>
      <vt:variant>
        <vt:i4>2555936</vt:i4>
      </vt:variant>
      <vt:variant>
        <vt:i4>0</vt:i4>
      </vt:variant>
      <vt:variant>
        <vt:i4>0</vt:i4>
      </vt:variant>
      <vt:variant>
        <vt:i4>5</vt:i4>
      </vt:variant>
      <vt:variant>
        <vt:lpwstr>mailto:pietro.andreone@unibo.it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review</dc:title>
  <dc:creator>Jin-Lei Wang</dc:creator>
  <cp:lastModifiedBy>LS Ma</cp:lastModifiedBy>
  <cp:revision>1</cp:revision>
  <dcterms:created xsi:type="dcterms:W3CDTF">2015-10-23T14:26:00Z</dcterms:created>
  <dcterms:modified xsi:type="dcterms:W3CDTF">2015-12-29T21:03:00Z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ranka81@yahoo.it@www.mendeley.com</vt:lpwstr>
  </property>
  <property fmtid="{D5CDD505-2E9C-101B-9397-08002B2CF9AE}" pid="4" name="Mendeley Citation Style_1">
    <vt:lpwstr>http://www.zotero.org/styles/world-journal-of-gastroenterology</vt:lpwstr>
  </property>
  <property fmtid="{D5CDD505-2E9C-101B-9397-08002B2CF9AE}" pid="5" name="Mendeley Recent Style Id 0_1">
    <vt:lpwstr>http://www.zotero.org/styles/ama</vt:lpwstr>
  </property>
  <property fmtid="{D5CDD505-2E9C-101B-9397-08002B2CF9AE}" pid="6" name="Mendeley Recent Style Name 0_1">
    <vt:lpwstr>American Medical Association</vt:lpwstr>
  </property>
  <property fmtid="{D5CDD505-2E9C-101B-9397-08002B2CF9AE}" pid="7" name="Mendeley Recent Style Id 1_1">
    <vt:lpwstr>http://www.zotero.org/styles/apsa</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http://www.zotero.org/styles/asa</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http://www.zotero.org/styles/mhra</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