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04" w:rsidRPr="008F0C1A" w:rsidRDefault="005A0204" w:rsidP="00A771AE">
      <w:pPr>
        <w:wordWrap/>
        <w:adjustRightInd w:val="0"/>
        <w:snapToGrid w:val="0"/>
        <w:spacing w:after="0" w:line="360" w:lineRule="auto"/>
        <w:rPr>
          <w:rFonts w:ascii="Book Antiqua" w:eastAsia="宋体" w:hAnsi="Book Antiqua" w:cs="Book Antiqua"/>
          <w:b/>
          <w:iCs/>
          <w:color w:val="222222"/>
          <w:kern w:val="0"/>
          <w:sz w:val="24"/>
          <w:szCs w:val="24"/>
          <w:lang w:eastAsia="zh-CN"/>
        </w:rPr>
      </w:pPr>
      <w:r w:rsidRPr="008F0C1A">
        <w:rPr>
          <w:rFonts w:ascii="Book Antiqua" w:hAnsi="Book Antiqua" w:cs="Book Antiqua"/>
          <w:b/>
          <w:color w:val="222222"/>
          <w:kern w:val="0"/>
          <w:sz w:val="24"/>
          <w:szCs w:val="24"/>
        </w:rPr>
        <w:t xml:space="preserve">Name of Journal: </w:t>
      </w:r>
      <w:r w:rsidRPr="008F0C1A">
        <w:rPr>
          <w:rFonts w:ascii="Book Antiqua" w:hAnsi="Book Antiqua" w:cs="Book Antiqua"/>
          <w:b/>
          <w:iCs/>
          <w:color w:val="222222"/>
          <w:kern w:val="0"/>
          <w:sz w:val="24"/>
          <w:szCs w:val="24"/>
        </w:rPr>
        <w:t>World Journal of Gastroenterology</w:t>
      </w:r>
    </w:p>
    <w:p w:rsidR="005A0204" w:rsidRPr="009B3AA2" w:rsidRDefault="005A0204" w:rsidP="00A771AE">
      <w:pPr>
        <w:wordWrap/>
        <w:adjustRightInd w:val="0"/>
        <w:snapToGrid w:val="0"/>
        <w:spacing w:after="0" w:line="360" w:lineRule="auto"/>
        <w:rPr>
          <w:rFonts w:ascii="Book Antiqua" w:eastAsia="宋体" w:hAnsi="Book Antiqua" w:cs="Book Antiqua"/>
          <w:b/>
          <w:color w:val="222222"/>
          <w:kern w:val="0"/>
          <w:sz w:val="24"/>
          <w:szCs w:val="24"/>
          <w:lang w:eastAsia="zh-CN"/>
        </w:rPr>
      </w:pPr>
      <w:r w:rsidRPr="008F0C1A">
        <w:rPr>
          <w:rFonts w:ascii="Book Antiqua" w:hAnsi="Book Antiqua" w:cs="Book Antiqua"/>
          <w:b/>
          <w:color w:val="222222"/>
          <w:kern w:val="0"/>
          <w:sz w:val="24"/>
          <w:szCs w:val="24"/>
        </w:rPr>
        <w:t xml:space="preserve">ESPS Manuscript NO: </w:t>
      </w:r>
      <w:r w:rsidR="009B3AA2">
        <w:rPr>
          <w:rFonts w:ascii="Book Antiqua" w:eastAsia="宋体" w:hAnsi="Book Antiqua" w:cs="Book Antiqua" w:hint="eastAsia"/>
          <w:b/>
          <w:color w:val="222222"/>
          <w:kern w:val="0"/>
          <w:sz w:val="24"/>
          <w:szCs w:val="24"/>
          <w:lang w:eastAsia="zh-CN"/>
        </w:rPr>
        <w:t>22902</w:t>
      </w:r>
    </w:p>
    <w:p w:rsidR="008F0C1A" w:rsidRPr="008F0C1A" w:rsidRDefault="005A0204" w:rsidP="00A771AE">
      <w:pPr>
        <w:wordWrap/>
        <w:adjustRightInd w:val="0"/>
        <w:snapToGrid w:val="0"/>
        <w:spacing w:after="0" w:line="360" w:lineRule="auto"/>
        <w:rPr>
          <w:rFonts w:ascii="Book Antiqua" w:eastAsia="宋体" w:hAnsi="Book Antiqua" w:cs="Book Antiqua"/>
          <w:b/>
          <w:color w:val="000000"/>
          <w:kern w:val="0"/>
          <w:sz w:val="24"/>
          <w:szCs w:val="24"/>
          <w:lang w:eastAsia="zh-CN"/>
        </w:rPr>
      </w:pPr>
      <w:r w:rsidRPr="008F0C1A">
        <w:rPr>
          <w:rFonts w:ascii="Book Antiqua" w:hAnsi="Book Antiqua" w:cs="Book Antiqua"/>
          <w:b/>
          <w:color w:val="000000"/>
          <w:kern w:val="0"/>
          <w:sz w:val="24"/>
          <w:szCs w:val="24"/>
        </w:rPr>
        <w:t xml:space="preserve">Manuscript Type: </w:t>
      </w:r>
      <w:r w:rsidR="008F0C1A" w:rsidRPr="008F0C1A">
        <w:rPr>
          <w:rFonts w:ascii="Book Antiqua" w:hAnsi="Book Antiqua" w:cs="Book Antiqua"/>
          <w:b/>
          <w:color w:val="000000"/>
          <w:kern w:val="0"/>
          <w:sz w:val="24"/>
          <w:szCs w:val="24"/>
        </w:rPr>
        <w:t>ORIGINAL ARTICLE</w:t>
      </w:r>
    </w:p>
    <w:p w:rsidR="00360170" w:rsidRPr="00E9165F" w:rsidRDefault="005A0204" w:rsidP="00A771AE">
      <w:pPr>
        <w:wordWrap/>
        <w:adjustRightInd w:val="0"/>
        <w:snapToGrid w:val="0"/>
        <w:spacing w:after="0" w:line="360" w:lineRule="auto"/>
        <w:rPr>
          <w:rFonts w:ascii="Book Antiqua" w:eastAsia="宋体" w:hAnsi="Book Antiqua" w:cs="Book Antiqua"/>
          <w:b/>
          <w:i/>
          <w:color w:val="000000"/>
          <w:kern w:val="0"/>
          <w:sz w:val="24"/>
          <w:szCs w:val="24"/>
          <w:lang w:eastAsia="zh-CN"/>
        </w:rPr>
      </w:pPr>
      <w:r w:rsidRPr="008F0C1A">
        <w:rPr>
          <w:rFonts w:ascii="Book Antiqua" w:hAnsi="Book Antiqua" w:cs="Book Antiqua"/>
          <w:b/>
          <w:i/>
          <w:color w:val="000000"/>
          <w:kern w:val="0"/>
          <w:sz w:val="24"/>
          <w:szCs w:val="24"/>
        </w:rPr>
        <w:t>Retrospective Study</w:t>
      </w:r>
    </w:p>
    <w:p w:rsidR="006B6DDA" w:rsidRPr="008F0C1A" w:rsidRDefault="006B6DDA" w:rsidP="00A771AE">
      <w:pPr>
        <w:wordWrap/>
        <w:adjustRightInd w:val="0"/>
        <w:snapToGrid w:val="0"/>
        <w:spacing w:after="0" w:line="360" w:lineRule="auto"/>
        <w:rPr>
          <w:rFonts w:ascii="Book Antiqua" w:hAnsi="Book Antiqua" w:cs="Times New Roman"/>
          <w:b/>
          <w:sz w:val="24"/>
          <w:szCs w:val="24"/>
        </w:rPr>
      </w:pPr>
      <w:r w:rsidRPr="008F0C1A">
        <w:rPr>
          <w:rFonts w:ascii="Book Antiqua" w:hAnsi="Book Antiqua" w:cs="Times New Roman"/>
          <w:b/>
          <w:sz w:val="24"/>
          <w:szCs w:val="24"/>
        </w:rPr>
        <w:t>Second-look endoscopy with prophylactic hemostasis is still effective after endoscopic submucosal dissection for gastric neoplasm</w:t>
      </w:r>
    </w:p>
    <w:p w:rsidR="009D0CE3" w:rsidRPr="008F0C1A" w:rsidRDefault="009D0CE3" w:rsidP="00A771AE">
      <w:pPr>
        <w:wordWrap/>
        <w:adjustRightInd w:val="0"/>
        <w:snapToGrid w:val="0"/>
        <w:spacing w:after="0" w:line="360" w:lineRule="auto"/>
        <w:rPr>
          <w:rFonts w:ascii="Book Antiqua" w:eastAsia="宋体" w:hAnsi="Book Antiqua" w:cs="Times New Roman"/>
          <w:sz w:val="24"/>
          <w:szCs w:val="24"/>
          <w:lang w:eastAsia="zh-CN"/>
        </w:rPr>
      </w:pPr>
    </w:p>
    <w:p w:rsidR="00970D2D" w:rsidRPr="00213C52" w:rsidRDefault="009C4604" w:rsidP="00A771AE">
      <w:pPr>
        <w:wordWrap/>
        <w:adjustRightInd w:val="0"/>
        <w:snapToGrid w:val="0"/>
        <w:spacing w:after="0" w:line="360" w:lineRule="auto"/>
        <w:rPr>
          <w:rFonts w:ascii="Book Antiqua" w:eastAsia="宋体" w:hAnsi="Book Antiqua" w:cs="Times New Roman"/>
          <w:b/>
          <w:sz w:val="24"/>
          <w:szCs w:val="24"/>
          <w:lang w:eastAsia="zh-CN"/>
        </w:rPr>
      </w:pPr>
      <w:r w:rsidRPr="008F0C1A">
        <w:rPr>
          <w:rFonts w:ascii="Book Antiqua" w:eastAsiaTheme="majorHAnsi" w:hAnsi="Book Antiqua" w:cs="Times New Roman"/>
          <w:sz w:val="24"/>
          <w:szCs w:val="24"/>
        </w:rPr>
        <w:t>Jung</w:t>
      </w:r>
      <w:r w:rsidRPr="008F0C1A">
        <w:rPr>
          <w:rFonts w:ascii="Book Antiqua" w:eastAsiaTheme="minorHAnsi" w:hAnsi="Book Antiqua" w:cs="Times New Roman"/>
          <w:b/>
          <w:sz w:val="24"/>
          <w:szCs w:val="24"/>
        </w:rPr>
        <w:t xml:space="preserve"> </w:t>
      </w:r>
      <w:r w:rsidRPr="009C4604">
        <w:rPr>
          <w:rFonts w:ascii="Book Antiqua" w:eastAsia="宋体" w:hAnsi="Book Antiqua" w:cs="Times New Roman" w:hint="eastAsia"/>
          <w:sz w:val="24"/>
          <w:szCs w:val="24"/>
          <w:lang w:eastAsia="zh-CN"/>
        </w:rPr>
        <w:t xml:space="preserve">JH </w:t>
      </w:r>
      <w:r w:rsidRPr="009C4604">
        <w:rPr>
          <w:rFonts w:ascii="Book Antiqua" w:eastAsia="宋体" w:hAnsi="Book Antiqua" w:cs="Times New Roman" w:hint="eastAsia"/>
          <w:i/>
          <w:sz w:val="24"/>
          <w:szCs w:val="24"/>
          <w:lang w:eastAsia="zh-CN"/>
        </w:rPr>
        <w:t>et al</w:t>
      </w:r>
      <w:r w:rsidRPr="009C4604">
        <w:rPr>
          <w:rFonts w:ascii="Book Antiqua" w:eastAsia="宋体" w:hAnsi="Book Antiqua" w:cs="Times New Roman" w:hint="eastAsia"/>
          <w:sz w:val="24"/>
          <w:szCs w:val="24"/>
          <w:lang w:eastAsia="zh-CN"/>
        </w:rPr>
        <w:t xml:space="preserve">. </w:t>
      </w:r>
      <w:r w:rsidR="00143DA8" w:rsidRPr="009C4604">
        <w:rPr>
          <w:rFonts w:ascii="Book Antiqua" w:eastAsiaTheme="minorHAnsi" w:hAnsi="Book Antiqua" w:cs="Times New Roman"/>
          <w:sz w:val="24"/>
          <w:szCs w:val="24"/>
        </w:rPr>
        <w:t>S</w:t>
      </w:r>
      <w:r w:rsidR="008F3FD8" w:rsidRPr="009C4604">
        <w:rPr>
          <w:rFonts w:ascii="Book Antiqua" w:hAnsi="Book Antiqua" w:cs="Times New Roman"/>
          <w:sz w:val="24"/>
          <w:szCs w:val="24"/>
        </w:rPr>
        <w:t>econd-look endoscopy after e</w:t>
      </w:r>
      <w:r w:rsidR="00213C52">
        <w:rPr>
          <w:rFonts w:ascii="Book Antiqua" w:hAnsi="Book Antiqua" w:cs="Times New Roman"/>
          <w:sz w:val="24"/>
          <w:szCs w:val="24"/>
        </w:rPr>
        <w:t>ndoscopic submucosal dissection</w:t>
      </w:r>
    </w:p>
    <w:p w:rsidR="00143DA8" w:rsidRPr="00213C52" w:rsidRDefault="00143DA8" w:rsidP="00A771AE">
      <w:pPr>
        <w:wordWrap/>
        <w:adjustRightInd w:val="0"/>
        <w:snapToGrid w:val="0"/>
        <w:spacing w:after="0" w:line="360" w:lineRule="auto"/>
        <w:rPr>
          <w:rFonts w:ascii="Book Antiqua" w:eastAsia="宋体" w:hAnsi="Book Antiqua" w:cs="Times New Roman"/>
          <w:b/>
          <w:sz w:val="24"/>
          <w:szCs w:val="24"/>
          <w:lang w:eastAsia="zh-CN"/>
        </w:rPr>
      </w:pPr>
    </w:p>
    <w:p w:rsidR="00054FF2" w:rsidRPr="008F0C1A" w:rsidRDefault="008F3FD8" w:rsidP="00A771AE">
      <w:pPr>
        <w:wordWrap/>
        <w:adjustRightInd w:val="0"/>
        <w:snapToGrid w:val="0"/>
        <w:spacing w:after="0" w:line="360" w:lineRule="auto"/>
        <w:rPr>
          <w:rFonts w:ascii="Book Antiqua" w:eastAsiaTheme="majorHAnsi" w:hAnsi="Book Antiqua" w:cs="Times New Roman"/>
          <w:sz w:val="24"/>
          <w:szCs w:val="24"/>
        </w:rPr>
      </w:pPr>
      <w:r w:rsidRPr="008F0C1A">
        <w:rPr>
          <w:rFonts w:ascii="Book Antiqua" w:eastAsiaTheme="majorHAnsi" w:hAnsi="Book Antiqua" w:cs="Times New Roman"/>
          <w:sz w:val="24"/>
          <w:szCs w:val="24"/>
        </w:rPr>
        <w:t xml:space="preserve">Ji </w:t>
      </w:r>
      <w:proofErr w:type="spellStart"/>
      <w:r w:rsidRPr="008F0C1A">
        <w:rPr>
          <w:rFonts w:ascii="Book Antiqua" w:eastAsiaTheme="majorHAnsi" w:hAnsi="Book Antiqua" w:cs="Times New Roman"/>
          <w:sz w:val="24"/>
          <w:szCs w:val="24"/>
        </w:rPr>
        <w:t>Hye</w:t>
      </w:r>
      <w:proofErr w:type="spellEnd"/>
      <w:r w:rsidRPr="008F0C1A">
        <w:rPr>
          <w:rFonts w:ascii="Book Antiqua" w:eastAsiaTheme="majorHAnsi" w:hAnsi="Book Antiqua" w:cs="Times New Roman"/>
          <w:sz w:val="24"/>
          <w:szCs w:val="24"/>
        </w:rPr>
        <w:t xml:space="preserve"> Jung, </w:t>
      </w:r>
      <w:proofErr w:type="spellStart"/>
      <w:r w:rsidRPr="008F0C1A">
        <w:rPr>
          <w:rFonts w:ascii="Book Antiqua" w:eastAsiaTheme="majorHAnsi" w:hAnsi="Book Antiqua" w:cs="Times New Roman"/>
          <w:sz w:val="24"/>
          <w:szCs w:val="24"/>
        </w:rPr>
        <w:t>Beom</w:t>
      </w:r>
      <w:proofErr w:type="spellEnd"/>
      <w:r w:rsidRPr="008F0C1A">
        <w:rPr>
          <w:rFonts w:ascii="Book Antiqua" w:eastAsiaTheme="majorHAnsi" w:hAnsi="Book Antiqua" w:cs="Times New Roman"/>
          <w:sz w:val="24"/>
          <w:szCs w:val="24"/>
        </w:rPr>
        <w:t xml:space="preserve"> </w:t>
      </w:r>
      <w:proofErr w:type="spellStart"/>
      <w:r w:rsidRPr="008F0C1A">
        <w:rPr>
          <w:rFonts w:ascii="Book Antiqua" w:eastAsiaTheme="majorHAnsi" w:hAnsi="Book Antiqua" w:cs="Times New Roman"/>
          <w:sz w:val="24"/>
          <w:szCs w:val="24"/>
        </w:rPr>
        <w:t>Jin</w:t>
      </w:r>
      <w:proofErr w:type="spellEnd"/>
      <w:r w:rsidRPr="008F0C1A">
        <w:rPr>
          <w:rFonts w:ascii="Book Antiqua" w:eastAsiaTheme="majorHAnsi" w:hAnsi="Book Antiqua" w:cs="Times New Roman"/>
          <w:sz w:val="24"/>
          <w:szCs w:val="24"/>
        </w:rPr>
        <w:t xml:space="preserve"> Kim, </w:t>
      </w:r>
      <w:r w:rsidR="0031033A" w:rsidRPr="008F0C1A">
        <w:rPr>
          <w:rFonts w:ascii="Book Antiqua" w:eastAsiaTheme="majorHAnsi" w:hAnsi="Book Antiqua" w:cs="Times New Roman"/>
          <w:sz w:val="24"/>
          <w:szCs w:val="24"/>
        </w:rPr>
        <w:t xml:space="preserve">Chang Hwan Choi, </w:t>
      </w:r>
      <w:r w:rsidR="008F0C1A" w:rsidRPr="008F0C1A">
        <w:rPr>
          <w:rFonts w:ascii="Book Antiqua" w:eastAsiaTheme="majorHAnsi" w:hAnsi="Book Antiqua" w:cs="Times New Roman"/>
          <w:sz w:val="24"/>
          <w:szCs w:val="24"/>
        </w:rPr>
        <w:t>Jae G</w:t>
      </w:r>
      <w:r w:rsidRPr="008F0C1A">
        <w:rPr>
          <w:rFonts w:ascii="Book Antiqua" w:eastAsiaTheme="majorHAnsi" w:hAnsi="Book Antiqua" w:cs="Times New Roman"/>
          <w:sz w:val="24"/>
          <w:szCs w:val="24"/>
        </w:rPr>
        <w:t xml:space="preserve"> Kim</w:t>
      </w:r>
    </w:p>
    <w:p w:rsidR="00054FF2" w:rsidRPr="008F0C1A" w:rsidRDefault="00054FF2" w:rsidP="00A771AE">
      <w:pPr>
        <w:wordWrap/>
        <w:adjustRightInd w:val="0"/>
        <w:snapToGrid w:val="0"/>
        <w:spacing w:after="0" w:line="360" w:lineRule="auto"/>
        <w:rPr>
          <w:rFonts w:ascii="Book Antiqua" w:eastAsiaTheme="majorHAnsi" w:hAnsi="Book Antiqua" w:cs="Times New Roman"/>
          <w:sz w:val="24"/>
          <w:szCs w:val="24"/>
        </w:rPr>
      </w:pPr>
    </w:p>
    <w:p w:rsidR="009D0CE3" w:rsidRPr="008F0C1A" w:rsidRDefault="008F0C1A" w:rsidP="00A771AE">
      <w:pPr>
        <w:wordWrap/>
        <w:adjustRightInd w:val="0"/>
        <w:snapToGrid w:val="0"/>
        <w:spacing w:after="0" w:line="360" w:lineRule="auto"/>
        <w:rPr>
          <w:rFonts w:ascii="Book Antiqua" w:eastAsiaTheme="majorHAnsi" w:hAnsi="Book Antiqua" w:cs="Times New Roman"/>
          <w:sz w:val="24"/>
          <w:szCs w:val="24"/>
        </w:rPr>
      </w:pPr>
      <w:r w:rsidRPr="008F0C1A">
        <w:rPr>
          <w:rFonts w:ascii="Book Antiqua" w:eastAsiaTheme="majorHAnsi" w:hAnsi="Book Antiqua" w:cs="Times New Roman"/>
          <w:b/>
          <w:sz w:val="24"/>
          <w:szCs w:val="24"/>
        </w:rPr>
        <w:t xml:space="preserve">Ji </w:t>
      </w:r>
      <w:proofErr w:type="spellStart"/>
      <w:r w:rsidRPr="008F0C1A">
        <w:rPr>
          <w:rFonts w:ascii="Book Antiqua" w:eastAsiaTheme="majorHAnsi" w:hAnsi="Book Antiqua" w:cs="Times New Roman"/>
          <w:b/>
          <w:sz w:val="24"/>
          <w:szCs w:val="24"/>
        </w:rPr>
        <w:t>Hye</w:t>
      </w:r>
      <w:proofErr w:type="spellEnd"/>
      <w:r w:rsidRPr="008F0C1A">
        <w:rPr>
          <w:rFonts w:ascii="Book Antiqua" w:eastAsiaTheme="majorHAnsi" w:hAnsi="Book Antiqua" w:cs="Times New Roman"/>
          <w:b/>
          <w:sz w:val="24"/>
          <w:szCs w:val="24"/>
        </w:rPr>
        <w:t xml:space="preserve"> Jung, </w:t>
      </w:r>
      <w:proofErr w:type="spellStart"/>
      <w:r w:rsidRPr="008F0C1A">
        <w:rPr>
          <w:rFonts w:ascii="Book Antiqua" w:eastAsiaTheme="majorHAnsi" w:hAnsi="Book Antiqua" w:cs="Times New Roman"/>
          <w:b/>
          <w:sz w:val="24"/>
          <w:szCs w:val="24"/>
        </w:rPr>
        <w:t>Beom</w:t>
      </w:r>
      <w:proofErr w:type="spellEnd"/>
      <w:r w:rsidRPr="008F0C1A">
        <w:rPr>
          <w:rFonts w:ascii="Book Antiqua" w:eastAsiaTheme="majorHAnsi" w:hAnsi="Book Antiqua" w:cs="Times New Roman"/>
          <w:b/>
          <w:sz w:val="24"/>
          <w:szCs w:val="24"/>
        </w:rPr>
        <w:t xml:space="preserve"> </w:t>
      </w:r>
      <w:proofErr w:type="spellStart"/>
      <w:r w:rsidRPr="008F0C1A">
        <w:rPr>
          <w:rFonts w:ascii="Book Antiqua" w:eastAsiaTheme="majorHAnsi" w:hAnsi="Book Antiqua" w:cs="Times New Roman"/>
          <w:b/>
          <w:sz w:val="24"/>
          <w:szCs w:val="24"/>
        </w:rPr>
        <w:t>Jin</w:t>
      </w:r>
      <w:proofErr w:type="spellEnd"/>
      <w:r w:rsidRPr="008F0C1A">
        <w:rPr>
          <w:rFonts w:ascii="Book Antiqua" w:eastAsiaTheme="majorHAnsi" w:hAnsi="Book Antiqua" w:cs="Times New Roman"/>
          <w:b/>
          <w:sz w:val="24"/>
          <w:szCs w:val="24"/>
        </w:rPr>
        <w:t xml:space="preserve"> Kim, Chang Hwan Choi, Jae G Kim</w:t>
      </w:r>
      <w:r w:rsidRPr="008F0C1A">
        <w:rPr>
          <w:rFonts w:ascii="Book Antiqua" w:eastAsia="宋体" w:hAnsi="Book Antiqua" w:cs="Times New Roman" w:hint="eastAsia"/>
          <w:b/>
          <w:sz w:val="24"/>
          <w:szCs w:val="24"/>
          <w:lang w:eastAsia="zh-CN"/>
        </w:rPr>
        <w:t>,</w:t>
      </w:r>
      <w:r w:rsidRPr="008F0C1A">
        <w:rPr>
          <w:rFonts w:ascii="Book Antiqua" w:eastAsia="宋体" w:hAnsi="Book Antiqua" w:cs="Times New Roman" w:hint="eastAsia"/>
          <w:sz w:val="24"/>
          <w:szCs w:val="24"/>
          <w:lang w:eastAsia="zh-CN"/>
        </w:rPr>
        <w:t xml:space="preserve"> </w:t>
      </w:r>
      <w:r w:rsidR="009D0CE3" w:rsidRPr="008F0C1A">
        <w:rPr>
          <w:rFonts w:ascii="Book Antiqua" w:eastAsiaTheme="majorHAnsi" w:hAnsi="Book Antiqua" w:cs="Times New Roman"/>
          <w:sz w:val="24"/>
          <w:szCs w:val="24"/>
        </w:rPr>
        <w:t>Department of Internal Medicine, Chung-</w:t>
      </w:r>
      <w:proofErr w:type="spellStart"/>
      <w:r w:rsidR="009D0CE3" w:rsidRPr="008F0C1A">
        <w:rPr>
          <w:rFonts w:ascii="Book Antiqua" w:eastAsiaTheme="majorHAnsi" w:hAnsi="Book Antiqua" w:cs="Times New Roman"/>
          <w:sz w:val="24"/>
          <w:szCs w:val="24"/>
        </w:rPr>
        <w:t>Ang</w:t>
      </w:r>
      <w:proofErr w:type="spellEnd"/>
      <w:r w:rsidR="009D0CE3" w:rsidRPr="008F0C1A">
        <w:rPr>
          <w:rFonts w:ascii="Book Antiqua" w:eastAsiaTheme="majorHAnsi" w:hAnsi="Book Antiqua" w:cs="Times New Roman"/>
          <w:sz w:val="24"/>
          <w:szCs w:val="24"/>
        </w:rPr>
        <w:t xml:space="preserve"> </w:t>
      </w:r>
      <w:r w:rsidR="00BE2C98" w:rsidRPr="008F0C1A">
        <w:rPr>
          <w:rFonts w:ascii="Book Antiqua" w:eastAsiaTheme="majorHAnsi" w:hAnsi="Book Antiqua" w:cs="Times New Roman"/>
          <w:sz w:val="24"/>
          <w:szCs w:val="24"/>
        </w:rPr>
        <w:t>University College of Medicine, Seoul</w:t>
      </w:r>
      <w:r w:rsidR="00213C52">
        <w:rPr>
          <w:rFonts w:ascii="Book Antiqua" w:eastAsia="宋体" w:hAnsi="Book Antiqua" w:cs="Times New Roman" w:hint="eastAsia"/>
          <w:sz w:val="24"/>
          <w:szCs w:val="24"/>
          <w:lang w:eastAsia="zh-CN"/>
        </w:rPr>
        <w:t xml:space="preserve"> </w:t>
      </w:r>
      <w:r w:rsidR="00213C52" w:rsidRPr="008F0C1A">
        <w:rPr>
          <w:rFonts w:ascii="Book Antiqua" w:hAnsi="Book Antiqua" w:cs="Book Antiqua"/>
          <w:kern w:val="0"/>
          <w:sz w:val="24"/>
          <w:szCs w:val="24"/>
        </w:rPr>
        <w:t>156-755</w:t>
      </w:r>
      <w:r w:rsidR="00BE2C98" w:rsidRPr="008F0C1A">
        <w:rPr>
          <w:rFonts w:ascii="Book Antiqua" w:eastAsiaTheme="majorHAnsi" w:hAnsi="Book Antiqua" w:cs="Times New Roman"/>
          <w:sz w:val="24"/>
          <w:szCs w:val="24"/>
        </w:rPr>
        <w:t xml:space="preserve">, </w:t>
      </w:r>
      <w:r w:rsidRPr="008F0C1A">
        <w:rPr>
          <w:rFonts w:ascii="Book Antiqua" w:eastAsia="宋体" w:hAnsi="Book Antiqua" w:cs="Times New Roman" w:hint="eastAsia"/>
          <w:sz w:val="24"/>
          <w:szCs w:val="24"/>
          <w:lang w:eastAsia="zh-CN"/>
        </w:rPr>
        <w:t xml:space="preserve">South </w:t>
      </w:r>
      <w:r w:rsidR="00BE2C98" w:rsidRPr="008F0C1A">
        <w:rPr>
          <w:rFonts w:ascii="Book Antiqua" w:eastAsiaTheme="majorHAnsi" w:hAnsi="Book Antiqua" w:cs="Times New Roman"/>
          <w:sz w:val="24"/>
          <w:szCs w:val="24"/>
        </w:rPr>
        <w:t>Korea</w:t>
      </w:r>
    </w:p>
    <w:p w:rsidR="009D0CE3" w:rsidRPr="008F0C1A" w:rsidRDefault="009D0CE3" w:rsidP="00A771AE">
      <w:pPr>
        <w:wordWrap/>
        <w:adjustRightInd w:val="0"/>
        <w:snapToGrid w:val="0"/>
        <w:spacing w:after="0" w:line="360" w:lineRule="auto"/>
        <w:rPr>
          <w:rFonts w:ascii="Book Antiqua" w:eastAsiaTheme="majorHAnsi" w:hAnsi="Book Antiqua" w:cs="Times New Roman"/>
          <w:sz w:val="24"/>
          <w:szCs w:val="24"/>
        </w:rPr>
      </w:pPr>
    </w:p>
    <w:p w:rsidR="006F679F" w:rsidRPr="008F0C1A" w:rsidRDefault="006F679F" w:rsidP="00A771AE">
      <w:pPr>
        <w:wordWrap/>
        <w:adjustRightInd w:val="0"/>
        <w:snapToGrid w:val="0"/>
        <w:spacing w:after="0" w:line="360" w:lineRule="auto"/>
        <w:rPr>
          <w:rFonts w:ascii="Book Antiqua" w:hAnsi="Book Antiqua"/>
          <w:b/>
          <w:sz w:val="24"/>
          <w:szCs w:val="24"/>
        </w:rPr>
      </w:pPr>
      <w:r w:rsidRPr="008F0C1A">
        <w:rPr>
          <w:rFonts w:ascii="Book Antiqua" w:hAnsi="Book Antiqua"/>
          <w:b/>
          <w:sz w:val="24"/>
          <w:szCs w:val="24"/>
        </w:rPr>
        <w:t>Author contributions</w:t>
      </w:r>
      <w:r w:rsidR="008F0C1A" w:rsidRPr="008F0C1A">
        <w:rPr>
          <w:rFonts w:ascii="Book Antiqua" w:eastAsia="宋体" w:hAnsi="Book Antiqua" w:hint="eastAsia"/>
          <w:b/>
          <w:sz w:val="24"/>
          <w:szCs w:val="24"/>
          <w:lang w:eastAsia="zh-CN"/>
        </w:rPr>
        <w:t xml:space="preserve">: </w:t>
      </w:r>
      <w:r w:rsidRPr="008F0C1A">
        <w:rPr>
          <w:rFonts w:ascii="Book Antiqua" w:hAnsi="Book Antiqua"/>
          <w:sz w:val="24"/>
          <w:szCs w:val="24"/>
          <w:lang w:val="en-GB"/>
        </w:rPr>
        <w:t xml:space="preserve">Jung </w:t>
      </w:r>
      <w:r w:rsidR="00213C52">
        <w:rPr>
          <w:rFonts w:ascii="Book Antiqua" w:eastAsia="宋体" w:hAnsi="Book Antiqua" w:hint="eastAsia"/>
          <w:sz w:val="24"/>
          <w:szCs w:val="24"/>
          <w:lang w:val="en-GB" w:eastAsia="zh-CN"/>
        </w:rPr>
        <w:t xml:space="preserve">JH </w:t>
      </w:r>
      <w:r w:rsidRPr="008F0C1A">
        <w:rPr>
          <w:rFonts w:ascii="Book Antiqua" w:hAnsi="Book Antiqua"/>
          <w:sz w:val="24"/>
          <w:szCs w:val="24"/>
          <w:lang w:val="en-GB"/>
        </w:rPr>
        <w:t xml:space="preserve">analysed the data and wrote the paper; Kim </w:t>
      </w:r>
      <w:r w:rsidR="00213C52">
        <w:rPr>
          <w:rFonts w:ascii="Book Antiqua" w:eastAsia="宋体" w:hAnsi="Book Antiqua" w:hint="eastAsia"/>
          <w:sz w:val="24"/>
          <w:szCs w:val="24"/>
          <w:lang w:val="en-GB" w:eastAsia="zh-CN"/>
        </w:rPr>
        <w:t xml:space="preserve">BJ </w:t>
      </w:r>
      <w:r w:rsidRPr="008F0C1A">
        <w:rPr>
          <w:rFonts w:ascii="Book Antiqua" w:hAnsi="Book Antiqua"/>
          <w:sz w:val="24"/>
          <w:szCs w:val="24"/>
          <w:lang w:val="en-GB"/>
        </w:rPr>
        <w:t xml:space="preserve">designed the research; </w:t>
      </w:r>
      <w:r w:rsidR="00213C52">
        <w:rPr>
          <w:rFonts w:ascii="Book Antiqua" w:eastAsiaTheme="majorHAnsi" w:hAnsi="Book Antiqua" w:cs="Times New Roman"/>
          <w:sz w:val="24"/>
          <w:szCs w:val="24"/>
        </w:rPr>
        <w:t>Choi</w:t>
      </w:r>
      <w:r w:rsidR="00213C52">
        <w:rPr>
          <w:rFonts w:ascii="Book Antiqua" w:eastAsia="宋体" w:hAnsi="Book Antiqua" w:cs="Times New Roman" w:hint="eastAsia"/>
          <w:sz w:val="24"/>
          <w:szCs w:val="24"/>
          <w:lang w:eastAsia="zh-CN"/>
        </w:rPr>
        <w:t xml:space="preserve"> CH</w:t>
      </w:r>
      <w:r w:rsidRPr="008F0C1A">
        <w:rPr>
          <w:rFonts w:ascii="Book Antiqua" w:eastAsiaTheme="majorHAnsi" w:hAnsi="Book Antiqua" w:cs="Times New Roman"/>
          <w:sz w:val="24"/>
          <w:szCs w:val="24"/>
        </w:rPr>
        <w:t xml:space="preserve"> and Kim</w:t>
      </w:r>
      <w:r w:rsidRPr="008F0C1A">
        <w:rPr>
          <w:rFonts w:ascii="Book Antiqua" w:hAnsi="Book Antiqua"/>
          <w:sz w:val="24"/>
          <w:szCs w:val="24"/>
          <w:lang w:val="en-GB"/>
        </w:rPr>
        <w:t xml:space="preserve"> </w:t>
      </w:r>
      <w:r w:rsidR="00213C52">
        <w:rPr>
          <w:rFonts w:ascii="Book Antiqua" w:eastAsia="宋体" w:hAnsi="Book Antiqua" w:hint="eastAsia"/>
          <w:sz w:val="24"/>
          <w:szCs w:val="24"/>
          <w:lang w:val="en-GB" w:eastAsia="zh-CN"/>
        </w:rPr>
        <w:t xml:space="preserve">JG </w:t>
      </w:r>
      <w:r w:rsidRPr="008F0C1A">
        <w:rPr>
          <w:rFonts w:ascii="Book Antiqua" w:hAnsi="Book Antiqua"/>
          <w:sz w:val="24"/>
          <w:szCs w:val="24"/>
          <w:lang w:val="en-GB"/>
        </w:rPr>
        <w:t>collected the data.</w:t>
      </w:r>
    </w:p>
    <w:p w:rsidR="00360170" w:rsidRPr="008F0C1A" w:rsidRDefault="00360170" w:rsidP="00A771AE">
      <w:pPr>
        <w:wordWrap/>
        <w:adjustRightInd w:val="0"/>
        <w:snapToGrid w:val="0"/>
        <w:spacing w:after="0" w:line="360" w:lineRule="auto"/>
        <w:rPr>
          <w:rFonts w:ascii="Book Antiqua" w:hAnsi="Book Antiqua" w:cs="Book Antiqua"/>
          <w:kern w:val="0"/>
          <w:sz w:val="24"/>
          <w:szCs w:val="24"/>
        </w:rPr>
      </w:pPr>
    </w:p>
    <w:p w:rsidR="00360170" w:rsidRPr="008F0C1A" w:rsidRDefault="00360170" w:rsidP="00A771AE">
      <w:pPr>
        <w:wordWrap/>
        <w:adjustRightInd w:val="0"/>
        <w:snapToGrid w:val="0"/>
        <w:spacing w:after="0" w:line="360" w:lineRule="auto"/>
        <w:rPr>
          <w:rFonts w:ascii="Book Antiqua" w:hAnsi="Book Antiqua" w:cs="Book Antiqua"/>
          <w:kern w:val="0"/>
          <w:sz w:val="24"/>
          <w:szCs w:val="24"/>
        </w:rPr>
      </w:pPr>
      <w:r w:rsidRPr="008F0C1A">
        <w:rPr>
          <w:rFonts w:ascii="Book Antiqua" w:hAnsi="Book Antiqua" w:cs="Book Antiqua"/>
          <w:b/>
          <w:kern w:val="0"/>
          <w:sz w:val="24"/>
          <w:szCs w:val="24"/>
        </w:rPr>
        <w:t>Institutional review board statement:</w:t>
      </w:r>
      <w:r w:rsidRPr="008F0C1A">
        <w:rPr>
          <w:rFonts w:ascii="Book Antiqua" w:hAnsi="Book Antiqua" w:cs="Book Antiqua"/>
          <w:kern w:val="0"/>
          <w:sz w:val="24"/>
          <w:szCs w:val="24"/>
        </w:rPr>
        <w:t xml:space="preserve"> This study was reviewed and approved by the</w:t>
      </w:r>
      <w:r w:rsidR="008F0C1A" w:rsidRPr="008F0C1A">
        <w:rPr>
          <w:rFonts w:ascii="Book Antiqua" w:eastAsia="宋体" w:hAnsi="Book Antiqua" w:cs="Book Antiqua" w:hint="eastAsia"/>
          <w:kern w:val="0"/>
          <w:sz w:val="24"/>
          <w:szCs w:val="24"/>
          <w:lang w:eastAsia="zh-CN"/>
        </w:rPr>
        <w:t xml:space="preserve"> </w:t>
      </w:r>
      <w:r w:rsidRPr="008F0C1A">
        <w:rPr>
          <w:rFonts w:ascii="Book Antiqua" w:hAnsi="Book Antiqua" w:cs="Book Antiqua"/>
          <w:kern w:val="0"/>
          <w:sz w:val="24"/>
          <w:szCs w:val="24"/>
        </w:rPr>
        <w:t>institutional review board of Chung-</w:t>
      </w:r>
      <w:proofErr w:type="spellStart"/>
      <w:r w:rsidRPr="008F0C1A">
        <w:rPr>
          <w:rFonts w:ascii="Book Antiqua" w:hAnsi="Book Antiqua" w:cs="Book Antiqua"/>
          <w:kern w:val="0"/>
          <w:sz w:val="24"/>
          <w:szCs w:val="24"/>
        </w:rPr>
        <w:t>Ang</w:t>
      </w:r>
      <w:proofErr w:type="spellEnd"/>
      <w:r w:rsidRPr="008F0C1A">
        <w:rPr>
          <w:rFonts w:ascii="Book Antiqua" w:hAnsi="Book Antiqua" w:cs="Book Antiqua"/>
          <w:kern w:val="0"/>
          <w:sz w:val="24"/>
          <w:szCs w:val="24"/>
        </w:rPr>
        <w:t xml:space="preserve"> University College of Medicine</w:t>
      </w:r>
      <w:r w:rsidR="00213C52">
        <w:rPr>
          <w:rFonts w:ascii="Book Antiqua" w:eastAsia="宋体" w:hAnsi="Book Antiqua" w:cs="Book Antiqua" w:hint="eastAsia"/>
          <w:kern w:val="0"/>
          <w:sz w:val="24"/>
          <w:szCs w:val="24"/>
          <w:lang w:eastAsia="zh-CN"/>
        </w:rPr>
        <w:t>,</w:t>
      </w:r>
      <w:r w:rsidRPr="008F0C1A">
        <w:rPr>
          <w:rFonts w:ascii="Book Antiqua" w:hAnsi="Book Antiqua" w:cs="Book Antiqua"/>
          <w:kern w:val="0"/>
          <w:sz w:val="24"/>
          <w:szCs w:val="24"/>
        </w:rPr>
        <w:t xml:space="preserve"> </w:t>
      </w:r>
      <w:r w:rsidR="00213C52">
        <w:rPr>
          <w:rFonts w:ascii="Book Antiqua" w:hAnsi="Book Antiqua" w:cs="Book Antiqua"/>
          <w:kern w:val="0"/>
          <w:sz w:val="24"/>
          <w:szCs w:val="24"/>
        </w:rPr>
        <w:t xml:space="preserve">No. </w:t>
      </w:r>
      <w:proofErr w:type="gramStart"/>
      <w:r w:rsidR="00213C52">
        <w:rPr>
          <w:rFonts w:ascii="Book Antiqua" w:hAnsi="Book Antiqua" w:cs="Book Antiqua"/>
          <w:kern w:val="0"/>
          <w:sz w:val="24"/>
          <w:szCs w:val="24"/>
        </w:rPr>
        <w:t>C2014088(</w:t>
      </w:r>
      <w:proofErr w:type="gramEnd"/>
      <w:r w:rsidR="00213C52">
        <w:rPr>
          <w:rFonts w:ascii="Book Antiqua" w:hAnsi="Book Antiqua" w:cs="Book Antiqua"/>
          <w:kern w:val="0"/>
          <w:sz w:val="24"/>
          <w:szCs w:val="24"/>
        </w:rPr>
        <w:t>1284)</w:t>
      </w:r>
      <w:r w:rsidRPr="008F0C1A">
        <w:rPr>
          <w:rFonts w:ascii="Book Antiqua" w:hAnsi="Book Antiqua" w:cs="Book Antiqua"/>
          <w:kern w:val="0"/>
          <w:sz w:val="24"/>
          <w:szCs w:val="24"/>
        </w:rPr>
        <w:t>.</w:t>
      </w:r>
    </w:p>
    <w:p w:rsidR="008C583B" w:rsidRPr="008F0C1A" w:rsidRDefault="008C583B" w:rsidP="00A771AE">
      <w:pPr>
        <w:wordWrap/>
        <w:adjustRightInd w:val="0"/>
        <w:snapToGrid w:val="0"/>
        <w:spacing w:after="0" w:line="360" w:lineRule="auto"/>
        <w:rPr>
          <w:rFonts w:ascii="Book Antiqua" w:hAnsi="Book Antiqua" w:cs="Book Antiqua"/>
          <w:b/>
          <w:kern w:val="0"/>
          <w:sz w:val="24"/>
          <w:szCs w:val="24"/>
        </w:rPr>
      </w:pPr>
    </w:p>
    <w:p w:rsidR="00360170" w:rsidRPr="008F0C1A" w:rsidRDefault="00360170" w:rsidP="00A771AE">
      <w:pPr>
        <w:wordWrap/>
        <w:adjustRightInd w:val="0"/>
        <w:snapToGrid w:val="0"/>
        <w:spacing w:after="0" w:line="360" w:lineRule="auto"/>
        <w:rPr>
          <w:rFonts w:ascii="Book Antiqua" w:hAnsi="Book Antiqua" w:cs="Book Antiqua"/>
          <w:kern w:val="0"/>
          <w:sz w:val="24"/>
          <w:szCs w:val="24"/>
        </w:rPr>
      </w:pPr>
      <w:r w:rsidRPr="008F0C1A">
        <w:rPr>
          <w:rFonts w:ascii="Book Antiqua" w:hAnsi="Book Antiqua" w:cs="Book Antiqua"/>
          <w:b/>
          <w:kern w:val="0"/>
          <w:sz w:val="24"/>
          <w:szCs w:val="24"/>
        </w:rPr>
        <w:t>Informed consent statement:</w:t>
      </w:r>
      <w:r w:rsidRPr="008F0C1A">
        <w:rPr>
          <w:rFonts w:ascii="Book Antiqua" w:hAnsi="Book Antiqua" w:cs="Book Antiqua"/>
          <w:kern w:val="0"/>
          <w:sz w:val="24"/>
          <w:szCs w:val="24"/>
        </w:rPr>
        <w:t xml:space="preserve"> Informed consent was waived by the </w:t>
      </w:r>
      <w:r w:rsidR="00213C52" w:rsidRPr="00213C52">
        <w:rPr>
          <w:rFonts w:ascii="Book Antiqua" w:hAnsi="Book Antiqua" w:cs="Book Antiqua"/>
          <w:kern w:val="0"/>
          <w:sz w:val="24"/>
          <w:szCs w:val="24"/>
        </w:rPr>
        <w:t xml:space="preserve">institutional review board statement </w:t>
      </w:r>
      <w:r w:rsidRPr="008F0C1A">
        <w:rPr>
          <w:rFonts w:ascii="Book Antiqua" w:hAnsi="Book Antiqua" w:cs="Book Antiqua"/>
          <w:kern w:val="0"/>
          <w:sz w:val="24"/>
          <w:szCs w:val="24"/>
        </w:rPr>
        <w:t>because the study used anonymous clinical data.</w:t>
      </w:r>
    </w:p>
    <w:p w:rsidR="008C583B" w:rsidRPr="008F0C1A" w:rsidRDefault="008C583B" w:rsidP="00A771AE">
      <w:pPr>
        <w:wordWrap/>
        <w:adjustRightInd w:val="0"/>
        <w:snapToGrid w:val="0"/>
        <w:spacing w:after="0" w:line="360" w:lineRule="auto"/>
        <w:rPr>
          <w:rFonts w:ascii="Book Antiqua" w:hAnsi="Book Antiqua" w:cs="Book Antiqua"/>
          <w:b/>
          <w:kern w:val="0"/>
          <w:sz w:val="24"/>
          <w:szCs w:val="24"/>
        </w:rPr>
      </w:pPr>
    </w:p>
    <w:p w:rsidR="00360170" w:rsidRPr="008F0C1A" w:rsidRDefault="00360170" w:rsidP="00A771AE">
      <w:pPr>
        <w:wordWrap/>
        <w:adjustRightInd w:val="0"/>
        <w:snapToGrid w:val="0"/>
        <w:spacing w:after="0" w:line="360" w:lineRule="auto"/>
        <w:rPr>
          <w:rFonts w:ascii="Book Antiqua" w:hAnsi="Book Antiqua" w:cs="Book Antiqua"/>
          <w:kern w:val="0"/>
          <w:sz w:val="24"/>
          <w:szCs w:val="24"/>
        </w:rPr>
      </w:pPr>
      <w:r w:rsidRPr="008F0C1A">
        <w:rPr>
          <w:rFonts w:ascii="Book Antiqua" w:hAnsi="Book Antiqua" w:cs="Book Antiqua"/>
          <w:b/>
          <w:kern w:val="0"/>
          <w:sz w:val="24"/>
          <w:szCs w:val="24"/>
        </w:rPr>
        <w:t>Conflict-of-interest statement:</w:t>
      </w:r>
      <w:r w:rsidRPr="008F0C1A">
        <w:rPr>
          <w:rFonts w:ascii="Book Antiqua" w:hAnsi="Book Antiqua" w:cs="Book Antiqua"/>
          <w:kern w:val="0"/>
          <w:sz w:val="24"/>
          <w:szCs w:val="24"/>
        </w:rPr>
        <w:t xml:space="preserve"> No potential conflict of interest relevant to this article was reported.</w:t>
      </w:r>
    </w:p>
    <w:p w:rsidR="008C583B" w:rsidRPr="008F0C1A" w:rsidRDefault="008C583B" w:rsidP="00A771AE">
      <w:pPr>
        <w:wordWrap/>
        <w:adjustRightInd w:val="0"/>
        <w:snapToGrid w:val="0"/>
        <w:spacing w:after="0" w:line="360" w:lineRule="auto"/>
        <w:rPr>
          <w:rFonts w:ascii="Book Antiqua" w:hAnsi="Book Antiqua" w:cs="Book Antiqua"/>
          <w:b/>
          <w:kern w:val="0"/>
          <w:sz w:val="24"/>
          <w:szCs w:val="24"/>
        </w:rPr>
      </w:pPr>
    </w:p>
    <w:p w:rsidR="00360170" w:rsidRPr="008F0C1A" w:rsidRDefault="00360170" w:rsidP="00A771AE">
      <w:pPr>
        <w:wordWrap/>
        <w:adjustRightInd w:val="0"/>
        <w:snapToGrid w:val="0"/>
        <w:spacing w:after="0" w:line="360" w:lineRule="auto"/>
        <w:rPr>
          <w:rFonts w:ascii="Book Antiqua" w:hAnsi="Book Antiqua" w:cs="Book Antiqua"/>
          <w:kern w:val="0"/>
          <w:sz w:val="24"/>
          <w:szCs w:val="24"/>
        </w:rPr>
      </w:pPr>
      <w:r w:rsidRPr="008F0C1A">
        <w:rPr>
          <w:rFonts w:ascii="Book Antiqua" w:hAnsi="Book Antiqua" w:cs="Book Antiqua"/>
          <w:b/>
          <w:kern w:val="0"/>
          <w:sz w:val="24"/>
          <w:szCs w:val="24"/>
        </w:rPr>
        <w:t xml:space="preserve">Data sharing statement: </w:t>
      </w:r>
      <w:r w:rsidRPr="008F0C1A">
        <w:rPr>
          <w:rFonts w:ascii="Book Antiqua" w:hAnsi="Book Antiqua" w:cs="Book Antiqua"/>
          <w:kern w:val="0"/>
          <w:sz w:val="24"/>
          <w:szCs w:val="24"/>
        </w:rPr>
        <w:t>No additional data are available.</w:t>
      </w:r>
    </w:p>
    <w:p w:rsidR="008C583B" w:rsidRPr="008F0C1A" w:rsidRDefault="008C583B" w:rsidP="00A771AE">
      <w:pPr>
        <w:wordWrap/>
        <w:adjustRightInd w:val="0"/>
        <w:snapToGrid w:val="0"/>
        <w:spacing w:after="0" w:line="360" w:lineRule="auto"/>
        <w:rPr>
          <w:rFonts w:ascii="Book Antiqua" w:hAnsi="Book Antiqua" w:cs="Book Antiqua"/>
          <w:b/>
          <w:kern w:val="0"/>
          <w:sz w:val="24"/>
          <w:szCs w:val="24"/>
        </w:rPr>
      </w:pPr>
    </w:p>
    <w:p w:rsidR="00360170" w:rsidRPr="008F0C1A" w:rsidRDefault="00360170" w:rsidP="00A771AE">
      <w:pPr>
        <w:wordWrap/>
        <w:adjustRightInd w:val="0"/>
        <w:snapToGrid w:val="0"/>
        <w:spacing w:after="0" w:line="360" w:lineRule="auto"/>
        <w:rPr>
          <w:rFonts w:ascii="Book Antiqua" w:hAnsi="Book Antiqua" w:cs="Book Antiqua"/>
          <w:kern w:val="0"/>
          <w:sz w:val="24"/>
          <w:szCs w:val="24"/>
        </w:rPr>
      </w:pPr>
      <w:r w:rsidRPr="008F0C1A">
        <w:rPr>
          <w:rFonts w:ascii="Book Antiqua" w:hAnsi="Book Antiqua" w:cs="Book Antiqua"/>
          <w:b/>
          <w:kern w:val="0"/>
          <w:sz w:val="24"/>
          <w:szCs w:val="24"/>
        </w:rPr>
        <w:lastRenderedPageBreak/>
        <w:t>Open-Access:</w:t>
      </w:r>
      <w:r w:rsidRPr="008F0C1A">
        <w:rPr>
          <w:rFonts w:ascii="Book Antiqua" w:hAnsi="Book Antiqua" w:cs="Book Antiqua"/>
          <w:kern w:val="0"/>
          <w:sz w:val="24"/>
          <w:szCs w:val="24"/>
        </w:rPr>
        <w:t xml:space="preserve"> This is an open-access article that was selected by an in-house editor</w:t>
      </w:r>
      <w:r w:rsidR="008F0C1A" w:rsidRPr="008F0C1A">
        <w:rPr>
          <w:rFonts w:ascii="Book Antiqua" w:eastAsia="宋体" w:hAnsi="Book Antiqua" w:cs="Book Antiqua" w:hint="eastAsia"/>
          <w:kern w:val="0"/>
          <w:sz w:val="24"/>
          <w:szCs w:val="24"/>
          <w:lang w:eastAsia="zh-CN"/>
        </w:rPr>
        <w:t xml:space="preserve"> </w:t>
      </w:r>
      <w:r w:rsidRPr="008F0C1A">
        <w:rPr>
          <w:rFonts w:ascii="Book Antiqua" w:hAnsi="Book Antiqua" w:cs="Book Antiqua"/>
          <w:kern w:val="0"/>
          <w:sz w:val="24"/>
          <w:szCs w:val="24"/>
        </w:rPr>
        <w:t>and fully peer-reviewed by external reviewers. It is distributed in accordance with the</w:t>
      </w:r>
      <w:r w:rsidR="008F0C1A" w:rsidRPr="008F0C1A">
        <w:rPr>
          <w:rFonts w:ascii="Book Antiqua" w:eastAsia="宋体" w:hAnsi="Book Antiqua" w:cs="Book Antiqua" w:hint="eastAsia"/>
          <w:kern w:val="0"/>
          <w:sz w:val="24"/>
          <w:szCs w:val="24"/>
          <w:lang w:eastAsia="zh-CN"/>
        </w:rPr>
        <w:t xml:space="preserve"> </w:t>
      </w:r>
      <w:r w:rsidRPr="008F0C1A">
        <w:rPr>
          <w:rFonts w:ascii="Book Antiqua" w:hAnsi="Book Antiqua" w:cs="Book Antiqua"/>
          <w:kern w:val="0"/>
          <w:sz w:val="24"/>
          <w:szCs w:val="24"/>
        </w:rPr>
        <w:t>Creative Commons Attribution Non Commercial (CC BY-NC 4.0) license, which</w:t>
      </w:r>
      <w:r w:rsidR="008F0C1A" w:rsidRPr="008F0C1A">
        <w:rPr>
          <w:rFonts w:ascii="Book Antiqua" w:eastAsia="宋体" w:hAnsi="Book Antiqua" w:cs="Book Antiqua" w:hint="eastAsia"/>
          <w:kern w:val="0"/>
          <w:sz w:val="24"/>
          <w:szCs w:val="24"/>
          <w:lang w:eastAsia="zh-CN"/>
        </w:rPr>
        <w:t xml:space="preserve"> </w:t>
      </w:r>
      <w:r w:rsidRPr="008F0C1A">
        <w:rPr>
          <w:rFonts w:ascii="Book Antiqua" w:hAnsi="Book Antiqua" w:cs="Book Antiqua"/>
          <w:kern w:val="0"/>
          <w:sz w:val="24"/>
          <w:szCs w:val="24"/>
        </w:rPr>
        <w:t>permits others to distribute, remix, adapt, build upon this work non-commercially,</w:t>
      </w:r>
      <w:r w:rsidR="008F0C1A" w:rsidRPr="008F0C1A">
        <w:rPr>
          <w:rFonts w:ascii="Book Antiqua" w:hAnsi="Book Antiqua" w:cs="Book Antiqua"/>
          <w:kern w:val="0"/>
          <w:sz w:val="24"/>
          <w:szCs w:val="24"/>
        </w:rPr>
        <w:t xml:space="preserve"> </w:t>
      </w:r>
      <w:r w:rsidRPr="008F0C1A">
        <w:rPr>
          <w:rFonts w:ascii="Book Antiqua" w:hAnsi="Book Antiqua" w:cs="Book Antiqua"/>
          <w:kern w:val="0"/>
          <w:sz w:val="24"/>
          <w:szCs w:val="24"/>
        </w:rPr>
        <w:t>and license their derivative works on different terms, provided the original work is</w:t>
      </w:r>
    </w:p>
    <w:p w:rsidR="008C583B" w:rsidRPr="008F0C1A" w:rsidRDefault="00360170" w:rsidP="00A771AE">
      <w:pPr>
        <w:wordWrap/>
        <w:adjustRightInd w:val="0"/>
        <w:snapToGrid w:val="0"/>
        <w:spacing w:after="0" w:line="360" w:lineRule="auto"/>
        <w:rPr>
          <w:rFonts w:ascii="Book Antiqua" w:hAnsi="Book Antiqua" w:cs="Book Antiqua"/>
          <w:kern w:val="0"/>
          <w:sz w:val="24"/>
          <w:szCs w:val="24"/>
        </w:rPr>
      </w:pPr>
      <w:proofErr w:type="gramStart"/>
      <w:r w:rsidRPr="008F0C1A">
        <w:rPr>
          <w:rFonts w:ascii="Book Antiqua" w:hAnsi="Book Antiqua" w:cs="Book Antiqua"/>
          <w:kern w:val="0"/>
          <w:sz w:val="24"/>
          <w:szCs w:val="24"/>
        </w:rPr>
        <w:t>properly</w:t>
      </w:r>
      <w:proofErr w:type="gramEnd"/>
      <w:r w:rsidRPr="008F0C1A">
        <w:rPr>
          <w:rFonts w:ascii="Book Antiqua" w:hAnsi="Book Antiqua" w:cs="Book Antiqua"/>
          <w:kern w:val="0"/>
          <w:sz w:val="24"/>
          <w:szCs w:val="24"/>
        </w:rPr>
        <w:t xml:space="preserve"> cited and the use is non-commercial. See:</w:t>
      </w:r>
      <w:r w:rsidR="008F0C1A" w:rsidRPr="008F0C1A">
        <w:rPr>
          <w:rFonts w:ascii="Book Antiqua" w:hAnsi="Book Antiqua"/>
          <w:sz w:val="24"/>
          <w:szCs w:val="24"/>
        </w:rPr>
        <w:t xml:space="preserve"> </w:t>
      </w:r>
      <w:hyperlink r:id="rId8" w:history="1">
        <w:r w:rsidR="008C583B" w:rsidRPr="008F0C1A">
          <w:rPr>
            <w:rStyle w:val="a3"/>
            <w:rFonts w:ascii="Book Antiqua" w:hAnsi="Book Antiqua" w:cs="Book Antiqua"/>
            <w:kern w:val="0"/>
            <w:sz w:val="24"/>
            <w:szCs w:val="24"/>
          </w:rPr>
          <w:t>http://creativecommons.org/licenses/by-nc/4.0/</w:t>
        </w:r>
      </w:hyperlink>
    </w:p>
    <w:p w:rsidR="008C583B" w:rsidRPr="008F0C1A" w:rsidRDefault="008C583B" w:rsidP="00A771AE">
      <w:pPr>
        <w:widowControl/>
        <w:wordWrap/>
        <w:autoSpaceDE/>
        <w:autoSpaceDN/>
        <w:adjustRightInd w:val="0"/>
        <w:snapToGrid w:val="0"/>
        <w:spacing w:after="0" w:line="360" w:lineRule="auto"/>
        <w:rPr>
          <w:rFonts w:ascii="Book Antiqua" w:hAnsi="Book Antiqua" w:cs="Book Antiqua"/>
          <w:b/>
          <w:kern w:val="0"/>
          <w:sz w:val="24"/>
          <w:szCs w:val="24"/>
        </w:rPr>
      </w:pPr>
    </w:p>
    <w:p w:rsidR="008C583B" w:rsidRPr="00213C52" w:rsidRDefault="008C583B" w:rsidP="00A771AE">
      <w:pPr>
        <w:widowControl/>
        <w:wordWrap/>
        <w:autoSpaceDE/>
        <w:autoSpaceDN/>
        <w:adjustRightInd w:val="0"/>
        <w:snapToGrid w:val="0"/>
        <w:spacing w:after="0" w:line="360" w:lineRule="auto"/>
        <w:rPr>
          <w:rFonts w:ascii="Book Antiqua" w:eastAsia="宋体" w:hAnsi="Book Antiqua" w:cs="Book Antiqua"/>
          <w:kern w:val="0"/>
          <w:sz w:val="24"/>
          <w:szCs w:val="24"/>
          <w:lang w:eastAsia="zh-CN"/>
        </w:rPr>
      </w:pPr>
      <w:r w:rsidRPr="008F0C1A">
        <w:rPr>
          <w:rFonts w:ascii="Book Antiqua" w:hAnsi="Book Antiqua" w:cs="Book Antiqua"/>
          <w:b/>
          <w:kern w:val="0"/>
          <w:sz w:val="24"/>
          <w:szCs w:val="24"/>
        </w:rPr>
        <w:t>Correspondence to:</w:t>
      </w:r>
      <w:r w:rsidR="00213C52">
        <w:rPr>
          <w:rFonts w:ascii="Book Antiqua" w:hAnsi="Book Antiqua" w:cs="Book Antiqua"/>
          <w:kern w:val="0"/>
          <w:sz w:val="24"/>
          <w:szCs w:val="24"/>
        </w:rPr>
        <w:t xml:space="preserve"> </w:t>
      </w:r>
      <w:proofErr w:type="spellStart"/>
      <w:r w:rsidR="00213C52" w:rsidRPr="00213C52">
        <w:rPr>
          <w:rFonts w:ascii="Book Antiqua" w:hAnsi="Book Antiqua" w:cs="Book Antiqua"/>
          <w:b/>
          <w:kern w:val="0"/>
          <w:sz w:val="24"/>
          <w:szCs w:val="24"/>
        </w:rPr>
        <w:t>Beom</w:t>
      </w:r>
      <w:proofErr w:type="spellEnd"/>
      <w:r w:rsidR="00213C52" w:rsidRPr="00213C52">
        <w:rPr>
          <w:rFonts w:ascii="Book Antiqua" w:hAnsi="Book Antiqua" w:cs="Book Antiqua"/>
          <w:b/>
          <w:kern w:val="0"/>
          <w:sz w:val="24"/>
          <w:szCs w:val="24"/>
        </w:rPr>
        <w:t xml:space="preserve"> </w:t>
      </w:r>
      <w:proofErr w:type="spellStart"/>
      <w:r w:rsidR="00213C52" w:rsidRPr="00213C52">
        <w:rPr>
          <w:rFonts w:ascii="Book Antiqua" w:hAnsi="Book Antiqua" w:cs="Book Antiqua"/>
          <w:b/>
          <w:kern w:val="0"/>
          <w:sz w:val="24"/>
          <w:szCs w:val="24"/>
        </w:rPr>
        <w:t>Jin</w:t>
      </w:r>
      <w:proofErr w:type="spellEnd"/>
      <w:r w:rsidR="00213C52" w:rsidRPr="00213C52">
        <w:rPr>
          <w:rFonts w:ascii="Book Antiqua" w:hAnsi="Book Antiqua" w:cs="Book Antiqua"/>
          <w:b/>
          <w:kern w:val="0"/>
          <w:sz w:val="24"/>
          <w:szCs w:val="24"/>
        </w:rPr>
        <w:t xml:space="preserve"> Kim, MD, PhD</w:t>
      </w:r>
      <w:r w:rsidR="00213C52" w:rsidRPr="00213C52">
        <w:rPr>
          <w:rFonts w:ascii="Book Antiqua" w:eastAsia="宋体" w:hAnsi="Book Antiqua" w:cs="Book Antiqua" w:hint="eastAsia"/>
          <w:b/>
          <w:kern w:val="0"/>
          <w:sz w:val="24"/>
          <w:szCs w:val="24"/>
          <w:lang w:eastAsia="zh-CN"/>
        </w:rPr>
        <w:t xml:space="preserve">, </w:t>
      </w:r>
      <w:r w:rsidRPr="008F0C1A">
        <w:rPr>
          <w:rFonts w:ascii="Book Antiqua" w:hAnsi="Book Antiqua" w:cs="Book Antiqua"/>
          <w:kern w:val="0"/>
          <w:sz w:val="24"/>
          <w:szCs w:val="24"/>
        </w:rPr>
        <w:t>Department of Internal Medicine, Chung-</w:t>
      </w:r>
      <w:proofErr w:type="spellStart"/>
      <w:r w:rsidRPr="008F0C1A">
        <w:rPr>
          <w:rFonts w:ascii="Book Antiqua" w:hAnsi="Book Antiqua" w:cs="Book Antiqua"/>
          <w:kern w:val="0"/>
          <w:sz w:val="24"/>
          <w:szCs w:val="24"/>
        </w:rPr>
        <w:t>Ang</w:t>
      </w:r>
      <w:proofErr w:type="spellEnd"/>
      <w:r w:rsidRPr="008F0C1A">
        <w:rPr>
          <w:rFonts w:ascii="Book Antiqua" w:hAnsi="Book Antiqua" w:cs="Book Antiqua"/>
          <w:kern w:val="0"/>
          <w:sz w:val="24"/>
          <w:szCs w:val="24"/>
        </w:rPr>
        <w:t xml:space="preserve"> University College of Medicine, 224-1 </w:t>
      </w:r>
      <w:proofErr w:type="spellStart"/>
      <w:r w:rsidRPr="008F0C1A">
        <w:rPr>
          <w:rFonts w:ascii="Book Antiqua" w:hAnsi="Book Antiqua" w:cs="Book Antiqua"/>
          <w:kern w:val="0"/>
          <w:sz w:val="24"/>
          <w:szCs w:val="24"/>
        </w:rPr>
        <w:t>H</w:t>
      </w:r>
      <w:r w:rsidR="00213C52">
        <w:rPr>
          <w:rFonts w:ascii="Book Antiqua" w:hAnsi="Book Antiqua" w:cs="Book Antiqua"/>
          <w:kern w:val="0"/>
          <w:sz w:val="24"/>
          <w:szCs w:val="24"/>
        </w:rPr>
        <w:t>eukseok</w:t>
      </w:r>
      <w:proofErr w:type="spellEnd"/>
      <w:r w:rsidR="00213C52">
        <w:rPr>
          <w:rFonts w:ascii="Book Antiqua" w:hAnsi="Book Antiqua" w:cs="Book Antiqua"/>
          <w:kern w:val="0"/>
          <w:sz w:val="24"/>
          <w:szCs w:val="24"/>
        </w:rPr>
        <w:t xml:space="preserve">-dong, </w:t>
      </w:r>
      <w:proofErr w:type="spellStart"/>
      <w:r w:rsidR="00213C52">
        <w:rPr>
          <w:rFonts w:ascii="Book Antiqua" w:hAnsi="Book Antiqua" w:cs="Book Antiqua"/>
          <w:kern w:val="0"/>
          <w:sz w:val="24"/>
          <w:szCs w:val="24"/>
        </w:rPr>
        <w:t>Dongjak-gu</w:t>
      </w:r>
      <w:proofErr w:type="spellEnd"/>
      <w:r w:rsidR="00213C52">
        <w:rPr>
          <w:rFonts w:ascii="Book Antiqua" w:hAnsi="Book Antiqua" w:cs="Book Antiqua"/>
          <w:kern w:val="0"/>
          <w:sz w:val="24"/>
          <w:szCs w:val="24"/>
        </w:rPr>
        <w:t>, Seoul</w:t>
      </w:r>
      <w:r w:rsidRPr="008F0C1A">
        <w:rPr>
          <w:rFonts w:ascii="Book Antiqua" w:hAnsi="Book Antiqua" w:cs="Book Antiqua"/>
          <w:kern w:val="0"/>
          <w:sz w:val="24"/>
          <w:szCs w:val="24"/>
        </w:rPr>
        <w:t xml:space="preserve"> 156-755</w:t>
      </w:r>
      <w:r w:rsidR="00213C52">
        <w:rPr>
          <w:rFonts w:ascii="Book Antiqua" w:eastAsia="宋体" w:hAnsi="Book Antiqua" w:cs="Book Antiqua" w:hint="eastAsia"/>
          <w:kern w:val="0"/>
          <w:sz w:val="24"/>
          <w:szCs w:val="24"/>
          <w:lang w:eastAsia="zh-CN"/>
        </w:rPr>
        <w:t>,</w:t>
      </w:r>
      <w:r w:rsidRPr="008F0C1A">
        <w:rPr>
          <w:rFonts w:ascii="Book Antiqua" w:hAnsi="Book Antiqua" w:cs="Book Antiqua"/>
          <w:kern w:val="0"/>
          <w:sz w:val="24"/>
          <w:szCs w:val="24"/>
        </w:rPr>
        <w:t xml:space="preserve"> </w:t>
      </w:r>
      <w:r w:rsidR="00213C52">
        <w:rPr>
          <w:rFonts w:ascii="Book Antiqua" w:eastAsia="宋体" w:hAnsi="Book Antiqua" w:cs="Book Antiqua" w:hint="eastAsia"/>
          <w:kern w:val="0"/>
          <w:sz w:val="24"/>
          <w:szCs w:val="24"/>
          <w:lang w:eastAsia="zh-CN"/>
        </w:rPr>
        <w:t xml:space="preserve">South </w:t>
      </w:r>
      <w:r w:rsidRPr="008F0C1A">
        <w:rPr>
          <w:rFonts w:ascii="Book Antiqua" w:hAnsi="Book Antiqua" w:cs="Book Antiqua"/>
          <w:kern w:val="0"/>
          <w:sz w:val="24"/>
          <w:szCs w:val="24"/>
        </w:rPr>
        <w:t>Korea.</w:t>
      </w:r>
      <w:r w:rsidR="00213C52">
        <w:rPr>
          <w:rFonts w:ascii="Book Antiqua" w:eastAsia="宋体" w:hAnsi="Book Antiqua" w:cs="Book Antiqua" w:hint="eastAsia"/>
          <w:kern w:val="0"/>
          <w:sz w:val="24"/>
          <w:szCs w:val="24"/>
          <w:lang w:eastAsia="zh-CN"/>
        </w:rPr>
        <w:t xml:space="preserve"> </w:t>
      </w:r>
      <w:r w:rsidR="00213C52" w:rsidRPr="008F0C1A">
        <w:rPr>
          <w:rFonts w:ascii="Book Antiqua" w:hAnsi="Book Antiqua" w:cs="Book Antiqua"/>
          <w:kern w:val="0"/>
          <w:sz w:val="24"/>
          <w:szCs w:val="24"/>
        </w:rPr>
        <w:t>kimbj@cau.ac.kr</w:t>
      </w:r>
    </w:p>
    <w:p w:rsidR="003E6715" w:rsidRDefault="003E6715" w:rsidP="00A771AE">
      <w:pPr>
        <w:wordWrap/>
        <w:adjustRightInd w:val="0"/>
        <w:snapToGrid w:val="0"/>
        <w:spacing w:after="0" w:line="360" w:lineRule="auto"/>
        <w:rPr>
          <w:rFonts w:ascii="Book Antiqua" w:hAnsi="Book Antiqua"/>
          <w:color w:val="0A0905"/>
          <w:sz w:val="24"/>
        </w:rPr>
      </w:pPr>
      <w:r w:rsidRPr="009E3692">
        <w:rPr>
          <w:rFonts w:ascii="Book Antiqua" w:hAnsi="Book Antiqua"/>
          <w:b/>
          <w:sz w:val="24"/>
        </w:rPr>
        <w:t xml:space="preserve">Telephone: </w:t>
      </w:r>
      <w:r w:rsidRPr="008F0C1A">
        <w:rPr>
          <w:rFonts w:ascii="Book Antiqua" w:hAnsi="Book Antiqua" w:cs="Book Antiqua"/>
          <w:kern w:val="0"/>
          <w:sz w:val="24"/>
          <w:szCs w:val="24"/>
        </w:rPr>
        <w:t>+82</w:t>
      </w:r>
      <w:r>
        <w:rPr>
          <w:rFonts w:ascii="Book Antiqua" w:eastAsia="宋体" w:hAnsi="Book Antiqua" w:cs="Book Antiqua" w:hint="eastAsia"/>
          <w:kern w:val="0"/>
          <w:sz w:val="24"/>
          <w:szCs w:val="24"/>
          <w:lang w:eastAsia="zh-CN"/>
        </w:rPr>
        <w:t>-</w:t>
      </w:r>
      <w:r>
        <w:rPr>
          <w:rFonts w:ascii="Book Antiqua" w:hAnsi="Book Antiqua" w:cs="Book Antiqua"/>
          <w:kern w:val="0"/>
          <w:sz w:val="24"/>
          <w:szCs w:val="24"/>
        </w:rPr>
        <w:t>2-6299</w:t>
      </w:r>
      <w:r w:rsidRPr="008F0C1A">
        <w:rPr>
          <w:rFonts w:ascii="Book Antiqua" w:hAnsi="Book Antiqua" w:cs="Book Antiqua"/>
          <w:kern w:val="0"/>
          <w:sz w:val="24"/>
          <w:szCs w:val="24"/>
        </w:rPr>
        <w:t>1355</w:t>
      </w:r>
      <w:r w:rsidRPr="009E3692">
        <w:rPr>
          <w:rFonts w:ascii="Book Antiqua" w:hAnsi="Book Antiqua"/>
          <w:color w:val="0A0905"/>
          <w:sz w:val="24"/>
        </w:rPr>
        <w:t xml:space="preserve">   </w:t>
      </w:r>
      <w:r>
        <w:rPr>
          <w:rFonts w:ascii="Book Antiqua" w:hAnsi="Book Antiqua" w:hint="eastAsia"/>
          <w:color w:val="0A0905"/>
          <w:sz w:val="24"/>
        </w:rPr>
        <w:t xml:space="preserve">  </w:t>
      </w:r>
      <w:r w:rsidRPr="009E3692">
        <w:rPr>
          <w:rFonts w:ascii="Book Antiqua" w:hAnsi="Book Antiqua"/>
          <w:color w:val="0A0905"/>
          <w:sz w:val="24"/>
        </w:rPr>
        <w:t xml:space="preserve">  </w:t>
      </w:r>
    </w:p>
    <w:p w:rsidR="003E6715" w:rsidRPr="009E3692" w:rsidRDefault="003E6715" w:rsidP="00A771AE">
      <w:pPr>
        <w:wordWrap/>
        <w:adjustRightInd w:val="0"/>
        <w:snapToGrid w:val="0"/>
        <w:spacing w:after="0" w:line="360" w:lineRule="auto"/>
        <w:rPr>
          <w:rFonts w:ascii="Book Antiqua" w:hAnsi="Book Antiqua"/>
          <w:sz w:val="24"/>
        </w:rPr>
      </w:pPr>
      <w:r w:rsidRPr="009E3692">
        <w:rPr>
          <w:rFonts w:ascii="Book Antiqua" w:hAnsi="Book Antiqua"/>
          <w:b/>
          <w:sz w:val="24"/>
        </w:rPr>
        <w:t xml:space="preserve">Fax: </w:t>
      </w:r>
      <w:r w:rsidRPr="008F0C1A">
        <w:rPr>
          <w:rFonts w:ascii="Book Antiqua" w:hAnsi="Book Antiqua" w:cs="Book Antiqua"/>
          <w:kern w:val="0"/>
          <w:sz w:val="24"/>
          <w:szCs w:val="24"/>
        </w:rPr>
        <w:t>+82</w:t>
      </w:r>
      <w:r>
        <w:rPr>
          <w:rFonts w:ascii="Book Antiqua" w:eastAsia="宋体" w:hAnsi="Book Antiqua" w:cs="Book Antiqua" w:hint="eastAsia"/>
          <w:kern w:val="0"/>
          <w:sz w:val="24"/>
          <w:szCs w:val="24"/>
          <w:lang w:eastAsia="zh-CN"/>
        </w:rPr>
        <w:t>-</w:t>
      </w:r>
      <w:r>
        <w:rPr>
          <w:rFonts w:ascii="Book Antiqua" w:hAnsi="Book Antiqua" w:cs="Book Antiqua"/>
          <w:kern w:val="0"/>
          <w:sz w:val="24"/>
          <w:szCs w:val="24"/>
        </w:rPr>
        <w:t>2-6299</w:t>
      </w:r>
      <w:r w:rsidRPr="008F0C1A">
        <w:rPr>
          <w:rFonts w:ascii="Book Antiqua" w:hAnsi="Book Antiqua" w:cs="Book Antiqua"/>
          <w:kern w:val="0"/>
          <w:sz w:val="24"/>
          <w:szCs w:val="24"/>
        </w:rPr>
        <w:t>1137</w:t>
      </w:r>
    </w:p>
    <w:p w:rsidR="003E6715" w:rsidRDefault="003E6715" w:rsidP="00A771AE">
      <w:pPr>
        <w:wordWrap/>
        <w:adjustRightInd w:val="0"/>
        <w:snapToGrid w:val="0"/>
        <w:spacing w:after="0" w:line="360" w:lineRule="auto"/>
        <w:rPr>
          <w:rFonts w:ascii="Book Antiqua" w:hAnsi="Book Antiqua"/>
          <w:b/>
          <w:sz w:val="24"/>
        </w:rPr>
      </w:pPr>
    </w:p>
    <w:p w:rsidR="003E6715" w:rsidRPr="00867A3A" w:rsidRDefault="003E6715" w:rsidP="00A771AE">
      <w:pPr>
        <w:wordWrap/>
        <w:adjustRightInd w:val="0"/>
        <w:snapToGrid w:val="0"/>
        <w:spacing w:after="0" w:line="360" w:lineRule="auto"/>
        <w:rPr>
          <w:rFonts w:ascii="Book Antiqua" w:hAnsi="Book Antiqua"/>
          <w:b/>
          <w:sz w:val="24"/>
        </w:rPr>
      </w:pPr>
      <w:r w:rsidRPr="00867A3A">
        <w:rPr>
          <w:rFonts w:ascii="Book Antiqua" w:hAnsi="Book Antiqua"/>
          <w:b/>
          <w:sz w:val="24"/>
        </w:rPr>
        <w:t xml:space="preserve">Received: </w:t>
      </w:r>
      <w:r w:rsidR="000E6593" w:rsidRPr="00A11C75">
        <w:rPr>
          <w:rFonts w:ascii="Book Antiqua" w:hAnsi="Book Antiqua"/>
          <w:sz w:val="24"/>
        </w:rPr>
        <w:t>September</w:t>
      </w:r>
      <w:r w:rsidR="000E6593">
        <w:rPr>
          <w:rFonts w:ascii="Book Antiqua" w:eastAsia="宋体" w:hAnsi="Book Antiqua" w:hint="eastAsia"/>
          <w:sz w:val="24"/>
          <w:lang w:eastAsia="zh-CN"/>
        </w:rPr>
        <w:t xml:space="preserve"> 30, 2015</w:t>
      </w:r>
      <w:r w:rsidRPr="00867A3A">
        <w:rPr>
          <w:rFonts w:ascii="Book Antiqua" w:hAnsi="Book Antiqua"/>
          <w:b/>
          <w:sz w:val="24"/>
        </w:rPr>
        <w:t xml:space="preserve">  </w:t>
      </w:r>
    </w:p>
    <w:p w:rsidR="003E6715" w:rsidRPr="00483714" w:rsidRDefault="003E6715" w:rsidP="00A771AE">
      <w:pPr>
        <w:wordWrap/>
        <w:adjustRightInd w:val="0"/>
        <w:snapToGrid w:val="0"/>
        <w:spacing w:after="0" w:line="360" w:lineRule="auto"/>
        <w:rPr>
          <w:rFonts w:ascii="Book Antiqua" w:eastAsia="宋体" w:hAnsi="Book Antiqua"/>
          <w:b/>
          <w:sz w:val="24"/>
          <w:lang w:eastAsia="zh-CN"/>
        </w:rPr>
      </w:pPr>
      <w:r w:rsidRPr="00867A3A">
        <w:rPr>
          <w:rFonts w:ascii="Book Antiqua" w:hAnsi="Book Antiqua"/>
          <w:b/>
          <w:sz w:val="24"/>
        </w:rPr>
        <w:t>Peer-review started:</w:t>
      </w:r>
      <w:r w:rsidR="00483714">
        <w:rPr>
          <w:rFonts w:ascii="Book Antiqua" w:eastAsia="宋体" w:hAnsi="Book Antiqua" w:hint="eastAsia"/>
          <w:b/>
          <w:sz w:val="24"/>
          <w:lang w:eastAsia="zh-CN"/>
        </w:rPr>
        <w:t xml:space="preserve"> </w:t>
      </w:r>
      <w:bookmarkStart w:id="0" w:name="OLE_LINK14"/>
      <w:bookmarkStart w:id="1" w:name="OLE_LINK15"/>
      <w:r w:rsidR="00483714" w:rsidRPr="00A11C75">
        <w:rPr>
          <w:rFonts w:ascii="Book Antiqua" w:hAnsi="Book Antiqua"/>
          <w:sz w:val="24"/>
        </w:rPr>
        <w:t>October</w:t>
      </w:r>
      <w:bookmarkEnd w:id="0"/>
      <w:bookmarkEnd w:id="1"/>
      <w:r w:rsidR="00483714">
        <w:rPr>
          <w:rFonts w:ascii="Book Antiqua" w:eastAsia="宋体" w:hAnsi="Book Antiqua" w:hint="eastAsia"/>
          <w:sz w:val="24"/>
          <w:lang w:eastAsia="zh-CN"/>
        </w:rPr>
        <w:t xml:space="preserve"> 1, 2015</w:t>
      </w:r>
    </w:p>
    <w:p w:rsidR="003E6715" w:rsidRPr="00EF33A1" w:rsidRDefault="003E6715" w:rsidP="00A771AE">
      <w:pPr>
        <w:wordWrap/>
        <w:adjustRightInd w:val="0"/>
        <w:snapToGrid w:val="0"/>
        <w:spacing w:after="0" w:line="360" w:lineRule="auto"/>
        <w:rPr>
          <w:rFonts w:ascii="Book Antiqua" w:eastAsia="宋体" w:hAnsi="Book Antiqua"/>
          <w:b/>
          <w:sz w:val="24"/>
          <w:lang w:eastAsia="zh-CN"/>
        </w:rPr>
      </w:pPr>
      <w:r w:rsidRPr="00867A3A">
        <w:rPr>
          <w:rFonts w:ascii="Book Antiqua" w:hAnsi="Book Antiqua"/>
          <w:b/>
          <w:sz w:val="24"/>
        </w:rPr>
        <w:t>First decision:</w:t>
      </w:r>
      <w:r w:rsidR="00EF33A1">
        <w:rPr>
          <w:rFonts w:ascii="Book Antiqua" w:eastAsia="宋体" w:hAnsi="Book Antiqua" w:hint="eastAsia"/>
          <w:b/>
          <w:sz w:val="24"/>
          <w:lang w:eastAsia="zh-CN"/>
        </w:rPr>
        <w:t xml:space="preserve"> </w:t>
      </w:r>
      <w:r w:rsidR="00EF33A1" w:rsidRPr="00A11C75">
        <w:rPr>
          <w:rFonts w:ascii="Book Antiqua" w:hAnsi="Book Antiqua"/>
          <w:sz w:val="24"/>
        </w:rPr>
        <w:t>November</w:t>
      </w:r>
      <w:r w:rsidR="00EF33A1">
        <w:rPr>
          <w:rFonts w:ascii="Book Antiqua" w:eastAsia="宋体" w:hAnsi="Book Antiqua" w:hint="eastAsia"/>
          <w:sz w:val="24"/>
          <w:lang w:eastAsia="zh-CN"/>
        </w:rPr>
        <w:t xml:space="preserve"> 5, 2015</w:t>
      </w:r>
    </w:p>
    <w:p w:rsidR="003E6715" w:rsidRPr="00867A3A" w:rsidRDefault="003E6715" w:rsidP="00A771AE">
      <w:pPr>
        <w:wordWrap/>
        <w:adjustRightInd w:val="0"/>
        <w:snapToGrid w:val="0"/>
        <w:spacing w:after="0" w:line="360" w:lineRule="auto"/>
        <w:rPr>
          <w:rFonts w:ascii="Book Antiqua" w:hAnsi="Book Antiqua"/>
          <w:b/>
          <w:sz w:val="24"/>
        </w:rPr>
      </w:pPr>
      <w:r w:rsidRPr="00867A3A">
        <w:rPr>
          <w:rFonts w:ascii="Book Antiqua" w:hAnsi="Book Antiqua"/>
          <w:b/>
          <w:sz w:val="24"/>
        </w:rPr>
        <w:t xml:space="preserve">Revised: </w:t>
      </w:r>
      <w:r w:rsidR="003712FE" w:rsidRPr="00A11C75">
        <w:rPr>
          <w:rFonts w:ascii="Book Antiqua" w:hAnsi="Book Antiqua"/>
          <w:sz w:val="24"/>
        </w:rPr>
        <w:t>November</w:t>
      </w:r>
      <w:r w:rsidR="003712FE">
        <w:rPr>
          <w:rFonts w:ascii="Book Antiqua" w:eastAsia="宋体" w:hAnsi="Book Antiqua" w:hint="eastAsia"/>
          <w:sz w:val="24"/>
          <w:lang w:eastAsia="zh-CN"/>
        </w:rPr>
        <w:t xml:space="preserve"> 19, 2015</w:t>
      </w:r>
      <w:r w:rsidRPr="00867A3A">
        <w:rPr>
          <w:rFonts w:ascii="Book Antiqua" w:hAnsi="Book Antiqua"/>
          <w:b/>
          <w:sz w:val="24"/>
        </w:rPr>
        <w:t xml:space="preserve"> </w:t>
      </w:r>
    </w:p>
    <w:p w:rsidR="003E6715" w:rsidRPr="005131C2" w:rsidRDefault="003E6715" w:rsidP="005131C2">
      <w:pPr>
        <w:spacing w:line="360" w:lineRule="auto"/>
        <w:rPr>
          <w:rFonts w:ascii="Book Antiqua" w:hAnsi="Book Antiqua"/>
          <w:color w:val="000000" w:themeColor="text1"/>
          <w:sz w:val="24"/>
          <w:szCs w:val="24"/>
        </w:rPr>
      </w:pPr>
      <w:r w:rsidRPr="00867A3A">
        <w:rPr>
          <w:rFonts w:ascii="Book Antiqua" w:hAnsi="Book Antiqua"/>
          <w:b/>
          <w:sz w:val="24"/>
        </w:rPr>
        <w:t>Accepted:</w:t>
      </w:r>
      <w:bookmarkStart w:id="2" w:name="OLE_LINK98"/>
      <w:bookmarkStart w:id="3" w:name="OLE_LINK99"/>
      <w:bookmarkStart w:id="4" w:name="OLE_LINK104"/>
      <w:bookmarkStart w:id="5" w:name="OLE_LINK110"/>
      <w:bookmarkStart w:id="6" w:name="OLE_LINK111"/>
      <w:bookmarkStart w:id="7" w:name="OLE_LINK115"/>
      <w:bookmarkStart w:id="8" w:name="OLE_LINK116"/>
      <w:bookmarkStart w:id="9" w:name="OLE_LINK117"/>
      <w:bookmarkStart w:id="10" w:name="OLE_LINK118"/>
      <w:bookmarkStart w:id="11" w:name="OLE_LINK119"/>
      <w:bookmarkStart w:id="12" w:name="OLE_LINK120"/>
      <w:bookmarkStart w:id="13" w:name="OLE_LINK121"/>
      <w:bookmarkStart w:id="14" w:name="OLE_LINK122"/>
      <w:bookmarkStart w:id="15" w:name="OLE_LINK125"/>
      <w:bookmarkStart w:id="16" w:name="OLE_LINK126"/>
      <w:bookmarkStart w:id="17" w:name="OLE_LINK127"/>
      <w:bookmarkStart w:id="18" w:name="OLE_LINK129"/>
      <w:bookmarkStart w:id="19" w:name="OLE_LINK132"/>
      <w:bookmarkStart w:id="20" w:name="OLE_LINK134"/>
      <w:bookmarkStart w:id="21" w:name="OLE_LINK135"/>
      <w:bookmarkStart w:id="22" w:name="OLE_LINK136"/>
      <w:bookmarkStart w:id="23" w:name="OLE_LINK137"/>
      <w:bookmarkStart w:id="24" w:name="OLE_LINK138"/>
      <w:bookmarkStart w:id="25" w:name="OLE_LINK139"/>
      <w:bookmarkStart w:id="26" w:name="OLE_LINK141"/>
      <w:bookmarkStart w:id="27" w:name="OLE_LINK142"/>
      <w:bookmarkStart w:id="28" w:name="OLE_LINK143"/>
      <w:bookmarkStart w:id="29" w:name="OLE_LINK144"/>
      <w:bookmarkStart w:id="30" w:name="OLE_LINK145"/>
      <w:bookmarkStart w:id="31" w:name="OLE_LINK146"/>
      <w:r w:rsidR="005131C2" w:rsidRPr="005131C2">
        <w:rPr>
          <w:rFonts w:ascii="Book Antiqua" w:hAnsi="Book Antiqua"/>
          <w:color w:val="000000" w:themeColor="text1"/>
          <w:sz w:val="24"/>
          <w:szCs w:val="24"/>
        </w:rPr>
        <w:t xml:space="preserve"> </w:t>
      </w:r>
      <w:r w:rsidR="005131C2" w:rsidRPr="00F45817">
        <w:rPr>
          <w:rFonts w:ascii="Book Antiqua" w:hAnsi="Book Antiqua"/>
          <w:color w:val="000000" w:themeColor="text1"/>
          <w:sz w:val="24"/>
          <w:szCs w:val="24"/>
        </w:rPr>
        <w:t>December 12, 2015</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867A3A">
        <w:rPr>
          <w:rFonts w:ascii="Book Antiqua" w:hAnsi="Book Antiqua"/>
          <w:b/>
          <w:sz w:val="24"/>
        </w:rPr>
        <w:t xml:space="preserve">  </w:t>
      </w:r>
    </w:p>
    <w:p w:rsidR="003E6715" w:rsidRPr="00867A3A" w:rsidRDefault="003E6715" w:rsidP="00A771AE">
      <w:pPr>
        <w:wordWrap/>
        <w:adjustRightInd w:val="0"/>
        <w:snapToGrid w:val="0"/>
        <w:spacing w:after="0" w:line="360" w:lineRule="auto"/>
        <w:rPr>
          <w:rFonts w:ascii="Book Antiqua" w:hAnsi="Book Antiqua"/>
          <w:b/>
          <w:sz w:val="24"/>
        </w:rPr>
      </w:pPr>
      <w:r w:rsidRPr="00867A3A">
        <w:rPr>
          <w:rFonts w:ascii="Book Antiqua" w:hAnsi="Book Antiqua"/>
          <w:b/>
          <w:sz w:val="24"/>
        </w:rPr>
        <w:t>Article in press:</w:t>
      </w:r>
    </w:p>
    <w:p w:rsidR="003E6715" w:rsidRPr="009E3692" w:rsidRDefault="003E6715" w:rsidP="00A771AE">
      <w:pPr>
        <w:wordWrap/>
        <w:adjustRightInd w:val="0"/>
        <w:snapToGrid w:val="0"/>
        <w:spacing w:after="0" w:line="360" w:lineRule="auto"/>
        <w:rPr>
          <w:rFonts w:ascii="Book Antiqua" w:hAnsi="Book Antiqua"/>
          <w:sz w:val="24"/>
        </w:rPr>
      </w:pPr>
      <w:r w:rsidRPr="00867A3A">
        <w:rPr>
          <w:rFonts w:ascii="Book Antiqua" w:hAnsi="Book Antiqua"/>
          <w:b/>
          <w:sz w:val="24"/>
        </w:rPr>
        <w:t>Published online:</w:t>
      </w:r>
    </w:p>
    <w:p w:rsidR="00811FBD" w:rsidRDefault="00811FBD" w:rsidP="00A771AE">
      <w:pPr>
        <w:widowControl/>
        <w:wordWrap/>
        <w:autoSpaceDE/>
        <w:autoSpaceDN/>
        <w:adjustRightInd w:val="0"/>
        <w:snapToGrid w:val="0"/>
        <w:spacing w:after="0" w:line="360" w:lineRule="auto"/>
        <w:rPr>
          <w:rFonts w:ascii="Book Antiqua" w:eastAsia="宋体" w:hAnsi="Book Antiqua" w:cs="Book Antiqua"/>
          <w:kern w:val="0"/>
          <w:sz w:val="24"/>
          <w:szCs w:val="24"/>
          <w:lang w:eastAsia="zh-CN"/>
        </w:rPr>
      </w:pPr>
    </w:p>
    <w:p w:rsidR="008C583B" w:rsidRPr="008F0C1A" w:rsidRDefault="008C583B" w:rsidP="00A771AE">
      <w:pPr>
        <w:widowControl/>
        <w:wordWrap/>
        <w:autoSpaceDE/>
        <w:autoSpaceDN/>
        <w:adjustRightInd w:val="0"/>
        <w:snapToGrid w:val="0"/>
        <w:spacing w:after="0" w:line="360" w:lineRule="auto"/>
        <w:rPr>
          <w:rFonts w:ascii="Book Antiqua" w:eastAsiaTheme="minorHAnsi" w:hAnsi="Book Antiqua" w:cs="Times New Roman"/>
          <w:b/>
          <w:sz w:val="24"/>
          <w:szCs w:val="24"/>
        </w:rPr>
      </w:pPr>
      <w:r w:rsidRPr="008F0C1A">
        <w:rPr>
          <w:rFonts w:ascii="Book Antiqua" w:eastAsiaTheme="minorHAnsi" w:hAnsi="Book Antiqua" w:cs="Times New Roman"/>
          <w:b/>
          <w:sz w:val="24"/>
          <w:szCs w:val="24"/>
        </w:rPr>
        <w:br w:type="page"/>
      </w:r>
    </w:p>
    <w:p w:rsidR="000512F8" w:rsidRPr="008F0C1A" w:rsidRDefault="004D4655" w:rsidP="00A771AE">
      <w:pPr>
        <w:wordWrap/>
        <w:adjustRightInd w:val="0"/>
        <w:snapToGrid w:val="0"/>
        <w:spacing w:after="0" w:line="360" w:lineRule="auto"/>
        <w:rPr>
          <w:rFonts w:ascii="Book Antiqua" w:eastAsiaTheme="minorHAnsi" w:hAnsi="Book Antiqua" w:cs="Times New Roman"/>
          <w:b/>
          <w:sz w:val="24"/>
          <w:szCs w:val="24"/>
        </w:rPr>
      </w:pPr>
      <w:r w:rsidRPr="008F0C1A">
        <w:rPr>
          <w:rFonts w:ascii="Book Antiqua" w:eastAsiaTheme="minorHAnsi" w:hAnsi="Book Antiqua" w:cs="Times New Roman"/>
          <w:b/>
          <w:sz w:val="24"/>
          <w:szCs w:val="24"/>
        </w:rPr>
        <w:lastRenderedPageBreak/>
        <w:t>Abstract</w:t>
      </w:r>
    </w:p>
    <w:p w:rsidR="00956CFC" w:rsidRPr="008F0C1A" w:rsidRDefault="008F0C1A" w:rsidP="00A771AE">
      <w:pPr>
        <w:wordWrap/>
        <w:adjustRightInd w:val="0"/>
        <w:snapToGrid w:val="0"/>
        <w:spacing w:after="0" w:line="360" w:lineRule="auto"/>
        <w:rPr>
          <w:rFonts w:ascii="Book Antiqua" w:eastAsiaTheme="minorHAnsi" w:hAnsi="Book Antiqua" w:cs="Times New Roman"/>
          <w:sz w:val="24"/>
          <w:szCs w:val="24"/>
        </w:rPr>
      </w:pPr>
      <w:r w:rsidRPr="008F0C1A">
        <w:rPr>
          <w:rFonts w:ascii="Book Antiqua" w:eastAsiaTheme="minorHAnsi" w:hAnsi="Book Antiqua" w:cs="Times New Roman"/>
          <w:b/>
          <w:caps/>
          <w:sz w:val="24"/>
          <w:szCs w:val="24"/>
        </w:rPr>
        <w:t>Aim</w:t>
      </w:r>
      <w:r w:rsidR="00BE375D" w:rsidRPr="008F0C1A">
        <w:rPr>
          <w:rFonts w:ascii="Book Antiqua" w:eastAsiaTheme="minorHAnsi" w:hAnsi="Book Antiqua" w:cs="Times New Roman"/>
          <w:b/>
          <w:caps/>
          <w:sz w:val="24"/>
          <w:szCs w:val="24"/>
        </w:rPr>
        <w:t>:</w:t>
      </w:r>
      <w:r w:rsidR="00BE375D" w:rsidRPr="008F0C1A">
        <w:rPr>
          <w:rFonts w:ascii="Book Antiqua" w:eastAsiaTheme="minorHAnsi" w:hAnsi="Book Antiqua" w:cs="Times New Roman"/>
          <w:b/>
          <w:i/>
          <w:sz w:val="24"/>
          <w:szCs w:val="24"/>
        </w:rPr>
        <w:t xml:space="preserve"> </w:t>
      </w:r>
      <w:r w:rsidR="004D4655" w:rsidRPr="008F0C1A">
        <w:rPr>
          <w:rFonts w:ascii="Book Antiqua" w:eastAsiaTheme="minorHAnsi" w:hAnsi="Book Antiqua" w:cs="Times New Roman"/>
          <w:sz w:val="24"/>
          <w:szCs w:val="24"/>
        </w:rPr>
        <w:t xml:space="preserve">The clinical </w:t>
      </w:r>
      <w:r w:rsidR="006376F1" w:rsidRPr="008F0C1A">
        <w:rPr>
          <w:rFonts w:ascii="Book Antiqua" w:eastAsiaTheme="minorHAnsi" w:hAnsi="Book Antiqua" w:cs="Times New Roman"/>
          <w:sz w:val="24"/>
          <w:szCs w:val="24"/>
        </w:rPr>
        <w:t>value</w:t>
      </w:r>
      <w:r w:rsidR="004D4655" w:rsidRPr="008F0C1A">
        <w:rPr>
          <w:rFonts w:ascii="Book Antiqua" w:eastAsiaTheme="minorHAnsi" w:hAnsi="Book Antiqua" w:cs="Times New Roman"/>
          <w:sz w:val="24"/>
          <w:szCs w:val="24"/>
        </w:rPr>
        <w:t xml:space="preserve"> of second look endoscopy (SLE) after endoscopic submucosal dissection (ESD) has been doubted continuously. The aim of this study was to assess the e</w:t>
      </w:r>
      <w:r w:rsidR="00AC77ED" w:rsidRPr="008F0C1A">
        <w:rPr>
          <w:rFonts w:ascii="Book Antiqua" w:eastAsiaTheme="minorHAnsi" w:hAnsi="Book Antiqua" w:cs="Times New Roman"/>
          <w:sz w:val="24"/>
          <w:szCs w:val="24"/>
        </w:rPr>
        <w:t xml:space="preserve">ffectiveness </w:t>
      </w:r>
      <w:r w:rsidR="004D4655" w:rsidRPr="008F0C1A">
        <w:rPr>
          <w:rFonts w:ascii="Book Antiqua" w:eastAsiaTheme="minorHAnsi" w:hAnsi="Book Antiqua" w:cs="Times New Roman"/>
          <w:sz w:val="24"/>
          <w:szCs w:val="24"/>
        </w:rPr>
        <w:t xml:space="preserve">of SLE based </w:t>
      </w:r>
      <w:r w:rsidR="00AB0261" w:rsidRPr="008F0C1A">
        <w:rPr>
          <w:rFonts w:ascii="Book Antiqua" w:eastAsiaTheme="minorHAnsi" w:hAnsi="Book Antiqua" w:cs="Times New Roman"/>
          <w:sz w:val="24"/>
          <w:szCs w:val="24"/>
        </w:rPr>
        <w:t xml:space="preserve">on the risk of </w:t>
      </w:r>
      <w:r w:rsidR="00143DA8" w:rsidRPr="008F0C1A">
        <w:rPr>
          <w:rFonts w:ascii="Book Antiqua" w:eastAsiaTheme="minorHAnsi" w:hAnsi="Book Antiqua" w:cs="Times New Roman"/>
          <w:sz w:val="24"/>
          <w:szCs w:val="24"/>
        </w:rPr>
        <w:t xml:space="preserve">delayed </w:t>
      </w:r>
      <w:r w:rsidR="00AB0261" w:rsidRPr="008F0C1A">
        <w:rPr>
          <w:rFonts w:ascii="Book Antiqua" w:eastAsiaTheme="minorHAnsi" w:hAnsi="Book Antiqua" w:cs="Times New Roman"/>
          <w:sz w:val="24"/>
          <w:szCs w:val="24"/>
        </w:rPr>
        <w:t>bleeding</w:t>
      </w:r>
      <w:r w:rsidR="00AC77ED" w:rsidRPr="008F0C1A">
        <w:rPr>
          <w:rFonts w:ascii="Book Antiqua" w:eastAsiaTheme="minorHAnsi" w:hAnsi="Book Antiqua" w:cs="Times New Roman"/>
          <w:sz w:val="24"/>
          <w:szCs w:val="24"/>
        </w:rPr>
        <w:t xml:space="preserve"> after ESD</w:t>
      </w:r>
      <w:r w:rsidR="00143DA8" w:rsidRPr="008F0C1A">
        <w:rPr>
          <w:rFonts w:ascii="Book Antiqua" w:eastAsiaTheme="minorHAnsi" w:hAnsi="Book Antiqua" w:cs="Times New Roman"/>
          <w:sz w:val="24"/>
          <w:szCs w:val="24"/>
        </w:rPr>
        <w:t>.</w:t>
      </w:r>
      <w:r w:rsidR="007E7DE8" w:rsidRPr="008F0C1A">
        <w:rPr>
          <w:rFonts w:ascii="Book Antiqua" w:eastAsiaTheme="minorHAnsi" w:hAnsi="Book Antiqua" w:cs="Times New Roman"/>
          <w:sz w:val="24"/>
          <w:szCs w:val="24"/>
        </w:rPr>
        <w:t xml:space="preserve"> </w:t>
      </w:r>
    </w:p>
    <w:p w:rsidR="00956CFC" w:rsidRPr="008F0C1A" w:rsidRDefault="00956CFC" w:rsidP="00A771AE">
      <w:pPr>
        <w:wordWrap/>
        <w:adjustRightInd w:val="0"/>
        <w:snapToGrid w:val="0"/>
        <w:spacing w:after="0" w:line="360" w:lineRule="auto"/>
        <w:rPr>
          <w:rFonts w:ascii="Book Antiqua" w:eastAsiaTheme="minorHAnsi" w:hAnsi="Book Antiqua" w:cs="Times New Roman"/>
          <w:sz w:val="24"/>
          <w:szCs w:val="24"/>
        </w:rPr>
      </w:pPr>
    </w:p>
    <w:p w:rsidR="00956CFC" w:rsidRPr="008F0C1A" w:rsidRDefault="004D4655" w:rsidP="00A771AE">
      <w:pPr>
        <w:wordWrap/>
        <w:adjustRightInd w:val="0"/>
        <w:snapToGrid w:val="0"/>
        <w:spacing w:after="0" w:line="360" w:lineRule="auto"/>
        <w:rPr>
          <w:rFonts w:ascii="Book Antiqua" w:eastAsiaTheme="minorHAnsi" w:hAnsi="Book Antiqua" w:cs="Times New Roman"/>
          <w:sz w:val="24"/>
          <w:szCs w:val="24"/>
        </w:rPr>
      </w:pPr>
      <w:r w:rsidRPr="008F0C1A">
        <w:rPr>
          <w:rFonts w:ascii="Book Antiqua" w:eastAsiaTheme="minorHAnsi" w:hAnsi="Book Antiqua" w:cs="Times New Roman"/>
          <w:b/>
          <w:caps/>
          <w:sz w:val="24"/>
          <w:szCs w:val="24"/>
        </w:rPr>
        <w:t>M</w:t>
      </w:r>
      <w:r w:rsidR="007E7DE8" w:rsidRPr="008F0C1A">
        <w:rPr>
          <w:rFonts w:ascii="Book Antiqua" w:eastAsiaTheme="minorHAnsi" w:hAnsi="Book Antiqua" w:cs="Times New Roman"/>
          <w:b/>
          <w:caps/>
          <w:sz w:val="24"/>
          <w:szCs w:val="24"/>
        </w:rPr>
        <w:t>ethods</w:t>
      </w:r>
      <w:r w:rsidR="00BE375D" w:rsidRPr="008F0C1A">
        <w:rPr>
          <w:rFonts w:ascii="Book Antiqua" w:eastAsiaTheme="minorHAnsi" w:hAnsi="Book Antiqua" w:cs="Times New Roman"/>
          <w:b/>
          <w:caps/>
          <w:sz w:val="24"/>
          <w:szCs w:val="24"/>
        </w:rPr>
        <w:t>:</w:t>
      </w:r>
      <w:r w:rsidRPr="008F0C1A">
        <w:rPr>
          <w:rFonts w:ascii="Book Antiqua" w:eastAsiaTheme="minorHAnsi" w:hAnsi="Book Antiqua" w:cs="Times New Roman"/>
          <w:b/>
          <w:sz w:val="24"/>
          <w:szCs w:val="24"/>
        </w:rPr>
        <w:t xml:space="preserve"> </w:t>
      </w:r>
      <w:r w:rsidRPr="008F0C1A">
        <w:rPr>
          <w:rFonts w:ascii="Book Antiqua" w:eastAsiaTheme="minorHAnsi" w:hAnsi="Book Antiqua" w:cs="Times New Roman"/>
          <w:sz w:val="24"/>
          <w:szCs w:val="24"/>
        </w:rPr>
        <w:t xml:space="preserve">A total of </w:t>
      </w:r>
      <w:r w:rsidR="008F3FD8" w:rsidRPr="008F0C1A">
        <w:rPr>
          <w:rFonts w:ascii="Book Antiqua" w:eastAsiaTheme="minorHAnsi" w:hAnsi="Book Antiqua" w:cs="Times New Roman"/>
          <w:sz w:val="24"/>
          <w:szCs w:val="24"/>
        </w:rPr>
        <w:t>310</w:t>
      </w:r>
      <w:r w:rsidRPr="008F0C1A">
        <w:rPr>
          <w:rFonts w:ascii="Book Antiqua" w:eastAsiaTheme="minorHAnsi" w:hAnsi="Book Antiqua" w:cs="Times New Roman"/>
          <w:sz w:val="24"/>
          <w:szCs w:val="24"/>
        </w:rPr>
        <w:t xml:space="preserve"> lesions of gastric epithelial neoplasm</w:t>
      </w:r>
      <w:r w:rsidR="00143DA8" w:rsidRPr="008F0C1A">
        <w:rPr>
          <w:rFonts w:ascii="Book Antiqua" w:eastAsiaTheme="minorHAnsi" w:hAnsi="Book Antiqua" w:cs="Times New Roman"/>
          <w:sz w:val="24"/>
          <w:szCs w:val="24"/>
        </w:rPr>
        <w:t>s</w:t>
      </w:r>
      <w:r w:rsidRPr="008F0C1A">
        <w:rPr>
          <w:rFonts w:ascii="Book Antiqua" w:eastAsiaTheme="minorHAnsi" w:hAnsi="Book Antiqua" w:cs="Times New Roman"/>
          <w:sz w:val="24"/>
          <w:szCs w:val="24"/>
        </w:rPr>
        <w:t xml:space="preserve"> treated by ESD were reviewed. </w:t>
      </w:r>
      <w:r w:rsidR="002F1CBA" w:rsidRPr="008F0C1A">
        <w:rPr>
          <w:rFonts w:ascii="Book Antiqua" w:eastAsiaTheme="minorHAnsi" w:hAnsi="Book Antiqua" w:cs="Times New Roman"/>
          <w:sz w:val="24"/>
          <w:szCs w:val="24"/>
        </w:rPr>
        <w:t xml:space="preserve">The lesions were divided into two groups based on the risk of post-procedural bleeding estimated by Forrest classification. The high risk </w:t>
      </w:r>
      <w:r w:rsidR="00BB7511" w:rsidRPr="008F0C1A">
        <w:rPr>
          <w:rFonts w:ascii="Book Antiqua" w:eastAsiaTheme="minorHAnsi" w:hAnsi="Book Antiqua" w:cs="Times New Roman"/>
          <w:sz w:val="24"/>
          <w:szCs w:val="24"/>
        </w:rPr>
        <w:t xml:space="preserve">of </w:t>
      </w:r>
      <w:proofErr w:type="spellStart"/>
      <w:r w:rsidR="006F679F" w:rsidRPr="008F0C1A">
        <w:rPr>
          <w:rFonts w:ascii="Book Antiqua" w:eastAsiaTheme="minorHAnsi" w:hAnsi="Book Antiqua" w:cs="Times New Roman"/>
          <w:sz w:val="24"/>
          <w:szCs w:val="24"/>
        </w:rPr>
        <w:t>rebleeding</w:t>
      </w:r>
      <w:proofErr w:type="spellEnd"/>
      <w:r w:rsidR="002F1CBA" w:rsidRPr="008F0C1A">
        <w:rPr>
          <w:rFonts w:ascii="Book Antiqua" w:eastAsiaTheme="minorHAnsi" w:hAnsi="Book Antiqua" w:cs="Times New Roman"/>
          <w:sz w:val="24"/>
          <w:szCs w:val="24"/>
        </w:rPr>
        <w:t xml:space="preserve"> group (Forrest </w:t>
      </w:r>
      <w:proofErr w:type="spellStart"/>
      <w:proofErr w:type="gramStart"/>
      <w:r w:rsidR="002F1CBA" w:rsidRPr="008F0C1A">
        <w:rPr>
          <w:rFonts w:ascii="Book Antiqua" w:eastAsiaTheme="minorHAnsi" w:hAnsi="Book Antiqua" w:cs="Times New Roman"/>
          <w:sz w:val="24"/>
          <w:szCs w:val="24"/>
        </w:rPr>
        <w:t>Ia</w:t>
      </w:r>
      <w:proofErr w:type="spellEnd"/>
      <w:proofErr w:type="gramEnd"/>
      <w:r w:rsidR="002F1CBA" w:rsidRPr="008F0C1A">
        <w:rPr>
          <w:rFonts w:ascii="Book Antiqua" w:eastAsiaTheme="minorHAnsi" w:hAnsi="Book Antiqua" w:cs="Times New Roman"/>
          <w:sz w:val="24"/>
          <w:szCs w:val="24"/>
        </w:rPr>
        <w:t xml:space="preserve">, </w:t>
      </w:r>
      <w:proofErr w:type="spellStart"/>
      <w:r w:rsidR="002F1CBA" w:rsidRPr="008F0C1A">
        <w:rPr>
          <w:rFonts w:ascii="Book Antiqua" w:eastAsiaTheme="minorHAnsi" w:hAnsi="Book Antiqua" w:cs="Times New Roman"/>
          <w:sz w:val="24"/>
          <w:szCs w:val="24"/>
        </w:rPr>
        <w:t>Ib</w:t>
      </w:r>
      <w:proofErr w:type="spellEnd"/>
      <w:r w:rsidR="002F1CBA" w:rsidRPr="008F0C1A">
        <w:rPr>
          <w:rFonts w:ascii="Book Antiqua" w:eastAsiaTheme="minorHAnsi" w:hAnsi="Book Antiqua" w:cs="Times New Roman"/>
          <w:sz w:val="24"/>
          <w:szCs w:val="24"/>
        </w:rPr>
        <w:t xml:space="preserve"> and </w:t>
      </w:r>
      <w:proofErr w:type="spellStart"/>
      <w:r w:rsidR="002F1CBA" w:rsidRPr="008F0C1A">
        <w:rPr>
          <w:rFonts w:ascii="Book Antiqua" w:eastAsiaTheme="minorHAnsi" w:hAnsi="Book Antiqua" w:cs="Times New Roman"/>
          <w:sz w:val="24"/>
          <w:szCs w:val="24"/>
        </w:rPr>
        <w:t>IIa</w:t>
      </w:r>
      <w:proofErr w:type="spellEnd"/>
      <w:r w:rsidR="002F1CBA" w:rsidRPr="008F0C1A">
        <w:rPr>
          <w:rFonts w:ascii="Book Antiqua" w:eastAsiaTheme="minorHAnsi" w:hAnsi="Book Antiqua" w:cs="Times New Roman"/>
          <w:sz w:val="24"/>
          <w:szCs w:val="24"/>
        </w:rPr>
        <w:t xml:space="preserve">) required endoscopic treatment, while the low risk </w:t>
      </w:r>
      <w:r w:rsidR="00BB7511" w:rsidRPr="008F0C1A">
        <w:rPr>
          <w:rFonts w:ascii="Book Antiqua" w:eastAsiaTheme="minorHAnsi" w:hAnsi="Book Antiqua" w:cs="Times New Roman"/>
          <w:sz w:val="24"/>
          <w:szCs w:val="24"/>
        </w:rPr>
        <w:t xml:space="preserve">of </w:t>
      </w:r>
      <w:proofErr w:type="spellStart"/>
      <w:r w:rsidR="006F679F" w:rsidRPr="008F0C1A">
        <w:rPr>
          <w:rFonts w:ascii="Book Antiqua" w:eastAsiaTheme="minorHAnsi" w:hAnsi="Book Antiqua" w:cs="Times New Roman"/>
          <w:sz w:val="24"/>
          <w:szCs w:val="24"/>
        </w:rPr>
        <w:t>rebleeding</w:t>
      </w:r>
      <w:proofErr w:type="spellEnd"/>
      <w:r w:rsidR="002F1CBA" w:rsidRPr="008F0C1A">
        <w:rPr>
          <w:rFonts w:ascii="Book Antiqua" w:eastAsiaTheme="minorHAnsi" w:hAnsi="Book Antiqua" w:cs="Times New Roman"/>
          <w:sz w:val="24"/>
          <w:szCs w:val="24"/>
        </w:rPr>
        <w:t xml:space="preserve"> group (Forrest </w:t>
      </w:r>
      <w:proofErr w:type="spellStart"/>
      <w:r w:rsidR="002F1CBA" w:rsidRPr="008F0C1A">
        <w:rPr>
          <w:rFonts w:ascii="Book Antiqua" w:eastAsiaTheme="minorHAnsi" w:hAnsi="Book Antiqua" w:cs="Times New Roman"/>
          <w:sz w:val="24"/>
          <w:szCs w:val="24"/>
        </w:rPr>
        <w:t>IIb</w:t>
      </w:r>
      <w:proofErr w:type="spellEnd"/>
      <w:r w:rsidR="002F1CBA" w:rsidRPr="008F0C1A">
        <w:rPr>
          <w:rFonts w:ascii="Book Antiqua" w:eastAsiaTheme="minorHAnsi" w:hAnsi="Book Antiqua" w:cs="Times New Roman"/>
          <w:sz w:val="24"/>
          <w:szCs w:val="24"/>
        </w:rPr>
        <w:t xml:space="preserve">, </w:t>
      </w:r>
      <w:proofErr w:type="spellStart"/>
      <w:r w:rsidR="002F1CBA" w:rsidRPr="008F0C1A">
        <w:rPr>
          <w:rFonts w:ascii="Book Antiqua" w:eastAsiaTheme="minorHAnsi" w:hAnsi="Book Antiqua" w:cs="Times New Roman"/>
          <w:sz w:val="24"/>
          <w:szCs w:val="24"/>
        </w:rPr>
        <w:t>IIc</w:t>
      </w:r>
      <w:proofErr w:type="spellEnd"/>
      <w:r w:rsidR="002F1CBA" w:rsidRPr="008F0C1A">
        <w:rPr>
          <w:rFonts w:ascii="Book Antiqua" w:eastAsiaTheme="minorHAnsi" w:hAnsi="Book Antiqua" w:cs="Times New Roman"/>
          <w:sz w:val="24"/>
          <w:szCs w:val="24"/>
        </w:rPr>
        <w:t xml:space="preserve"> and III) did not. </w:t>
      </w:r>
      <w:r w:rsidR="007458F2" w:rsidRPr="008F0C1A">
        <w:rPr>
          <w:rFonts w:ascii="Book Antiqua" w:eastAsiaTheme="minorHAnsi" w:hAnsi="Book Antiqua" w:cs="Times New Roman"/>
          <w:sz w:val="24"/>
          <w:szCs w:val="24"/>
        </w:rPr>
        <w:t>D</w:t>
      </w:r>
      <w:r w:rsidRPr="008F0C1A">
        <w:rPr>
          <w:rFonts w:ascii="Book Antiqua" w:eastAsiaTheme="minorHAnsi" w:hAnsi="Book Antiqua" w:cs="Times New Roman"/>
          <w:sz w:val="24"/>
          <w:szCs w:val="24"/>
        </w:rPr>
        <w:t xml:space="preserve">elayed bleeding after ESD </w:t>
      </w:r>
      <w:r w:rsidR="007458F2" w:rsidRPr="008F0C1A">
        <w:rPr>
          <w:rFonts w:ascii="Book Antiqua" w:eastAsiaTheme="minorHAnsi" w:hAnsi="Book Antiqua" w:cs="Times New Roman"/>
          <w:sz w:val="24"/>
          <w:szCs w:val="24"/>
        </w:rPr>
        <w:t>was investigated</w:t>
      </w:r>
      <w:r w:rsidRPr="008F0C1A">
        <w:rPr>
          <w:rFonts w:ascii="Book Antiqua" w:eastAsiaTheme="minorHAnsi" w:hAnsi="Book Antiqua" w:cs="Times New Roman"/>
          <w:sz w:val="24"/>
          <w:szCs w:val="24"/>
        </w:rPr>
        <w:t>.</w:t>
      </w:r>
      <w:r w:rsidR="002F1CBA" w:rsidRPr="008F0C1A">
        <w:rPr>
          <w:rFonts w:ascii="Book Antiqua" w:eastAsiaTheme="minorHAnsi" w:hAnsi="Book Antiqua" w:cs="Times New Roman"/>
          <w:sz w:val="24"/>
          <w:szCs w:val="24"/>
        </w:rPr>
        <w:t xml:space="preserve"> </w:t>
      </w:r>
    </w:p>
    <w:p w:rsidR="00956CFC" w:rsidRPr="008F0C1A" w:rsidRDefault="00956CFC" w:rsidP="00A771AE">
      <w:pPr>
        <w:wordWrap/>
        <w:adjustRightInd w:val="0"/>
        <w:snapToGrid w:val="0"/>
        <w:spacing w:after="0" w:line="360" w:lineRule="auto"/>
        <w:rPr>
          <w:rFonts w:ascii="Book Antiqua" w:eastAsiaTheme="minorHAnsi" w:hAnsi="Book Antiqua" w:cs="Times New Roman"/>
          <w:sz w:val="24"/>
          <w:szCs w:val="24"/>
        </w:rPr>
      </w:pPr>
    </w:p>
    <w:p w:rsidR="00956CFC" w:rsidRPr="008F0C1A" w:rsidRDefault="004D4655" w:rsidP="00A771AE">
      <w:pPr>
        <w:wordWrap/>
        <w:adjustRightInd w:val="0"/>
        <w:snapToGrid w:val="0"/>
        <w:spacing w:after="0" w:line="360" w:lineRule="auto"/>
        <w:rPr>
          <w:rFonts w:ascii="Book Antiqua" w:eastAsiaTheme="minorHAnsi" w:hAnsi="Book Antiqua" w:cs="Times New Roman"/>
          <w:sz w:val="24"/>
          <w:szCs w:val="24"/>
        </w:rPr>
      </w:pPr>
      <w:r w:rsidRPr="008F0C1A">
        <w:rPr>
          <w:rFonts w:ascii="Book Antiqua" w:eastAsiaTheme="minorHAnsi" w:hAnsi="Book Antiqua" w:cs="Times New Roman"/>
          <w:b/>
          <w:caps/>
          <w:sz w:val="24"/>
          <w:szCs w:val="24"/>
        </w:rPr>
        <w:t>Results</w:t>
      </w:r>
      <w:r w:rsidR="00BE375D" w:rsidRPr="008F0C1A">
        <w:rPr>
          <w:rFonts w:ascii="Book Antiqua" w:eastAsiaTheme="minorHAnsi" w:hAnsi="Book Antiqua" w:cs="Times New Roman"/>
          <w:b/>
          <w:caps/>
          <w:sz w:val="24"/>
          <w:szCs w:val="24"/>
        </w:rPr>
        <w:t>:</w:t>
      </w:r>
      <w:r w:rsidRPr="008F0C1A">
        <w:rPr>
          <w:rFonts w:ascii="Book Antiqua" w:eastAsiaTheme="minorHAnsi" w:hAnsi="Book Antiqua" w:cs="Times New Roman"/>
          <w:b/>
          <w:sz w:val="24"/>
          <w:szCs w:val="24"/>
        </w:rPr>
        <w:t xml:space="preserve"> </w:t>
      </w:r>
      <w:r w:rsidR="002F1CBA" w:rsidRPr="008F0C1A">
        <w:rPr>
          <w:rFonts w:ascii="Book Antiqua" w:eastAsiaTheme="minorHAnsi" w:hAnsi="Book Antiqua" w:cs="Times New Roman"/>
          <w:kern w:val="0"/>
          <w:sz w:val="24"/>
          <w:szCs w:val="24"/>
        </w:rPr>
        <w:t xml:space="preserve">Sixty six lesions were included in the high risk </w:t>
      </w:r>
      <w:r w:rsidR="00BB7511" w:rsidRPr="008F0C1A">
        <w:rPr>
          <w:rFonts w:ascii="Book Antiqua" w:eastAsiaTheme="minorHAnsi" w:hAnsi="Book Antiqua" w:cs="Times New Roman"/>
          <w:kern w:val="0"/>
          <w:sz w:val="24"/>
          <w:szCs w:val="24"/>
        </w:rPr>
        <w:t xml:space="preserve">of </w:t>
      </w:r>
      <w:proofErr w:type="spellStart"/>
      <w:r w:rsidR="006F679F" w:rsidRPr="008F0C1A">
        <w:rPr>
          <w:rFonts w:ascii="Book Antiqua" w:eastAsiaTheme="minorHAnsi" w:hAnsi="Book Antiqua" w:cs="Times New Roman"/>
          <w:kern w:val="0"/>
          <w:sz w:val="24"/>
          <w:szCs w:val="24"/>
        </w:rPr>
        <w:t>rebleeding</w:t>
      </w:r>
      <w:proofErr w:type="spellEnd"/>
      <w:r w:rsidR="002F1CBA" w:rsidRPr="008F0C1A">
        <w:rPr>
          <w:rFonts w:ascii="Book Antiqua" w:eastAsiaTheme="minorHAnsi" w:hAnsi="Book Antiqua" w:cs="Times New Roman"/>
          <w:kern w:val="0"/>
          <w:sz w:val="24"/>
          <w:szCs w:val="24"/>
        </w:rPr>
        <w:t xml:space="preserve"> group and 244 lesions in the low risk </w:t>
      </w:r>
      <w:r w:rsidR="00BB7511" w:rsidRPr="008F0C1A">
        <w:rPr>
          <w:rFonts w:ascii="Book Antiqua" w:eastAsiaTheme="minorHAnsi" w:hAnsi="Book Antiqua" w:cs="Times New Roman"/>
          <w:kern w:val="0"/>
          <w:sz w:val="24"/>
          <w:szCs w:val="24"/>
        </w:rPr>
        <w:t xml:space="preserve">of </w:t>
      </w:r>
      <w:proofErr w:type="spellStart"/>
      <w:r w:rsidR="006F679F" w:rsidRPr="008F0C1A">
        <w:rPr>
          <w:rFonts w:ascii="Book Antiqua" w:eastAsiaTheme="minorHAnsi" w:hAnsi="Book Antiqua" w:cs="Times New Roman"/>
          <w:kern w:val="0"/>
          <w:sz w:val="24"/>
          <w:szCs w:val="24"/>
        </w:rPr>
        <w:t>rebleeding</w:t>
      </w:r>
      <w:proofErr w:type="spellEnd"/>
      <w:r w:rsidR="002F1CBA" w:rsidRPr="008F0C1A">
        <w:rPr>
          <w:rFonts w:ascii="Book Antiqua" w:eastAsiaTheme="minorHAnsi" w:hAnsi="Book Antiqua" w:cs="Times New Roman"/>
          <w:kern w:val="0"/>
          <w:sz w:val="24"/>
          <w:szCs w:val="24"/>
        </w:rPr>
        <w:t xml:space="preserve"> group.</w:t>
      </w:r>
      <w:r w:rsidR="002F1CBA" w:rsidRPr="008F0C1A">
        <w:rPr>
          <w:rFonts w:ascii="Book Antiqua" w:eastAsiaTheme="minorHAnsi" w:hAnsi="Book Antiqua" w:cs="Times New Roman"/>
          <w:sz w:val="24"/>
          <w:szCs w:val="24"/>
        </w:rPr>
        <w:t xml:space="preserve"> </w:t>
      </w:r>
      <w:r w:rsidR="008F3FD8" w:rsidRPr="008F0C1A">
        <w:rPr>
          <w:rFonts w:ascii="Book Antiqua" w:eastAsiaTheme="minorHAnsi" w:hAnsi="Book Antiqua" w:cs="Times New Roman"/>
          <w:kern w:val="0"/>
          <w:sz w:val="24"/>
          <w:szCs w:val="24"/>
        </w:rPr>
        <w:t xml:space="preserve">There </w:t>
      </w:r>
      <w:r w:rsidR="007458F2" w:rsidRPr="008F0C1A">
        <w:rPr>
          <w:rFonts w:ascii="Book Antiqua" w:eastAsiaTheme="minorHAnsi" w:hAnsi="Book Antiqua" w:cs="Times New Roman"/>
          <w:kern w:val="0"/>
          <w:sz w:val="24"/>
          <w:szCs w:val="24"/>
        </w:rPr>
        <w:t>were</w:t>
      </w:r>
      <w:r w:rsidR="008F3FD8" w:rsidRPr="008F0C1A">
        <w:rPr>
          <w:rFonts w:ascii="Book Antiqua" w:eastAsiaTheme="minorHAnsi" w:hAnsi="Book Antiqua" w:cs="Times New Roman"/>
          <w:kern w:val="0"/>
          <w:sz w:val="24"/>
          <w:szCs w:val="24"/>
        </w:rPr>
        <w:t xml:space="preserve"> no significant difference</w:t>
      </w:r>
      <w:r w:rsidR="007458F2" w:rsidRPr="008F0C1A">
        <w:rPr>
          <w:rFonts w:ascii="Book Antiqua" w:eastAsiaTheme="minorHAnsi" w:hAnsi="Book Antiqua" w:cs="Times New Roman"/>
          <w:kern w:val="0"/>
          <w:sz w:val="24"/>
          <w:szCs w:val="24"/>
        </w:rPr>
        <w:t>s</w:t>
      </w:r>
      <w:r w:rsidR="008F3FD8" w:rsidRPr="008F0C1A">
        <w:rPr>
          <w:rFonts w:ascii="Book Antiqua" w:eastAsiaTheme="minorHAnsi" w:hAnsi="Book Antiqua" w:cs="Times New Roman"/>
          <w:kern w:val="0"/>
          <w:sz w:val="24"/>
          <w:szCs w:val="24"/>
        </w:rPr>
        <w:t xml:space="preserve"> in delayed bleeding between </w:t>
      </w:r>
      <w:r w:rsidR="007458F2" w:rsidRPr="008F0C1A">
        <w:rPr>
          <w:rFonts w:ascii="Book Antiqua" w:eastAsiaTheme="minorHAnsi" w:hAnsi="Book Antiqua" w:cs="Times New Roman"/>
          <w:kern w:val="0"/>
          <w:sz w:val="24"/>
          <w:szCs w:val="24"/>
        </w:rPr>
        <w:t xml:space="preserve">the </w:t>
      </w:r>
      <w:r w:rsidR="008F3FD8" w:rsidRPr="008F0C1A">
        <w:rPr>
          <w:rFonts w:ascii="Book Antiqua" w:eastAsiaTheme="minorHAnsi" w:hAnsi="Book Antiqua" w:cs="Times New Roman"/>
          <w:kern w:val="0"/>
          <w:sz w:val="24"/>
          <w:szCs w:val="24"/>
        </w:rPr>
        <w:t>high risk group</w:t>
      </w:r>
      <w:r w:rsidR="00C93304" w:rsidRPr="008F0C1A">
        <w:rPr>
          <w:rFonts w:ascii="Book Antiqua" w:eastAsiaTheme="minorHAnsi" w:hAnsi="Book Antiqua" w:cs="Times New Roman"/>
          <w:kern w:val="0"/>
          <w:sz w:val="24"/>
          <w:szCs w:val="24"/>
        </w:rPr>
        <w:t xml:space="preserve"> </w:t>
      </w:r>
      <w:r w:rsidR="008F3FD8" w:rsidRPr="008F0C1A">
        <w:rPr>
          <w:rFonts w:ascii="Book Antiqua" w:eastAsiaTheme="minorHAnsi" w:hAnsi="Book Antiqua" w:cs="Times New Roman"/>
          <w:kern w:val="0"/>
          <w:sz w:val="24"/>
          <w:szCs w:val="24"/>
        </w:rPr>
        <w:t xml:space="preserve">(1/66) and </w:t>
      </w:r>
      <w:r w:rsidR="007458F2" w:rsidRPr="008F0C1A">
        <w:rPr>
          <w:rFonts w:ascii="Book Antiqua" w:eastAsiaTheme="minorHAnsi" w:hAnsi="Book Antiqua" w:cs="Times New Roman"/>
          <w:kern w:val="0"/>
          <w:sz w:val="24"/>
          <w:szCs w:val="24"/>
        </w:rPr>
        <w:t xml:space="preserve">the </w:t>
      </w:r>
      <w:r w:rsidR="008F3FD8" w:rsidRPr="008F0C1A">
        <w:rPr>
          <w:rFonts w:ascii="Book Antiqua" w:eastAsiaTheme="minorHAnsi" w:hAnsi="Book Antiqua" w:cs="Times New Roman"/>
          <w:kern w:val="0"/>
          <w:sz w:val="24"/>
          <w:szCs w:val="24"/>
        </w:rPr>
        <w:t>low risk group</w:t>
      </w:r>
      <w:r w:rsidR="00C93304" w:rsidRPr="008F0C1A">
        <w:rPr>
          <w:rFonts w:ascii="Book Antiqua" w:eastAsiaTheme="minorHAnsi" w:hAnsi="Book Antiqua" w:cs="Times New Roman"/>
          <w:kern w:val="0"/>
          <w:sz w:val="24"/>
          <w:szCs w:val="24"/>
        </w:rPr>
        <w:t xml:space="preserve"> </w:t>
      </w:r>
      <w:r w:rsidR="008F3FD8" w:rsidRPr="008F0C1A">
        <w:rPr>
          <w:rFonts w:ascii="Book Antiqua" w:eastAsiaTheme="minorHAnsi" w:hAnsi="Book Antiqua" w:cs="Times New Roman"/>
          <w:kern w:val="0"/>
          <w:sz w:val="24"/>
          <w:szCs w:val="24"/>
        </w:rPr>
        <w:t>(1/244) (</w:t>
      </w:r>
      <w:r w:rsidR="00EF6AB7" w:rsidRPr="008F0C1A">
        <w:rPr>
          <w:rFonts w:ascii="Book Antiqua" w:eastAsiaTheme="minorHAnsi" w:hAnsi="Book Antiqua" w:cs="Times New Roman"/>
          <w:i/>
          <w:sz w:val="24"/>
          <w:szCs w:val="24"/>
        </w:rPr>
        <w:t>P</w:t>
      </w:r>
      <w:r w:rsidR="00EF6AB7" w:rsidRPr="008F0C1A">
        <w:rPr>
          <w:rFonts w:ascii="Book Antiqua" w:eastAsiaTheme="minorHAnsi" w:hAnsi="Book Antiqua" w:cs="Times New Roman"/>
          <w:kern w:val="0"/>
          <w:sz w:val="24"/>
          <w:szCs w:val="24"/>
        </w:rPr>
        <w:t xml:space="preserve"> </w:t>
      </w:r>
      <w:r w:rsidR="008F3FD8" w:rsidRPr="008F0C1A">
        <w:rPr>
          <w:rFonts w:ascii="Book Antiqua" w:eastAsiaTheme="minorHAnsi" w:hAnsi="Book Antiqua" w:cs="Times New Roman"/>
          <w:kern w:val="0"/>
          <w:sz w:val="24"/>
          <w:szCs w:val="24"/>
        </w:rPr>
        <w:t>=</w:t>
      </w:r>
      <w:r w:rsidR="007E7DE8" w:rsidRPr="008F0C1A">
        <w:rPr>
          <w:rFonts w:ascii="Book Antiqua" w:eastAsiaTheme="minorHAnsi" w:hAnsi="Book Antiqua" w:cs="Times New Roman"/>
          <w:kern w:val="0"/>
          <w:sz w:val="24"/>
          <w:szCs w:val="24"/>
        </w:rPr>
        <w:t xml:space="preserve"> </w:t>
      </w:r>
      <w:r w:rsidR="008F3FD8" w:rsidRPr="008F0C1A">
        <w:rPr>
          <w:rFonts w:ascii="Book Antiqua" w:eastAsiaTheme="minorHAnsi" w:hAnsi="Book Antiqua" w:cs="Times New Roman"/>
          <w:kern w:val="0"/>
          <w:sz w:val="24"/>
          <w:szCs w:val="24"/>
        </w:rPr>
        <w:t xml:space="preserve">0.38). </w:t>
      </w:r>
      <w:r w:rsidR="002F1CBA" w:rsidRPr="008F0C1A">
        <w:rPr>
          <w:rFonts w:ascii="Book Antiqua" w:eastAsiaTheme="minorHAnsi" w:hAnsi="Book Antiqua" w:cs="Times New Roman"/>
          <w:sz w:val="24"/>
          <w:szCs w:val="24"/>
        </w:rPr>
        <w:t xml:space="preserve">The high risk </w:t>
      </w:r>
      <w:r w:rsidR="00BB7511" w:rsidRPr="008F0C1A">
        <w:rPr>
          <w:rFonts w:ascii="Book Antiqua" w:eastAsiaTheme="minorHAnsi" w:hAnsi="Book Antiqua" w:cs="Times New Roman"/>
          <w:sz w:val="24"/>
          <w:szCs w:val="24"/>
        </w:rPr>
        <w:t xml:space="preserve">of </w:t>
      </w:r>
      <w:proofErr w:type="spellStart"/>
      <w:r w:rsidR="006F679F" w:rsidRPr="008F0C1A">
        <w:rPr>
          <w:rFonts w:ascii="Book Antiqua" w:eastAsiaTheme="minorHAnsi" w:hAnsi="Book Antiqua" w:cs="Times New Roman"/>
          <w:sz w:val="24"/>
          <w:szCs w:val="24"/>
        </w:rPr>
        <w:t>rebleeding</w:t>
      </w:r>
      <w:proofErr w:type="spellEnd"/>
      <w:r w:rsidR="002F1CBA" w:rsidRPr="008F0C1A">
        <w:rPr>
          <w:rFonts w:ascii="Book Antiqua" w:eastAsiaTheme="minorHAnsi" w:hAnsi="Book Antiqua" w:cs="Times New Roman"/>
          <w:sz w:val="24"/>
          <w:szCs w:val="24"/>
        </w:rPr>
        <w:t xml:space="preserve"> group tended to be located more </w:t>
      </w:r>
      <w:r w:rsidR="00566908" w:rsidRPr="008F0C1A">
        <w:rPr>
          <w:rFonts w:ascii="Book Antiqua" w:eastAsiaTheme="minorHAnsi" w:hAnsi="Book Antiqua" w:cs="Times New Roman"/>
          <w:sz w:val="24"/>
          <w:szCs w:val="24"/>
        </w:rPr>
        <w:t>often in the mid-third and had higher appearance of flat or depressed shape than the low risk group (</w:t>
      </w:r>
      <w:r w:rsidR="00EF6AB7" w:rsidRPr="008F0C1A">
        <w:rPr>
          <w:rFonts w:ascii="Book Antiqua" w:eastAsiaTheme="minorHAnsi" w:hAnsi="Book Antiqua" w:cs="Times New Roman"/>
          <w:i/>
          <w:sz w:val="24"/>
          <w:szCs w:val="24"/>
        </w:rPr>
        <w:t xml:space="preserve">P </w:t>
      </w:r>
      <w:r w:rsidR="00566908" w:rsidRPr="008F0C1A">
        <w:rPr>
          <w:rFonts w:ascii="Book Antiqua" w:eastAsiaTheme="minorHAnsi" w:hAnsi="Book Antiqua" w:cs="Times New Roman"/>
          <w:i/>
          <w:sz w:val="24"/>
          <w:szCs w:val="24"/>
        </w:rPr>
        <w:t>=</w:t>
      </w:r>
      <w:r w:rsidR="00566908" w:rsidRPr="008F0C1A">
        <w:rPr>
          <w:rFonts w:ascii="Book Antiqua" w:eastAsiaTheme="minorHAnsi" w:hAnsi="Book Antiqua" w:cs="Times New Roman"/>
          <w:sz w:val="24"/>
          <w:szCs w:val="24"/>
        </w:rPr>
        <w:t xml:space="preserve"> 0.004 and </w:t>
      </w:r>
      <w:r w:rsidR="00EF6AB7" w:rsidRPr="008F0C1A">
        <w:rPr>
          <w:rFonts w:ascii="Book Antiqua" w:eastAsiaTheme="minorHAnsi" w:hAnsi="Book Antiqua" w:cs="Times New Roman"/>
          <w:i/>
          <w:sz w:val="24"/>
          <w:szCs w:val="24"/>
        </w:rPr>
        <w:t xml:space="preserve">P </w:t>
      </w:r>
      <w:r w:rsidR="00566908" w:rsidRPr="008F0C1A">
        <w:rPr>
          <w:rFonts w:ascii="Book Antiqua" w:eastAsiaTheme="minorHAnsi" w:hAnsi="Book Antiqua" w:cs="Times New Roman"/>
          <w:i/>
          <w:sz w:val="24"/>
          <w:szCs w:val="24"/>
        </w:rPr>
        <w:t>=</w:t>
      </w:r>
      <w:r w:rsidR="00566908" w:rsidRPr="008F0C1A">
        <w:rPr>
          <w:rFonts w:ascii="Book Antiqua" w:eastAsiaTheme="minorHAnsi" w:hAnsi="Book Antiqua" w:cs="Times New Roman"/>
          <w:sz w:val="24"/>
          <w:szCs w:val="24"/>
        </w:rPr>
        <w:t xml:space="preserve"> 0.006, respectively). </w:t>
      </w:r>
    </w:p>
    <w:p w:rsidR="00956CFC" w:rsidRPr="008F0C1A" w:rsidRDefault="00956CFC" w:rsidP="00A771AE">
      <w:pPr>
        <w:wordWrap/>
        <w:adjustRightInd w:val="0"/>
        <w:snapToGrid w:val="0"/>
        <w:spacing w:after="0" w:line="360" w:lineRule="auto"/>
        <w:rPr>
          <w:rFonts w:ascii="Book Antiqua" w:eastAsiaTheme="minorHAnsi" w:hAnsi="Book Antiqua" w:cs="Times New Roman"/>
          <w:sz w:val="24"/>
          <w:szCs w:val="24"/>
        </w:rPr>
      </w:pPr>
    </w:p>
    <w:p w:rsidR="000512F8" w:rsidRPr="008F0C1A" w:rsidRDefault="004D4655" w:rsidP="00A771AE">
      <w:pPr>
        <w:wordWrap/>
        <w:adjustRightInd w:val="0"/>
        <w:snapToGrid w:val="0"/>
        <w:spacing w:after="0" w:line="360" w:lineRule="auto"/>
        <w:rPr>
          <w:rFonts w:ascii="Book Antiqua" w:eastAsiaTheme="minorHAnsi" w:hAnsi="Book Antiqua" w:cs="Times New Roman"/>
          <w:kern w:val="0"/>
          <w:sz w:val="24"/>
          <w:szCs w:val="24"/>
        </w:rPr>
      </w:pPr>
      <w:r w:rsidRPr="008F0C1A">
        <w:rPr>
          <w:rFonts w:ascii="Book Antiqua" w:eastAsiaTheme="minorHAnsi" w:hAnsi="Book Antiqua" w:cs="Times New Roman"/>
          <w:b/>
          <w:caps/>
          <w:sz w:val="24"/>
          <w:szCs w:val="24"/>
        </w:rPr>
        <w:t>Conclusion</w:t>
      </w:r>
      <w:r w:rsidR="00BE375D" w:rsidRPr="008F0C1A">
        <w:rPr>
          <w:rFonts w:ascii="Book Antiqua" w:eastAsiaTheme="minorHAnsi" w:hAnsi="Book Antiqua" w:cs="Times New Roman"/>
          <w:b/>
          <w:caps/>
          <w:sz w:val="24"/>
          <w:szCs w:val="24"/>
        </w:rPr>
        <w:t>:</w:t>
      </w:r>
      <w:r w:rsidRPr="008F0C1A">
        <w:rPr>
          <w:rFonts w:ascii="Book Antiqua" w:eastAsiaTheme="minorHAnsi" w:hAnsi="Book Antiqua" w:cs="Times New Roman"/>
          <w:b/>
          <w:sz w:val="24"/>
          <w:szCs w:val="24"/>
        </w:rPr>
        <w:t xml:space="preserve"> </w:t>
      </w:r>
      <w:r w:rsidRPr="008F0C1A">
        <w:rPr>
          <w:rFonts w:ascii="Book Antiqua" w:eastAsiaTheme="minorHAnsi" w:hAnsi="Book Antiqua" w:cs="Times New Roman"/>
          <w:kern w:val="0"/>
          <w:sz w:val="24"/>
          <w:szCs w:val="24"/>
        </w:rPr>
        <w:t xml:space="preserve">SLE with pre-emptive prophylactic </w:t>
      </w:r>
      <w:r w:rsidR="00143DA8" w:rsidRPr="008F0C1A">
        <w:rPr>
          <w:rFonts w:ascii="Book Antiqua" w:eastAsiaTheme="minorHAnsi" w:hAnsi="Book Antiqua" w:cs="Times New Roman"/>
          <w:kern w:val="0"/>
          <w:sz w:val="24"/>
          <w:szCs w:val="24"/>
        </w:rPr>
        <w:t xml:space="preserve">endoscopic </w:t>
      </w:r>
      <w:r w:rsidRPr="008F0C1A">
        <w:rPr>
          <w:rFonts w:ascii="Book Antiqua" w:eastAsiaTheme="minorHAnsi" w:hAnsi="Book Antiqua" w:cs="Times New Roman"/>
          <w:kern w:val="0"/>
          <w:sz w:val="24"/>
          <w:szCs w:val="24"/>
        </w:rPr>
        <w:t xml:space="preserve">treatment </w:t>
      </w:r>
      <w:r w:rsidR="00774C49" w:rsidRPr="008F0C1A">
        <w:rPr>
          <w:rFonts w:ascii="Book Antiqua" w:eastAsiaTheme="minorHAnsi" w:hAnsi="Book Antiqua" w:cs="Times New Roman"/>
          <w:kern w:val="0"/>
          <w:sz w:val="24"/>
          <w:szCs w:val="24"/>
        </w:rPr>
        <w:t xml:space="preserve">is </w:t>
      </w:r>
      <w:r w:rsidR="00143DA8" w:rsidRPr="008F0C1A">
        <w:rPr>
          <w:rFonts w:ascii="Book Antiqua" w:eastAsiaTheme="minorHAnsi" w:hAnsi="Book Antiqua" w:cs="Times New Roman"/>
          <w:kern w:val="0"/>
          <w:sz w:val="24"/>
          <w:szCs w:val="24"/>
        </w:rPr>
        <w:t xml:space="preserve">still </w:t>
      </w:r>
      <w:r w:rsidR="00AC77ED" w:rsidRPr="008F0C1A">
        <w:rPr>
          <w:rFonts w:ascii="Book Antiqua" w:eastAsiaTheme="minorHAnsi" w:hAnsi="Book Antiqua" w:cs="Times New Roman"/>
          <w:kern w:val="0"/>
          <w:sz w:val="24"/>
          <w:szCs w:val="24"/>
        </w:rPr>
        <w:t>effective</w:t>
      </w:r>
      <w:r w:rsidR="006376F1" w:rsidRPr="008F0C1A">
        <w:rPr>
          <w:rFonts w:ascii="Book Antiqua" w:eastAsiaTheme="minorHAnsi" w:hAnsi="Book Antiqua" w:cs="Times New Roman"/>
          <w:kern w:val="0"/>
          <w:sz w:val="24"/>
          <w:szCs w:val="24"/>
        </w:rPr>
        <w:t xml:space="preserve"> </w:t>
      </w:r>
      <w:r w:rsidR="00AC77ED" w:rsidRPr="008F0C1A">
        <w:rPr>
          <w:rFonts w:ascii="Book Antiqua" w:eastAsiaTheme="minorHAnsi" w:hAnsi="Book Antiqua" w:cs="Times New Roman"/>
          <w:kern w:val="0"/>
          <w:sz w:val="24"/>
          <w:szCs w:val="24"/>
        </w:rPr>
        <w:t>i</w:t>
      </w:r>
      <w:r w:rsidR="006376F1" w:rsidRPr="008F0C1A">
        <w:rPr>
          <w:rFonts w:ascii="Book Antiqua" w:eastAsiaTheme="minorHAnsi" w:hAnsi="Book Antiqua" w:cs="Times New Roman"/>
          <w:kern w:val="0"/>
          <w:sz w:val="24"/>
          <w:szCs w:val="24"/>
        </w:rPr>
        <w:t>n</w:t>
      </w:r>
      <w:r w:rsidRPr="008F0C1A">
        <w:rPr>
          <w:rFonts w:ascii="Book Antiqua" w:eastAsiaTheme="minorHAnsi" w:hAnsi="Book Antiqua" w:cs="Times New Roman"/>
          <w:kern w:val="0"/>
          <w:sz w:val="24"/>
          <w:szCs w:val="24"/>
        </w:rPr>
        <w:t xml:space="preserve"> preventing delayed bleeding</w:t>
      </w:r>
      <w:r w:rsidR="00143DA8" w:rsidRPr="008F0C1A">
        <w:rPr>
          <w:rFonts w:ascii="Book Antiqua" w:eastAsiaTheme="minorHAnsi" w:hAnsi="Book Antiqua" w:cs="Times New Roman"/>
          <w:kern w:val="0"/>
          <w:sz w:val="24"/>
          <w:szCs w:val="24"/>
        </w:rPr>
        <w:t xml:space="preserve"> after ESD</w:t>
      </w:r>
      <w:r w:rsidRPr="008F0C1A">
        <w:rPr>
          <w:rFonts w:ascii="Book Antiqua" w:eastAsiaTheme="minorHAnsi" w:hAnsi="Book Antiqua" w:cs="Times New Roman"/>
          <w:kern w:val="0"/>
          <w:sz w:val="24"/>
          <w:szCs w:val="24"/>
        </w:rPr>
        <w:t>.</w:t>
      </w:r>
    </w:p>
    <w:p w:rsidR="00143DA8" w:rsidRPr="008F0C1A" w:rsidRDefault="00143DA8" w:rsidP="00A771AE">
      <w:pPr>
        <w:wordWrap/>
        <w:adjustRightInd w:val="0"/>
        <w:snapToGrid w:val="0"/>
        <w:spacing w:after="0" w:line="360" w:lineRule="auto"/>
        <w:rPr>
          <w:rFonts w:ascii="Book Antiqua" w:eastAsiaTheme="minorHAnsi" w:hAnsi="Book Antiqua" w:cs="Times New Roman"/>
          <w:b/>
          <w:sz w:val="24"/>
          <w:szCs w:val="24"/>
        </w:rPr>
      </w:pPr>
    </w:p>
    <w:p w:rsidR="000512F8" w:rsidRPr="008F0C1A" w:rsidRDefault="004D4655" w:rsidP="00A771AE">
      <w:pPr>
        <w:wordWrap/>
        <w:adjustRightInd w:val="0"/>
        <w:snapToGrid w:val="0"/>
        <w:spacing w:after="0" w:line="360" w:lineRule="auto"/>
        <w:rPr>
          <w:rFonts w:ascii="Book Antiqua" w:eastAsiaTheme="minorHAnsi" w:hAnsi="Book Antiqua" w:cs="Times New Roman"/>
          <w:sz w:val="24"/>
          <w:szCs w:val="24"/>
        </w:rPr>
      </w:pPr>
      <w:r w:rsidRPr="008F0C1A">
        <w:rPr>
          <w:rFonts w:ascii="Book Antiqua" w:eastAsiaTheme="minorHAnsi" w:hAnsi="Book Antiqua" w:cs="Times New Roman"/>
          <w:b/>
          <w:sz w:val="24"/>
          <w:szCs w:val="24"/>
        </w:rPr>
        <w:t>Key words</w:t>
      </w:r>
      <w:r w:rsidRPr="008F0C1A">
        <w:rPr>
          <w:rFonts w:ascii="Book Antiqua" w:eastAsiaTheme="minorHAnsi" w:hAnsi="Book Antiqua" w:cs="Times New Roman"/>
          <w:sz w:val="24"/>
          <w:szCs w:val="24"/>
        </w:rPr>
        <w:t xml:space="preserve">: </w:t>
      </w:r>
      <w:r w:rsidR="005466CC" w:rsidRPr="008F0C1A">
        <w:rPr>
          <w:rFonts w:ascii="Book Antiqua" w:eastAsiaTheme="minorHAnsi" w:hAnsi="Book Antiqua" w:cs="Times New Roman"/>
          <w:sz w:val="24"/>
          <w:szCs w:val="24"/>
        </w:rPr>
        <w:t>Second</w:t>
      </w:r>
      <w:r w:rsidRPr="008F0C1A">
        <w:rPr>
          <w:rFonts w:ascii="Book Antiqua" w:eastAsiaTheme="minorHAnsi" w:hAnsi="Book Antiqua" w:cs="Times New Roman"/>
          <w:sz w:val="24"/>
          <w:szCs w:val="24"/>
        </w:rPr>
        <w:t>-look endoscopy</w:t>
      </w:r>
      <w:r w:rsidR="005466CC">
        <w:rPr>
          <w:rFonts w:ascii="Book Antiqua" w:eastAsia="宋体" w:hAnsi="Book Antiqua" w:cs="Times New Roman" w:hint="eastAsia"/>
          <w:sz w:val="24"/>
          <w:szCs w:val="24"/>
          <w:lang w:eastAsia="zh-CN"/>
        </w:rPr>
        <w:t>;</w:t>
      </w:r>
      <w:r w:rsidR="00E01C85" w:rsidRPr="008F0C1A">
        <w:rPr>
          <w:rFonts w:ascii="Book Antiqua" w:eastAsiaTheme="minorHAnsi" w:hAnsi="Book Antiqua" w:cs="Times New Roman"/>
          <w:sz w:val="24"/>
          <w:szCs w:val="24"/>
        </w:rPr>
        <w:t xml:space="preserve"> Forrest classification</w:t>
      </w:r>
      <w:r w:rsidR="005466CC">
        <w:rPr>
          <w:rFonts w:ascii="Book Antiqua" w:eastAsia="宋体" w:hAnsi="Book Antiqua" w:cs="Times New Roman" w:hint="eastAsia"/>
          <w:sz w:val="24"/>
          <w:szCs w:val="24"/>
          <w:lang w:eastAsia="zh-CN"/>
        </w:rPr>
        <w:t>;</w:t>
      </w:r>
      <w:r w:rsidRPr="008F0C1A">
        <w:rPr>
          <w:rFonts w:ascii="Book Antiqua" w:eastAsiaTheme="minorHAnsi" w:hAnsi="Book Antiqua" w:cs="Times New Roman"/>
          <w:sz w:val="24"/>
          <w:szCs w:val="24"/>
        </w:rPr>
        <w:t xml:space="preserve"> </w:t>
      </w:r>
      <w:r w:rsidR="005466CC" w:rsidRPr="008F0C1A">
        <w:rPr>
          <w:rFonts w:ascii="Book Antiqua" w:eastAsiaTheme="minorHAnsi" w:hAnsi="Book Antiqua" w:cs="Times New Roman"/>
          <w:sz w:val="24"/>
          <w:szCs w:val="24"/>
        </w:rPr>
        <w:t xml:space="preserve">Endoscopic </w:t>
      </w:r>
      <w:r w:rsidRPr="008F0C1A">
        <w:rPr>
          <w:rFonts w:ascii="Book Antiqua" w:eastAsiaTheme="minorHAnsi" w:hAnsi="Book Antiqua" w:cs="Times New Roman"/>
          <w:sz w:val="24"/>
          <w:szCs w:val="24"/>
        </w:rPr>
        <w:t>submucosal dissection</w:t>
      </w:r>
      <w:r w:rsidR="005466CC">
        <w:rPr>
          <w:rFonts w:ascii="Book Antiqua" w:eastAsia="宋体" w:hAnsi="Book Antiqua" w:cs="Times New Roman" w:hint="eastAsia"/>
          <w:sz w:val="24"/>
          <w:szCs w:val="24"/>
          <w:lang w:eastAsia="zh-CN"/>
        </w:rPr>
        <w:t>;</w:t>
      </w:r>
      <w:r w:rsidRPr="008F0C1A">
        <w:rPr>
          <w:rFonts w:ascii="Book Antiqua" w:eastAsiaTheme="minorHAnsi" w:hAnsi="Book Antiqua" w:cs="Times New Roman"/>
          <w:sz w:val="24"/>
          <w:szCs w:val="24"/>
        </w:rPr>
        <w:t xml:space="preserve"> </w:t>
      </w:r>
      <w:r w:rsidR="005466CC" w:rsidRPr="008F0C1A">
        <w:rPr>
          <w:rFonts w:ascii="Book Antiqua" w:eastAsiaTheme="minorHAnsi" w:hAnsi="Book Antiqua" w:cs="Times New Roman"/>
          <w:sz w:val="24"/>
          <w:szCs w:val="24"/>
        </w:rPr>
        <w:t xml:space="preserve">Delayed </w:t>
      </w:r>
      <w:r w:rsidRPr="008F0C1A">
        <w:rPr>
          <w:rFonts w:ascii="Book Antiqua" w:eastAsiaTheme="minorHAnsi" w:hAnsi="Book Antiqua" w:cs="Times New Roman"/>
          <w:sz w:val="24"/>
          <w:szCs w:val="24"/>
        </w:rPr>
        <w:t xml:space="preserve">bleeding </w:t>
      </w:r>
    </w:p>
    <w:p w:rsidR="008C583B" w:rsidRPr="008F0C1A" w:rsidRDefault="008C583B" w:rsidP="00A771AE">
      <w:pPr>
        <w:widowControl/>
        <w:wordWrap/>
        <w:autoSpaceDE/>
        <w:autoSpaceDN/>
        <w:adjustRightInd w:val="0"/>
        <w:snapToGrid w:val="0"/>
        <w:spacing w:after="0" w:line="360" w:lineRule="auto"/>
        <w:rPr>
          <w:rFonts w:ascii="Book Antiqua" w:eastAsiaTheme="minorHAnsi" w:hAnsi="Book Antiqua" w:cs="Times New Roman"/>
          <w:b/>
          <w:caps/>
          <w:sz w:val="24"/>
          <w:szCs w:val="24"/>
        </w:rPr>
      </w:pPr>
    </w:p>
    <w:p w:rsidR="008C583B" w:rsidRPr="008F0C1A" w:rsidRDefault="008C583B" w:rsidP="00A771AE">
      <w:pPr>
        <w:wordWrap/>
        <w:adjustRightInd w:val="0"/>
        <w:snapToGrid w:val="0"/>
        <w:spacing w:after="0" w:line="360" w:lineRule="auto"/>
        <w:rPr>
          <w:rFonts w:ascii="Book Antiqua" w:hAnsi="Book Antiqua" w:cs="Book Antiqua"/>
          <w:kern w:val="0"/>
          <w:sz w:val="24"/>
          <w:szCs w:val="24"/>
        </w:rPr>
      </w:pPr>
      <w:bookmarkStart w:id="32" w:name="_GoBack"/>
      <w:proofErr w:type="gramStart"/>
      <w:r w:rsidRPr="008F0C1A">
        <w:rPr>
          <w:rFonts w:ascii="Book Antiqua" w:hAnsi="Book Antiqua" w:cs="Book Antiqua"/>
          <w:b/>
          <w:kern w:val="0"/>
          <w:sz w:val="24"/>
          <w:szCs w:val="24"/>
        </w:rPr>
        <w:t>© The Author(s) 2015.</w:t>
      </w:r>
      <w:proofErr w:type="gramEnd"/>
      <w:r w:rsidRPr="008F0C1A">
        <w:rPr>
          <w:rFonts w:ascii="Book Antiqua" w:hAnsi="Book Antiqua" w:cs="Book Antiqua"/>
          <w:kern w:val="0"/>
          <w:sz w:val="24"/>
          <w:szCs w:val="24"/>
        </w:rPr>
        <w:t xml:space="preserve"> </w:t>
      </w:r>
      <w:proofErr w:type="gramStart"/>
      <w:r w:rsidRPr="008F0C1A">
        <w:rPr>
          <w:rFonts w:ascii="Book Antiqua" w:hAnsi="Book Antiqua" w:cs="Book Antiqua"/>
          <w:kern w:val="0"/>
          <w:sz w:val="24"/>
          <w:szCs w:val="24"/>
        </w:rPr>
        <w:t xml:space="preserve">Published by </w:t>
      </w:r>
      <w:proofErr w:type="spellStart"/>
      <w:r w:rsidRPr="008F0C1A">
        <w:rPr>
          <w:rFonts w:ascii="Book Antiqua" w:hAnsi="Book Antiqua" w:cs="Book Antiqua"/>
          <w:kern w:val="0"/>
          <w:sz w:val="24"/>
          <w:szCs w:val="24"/>
        </w:rPr>
        <w:t>Baishideng</w:t>
      </w:r>
      <w:proofErr w:type="spellEnd"/>
      <w:r w:rsidRPr="008F0C1A">
        <w:rPr>
          <w:rFonts w:ascii="Book Antiqua" w:hAnsi="Book Antiqua" w:cs="Book Antiqua"/>
          <w:kern w:val="0"/>
          <w:sz w:val="24"/>
          <w:szCs w:val="24"/>
        </w:rPr>
        <w:t xml:space="preserve"> Publishing Group Inc.</w:t>
      </w:r>
      <w:proofErr w:type="gramEnd"/>
      <w:r w:rsidRPr="008F0C1A">
        <w:rPr>
          <w:rFonts w:ascii="Book Antiqua" w:hAnsi="Book Antiqua" w:cs="Book Antiqua"/>
          <w:kern w:val="0"/>
          <w:sz w:val="24"/>
          <w:szCs w:val="24"/>
        </w:rPr>
        <w:t xml:space="preserve"> All rights</w:t>
      </w:r>
      <w:r w:rsidR="009F4B7F">
        <w:rPr>
          <w:rFonts w:ascii="Book Antiqua" w:eastAsia="宋体" w:hAnsi="Book Antiqua" w:cs="Book Antiqua" w:hint="eastAsia"/>
          <w:kern w:val="0"/>
          <w:sz w:val="24"/>
          <w:szCs w:val="24"/>
          <w:lang w:eastAsia="zh-CN"/>
        </w:rPr>
        <w:t xml:space="preserve"> </w:t>
      </w:r>
      <w:r w:rsidRPr="008F0C1A">
        <w:rPr>
          <w:rFonts w:ascii="Book Antiqua" w:hAnsi="Book Antiqua" w:cs="Book Antiqua"/>
          <w:kern w:val="0"/>
          <w:sz w:val="24"/>
          <w:szCs w:val="24"/>
        </w:rPr>
        <w:t>reserved.</w:t>
      </w:r>
    </w:p>
    <w:bookmarkEnd w:id="32"/>
    <w:p w:rsidR="008C583B" w:rsidRPr="008F0C1A" w:rsidRDefault="008C583B" w:rsidP="00A771AE">
      <w:pPr>
        <w:wordWrap/>
        <w:adjustRightInd w:val="0"/>
        <w:snapToGrid w:val="0"/>
        <w:spacing w:after="0" w:line="360" w:lineRule="auto"/>
        <w:rPr>
          <w:rFonts w:ascii="Book Antiqua" w:hAnsi="Book Antiqua" w:cs="Book Antiqua"/>
          <w:kern w:val="0"/>
          <w:sz w:val="24"/>
          <w:szCs w:val="24"/>
        </w:rPr>
      </w:pPr>
    </w:p>
    <w:p w:rsidR="008C583B" w:rsidRPr="008F0C1A" w:rsidRDefault="008C583B" w:rsidP="00A771AE">
      <w:pPr>
        <w:wordWrap/>
        <w:adjustRightInd w:val="0"/>
        <w:snapToGrid w:val="0"/>
        <w:spacing w:after="0" w:line="360" w:lineRule="auto"/>
        <w:rPr>
          <w:rFonts w:ascii="Book Antiqua" w:hAnsi="Book Antiqua" w:cs="Book Antiqua"/>
          <w:kern w:val="0"/>
          <w:sz w:val="24"/>
          <w:szCs w:val="24"/>
        </w:rPr>
      </w:pPr>
      <w:r w:rsidRPr="008F0C1A">
        <w:rPr>
          <w:rFonts w:ascii="Book Antiqua" w:hAnsi="Book Antiqua" w:cs="Book Antiqua"/>
          <w:b/>
          <w:kern w:val="0"/>
          <w:sz w:val="24"/>
          <w:szCs w:val="24"/>
        </w:rPr>
        <w:lastRenderedPageBreak/>
        <w:t>Core tip:</w:t>
      </w:r>
      <w:r w:rsidRPr="008F0C1A">
        <w:rPr>
          <w:rFonts w:ascii="Book Antiqua" w:hAnsi="Book Antiqua" w:cs="Book Antiqua"/>
          <w:kern w:val="0"/>
          <w:sz w:val="24"/>
          <w:szCs w:val="24"/>
        </w:rPr>
        <w:t xml:space="preserve"> This is a retrospective study to assess the effectiveness of </w:t>
      </w:r>
      <w:r w:rsidR="000A34F7" w:rsidRPr="008F0C1A">
        <w:rPr>
          <w:rFonts w:ascii="Book Antiqua" w:hAnsi="Book Antiqua" w:cs="Book Antiqua"/>
          <w:kern w:val="0"/>
          <w:sz w:val="24"/>
          <w:szCs w:val="24"/>
        </w:rPr>
        <w:t>second look endoscopy (</w:t>
      </w:r>
      <w:r w:rsidRPr="008F0C1A">
        <w:rPr>
          <w:rFonts w:ascii="Book Antiqua" w:hAnsi="Book Antiqua" w:cs="Book Antiqua"/>
          <w:kern w:val="0"/>
          <w:sz w:val="24"/>
          <w:szCs w:val="24"/>
        </w:rPr>
        <w:t>SLE</w:t>
      </w:r>
      <w:r w:rsidR="000A34F7" w:rsidRPr="008F0C1A">
        <w:rPr>
          <w:rFonts w:ascii="Book Antiqua" w:hAnsi="Book Antiqua" w:cs="Book Antiqua"/>
          <w:kern w:val="0"/>
          <w:sz w:val="24"/>
          <w:szCs w:val="24"/>
        </w:rPr>
        <w:t>)</w:t>
      </w:r>
      <w:r w:rsidRPr="008F0C1A">
        <w:rPr>
          <w:rFonts w:ascii="Book Antiqua" w:hAnsi="Book Antiqua" w:cs="Book Antiqua"/>
          <w:kern w:val="0"/>
          <w:sz w:val="24"/>
          <w:szCs w:val="24"/>
        </w:rPr>
        <w:t xml:space="preserve"> based on the risk of delayed bleeding after </w:t>
      </w:r>
      <w:r w:rsidR="000A34F7" w:rsidRPr="008F0C1A">
        <w:rPr>
          <w:rFonts w:ascii="Book Antiqua" w:hAnsi="Book Antiqua" w:cs="Book Antiqua"/>
          <w:kern w:val="0"/>
          <w:sz w:val="24"/>
          <w:szCs w:val="24"/>
        </w:rPr>
        <w:t>endoscopic submucosal dissection (</w:t>
      </w:r>
      <w:r w:rsidRPr="008F0C1A">
        <w:rPr>
          <w:rFonts w:ascii="Book Antiqua" w:hAnsi="Book Antiqua" w:cs="Book Antiqua"/>
          <w:kern w:val="0"/>
          <w:sz w:val="24"/>
          <w:szCs w:val="24"/>
        </w:rPr>
        <w:t>ESD</w:t>
      </w:r>
      <w:r w:rsidR="000A34F7" w:rsidRPr="008F0C1A">
        <w:rPr>
          <w:rFonts w:ascii="Book Antiqua" w:hAnsi="Book Antiqua" w:cs="Book Antiqua"/>
          <w:kern w:val="0"/>
          <w:sz w:val="24"/>
          <w:szCs w:val="24"/>
        </w:rPr>
        <w:t>)</w:t>
      </w:r>
      <w:r w:rsidRPr="008F0C1A">
        <w:rPr>
          <w:rFonts w:ascii="Book Antiqua" w:hAnsi="Book Antiqua" w:cs="Book Antiqua"/>
          <w:kern w:val="0"/>
          <w:sz w:val="24"/>
          <w:szCs w:val="24"/>
        </w:rPr>
        <w:t xml:space="preserve">. A total of 310 lesions of gastric epithelial neoplasms treated by ESD were reviewed. The lesions were divided into two groups based on the risk of post-procedural bleeding estimated by Forrest classification. The high risk of </w:t>
      </w:r>
      <w:proofErr w:type="spellStart"/>
      <w:r w:rsidRPr="008F0C1A">
        <w:rPr>
          <w:rFonts w:ascii="Book Antiqua" w:hAnsi="Book Antiqua" w:cs="Book Antiqua"/>
          <w:kern w:val="0"/>
          <w:sz w:val="24"/>
          <w:szCs w:val="24"/>
        </w:rPr>
        <w:t>rebleeding</w:t>
      </w:r>
      <w:proofErr w:type="spellEnd"/>
      <w:r w:rsidRPr="008F0C1A">
        <w:rPr>
          <w:rFonts w:ascii="Book Antiqua" w:hAnsi="Book Antiqua" w:cs="Book Antiqua"/>
          <w:kern w:val="0"/>
          <w:sz w:val="24"/>
          <w:szCs w:val="24"/>
        </w:rPr>
        <w:t xml:space="preserve"> group (Forrest </w:t>
      </w:r>
      <w:proofErr w:type="spellStart"/>
      <w:proofErr w:type="gramStart"/>
      <w:r w:rsidRPr="008F0C1A">
        <w:rPr>
          <w:rFonts w:ascii="Book Antiqua" w:hAnsi="Book Antiqua" w:cs="Book Antiqua"/>
          <w:kern w:val="0"/>
          <w:sz w:val="24"/>
          <w:szCs w:val="24"/>
        </w:rPr>
        <w:t>Ia</w:t>
      </w:r>
      <w:proofErr w:type="spellEnd"/>
      <w:proofErr w:type="gramEnd"/>
      <w:r w:rsidRPr="008F0C1A">
        <w:rPr>
          <w:rFonts w:ascii="Book Antiqua" w:hAnsi="Book Antiqua" w:cs="Book Antiqua"/>
          <w:kern w:val="0"/>
          <w:sz w:val="24"/>
          <w:szCs w:val="24"/>
        </w:rPr>
        <w:t xml:space="preserve">, </w:t>
      </w:r>
      <w:proofErr w:type="spellStart"/>
      <w:r w:rsidRPr="008F0C1A">
        <w:rPr>
          <w:rFonts w:ascii="Book Antiqua" w:hAnsi="Book Antiqua" w:cs="Book Antiqua"/>
          <w:kern w:val="0"/>
          <w:sz w:val="24"/>
          <w:szCs w:val="24"/>
        </w:rPr>
        <w:t>Ib</w:t>
      </w:r>
      <w:proofErr w:type="spellEnd"/>
      <w:r w:rsidRPr="008F0C1A">
        <w:rPr>
          <w:rFonts w:ascii="Book Antiqua" w:hAnsi="Book Antiqua" w:cs="Book Antiqua"/>
          <w:kern w:val="0"/>
          <w:sz w:val="24"/>
          <w:szCs w:val="24"/>
        </w:rPr>
        <w:t xml:space="preserve"> and </w:t>
      </w:r>
      <w:proofErr w:type="spellStart"/>
      <w:r w:rsidRPr="008F0C1A">
        <w:rPr>
          <w:rFonts w:ascii="Book Antiqua" w:hAnsi="Book Antiqua" w:cs="Book Antiqua"/>
          <w:kern w:val="0"/>
          <w:sz w:val="24"/>
          <w:szCs w:val="24"/>
        </w:rPr>
        <w:t>IIa</w:t>
      </w:r>
      <w:proofErr w:type="spellEnd"/>
      <w:r w:rsidRPr="008F0C1A">
        <w:rPr>
          <w:rFonts w:ascii="Book Antiqua" w:hAnsi="Book Antiqua" w:cs="Book Antiqua"/>
          <w:kern w:val="0"/>
          <w:sz w:val="24"/>
          <w:szCs w:val="24"/>
        </w:rPr>
        <w:t xml:space="preserve">) required endoscopic treatment, while the low risk of </w:t>
      </w:r>
      <w:proofErr w:type="spellStart"/>
      <w:r w:rsidRPr="008F0C1A">
        <w:rPr>
          <w:rFonts w:ascii="Book Antiqua" w:hAnsi="Book Antiqua" w:cs="Book Antiqua"/>
          <w:kern w:val="0"/>
          <w:sz w:val="24"/>
          <w:szCs w:val="24"/>
        </w:rPr>
        <w:t>rebleeding</w:t>
      </w:r>
      <w:proofErr w:type="spellEnd"/>
      <w:r w:rsidRPr="008F0C1A">
        <w:rPr>
          <w:rFonts w:ascii="Book Antiqua" w:hAnsi="Book Antiqua" w:cs="Book Antiqua"/>
          <w:kern w:val="0"/>
          <w:sz w:val="24"/>
          <w:szCs w:val="24"/>
        </w:rPr>
        <w:t xml:space="preserve"> group (Forrest </w:t>
      </w:r>
      <w:proofErr w:type="spellStart"/>
      <w:r w:rsidRPr="008F0C1A">
        <w:rPr>
          <w:rFonts w:ascii="Book Antiqua" w:hAnsi="Book Antiqua" w:cs="Book Antiqua"/>
          <w:kern w:val="0"/>
          <w:sz w:val="24"/>
          <w:szCs w:val="24"/>
        </w:rPr>
        <w:t>IIb</w:t>
      </w:r>
      <w:proofErr w:type="spellEnd"/>
      <w:r w:rsidRPr="008F0C1A">
        <w:rPr>
          <w:rFonts w:ascii="Book Antiqua" w:hAnsi="Book Antiqua" w:cs="Book Antiqua"/>
          <w:kern w:val="0"/>
          <w:sz w:val="24"/>
          <w:szCs w:val="24"/>
        </w:rPr>
        <w:t xml:space="preserve">, </w:t>
      </w:r>
      <w:proofErr w:type="spellStart"/>
      <w:r w:rsidRPr="008F0C1A">
        <w:rPr>
          <w:rFonts w:ascii="Book Antiqua" w:hAnsi="Book Antiqua" w:cs="Book Antiqua"/>
          <w:kern w:val="0"/>
          <w:sz w:val="24"/>
          <w:szCs w:val="24"/>
        </w:rPr>
        <w:t>IIc</w:t>
      </w:r>
      <w:proofErr w:type="spellEnd"/>
      <w:r w:rsidRPr="008F0C1A">
        <w:rPr>
          <w:rFonts w:ascii="Book Antiqua" w:hAnsi="Book Antiqua" w:cs="Book Antiqua"/>
          <w:kern w:val="0"/>
          <w:sz w:val="24"/>
          <w:szCs w:val="24"/>
        </w:rPr>
        <w:t xml:space="preserve"> and III) did not. Delayed bleeding after ESD was investigated. </w:t>
      </w:r>
      <w:r w:rsidR="00477088" w:rsidRPr="008F0C1A">
        <w:rPr>
          <w:rFonts w:ascii="Book Antiqua" w:hAnsi="Book Antiqua" w:cs="Book Antiqua"/>
          <w:kern w:val="0"/>
          <w:sz w:val="24"/>
          <w:szCs w:val="24"/>
        </w:rPr>
        <w:t>As a result, t</w:t>
      </w:r>
      <w:r w:rsidRPr="008F0C1A">
        <w:rPr>
          <w:rFonts w:ascii="Book Antiqua" w:hAnsi="Book Antiqua" w:cs="Book Antiqua"/>
          <w:kern w:val="0"/>
          <w:sz w:val="24"/>
          <w:szCs w:val="24"/>
        </w:rPr>
        <w:t xml:space="preserve">here were no significant differences in delayed bleeding between the high risk group and the low risk group. However, the high risk of </w:t>
      </w:r>
      <w:proofErr w:type="spellStart"/>
      <w:r w:rsidRPr="008F0C1A">
        <w:rPr>
          <w:rFonts w:ascii="Book Antiqua" w:hAnsi="Book Antiqua" w:cs="Book Antiqua"/>
          <w:kern w:val="0"/>
          <w:sz w:val="24"/>
          <w:szCs w:val="24"/>
        </w:rPr>
        <w:t>rebleeding</w:t>
      </w:r>
      <w:proofErr w:type="spellEnd"/>
      <w:r w:rsidRPr="008F0C1A">
        <w:rPr>
          <w:rFonts w:ascii="Book Antiqua" w:hAnsi="Book Antiqua" w:cs="Book Antiqua"/>
          <w:kern w:val="0"/>
          <w:sz w:val="24"/>
          <w:szCs w:val="24"/>
        </w:rPr>
        <w:t xml:space="preserve"> group tended to be located more often in the mid-third and had higher appearance of flat or depressed shape than the low risk group. In conclusion, SLE with pre-emptive prophylactic endoscopic treatment is still effective in preventing delayed bleeding after ESD.</w:t>
      </w:r>
    </w:p>
    <w:p w:rsidR="008C583B" w:rsidRPr="008F0C1A" w:rsidRDefault="008C583B" w:rsidP="00A771AE">
      <w:pPr>
        <w:wordWrap/>
        <w:adjustRightInd w:val="0"/>
        <w:snapToGrid w:val="0"/>
        <w:spacing w:after="0" w:line="360" w:lineRule="auto"/>
        <w:rPr>
          <w:rFonts w:ascii="Book Antiqua" w:hAnsi="Book Antiqua" w:cs="Book Antiqua"/>
          <w:kern w:val="0"/>
          <w:sz w:val="24"/>
          <w:szCs w:val="24"/>
        </w:rPr>
      </w:pPr>
    </w:p>
    <w:p w:rsidR="008C583B" w:rsidRPr="008F0C1A" w:rsidRDefault="008C583B" w:rsidP="00A771AE">
      <w:pPr>
        <w:wordWrap/>
        <w:adjustRightInd w:val="0"/>
        <w:snapToGrid w:val="0"/>
        <w:spacing w:after="0" w:line="360" w:lineRule="auto"/>
        <w:rPr>
          <w:rFonts w:ascii="Book Antiqua" w:hAnsi="Book Antiqua" w:cs="Book Antiqua"/>
          <w:kern w:val="0"/>
          <w:sz w:val="24"/>
          <w:szCs w:val="24"/>
        </w:rPr>
      </w:pPr>
      <w:r w:rsidRPr="008F0C1A">
        <w:rPr>
          <w:rFonts w:ascii="Book Antiqua" w:eastAsiaTheme="majorHAnsi" w:hAnsi="Book Antiqua" w:cs="Times New Roman"/>
          <w:sz w:val="24"/>
          <w:szCs w:val="24"/>
        </w:rPr>
        <w:t>Jung</w:t>
      </w:r>
      <w:r w:rsidR="005466CC">
        <w:rPr>
          <w:rFonts w:ascii="Book Antiqua" w:eastAsia="宋体" w:hAnsi="Book Antiqua" w:cs="Times New Roman" w:hint="eastAsia"/>
          <w:sz w:val="24"/>
          <w:szCs w:val="24"/>
          <w:lang w:eastAsia="zh-CN"/>
        </w:rPr>
        <w:t xml:space="preserve"> </w:t>
      </w:r>
      <w:r w:rsidR="005466CC" w:rsidRPr="005466CC">
        <w:rPr>
          <w:rFonts w:ascii="Book Antiqua" w:eastAsia="宋体" w:hAnsi="Book Antiqua" w:cs="Times New Roman" w:hint="eastAsia"/>
          <w:caps/>
          <w:sz w:val="24"/>
          <w:szCs w:val="24"/>
          <w:lang w:eastAsia="zh-CN"/>
        </w:rPr>
        <w:t>jh</w:t>
      </w:r>
      <w:r w:rsidRPr="008F0C1A">
        <w:rPr>
          <w:rFonts w:ascii="Book Antiqua" w:eastAsiaTheme="majorHAnsi" w:hAnsi="Book Antiqua" w:cs="Times New Roman"/>
          <w:sz w:val="24"/>
          <w:szCs w:val="24"/>
        </w:rPr>
        <w:t>, Kim</w:t>
      </w:r>
      <w:r w:rsidR="005466CC">
        <w:rPr>
          <w:rFonts w:ascii="Book Antiqua" w:eastAsia="宋体" w:hAnsi="Book Antiqua" w:cs="Times New Roman" w:hint="eastAsia"/>
          <w:sz w:val="24"/>
          <w:szCs w:val="24"/>
          <w:lang w:eastAsia="zh-CN"/>
        </w:rPr>
        <w:t xml:space="preserve"> </w:t>
      </w:r>
      <w:r w:rsidR="005466CC" w:rsidRPr="005466CC">
        <w:rPr>
          <w:rFonts w:ascii="Book Antiqua" w:eastAsia="宋体" w:hAnsi="Book Antiqua" w:cs="Times New Roman" w:hint="eastAsia"/>
          <w:caps/>
          <w:sz w:val="24"/>
          <w:szCs w:val="24"/>
          <w:lang w:eastAsia="zh-CN"/>
        </w:rPr>
        <w:t>bj</w:t>
      </w:r>
      <w:r w:rsidRPr="008F0C1A">
        <w:rPr>
          <w:rFonts w:ascii="Book Antiqua" w:eastAsiaTheme="majorHAnsi" w:hAnsi="Book Antiqua" w:cs="Times New Roman"/>
          <w:sz w:val="24"/>
          <w:szCs w:val="24"/>
        </w:rPr>
        <w:t>, Choi</w:t>
      </w:r>
      <w:r w:rsidR="005466CC">
        <w:rPr>
          <w:rFonts w:ascii="Book Antiqua" w:eastAsia="宋体" w:hAnsi="Book Antiqua" w:cs="Times New Roman" w:hint="eastAsia"/>
          <w:sz w:val="24"/>
          <w:szCs w:val="24"/>
          <w:lang w:eastAsia="zh-CN"/>
        </w:rPr>
        <w:t xml:space="preserve"> </w:t>
      </w:r>
      <w:r w:rsidR="005466CC" w:rsidRPr="005466CC">
        <w:rPr>
          <w:rFonts w:ascii="Book Antiqua" w:eastAsia="宋体" w:hAnsi="Book Antiqua" w:cs="Times New Roman" w:hint="eastAsia"/>
          <w:caps/>
          <w:sz w:val="24"/>
          <w:szCs w:val="24"/>
          <w:lang w:eastAsia="zh-CN"/>
        </w:rPr>
        <w:t>ch</w:t>
      </w:r>
      <w:r w:rsidRPr="008F0C1A">
        <w:rPr>
          <w:rFonts w:ascii="Book Antiqua" w:eastAsiaTheme="majorHAnsi" w:hAnsi="Book Antiqua" w:cs="Times New Roman"/>
          <w:sz w:val="24"/>
          <w:szCs w:val="24"/>
        </w:rPr>
        <w:t>, Kim</w:t>
      </w:r>
      <w:r w:rsidR="005466CC">
        <w:rPr>
          <w:rFonts w:ascii="Book Antiqua" w:eastAsia="宋体" w:hAnsi="Book Antiqua" w:cs="Times New Roman" w:hint="eastAsia"/>
          <w:sz w:val="24"/>
          <w:szCs w:val="24"/>
          <w:lang w:eastAsia="zh-CN"/>
        </w:rPr>
        <w:t xml:space="preserve"> JG</w:t>
      </w:r>
      <w:r w:rsidRPr="008F0C1A">
        <w:rPr>
          <w:rFonts w:ascii="Book Antiqua" w:eastAsiaTheme="majorHAnsi" w:hAnsi="Book Antiqua" w:cs="Times New Roman"/>
          <w:sz w:val="24"/>
          <w:szCs w:val="24"/>
        </w:rPr>
        <w:t xml:space="preserve">. </w:t>
      </w:r>
      <w:r w:rsidRPr="008F0C1A">
        <w:rPr>
          <w:rFonts w:ascii="Book Antiqua" w:hAnsi="Book Antiqua" w:cs="Book Antiqua"/>
          <w:kern w:val="0"/>
          <w:sz w:val="24"/>
          <w:szCs w:val="24"/>
        </w:rPr>
        <w:t>Second-look endoscopy with prophylactic hemostasis is still effective after endoscopic submucosal dissection for gastric neoplasm</w:t>
      </w:r>
      <w:r w:rsidR="005466CC">
        <w:rPr>
          <w:rFonts w:ascii="Book Antiqua" w:eastAsia="宋体" w:hAnsi="Book Antiqua" w:cs="Book Antiqua" w:hint="eastAsia"/>
          <w:kern w:val="0"/>
          <w:sz w:val="24"/>
          <w:szCs w:val="24"/>
          <w:lang w:eastAsia="zh-CN"/>
        </w:rPr>
        <w:t>.</w:t>
      </w:r>
      <w:r w:rsidRPr="008F0C1A">
        <w:rPr>
          <w:rFonts w:ascii="Book Antiqua" w:hAnsi="Book Antiqua" w:cs="Book Antiqua"/>
          <w:kern w:val="0"/>
          <w:sz w:val="24"/>
          <w:szCs w:val="24"/>
        </w:rPr>
        <w:t xml:space="preserve"> </w:t>
      </w:r>
      <w:r w:rsidRPr="008F0C1A">
        <w:rPr>
          <w:rFonts w:ascii="Book Antiqua" w:hAnsi="Book Antiqua" w:cs="Book Antiqua"/>
          <w:i/>
          <w:iCs/>
          <w:kern w:val="0"/>
          <w:sz w:val="24"/>
          <w:szCs w:val="24"/>
        </w:rPr>
        <w:t xml:space="preserve">World J </w:t>
      </w:r>
      <w:proofErr w:type="spellStart"/>
      <w:r w:rsidRPr="008F0C1A">
        <w:rPr>
          <w:rFonts w:ascii="Book Antiqua" w:hAnsi="Book Antiqua" w:cs="Book Antiqua"/>
          <w:i/>
          <w:iCs/>
          <w:kern w:val="0"/>
          <w:sz w:val="24"/>
          <w:szCs w:val="24"/>
        </w:rPr>
        <w:t>Gastroenterol</w:t>
      </w:r>
      <w:proofErr w:type="spellEnd"/>
      <w:r w:rsidRPr="008F0C1A">
        <w:rPr>
          <w:rFonts w:ascii="Book Antiqua" w:hAnsi="Book Antiqua" w:cs="Book Antiqua"/>
          <w:i/>
          <w:iCs/>
          <w:kern w:val="0"/>
          <w:sz w:val="24"/>
          <w:szCs w:val="24"/>
        </w:rPr>
        <w:t xml:space="preserve"> </w:t>
      </w:r>
      <w:r w:rsidRPr="008F0C1A">
        <w:rPr>
          <w:rFonts w:ascii="Book Antiqua" w:hAnsi="Book Antiqua" w:cs="Book Antiqua"/>
          <w:kern w:val="0"/>
          <w:sz w:val="24"/>
          <w:szCs w:val="24"/>
        </w:rPr>
        <w:t xml:space="preserve">2015; </w:t>
      </w:r>
      <w:proofErr w:type="gramStart"/>
      <w:r w:rsidRPr="008F0C1A">
        <w:rPr>
          <w:rFonts w:ascii="Book Antiqua" w:hAnsi="Book Antiqua" w:cs="Book Antiqua"/>
          <w:kern w:val="0"/>
          <w:sz w:val="24"/>
          <w:szCs w:val="24"/>
        </w:rPr>
        <w:t>In</w:t>
      </w:r>
      <w:proofErr w:type="gramEnd"/>
      <w:r w:rsidRPr="008F0C1A">
        <w:rPr>
          <w:rFonts w:ascii="Book Antiqua" w:hAnsi="Book Antiqua" w:cs="Book Antiqua"/>
          <w:kern w:val="0"/>
          <w:sz w:val="24"/>
          <w:szCs w:val="24"/>
        </w:rPr>
        <w:t xml:space="preserve"> press</w:t>
      </w:r>
    </w:p>
    <w:p w:rsidR="00006F6C" w:rsidRPr="008F0C1A" w:rsidRDefault="00006F6C" w:rsidP="00A771AE">
      <w:pPr>
        <w:widowControl/>
        <w:wordWrap/>
        <w:autoSpaceDE/>
        <w:autoSpaceDN/>
        <w:adjustRightInd w:val="0"/>
        <w:snapToGrid w:val="0"/>
        <w:spacing w:after="0" w:line="360" w:lineRule="auto"/>
        <w:rPr>
          <w:rFonts w:ascii="Book Antiqua" w:eastAsiaTheme="minorHAnsi" w:hAnsi="Book Antiqua" w:cs="Times New Roman"/>
          <w:b/>
          <w:caps/>
          <w:sz w:val="24"/>
          <w:szCs w:val="24"/>
        </w:rPr>
      </w:pPr>
      <w:r w:rsidRPr="008F0C1A">
        <w:rPr>
          <w:rFonts w:ascii="Book Antiqua" w:eastAsiaTheme="minorHAnsi" w:hAnsi="Book Antiqua" w:cs="Times New Roman"/>
          <w:b/>
          <w:caps/>
          <w:sz w:val="24"/>
          <w:szCs w:val="24"/>
        </w:rPr>
        <w:br w:type="page"/>
      </w:r>
    </w:p>
    <w:p w:rsidR="00006F6C" w:rsidRPr="008F0C1A" w:rsidRDefault="004D4655" w:rsidP="00A771AE">
      <w:pPr>
        <w:wordWrap/>
        <w:adjustRightInd w:val="0"/>
        <w:snapToGrid w:val="0"/>
        <w:spacing w:after="0" w:line="360" w:lineRule="auto"/>
        <w:rPr>
          <w:rFonts w:ascii="Book Antiqua" w:eastAsiaTheme="minorHAnsi" w:hAnsi="Book Antiqua" w:cs="Times New Roman"/>
          <w:b/>
          <w:caps/>
          <w:sz w:val="24"/>
          <w:szCs w:val="24"/>
        </w:rPr>
      </w:pPr>
      <w:r w:rsidRPr="008F0C1A">
        <w:rPr>
          <w:rFonts w:ascii="Book Antiqua" w:eastAsiaTheme="minorHAnsi" w:hAnsi="Book Antiqua" w:cs="Times New Roman"/>
          <w:b/>
          <w:caps/>
          <w:sz w:val="24"/>
          <w:szCs w:val="24"/>
        </w:rPr>
        <w:lastRenderedPageBreak/>
        <w:t>Introduction</w:t>
      </w:r>
    </w:p>
    <w:p w:rsidR="0022406F" w:rsidRPr="008F0C1A" w:rsidRDefault="004D4655" w:rsidP="00A771AE">
      <w:pPr>
        <w:wordWrap/>
        <w:adjustRightInd w:val="0"/>
        <w:snapToGrid w:val="0"/>
        <w:spacing w:after="0" w:line="360" w:lineRule="auto"/>
        <w:rPr>
          <w:rFonts w:ascii="Book Antiqua" w:eastAsiaTheme="minorHAnsi" w:hAnsi="Book Antiqua" w:cs="Times New Roman"/>
          <w:sz w:val="24"/>
          <w:szCs w:val="24"/>
        </w:rPr>
      </w:pPr>
      <w:r w:rsidRPr="008F0C1A">
        <w:rPr>
          <w:rFonts w:ascii="Book Antiqua" w:eastAsiaTheme="minorHAnsi" w:hAnsi="Book Antiqua" w:cs="Times New Roman"/>
          <w:sz w:val="24"/>
          <w:szCs w:val="24"/>
        </w:rPr>
        <w:t xml:space="preserve">Gastric cancer is the most common malignant neoplasm and the third </w:t>
      </w:r>
      <w:r w:rsidR="007458F2" w:rsidRPr="008F0C1A">
        <w:rPr>
          <w:rFonts w:ascii="Book Antiqua" w:eastAsiaTheme="minorHAnsi" w:hAnsi="Book Antiqua" w:cs="Times New Roman"/>
          <w:sz w:val="24"/>
          <w:szCs w:val="24"/>
        </w:rPr>
        <w:t xml:space="preserve">most </w:t>
      </w:r>
      <w:r w:rsidRPr="008F0C1A">
        <w:rPr>
          <w:rFonts w:ascii="Book Antiqua" w:eastAsiaTheme="minorHAnsi" w:hAnsi="Book Antiqua" w:cs="Times New Roman"/>
          <w:sz w:val="24"/>
          <w:szCs w:val="24"/>
        </w:rPr>
        <w:t xml:space="preserve">common cause of cancer related death in </w:t>
      </w:r>
      <w:r w:rsidR="00AB41B8">
        <w:rPr>
          <w:rFonts w:ascii="Book Antiqua" w:eastAsia="宋体" w:hAnsi="Book Antiqua" w:cs="Times New Roman" w:hint="eastAsia"/>
          <w:sz w:val="24"/>
          <w:szCs w:val="24"/>
          <w:lang w:eastAsia="zh-CN"/>
        </w:rPr>
        <w:t xml:space="preserve">South </w:t>
      </w:r>
      <w:proofErr w:type="gramStart"/>
      <w:r w:rsidRPr="008F0C1A">
        <w:rPr>
          <w:rFonts w:ascii="Book Antiqua" w:eastAsiaTheme="minorHAnsi" w:hAnsi="Book Antiqua" w:cs="Times New Roman"/>
          <w:sz w:val="24"/>
          <w:szCs w:val="24"/>
        </w:rPr>
        <w:t>Korea</w:t>
      </w:r>
      <w:r w:rsidR="00956CFC" w:rsidRPr="008F0C1A">
        <w:rPr>
          <w:rFonts w:ascii="Book Antiqua" w:eastAsiaTheme="minorHAnsi" w:hAnsi="Book Antiqua" w:cs="Times New Roman"/>
          <w:noProof/>
          <w:sz w:val="24"/>
          <w:szCs w:val="24"/>
          <w:vertAlign w:val="superscript"/>
        </w:rPr>
        <w:t>[</w:t>
      </w:r>
      <w:proofErr w:type="gramEnd"/>
      <w:r w:rsidR="00956CFC" w:rsidRPr="008F0C1A">
        <w:rPr>
          <w:rFonts w:ascii="Book Antiqua" w:eastAsiaTheme="minorHAnsi" w:hAnsi="Book Antiqua" w:cs="Times New Roman"/>
          <w:noProof/>
          <w:sz w:val="24"/>
          <w:szCs w:val="24"/>
          <w:vertAlign w:val="superscript"/>
        </w:rPr>
        <w:t>1]</w:t>
      </w:r>
      <w:r w:rsidR="00400F31" w:rsidRPr="008F0C1A">
        <w:rPr>
          <w:rFonts w:ascii="Book Antiqua" w:eastAsiaTheme="minorHAnsi" w:hAnsi="Book Antiqua" w:cs="Times New Roman"/>
          <w:sz w:val="24"/>
          <w:szCs w:val="24"/>
        </w:rPr>
        <w:t>.</w:t>
      </w:r>
      <w:r w:rsidRPr="008F0C1A">
        <w:rPr>
          <w:rFonts w:ascii="Book Antiqua" w:eastAsiaTheme="minorHAnsi" w:hAnsi="Book Antiqua" w:cs="Times New Roman"/>
          <w:sz w:val="24"/>
          <w:szCs w:val="24"/>
        </w:rPr>
        <w:t xml:space="preserve"> Endoscopy for screening of gastric cancer is widely performed in high incidence area</w:t>
      </w:r>
      <w:r w:rsidR="007458F2" w:rsidRPr="008F0C1A">
        <w:rPr>
          <w:rFonts w:ascii="Book Antiqua" w:eastAsiaTheme="minorHAnsi" w:hAnsi="Book Antiqua" w:cs="Times New Roman"/>
          <w:sz w:val="24"/>
          <w:szCs w:val="24"/>
        </w:rPr>
        <w:t>s</w:t>
      </w:r>
      <w:r w:rsidRPr="008F0C1A">
        <w:rPr>
          <w:rFonts w:ascii="Book Antiqua" w:eastAsiaTheme="minorHAnsi" w:hAnsi="Book Antiqua" w:cs="Times New Roman"/>
          <w:sz w:val="24"/>
          <w:szCs w:val="24"/>
        </w:rPr>
        <w:t xml:space="preserve"> such as Korea and Japan. </w:t>
      </w:r>
      <w:r w:rsidR="007458F2" w:rsidRPr="008F0C1A">
        <w:rPr>
          <w:rFonts w:ascii="Book Antiqua" w:eastAsiaTheme="minorHAnsi" w:hAnsi="Book Antiqua" w:cs="Times New Roman"/>
          <w:sz w:val="24"/>
          <w:szCs w:val="24"/>
        </w:rPr>
        <w:t xml:space="preserve">Recently, </w:t>
      </w:r>
      <w:r w:rsidRPr="008F0C1A">
        <w:rPr>
          <w:rFonts w:ascii="Book Antiqua" w:eastAsiaTheme="minorHAnsi" w:hAnsi="Book Antiqua" w:cs="Times New Roman"/>
          <w:sz w:val="24"/>
          <w:szCs w:val="24"/>
        </w:rPr>
        <w:t>advances in endoscopic equipment ha</w:t>
      </w:r>
      <w:r w:rsidR="007458F2" w:rsidRPr="008F0C1A">
        <w:rPr>
          <w:rFonts w:ascii="Book Antiqua" w:eastAsiaTheme="minorHAnsi" w:hAnsi="Book Antiqua" w:cs="Times New Roman"/>
          <w:sz w:val="24"/>
          <w:szCs w:val="24"/>
        </w:rPr>
        <w:t>ve</w:t>
      </w:r>
      <w:r w:rsidRPr="008F0C1A">
        <w:rPr>
          <w:rFonts w:ascii="Book Antiqua" w:eastAsiaTheme="minorHAnsi" w:hAnsi="Book Antiqua" w:cs="Times New Roman"/>
          <w:sz w:val="24"/>
          <w:szCs w:val="24"/>
        </w:rPr>
        <w:t xml:space="preserve"> increased </w:t>
      </w:r>
      <w:r w:rsidR="007458F2" w:rsidRPr="008F0C1A">
        <w:rPr>
          <w:rFonts w:ascii="Book Antiqua" w:eastAsiaTheme="minorHAnsi" w:hAnsi="Book Antiqua" w:cs="Times New Roman"/>
          <w:sz w:val="24"/>
          <w:szCs w:val="24"/>
        </w:rPr>
        <w:t xml:space="preserve">the </w:t>
      </w:r>
      <w:r w:rsidRPr="008F0C1A">
        <w:rPr>
          <w:rFonts w:ascii="Book Antiqua" w:eastAsiaTheme="minorHAnsi" w:hAnsi="Book Antiqua" w:cs="Times New Roman"/>
          <w:sz w:val="24"/>
          <w:szCs w:val="24"/>
        </w:rPr>
        <w:t xml:space="preserve">early detection </w:t>
      </w:r>
      <w:r w:rsidR="007458F2" w:rsidRPr="008F0C1A">
        <w:rPr>
          <w:rFonts w:ascii="Book Antiqua" w:eastAsiaTheme="minorHAnsi" w:hAnsi="Book Antiqua" w:cs="Times New Roman"/>
          <w:sz w:val="24"/>
          <w:szCs w:val="24"/>
        </w:rPr>
        <w:t xml:space="preserve">rate. </w:t>
      </w:r>
      <w:r w:rsidRPr="008F0C1A">
        <w:rPr>
          <w:rFonts w:ascii="Book Antiqua" w:eastAsiaTheme="minorHAnsi" w:hAnsi="Book Antiqua" w:cs="Times New Roman"/>
          <w:sz w:val="24"/>
          <w:szCs w:val="24"/>
        </w:rPr>
        <w:t xml:space="preserve">There is a good chance </w:t>
      </w:r>
      <w:r w:rsidR="007458F2" w:rsidRPr="008F0C1A">
        <w:rPr>
          <w:rFonts w:ascii="Book Antiqua" w:eastAsiaTheme="minorHAnsi" w:hAnsi="Book Antiqua" w:cs="Times New Roman"/>
          <w:sz w:val="24"/>
          <w:szCs w:val="24"/>
        </w:rPr>
        <w:t>of being</w:t>
      </w:r>
      <w:r w:rsidRPr="008F0C1A">
        <w:rPr>
          <w:rFonts w:ascii="Book Antiqua" w:eastAsiaTheme="minorHAnsi" w:hAnsi="Book Antiqua" w:cs="Times New Roman"/>
          <w:sz w:val="24"/>
          <w:szCs w:val="24"/>
        </w:rPr>
        <w:t xml:space="preserve"> cure</w:t>
      </w:r>
      <w:r w:rsidR="007458F2" w:rsidRPr="008F0C1A">
        <w:rPr>
          <w:rFonts w:ascii="Book Antiqua" w:eastAsiaTheme="minorHAnsi" w:hAnsi="Book Antiqua" w:cs="Times New Roman"/>
          <w:sz w:val="24"/>
          <w:szCs w:val="24"/>
        </w:rPr>
        <w:t>d</w:t>
      </w:r>
      <w:r w:rsidRPr="008F0C1A">
        <w:rPr>
          <w:rFonts w:ascii="Book Antiqua" w:eastAsiaTheme="minorHAnsi" w:hAnsi="Book Antiqua" w:cs="Times New Roman"/>
          <w:sz w:val="24"/>
          <w:szCs w:val="24"/>
        </w:rPr>
        <w:t xml:space="preserve"> when gastric cancer is diagnosed at an early state</w:t>
      </w:r>
      <w:r w:rsidR="007458F2" w:rsidRPr="008F0C1A">
        <w:rPr>
          <w:rFonts w:ascii="Book Antiqua" w:eastAsiaTheme="minorHAnsi" w:hAnsi="Book Antiqua" w:cs="Times New Roman"/>
          <w:sz w:val="24"/>
          <w:szCs w:val="24"/>
        </w:rPr>
        <w:t>,</w:t>
      </w:r>
      <w:r w:rsidRPr="008F0C1A">
        <w:rPr>
          <w:rFonts w:ascii="Book Antiqua" w:eastAsiaTheme="minorHAnsi" w:hAnsi="Book Antiqua" w:cs="Times New Roman"/>
          <w:sz w:val="24"/>
          <w:szCs w:val="24"/>
        </w:rPr>
        <w:t xml:space="preserve"> </w:t>
      </w:r>
      <w:r w:rsidR="007458F2" w:rsidRPr="008F0C1A">
        <w:rPr>
          <w:rFonts w:ascii="Book Antiqua" w:eastAsiaTheme="minorHAnsi" w:hAnsi="Book Antiqua" w:cs="Times New Roman"/>
          <w:sz w:val="24"/>
          <w:szCs w:val="24"/>
        </w:rPr>
        <w:t>for which s</w:t>
      </w:r>
      <w:r w:rsidRPr="008F0C1A">
        <w:rPr>
          <w:rFonts w:ascii="Book Antiqua" w:eastAsiaTheme="minorHAnsi" w:hAnsi="Book Antiqua" w:cs="Times New Roman"/>
          <w:sz w:val="24"/>
          <w:szCs w:val="24"/>
        </w:rPr>
        <w:t>urgery is the treatment of choice</w:t>
      </w:r>
      <w:r w:rsidR="007458F2" w:rsidRPr="008F0C1A">
        <w:rPr>
          <w:rFonts w:ascii="Book Antiqua" w:eastAsiaTheme="minorHAnsi" w:hAnsi="Book Antiqua" w:cs="Times New Roman"/>
          <w:sz w:val="24"/>
          <w:szCs w:val="24"/>
        </w:rPr>
        <w:t>.</w:t>
      </w:r>
      <w:r w:rsidRPr="008F0C1A">
        <w:rPr>
          <w:rFonts w:ascii="Book Antiqua" w:eastAsiaTheme="minorHAnsi" w:hAnsi="Book Antiqua" w:cs="Times New Roman"/>
          <w:sz w:val="24"/>
          <w:szCs w:val="24"/>
        </w:rPr>
        <w:t xml:space="preserve"> Endoscopic submucosal dissection (ESD) for </w:t>
      </w:r>
      <w:r w:rsidR="007458F2" w:rsidRPr="008F0C1A">
        <w:rPr>
          <w:rFonts w:ascii="Book Antiqua" w:eastAsiaTheme="minorHAnsi" w:hAnsi="Book Antiqua" w:cs="Times New Roman"/>
          <w:sz w:val="24"/>
          <w:szCs w:val="24"/>
        </w:rPr>
        <w:t xml:space="preserve">node-negative </w:t>
      </w:r>
      <w:r w:rsidRPr="008F0C1A">
        <w:rPr>
          <w:rFonts w:ascii="Book Antiqua" w:eastAsiaTheme="minorHAnsi" w:hAnsi="Book Antiqua" w:cs="Times New Roman"/>
          <w:sz w:val="24"/>
          <w:szCs w:val="24"/>
        </w:rPr>
        <w:t xml:space="preserve">early gastric cancer (EGC) has been recognized as </w:t>
      </w:r>
      <w:r w:rsidR="007458F2" w:rsidRPr="008F0C1A">
        <w:rPr>
          <w:rFonts w:ascii="Book Antiqua" w:eastAsiaTheme="minorHAnsi" w:hAnsi="Book Antiqua" w:cs="Times New Roman"/>
          <w:sz w:val="24"/>
          <w:szCs w:val="24"/>
        </w:rPr>
        <w:t xml:space="preserve">an </w:t>
      </w:r>
      <w:r w:rsidRPr="008F0C1A">
        <w:rPr>
          <w:rFonts w:ascii="Book Antiqua" w:eastAsiaTheme="minorHAnsi" w:hAnsi="Book Antiqua" w:cs="Times New Roman"/>
          <w:sz w:val="24"/>
          <w:szCs w:val="24"/>
        </w:rPr>
        <w:t>outstanding endoscopic tr</w:t>
      </w:r>
      <w:r w:rsidR="00CF6945" w:rsidRPr="008F0C1A">
        <w:rPr>
          <w:rFonts w:ascii="Book Antiqua" w:eastAsiaTheme="minorHAnsi" w:hAnsi="Book Antiqua" w:cs="Times New Roman"/>
          <w:sz w:val="24"/>
          <w:szCs w:val="24"/>
        </w:rPr>
        <w:t xml:space="preserve">eatment instead of open </w:t>
      </w:r>
      <w:proofErr w:type="gramStart"/>
      <w:r w:rsidR="00CF6945" w:rsidRPr="008F0C1A">
        <w:rPr>
          <w:rFonts w:ascii="Book Antiqua" w:eastAsiaTheme="minorHAnsi" w:hAnsi="Book Antiqua" w:cs="Times New Roman"/>
          <w:sz w:val="24"/>
          <w:szCs w:val="24"/>
        </w:rPr>
        <w:t>surgery</w:t>
      </w:r>
      <w:r w:rsidR="00956CFC" w:rsidRPr="008F0C1A">
        <w:rPr>
          <w:rFonts w:ascii="Book Antiqua" w:eastAsiaTheme="minorHAnsi" w:hAnsi="Book Antiqua" w:cs="Times New Roman"/>
          <w:noProof/>
          <w:sz w:val="24"/>
          <w:szCs w:val="24"/>
          <w:vertAlign w:val="superscript"/>
        </w:rPr>
        <w:t>[</w:t>
      </w:r>
      <w:proofErr w:type="gramEnd"/>
      <w:r w:rsidR="00956CFC" w:rsidRPr="008F0C1A">
        <w:rPr>
          <w:rFonts w:ascii="Book Antiqua" w:eastAsiaTheme="minorHAnsi" w:hAnsi="Book Antiqua" w:cs="Times New Roman"/>
          <w:noProof/>
          <w:sz w:val="24"/>
          <w:szCs w:val="24"/>
          <w:vertAlign w:val="superscript"/>
        </w:rPr>
        <w:t>2,3]</w:t>
      </w:r>
      <w:r w:rsidR="0067687D" w:rsidRPr="008F0C1A">
        <w:rPr>
          <w:rFonts w:ascii="Book Antiqua" w:eastAsiaTheme="minorHAnsi" w:hAnsi="Book Antiqua" w:cs="Times New Roman"/>
          <w:sz w:val="24"/>
          <w:szCs w:val="24"/>
        </w:rPr>
        <w:t>.</w:t>
      </w:r>
      <w:r w:rsidRPr="008F0C1A">
        <w:rPr>
          <w:rFonts w:ascii="Book Antiqua" w:eastAsiaTheme="minorHAnsi" w:hAnsi="Book Antiqua" w:cs="Times New Roman"/>
          <w:sz w:val="24"/>
          <w:szCs w:val="24"/>
        </w:rPr>
        <w:t xml:space="preserve"> However, bleeding from artificial ulcer</w:t>
      </w:r>
      <w:r w:rsidR="007458F2" w:rsidRPr="008F0C1A">
        <w:rPr>
          <w:rFonts w:ascii="Book Antiqua" w:eastAsiaTheme="minorHAnsi" w:hAnsi="Book Antiqua" w:cs="Times New Roman"/>
          <w:sz w:val="24"/>
          <w:szCs w:val="24"/>
        </w:rPr>
        <w:t>s</w:t>
      </w:r>
      <w:r w:rsidRPr="008F0C1A">
        <w:rPr>
          <w:rFonts w:ascii="Book Antiqua" w:eastAsiaTheme="minorHAnsi" w:hAnsi="Book Antiqua" w:cs="Times New Roman"/>
          <w:sz w:val="24"/>
          <w:szCs w:val="24"/>
        </w:rPr>
        <w:t xml:space="preserve"> after gastric ESD </w:t>
      </w:r>
      <w:r w:rsidR="007458F2" w:rsidRPr="008F0C1A">
        <w:rPr>
          <w:rFonts w:ascii="Book Antiqua" w:eastAsiaTheme="minorHAnsi" w:hAnsi="Book Antiqua" w:cs="Times New Roman"/>
          <w:sz w:val="24"/>
          <w:szCs w:val="24"/>
        </w:rPr>
        <w:t>has</w:t>
      </w:r>
      <w:r w:rsidRPr="008F0C1A">
        <w:rPr>
          <w:rFonts w:ascii="Book Antiqua" w:eastAsiaTheme="minorHAnsi" w:hAnsi="Book Antiqua" w:cs="Times New Roman"/>
          <w:sz w:val="24"/>
          <w:szCs w:val="24"/>
        </w:rPr>
        <w:t xml:space="preserve"> remained a major complication. </w:t>
      </w:r>
      <w:r w:rsidR="00CF6945" w:rsidRPr="008F0C1A">
        <w:rPr>
          <w:rFonts w:ascii="Book Antiqua" w:eastAsiaTheme="minorHAnsi" w:hAnsi="Book Antiqua" w:cs="Times New Roman"/>
          <w:sz w:val="24"/>
          <w:szCs w:val="24"/>
        </w:rPr>
        <w:t xml:space="preserve">Although the bleeding rate is relatively low after gastric ESD, uncontrolled bleeding is related to </w:t>
      </w:r>
      <w:proofErr w:type="gramStart"/>
      <w:r w:rsidR="00CF6945" w:rsidRPr="008F0C1A">
        <w:rPr>
          <w:rFonts w:ascii="Book Antiqua" w:eastAsiaTheme="minorHAnsi" w:hAnsi="Book Antiqua" w:cs="Times New Roman"/>
          <w:sz w:val="24"/>
          <w:szCs w:val="24"/>
        </w:rPr>
        <w:t>mortality</w:t>
      </w:r>
      <w:r w:rsidR="00956CFC" w:rsidRPr="008F0C1A">
        <w:rPr>
          <w:rFonts w:ascii="Book Antiqua" w:eastAsiaTheme="minorHAnsi" w:hAnsi="Book Antiqua" w:cs="Times New Roman"/>
          <w:noProof/>
          <w:sz w:val="24"/>
          <w:szCs w:val="24"/>
          <w:vertAlign w:val="superscript"/>
        </w:rPr>
        <w:t>[</w:t>
      </w:r>
      <w:proofErr w:type="gramEnd"/>
      <w:r w:rsidR="00956CFC" w:rsidRPr="008F0C1A">
        <w:rPr>
          <w:rFonts w:ascii="Book Antiqua" w:eastAsiaTheme="minorHAnsi" w:hAnsi="Book Antiqua" w:cs="Times New Roman"/>
          <w:noProof/>
          <w:sz w:val="24"/>
          <w:szCs w:val="24"/>
          <w:vertAlign w:val="superscript"/>
        </w:rPr>
        <w:t>3]</w:t>
      </w:r>
      <w:r w:rsidR="00700046" w:rsidRPr="008F0C1A">
        <w:rPr>
          <w:rFonts w:ascii="Book Antiqua" w:eastAsiaTheme="minorHAnsi" w:hAnsi="Book Antiqua" w:cs="Times New Roman"/>
          <w:sz w:val="24"/>
          <w:szCs w:val="24"/>
        </w:rPr>
        <w:t>.</w:t>
      </w:r>
      <w:r w:rsidR="00CF6945" w:rsidRPr="008F0C1A">
        <w:rPr>
          <w:rFonts w:ascii="Book Antiqua" w:eastAsiaTheme="minorHAnsi" w:hAnsi="Book Antiqua" w:cs="Times New Roman"/>
          <w:sz w:val="24"/>
          <w:szCs w:val="24"/>
        </w:rPr>
        <w:t xml:space="preserve"> </w:t>
      </w:r>
      <w:r w:rsidRPr="008F0C1A">
        <w:rPr>
          <w:rFonts w:ascii="Book Antiqua" w:eastAsiaTheme="minorHAnsi" w:hAnsi="Book Antiqua" w:cs="Times New Roman"/>
          <w:sz w:val="24"/>
          <w:szCs w:val="24"/>
        </w:rPr>
        <w:t xml:space="preserve">Therefore, </w:t>
      </w:r>
      <w:r w:rsidR="00AC77ED" w:rsidRPr="008F0C1A">
        <w:rPr>
          <w:rFonts w:ascii="Book Antiqua" w:eastAsiaTheme="minorHAnsi" w:hAnsi="Book Antiqua" w:cs="Times New Roman"/>
          <w:sz w:val="24"/>
          <w:szCs w:val="24"/>
        </w:rPr>
        <w:t xml:space="preserve">second look endoscopy (SLE) continues to be performed at most institutions </w:t>
      </w:r>
      <w:r w:rsidRPr="008F0C1A">
        <w:rPr>
          <w:rFonts w:ascii="Book Antiqua" w:eastAsiaTheme="minorHAnsi" w:hAnsi="Book Antiqua" w:cs="Times New Roman"/>
          <w:sz w:val="24"/>
          <w:szCs w:val="24"/>
        </w:rPr>
        <w:t>after gastric ESD to check for post-procedur</w:t>
      </w:r>
      <w:r w:rsidR="007458F2" w:rsidRPr="008F0C1A">
        <w:rPr>
          <w:rFonts w:ascii="Book Antiqua" w:eastAsiaTheme="minorHAnsi" w:hAnsi="Book Antiqua" w:cs="Times New Roman"/>
          <w:sz w:val="24"/>
          <w:szCs w:val="24"/>
        </w:rPr>
        <w:t>al</w:t>
      </w:r>
      <w:r w:rsidRPr="008F0C1A">
        <w:rPr>
          <w:rFonts w:ascii="Book Antiqua" w:eastAsiaTheme="minorHAnsi" w:hAnsi="Book Antiqua" w:cs="Times New Roman"/>
          <w:sz w:val="24"/>
          <w:szCs w:val="24"/>
        </w:rPr>
        <w:t xml:space="preserve"> bleeding. Nevertheless, there ha</w:t>
      </w:r>
      <w:r w:rsidR="007458F2" w:rsidRPr="008F0C1A">
        <w:rPr>
          <w:rFonts w:ascii="Book Antiqua" w:eastAsiaTheme="minorHAnsi" w:hAnsi="Book Antiqua" w:cs="Times New Roman"/>
          <w:sz w:val="24"/>
          <w:szCs w:val="24"/>
        </w:rPr>
        <w:t>s</w:t>
      </w:r>
      <w:r w:rsidRPr="008F0C1A">
        <w:rPr>
          <w:rFonts w:ascii="Book Antiqua" w:eastAsiaTheme="minorHAnsi" w:hAnsi="Book Antiqua" w:cs="Times New Roman"/>
          <w:sz w:val="24"/>
          <w:szCs w:val="24"/>
        </w:rPr>
        <w:t xml:space="preserve"> been </w:t>
      </w:r>
      <w:proofErr w:type="gramStart"/>
      <w:r w:rsidR="007458F2" w:rsidRPr="008F0C1A">
        <w:rPr>
          <w:rFonts w:ascii="Book Antiqua" w:eastAsiaTheme="minorHAnsi" w:hAnsi="Book Antiqua" w:cs="Times New Roman"/>
          <w:sz w:val="24"/>
          <w:szCs w:val="24"/>
        </w:rPr>
        <w:t xml:space="preserve">no </w:t>
      </w:r>
      <w:r w:rsidRPr="008F0C1A">
        <w:rPr>
          <w:rFonts w:ascii="Book Antiqua" w:eastAsiaTheme="minorHAnsi" w:hAnsi="Book Antiqua" w:cs="Times New Roman"/>
          <w:sz w:val="24"/>
          <w:szCs w:val="24"/>
        </w:rPr>
        <w:t>consensus nor</w:t>
      </w:r>
      <w:proofErr w:type="gramEnd"/>
      <w:r w:rsidRPr="008F0C1A">
        <w:rPr>
          <w:rFonts w:ascii="Book Antiqua" w:eastAsiaTheme="minorHAnsi" w:hAnsi="Book Antiqua" w:cs="Times New Roman"/>
          <w:sz w:val="24"/>
          <w:szCs w:val="24"/>
        </w:rPr>
        <w:t xml:space="preserve"> significant evidence of </w:t>
      </w:r>
      <w:r w:rsidR="007458F2" w:rsidRPr="008F0C1A">
        <w:rPr>
          <w:rFonts w:ascii="Book Antiqua" w:eastAsiaTheme="minorHAnsi" w:hAnsi="Book Antiqua" w:cs="Times New Roman"/>
          <w:sz w:val="24"/>
          <w:szCs w:val="24"/>
        </w:rPr>
        <w:t xml:space="preserve">the </w:t>
      </w:r>
      <w:r w:rsidR="00AC77ED" w:rsidRPr="008F0C1A">
        <w:rPr>
          <w:rFonts w:ascii="Book Antiqua" w:eastAsiaTheme="minorHAnsi" w:hAnsi="Book Antiqua" w:cs="Times New Roman"/>
          <w:sz w:val="24"/>
          <w:szCs w:val="24"/>
        </w:rPr>
        <w:t xml:space="preserve">clinical </w:t>
      </w:r>
      <w:r w:rsidR="007458F2" w:rsidRPr="008F0C1A">
        <w:rPr>
          <w:rFonts w:ascii="Book Antiqua" w:eastAsiaTheme="minorHAnsi" w:hAnsi="Book Antiqua" w:cs="Times New Roman"/>
          <w:sz w:val="24"/>
          <w:szCs w:val="24"/>
        </w:rPr>
        <w:t xml:space="preserve">utility of </w:t>
      </w:r>
      <w:r w:rsidRPr="008F0C1A">
        <w:rPr>
          <w:rFonts w:ascii="Book Antiqua" w:eastAsiaTheme="minorHAnsi" w:hAnsi="Book Antiqua" w:cs="Times New Roman"/>
          <w:sz w:val="24"/>
          <w:szCs w:val="24"/>
        </w:rPr>
        <w:t xml:space="preserve">SLE in patients without any sign of bleeding. In most cases of bleeding, endoscopic hemostasis effectively stops bleeding when properly performed </w:t>
      </w:r>
      <w:r w:rsidR="007458F2" w:rsidRPr="008F0C1A">
        <w:rPr>
          <w:rFonts w:ascii="Book Antiqua" w:eastAsiaTheme="minorHAnsi" w:hAnsi="Book Antiqua" w:cs="Times New Roman"/>
          <w:sz w:val="24"/>
          <w:szCs w:val="24"/>
        </w:rPr>
        <w:t xml:space="preserve">during </w:t>
      </w:r>
      <w:r w:rsidRPr="008F0C1A">
        <w:rPr>
          <w:rFonts w:ascii="Book Antiqua" w:eastAsiaTheme="minorHAnsi" w:hAnsi="Book Antiqua" w:cs="Times New Roman"/>
          <w:sz w:val="24"/>
          <w:szCs w:val="24"/>
        </w:rPr>
        <w:t xml:space="preserve">emergency endoscopy. For this reason, the clinical value of SLE is </w:t>
      </w:r>
      <w:r w:rsidR="007458F2" w:rsidRPr="008F0C1A">
        <w:rPr>
          <w:rFonts w:ascii="Book Antiqua" w:eastAsiaTheme="minorHAnsi" w:hAnsi="Book Antiqua" w:cs="Times New Roman"/>
          <w:sz w:val="24"/>
          <w:szCs w:val="24"/>
        </w:rPr>
        <w:t xml:space="preserve">continuously </w:t>
      </w:r>
      <w:r w:rsidRPr="008F0C1A">
        <w:rPr>
          <w:rFonts w:ascii="Book Antiqua" w:eastAsiaTheme="minorHAnsi" w:hAnsi="Book Antiqua" w:cs="Times New Roman"/>
          <w:sz w:val="24"/>
          <w:szCs w:val="24"/>
        </w:rPr>
        <w:t>under debate</w:t>
      </w:r>
      <w:r w:rsidR="007458F2" w:rsidRPr="008F0C1A">
        <w:rPr>
          <w:rFonts w:ascii="Book Antiqua" w:eastAsiaTheme="minorHAnsi" w:hAnsi="Book Antiqua" w:cs="Times New Roman"/>
          <w:sz w:val="24"/>
          <w:szCs w:val="24"/>
        </w:rPr>
        <w:t>.</w:t>
      </w:r>
      <w:r w:rsidRPr="008F0C1A">
        <w:rPr>
          <w:rFonts w:ascii="Book Antiqua" w:eastAsiaTheme="minorHAnsi" w:hAnsi="Book Antiqua" w:cs="Times New Roman"/>
          <w:sz w:val="24"/>
          <w:szCs w:val="24"/>
        </w:rPr>
        <w:t xml:space="preserve"> </w:t>
      </w:r>
      <w:r w:rsidR="000864FA" w:rsidRPr="008F0C1A">
        <w:rPr>
          <w:rFonts w:ascii="Book Antiqua" w:eastAsiaTheme="minorHAnsi" w:hAnsi="Book Antiqua" w:cs="Times New Roman"/>
          <w:sz w:val="24"/>
          <w:szCs w:val="24"/>
        </w:rPr>
        <w:t>Two</w:t>
      </w:r>
      <w:r w:rsidRPr="008F0C1A">
        <w:rPr>
          <w:rFonts w:ascii="Book Antiqua" w:eastAsiaTheme="minorHAnsi" w:hAnsi="Book Antiqua" w:cs="Times New Roman"/>
          <w:sz w:val="24"/>
          <w:szCs w:val="24"/>
        </w:rPr>
        <w:t xml:space="preserve"> retrospective analysis reported that SLE after gastric ESD may contribute </w:t>
      </w:r>
      <w:r w:rsidR="007458F2" w:rsidRPr="008F0C1A">
        <w:rPr>
          <w:rFonts w:ascii="Book Antiqua" w:eastAsiaTheme="minorHAnsi" w:hAnsi="Book Antiqua" w:cs="Times New Roman"/>
          <w:sz w:val="24"/>
          <w:szCs w:val="24"/>
        </w:rPr>
        <w:t xml:space="preserve">little </w:t>
      </w:r>
      <w:r w:rsidRPr="008F0C1A">
        <w:rPr>
          <w:rFonts w:ascii="Book Antiqua" w:eastAsiaTheme="minorHAnsi" w:hAnsi="Book Antiqua" w:cs="Times New Roman"/>
          <w:sz w:val="24"/>
          <w:szCs w:val="24"/>
        </w:rPr>
        <w:t xml:space="preserve">to </w:t>
      </w:r>
      <w:r w:rsidR="007458F2" w:rsidRPr="008F0C1A">
        <w:rPr>
          <w:rFonts w:ascii="Book Antiqua" w:eastAsiaTheme="minorHAnsi" w:hAnsi="Book Antiqua" w:cs="Times New Roman"/>
          <w:sz w:val="24"/>
          <w:szCs w:val="24"/>
        </w:rPr>
        <w:t xml:space="preserve">the </w:t>
      </w:r>
      <w:r w:rsidR="00CF6945" w:rsidRPr="008F0C1A">
        <w:rPr>
          <w:rFonts w:ascii="Book Antiqua" w:eastAsiaTheme="minorHAnsi" w:hAnsi="Book Antiqua" w:cs="Times New Roman"/>
          <w:sz w:val="24"/>
          <w:szCs w:val="24"/>
        </w:rPr>
        <w:t xml:space="preserve">prevention of delayed </w:t>
      </w:r>
      <w:proofErr w:type="gramStart"/>
      <w:r w:rsidR="00CF6945" w:rsidRPr="008F0C1A">
        <w:rPr>
          <w:rFonts w:ascii="Book Antiqua" w:eastAsiaTheme="minorHAnsi" w:hAnsi="Book Antiqua" w:cs="Times New Roman"/>
          <w:sz w:val="24"/>
          <w:szCs w:val="24"/>
        </w:rPr>
        <w:t>bleeding</w:t>
      </w:r>
      <w:r w:rsidR="00956CFC" w:rsidRPr="008F0C1A">
        <w:rPr>
          <w:rFonts w:ascii="Book Antiqua" w:eastAsiaTheme="minorHAnsi" w:hAnsi="Book Antiqua" w:cs="Times New Roman"/>
          <w:noProof/>
          <w:sz w:val="24"/>
          <w:szCs w:val="24"/>
          <w:vertAlign w:val="superscript"/>
        </w:rPr>
        <w:t>[</w:t>
      </w:r>
      <w:proofErr w:type="gramEnd"/>
      <w:r w:rsidR="00956CFC" w:rsidRPr="008F0C1A">
        <w:rPr>
          <w:rFonts w:ascii="Book Antiqua" w:eastAsiaTheme="minorHAnsi" w:hAnsi="Book Antiqua" w:cs="Times New Roman"/>
          <w:noProof/>
          <w:sz w:val="24"/>
          <w:szCs w:val="24"/>
          <w:vertAlign w:val="superscript"/>
        </w:rPr>
        <w:t>4,5]</w:t>
      </w:r>
      <w:r w:rsidR="007E0325" w:rsidRPr="008F0C1A">
        <w:rPr>
          <w:rFonts w:ascii="Book Antiqua" w:eastAsiaTheme="minorHAnsi" w:hAnsi="Book Antiqua" w:cs="Times New Roman"/>
          <w:noProof/>
          <w:sz w:val="24"/>
          <w:szCs w:val="24"/>
        </w:rPr>
        <w:t>.</w:t>
      </w:r>
      <w:r w:rsidRPr="008F0C1A">
        <w:rPr>
          <w:rFonts w:ascii="Book Antiqua" w:eastAsiaTheme="minorHAnsi" w:hAnsi="Book Antiqua" w:cs="Times New Roman"/>
          <w:sz w:val="24"/>
          <w:szCs w:val="24"/>
        </w:rPr>
        <w:t xml:space="preserve"> In that study, gross type</w:t>
      </w:r>
      <w:r w:rsidR="00786590" w:rsidRPr="008F0C1A">
        <w:rPr>
          <w:rFonts w:ascii="Book Antiqua" w:eastAsiaTheme="minorHAnsi" w:hAnsi="Book Antiqua" w:cs="Times New Roman"/>
          <w:sz w:val="24"/>
          <w:szCs w:val="24"/>
        </w:rPr>
        <w:t xml:space="preserve"> </w:t>
      </w:r>
      <w:r w:rsidRPr="008F0C1A">
        <w:rPr>
          <w:rFonts w:ascii="Book Antiqua" w:eastAsiaTheme="minorHAnsi" w:hAnsi="Book Antiqua" w:cs="Times New Roman"/>
          <w:sz w:val="24"/>
          <w:szCs w:val="24"/>
        </w:rPr>
        <w:t>(</w:t>
      </w:r>
      <w:proofErr w:type="spellStart"/>
      <w:r w:rsidRPr="008F0C1A">
        <w:rPr>
          <w:rFonts w:ascii="Book Antiqua" w:eastAsiaTheme="minorHAnsi" w:hAnsi="Book Antiqua" w:cs="Times New Roman"/>
          <w:sz w:val="24"/>
          <w:szCs w:val="24"/>
        </w:rPr>
        <w:t>IIb</w:t>
      </w:r>
      <w:proofErr w:type="spellEnd"/>
      <w:r w:rsidRPr="008F0C1A">
        <w:rPr>
          <w:rFonts w:ascii="Book Antiqua" w:eastAsiaTheme="minorHAnsi" w:hAnsi="Book Antiqua" w:cs="Times New Roman"/>
          <w:sz w:val="24"/>
          <w:szCs w:val="24"/>
        </w:rPr>
        <w:t>/</w:t>
      </w:r>
      <w:proofErr w:type="spellStart"/>
      <w:r w:rsidRPr="008F0C1A">
        <w:rPr>
          <w:rFonts w:ascii="Book Antiqua" w:eastAsiaTheme="minorHAnsi" w:hAnsi="Book Antiqua" w:cs="Times New Roman"/>
          <w:sz w:val="24"/>
          <w:szCs w:val="24"/>
        </w:rPr>
        <w:t>IIc</w:t>
      </w:r>
      <w:proofErr w:type="spellEnd"/>
      <w:r w:rsidRPr="008F0C1A">
        <w:rPr>
          <w:rFonts w:ascii="Book Antiqua" w:eastAsiaTheme="minorHAnsi" w:hAnsi="Book Antiqua" w:cs="Times New Roman"/>
          <w:sz w:val="24"/>
          <w:szCs w:val="24"/>
        </w:rPr>
        <w:t xml:space="preserve">) was </w:t>
      </w:r>
      <w:r w:rsidR="007458F2" w:rsidRPr="008F0C1A">
        <w:rPr>
          <w:rFonts w:ascii="Book Antiqua" w:eastAsiaTheme="minorHAnsi" w:hAnsi="Book Antiqua" w:cs="Times New Roman"/>
          <w:sz w:val="24"/>
          <w:szCs w:val="24"/>
        </w:rPr>
        <w:t xml:space="preserve">the </w:t>
      </w:r>
      <w:r w:rsidRPr="008F0C1A">
        <w:rPr>
          <w:rFonts w:ascii="Book Antiqua" w:eastAsiaTheme="minorHAnsi" w:hAnsi="Book Antiqua" w:cs="Times New Roman"/>
          <w:sz w:val="24"/>
          <w:szCs w:val="24"/>
        </w:rPr>
        <w:t xml:space="preserve">only considerable predictor for post-ESD bleeding with a significant </w:t>
      </w:r>
      <w:proofErr w:type="gramStart"/>
      <w:r w:rsidRPr="008F0C1A">
        <w:rPr>
          <w:rFonts w:ascii="Book Antiqua" w:eastAsiaTheme="minorHAnsi" w:hAnsi="Book Antiqua" w:cs="Times New Roman"/>
          <w:sz w:val="24"/>
          <w:szCs w:val="24"/>
        </w:rPr>
        <w:t>difference</w:t>
      </w:r>
      <w:r w:rsidR="00956CFC" w:rsidRPr="008F0C1A">
        <w:rPr>
          <w:rFonts w:ascii="Book Antiqua" w:eastAsiaTheme="minorHAnsi" w:hAnsi="Book Antiqua" w:cs="Times New Roman"/>
          <w:noProof/>
          <w:sz w:val="24"/>
          <w:szCs w:val="24"/>
          <w:vertAlign w:val="superscript"/>
        </w:rPr>
        <w:t>[</w:t>
      </w:r>
      <w:proofErr w:type="gramEnd"/>
      <w:r w:rsidR="00956CFC" w:rsidRPr="008F0C1A">
        <w:rPr>
          <w:rFonts w:ascii="Book Antiqua" w:eastAsiaTheme="minorHAnsi" w:hAnsi="Book Antiqua" w:cs="Times New Roman"/>
          <w:noProof/>
          <w:sz w:val="24"/>
          <w:szCs w:val="24"/>
          <w:vertAlign w:val="superscript"/>
        </w:rPr>
        <w:t>4]</w:t>
      </w:r>
      <w:r w:rsidR="00400F31" w:rsidRPr="008F0C1A">
        <w:rPr>
          <w:rFonts w:ascii="Book Antiqua" w:eastAsiaTheme="minorHAnsi" w:hAnsi="Book Antiqua" w:cs="Times New Roman"/>
          <w:sz w:val="24"/>
          <w:szCs w:val="24"/>
        </w:rPr>
        <w:t>.</w:t>
      </w:r>
      <w:r w:rsidRPr="008F0C1A">
        <w:rPr>
          <w:rFonts w:ascii="Book Antiqua" w:eastAsiaTheme="minorHAnsi" w:hAnsi="Book Antiqua" w:cs="Times New Roman"/>
          <w:sz w:val="24"/>
          <w:szCs w:val="24"/>
        </w:rPr>
        <w:t xml:space="preserve"> In consideration of that point, gastric ESD cases </w:t>
      </w:r>
      <w:r w:rsidR="00756205" w:rsidRPr="008F0C1A">
        <w:rPr>
          <w:rFonts w:ascii="Book Antiqua" w:eastAsiaTheme="minorHAnsi" w:hAnsi="Book Antiqua" w:cs="Times New Roman"/>
          <w:sz w:val="24"/>
          <w:szCs w:val="24"/>
        </w:rPr>
        <w:t xml:space="preserve">were evaluated herein </w:t>
      </w:r>
      <w:r w:rsidRPr="008F0C1A">
        <w:rPr>
          <w:rFonts w:ascii="Book Antiqua" w:eastAsiaTheme="minorHAnsi" w:hAnsi="Book Antiqua" w:cs="Times New Roman"/>
          <w:sz w:val="24"/>
          <w:szCs w:val="24"/>
        </w:rPr>
        <w:t xml:space="preserve">to verify the clinical and pathological conditions depending on the state of the iatrogenic ulcer base of post-ESD. The aim of this study was to assess the clinical </w:t>
      </w:r>
      <w:r w:rsidR="00D012F6" w:rsidRPr="008F0C1A">
        <w:rPr>
          <w:rFonts w:ascii="Book Antiqua" w:eastAsiaTheme="minorHAnsi" w:hAnsi="Book Antiqua" w:cs="Times New Roman"/>
          <w:sz w:val="24"/>
          <w:szCs w:val="24"/>
        </w:rPr>
        <w:t>role</w:t>
      </w:r>
      <w:r w:rsidRPr="008F0C1A">
        <w:rPr>
          <w:rFonts w:ascii="Book Antiqua" w:eastAsiaTheme="minorHAnsi" w:hAnsi="Book Antiqua" w:cs="Times New Roman"/>
          <w:sz w:val="24"/>
          <w:szCs w:val="24"/>
        </w:rPr>
        <w:t xml:space="preserve"> of </w:t>
      </w:r>
      <w:r w:rsidR="00D012F6" w:rsidRPr="008F0C1A">
        <w:rPr>
          <w:rFonts w:ascii="Book Antiqua" w:eastAsiaTheme="minorHAnsi" w:hAnsi="Book Antiqua" w:cs="Times New Roman"/>
          <w:sz w:val="24"/>
          <w:szCs w:val="24"/>
        </w:rPr>
        <w:t xml:space="preserve">routine </w:t>
      </w:r>
      <w:r w:rsidRPr="008F0C1A">
        <w:rPr>
          <w:rFonts w:ascii="Book Antiqua" w:eastAsiaTheme="minorHAnsi" w:hAnsi="Book Antiqua" w:cs="Times New Roman"/>
          <w:sz w:val="24"/>
          <w:szCs w:val="24"/>
        </w:rPr>
        <w:t>SLE after ESD based on the delayed bleeding estimated by Forrest classification</w:t>
      </w:r>
      <w:r w:rsidR="00756205" w:rsidRPr="008F0C1A">
        <w:rPr>
          <w:rFonts w:ascii="Book Antiqua" w:eastAsiaTheme="minorHAnsi" w:hAnsi="Book Antiqua" w:cs="Times New Roman"/>
          <w:sz w:val="24"/>
          <w:szCs w:val="24"/>
        </w:rPr>
        <w:t>,</w:t>
      </w:r>
      <w:r w:rsidRPr="008F0C1A">
        <w:rPr>
          <w:rFonts w:ascii="Book Antiqua" w:eastAsiaTheme="minorHAnsi" w:hAnsi="Book Antiqua" w:cs="Times New Roman"/>
          <w:sz w:val="24"/>
          <w:szCs w:val="24"/>
        </w:rPr>
        <w:t xml:space="preserve"> and to confirm whether SLE </w:t>
      </w:r>
      <w:r w:rsidR="00CF6945" w:rsidRPr="008F0C1A">
        <w:rPr>
          <w:rFonts w:ascii="Book Antiqua" w:eastAsiaTheme="minorHAnsi" w:hAnsi="Book Antiqua" w:cs="Times New Roman"/>
          <w:sz w:val="24"/>
          <w:szCs w:val="24"/>
        </w:rPr>
        <w:t xml:space="preserve">with prophylactic hemostasis </w:t>
      </w:r>
      <w:r w:rsidRPr="008F0C1A">
        <w:rPr>
          <w:rFonts w:ascii="Book Antiqua" w:eastAsiaTheme="minorHAnsi" w:hAnsi="Book Antiqua" w:cs="Times New Roman"/>
          <w:sz w:val="24"/>
          <w:szCs w:val="24"/>
        </w:rPr>
        <w:t xml:space="preserve">is </w:t>
      </w:r>
      <w:r w:rsidR="00AA574D" w:rsidRPr="008F0C1A">
        <w:rPr>
          <w:rFonts w:ascii="Book Antiqua" w:eastAsiaTheme="minorHAnsi" w:hAnsi="Book Antiqua" w:cs="Times New Roman"/>
          <w:sz w:val="24"/>
          <w:szCs w:val="24"/>
        </w:rPr>
        <w:t>useful</w:t>
      </w:r>
      <w:r w:rsidRPr="008F0C1A">
        <w:rPr>
          <w:rFonts w:ascii="Book Antiqua" w:eastAsiaTheme="minorHAnsi" w:hAnsi="Book Antiqua" w:cs="Times New Roman"/>
          <w:sz w:val="24"/>
          <w:szCs w:val="24"/>
        </w:rPr>
        <w:t xml:space="preserve"> for </w:t>
      </w:r>
      <w:r w:rsidR="00756205" w:rsidRPr="008F0C1A">
        <w:rPr>
          <w:rFonts w:ascii="Book Antiqua" w:eastAsiaTheme="minorHAnsi" w:hAnsi="Book Antiqua" w:cs="Times New Roman"/>
          <w:sz w:val="24"/>
          <w:szCs w:val="24"/>
        </w:rPr>
        <w:t xml:space="preserve">the </w:t>
      </w:r>
      <w:r w:rsidRPr="008F0C1A">
        <w:rPr>
          <w:rFonts w:ascii="Book Antiqua" w:eastAsiaTheme="minorHAnsi" w:hAnsi="Book Antiqua" w:cs="Times New Roman"/>
          <w:sz w:val="24"/>
          <w:szCs w:val="24"/>
        </w:rPr>
        <w:t>preventi</w:t>
      </w:r>
      <w:r w:rsidR="00756205" w:rsidRPr="008F0C1A">
        <w:rPr>
          <w:rFonts w:ascii="Book Antiqua" w:eastAsiaTheme="minorHAnsi" w:hAnsi="Book Antiqua" w:cs="Times New Roman"/>
          <w:sz w:val="24"/>
          <w:szCs w:val="24"/>
        </w:rPr>
        <w:t>o</w:t>
      </w:r>
      <w:r w:rsidRPr="008F0C1A">
        <w:rPr>
          <w:rFonts w:ascii="Book Antiqua" w:eastAsiaTheme="minorHAnsi" w:hAnsi="Book Antiqua" w:cs="Times New Roman"/>
          <w:sz w:val="24"/>
          <w:szCs w:val="24"/>
        </w:rPr>
        <w:t xml:space="preserve">n </w:t>
      </w:r>
      <w:r w:rsidR="00756205" w:rsidRPr="008F0C1A">
        <w:rPr>
          <w:rFonts w:ascii="Book Antiqua" w:eastAsiaTheme="minorHAnsi" w:hAnsi="Book Antiqua" w:cs="Times New Roman"/>
          <w:sz w:val="24"/>
          <w:szCs w:val="24"/>
        </w:rPr>
        <w:t xml:space="preserve">of </w:t>
      </w:r>
      <w:r w:rsidR="00CF6945" w:rsidRPr="008F0C1A">
        <w:rPr>
          <w:rFonts w:ascii="Book Antiqua" w:eastAsiaTheme="minorHAnsi" w:hAnsi="Book Antiqua" w:cs="Times New Roman"/>
          <w:sz w:val="24"/>
          <w:szCs w:val="24"/>
        </w:rPr>
        <w:t xml:space="preserve">delayed </w:t>
      </w:r>
      <w:r w:rsidRPr="008F0C1A">
        <w:rPr>
          <w:rFonts w:ascii="Book Antiqua" w:eastAsiaTheme="minorHAnsi" w:hAnsi="Book Antiqua" w:cs="Times New Roman"/>
          <w:sz w:val="24"/>
          <w:szCs w:val="24"/>
        </w:rPr>
        <w:t>bleeding after gastric ESD.</w:t>
      </w:r>
    </w:p>
    <w:p w:rsidR="000329D6" w:rsidRPr="008F0C1A" w:rsidRDefault="000329D6" w:rsidP="00A771AE">
      <w:pPr>
        <w:wordWrap/>
        <w:adjustRightInd w:val="0"/>
        <w:snapToGrid w:val="0"/>
        <w:spacing w:after="0" w:line="360" w:lineRule="auto"/>
        <w:rPr>
          <w:rFonts w:ascii="Book Antiqua" w:eastAsiaTheme="minorHAnsi" w:hAnsi="Book Antiqua" w:cs="Times New Roman"/>
          <w:b/>
          <w:caps/>
          <w:sz w:val="24"/>
          <w:szCs w:val="24"/>
        </w:rPr>
      </w:pPr>
    </w:p>
    <w:p w:rsidR="00006F6C" w:rsidRPr="008F0C1A" w:rsidRDefault="00956CFC" w:rsidP="00A771AE">
      <w:pPr>
        <w:wordWrap/>
        <w:adjustRightInd w:val="0"/>
        <w:snapToGrid w:val="0"/>
        <w:spacing w:after="0" w:line="360" w:lineRule="auto"/>
        <w:rPr>
          <w:rFonts w:ascii="Book Antiqua" w:eastAsiaTheme="minorHAnsi" w:hAnsi="Book Antiqua" w:cs="Times New Roman"/>
          <w:b/>
          <w:caps/>
          <w:sz w:val="24"/>
          <w:szCs w:val="24"/>
        </w:rPr>
      </w:pPr>
      <w:r w:rsidRPr="008F0C1A">
        <w:rPr>
          <w:rFonts w:ascii="Book Antiqua" w:eastAsiaTheme="minorHAnsi" w:hAnsi="Book Antiqua" w:cs="Times New Roman"/>
          <w:b/>
          <w:caps/>
          <w:sz w:val="24"/>
          <w:szCs w:val="24"/>
        </w:rPr>
        <w:t xml:space="preserve">materials and </w:t>
      </w:r>
      <w:r w:rsidR="00006F6C" w:rsidRPr="008F0C1A">
        <w:rPr>
          <w:rFonts w:ascii="Book Antiqua" w:eastAsiaTheme="minorHAnsi" w:hAnsi="Book Antiqua" w:cs="Times New Roman"/>
          <w:b/>
          <w:caps/>
          <w:sz w:val="24"/>
          <w:szCs w:val="24"/>
        </w:rPr>
        <w:t>Methods</w:t>
      </w:r>
    </w:p>
    <w:p w:rsidR="000329D6" w:rsidRPr="008F0C1A" w:rsidRDefault="004D4655" w:rsidP="00A771AE">
      <w:pPr>
        <w:wordWrap/>
        <w:adjustRightInd w:val="0"/>
        <w:snapToGrid w:val="0"/>
        <w:spacing w:after="0" w:line="360" w:lineRule="auto"/>
        <w:rPr>
          <w:rFonts w:ascii="Book Antiqua" w:eastAsiaTheme="minorHAnsi" w:hAnsi="Book Antiqua" w:cs="Times New Roman"/>
          <w:b/>
          <w:i/>
          <w:sz w:val="24"/>
          <w:szCs w:val="24"/>
        </w:rPr>
      </w:pPr>
      <w:r w:rsidRPr="008F0C1A">
        <w:rPr>
          <w:rFonts w:ascii="Book Antiqua" w:eastAsiaTheme="minorHAnsi" w:hAnsi="Book Antiqua" w:cs="Times New Roman"/>
          <w:b/>
          <w:i/>
          <w:sz w:val="24"/>
          <w:szCs w:val="24"/>
        </w:rPr>
        <w:t xml:space="preserve">Patients and </w:t>
      </w:r>
      <w:r w:rsidR="00956CFC" w:rsidRPr="008F0C1A">
        <w:rPr>
          <w:rFonts w:ascii="Book Antiqua" w:eastAsiaTheme="minorHAnsi" w:hAnsi="Book Antiqua" w:cs="Times New Roman"/>
          <w:b/>
          <w:i/>
          <w:sz w:val="24"/>
          <w:szCs w:val="24"/>
        </w:rPr>
        <w:t>m</w:t>
      </w:r>
      <w:r w:rsidRPr="008F0C1A">
        <w:rPr>
          <w:rFonts w:ascii="Book Antiqua" w:eastAsiaTheme="minorHAnsi" w:hAnsi="Book Antiqua" w:cs="Times New Roman"/>
          <w:b/>
          <w:i/>
          <w:sz w:val="24"/>
          <w:szCs w:val="24"/>
        </w:rPr>
        <w:t>aterials</w:t>
      </w:r>
    </w:p>
    <w:p w:rsidR="00AA574D" w:rsidRPr="008F0C1A" w:rsidRDefault="00AB01FB" w:rsidP="00A771AE">
      <w:pPr>
        <w:wordWrap/>
        <w:adjustRightInd w:val="0"/>
        <w:snapToGrid w:val="0"/>
        <w:spacing w:after="0" w:line="360" w:lineRule="auto"/>
        <w:rPr>
          <w:rFonts w:ascii="Book Antiqua" w:eastAsiaTheme="minorHAnsi" w:hAnsi="Book Antiqua" w:cs="Times New Roman"/>
          <w:b/>
          <w:sz w:val="24"/>
          <w:szCs w:val="24"/>
        </w:rPr>
      </w:pPr>
      <w:r w:rsidRPr="008F0C1A">
        <w:rPr>
          <w:rFonts w:ascii="Book Antiqua" w:eastAsiaTheme="minorHAnsi" w:hAnsi="Book Antiqua" w:cs="Times New Roman"/>
          <w:sz w:val="24"/>
          <w:szCs w:val="24"/>
        </w:rPr>
        <w:lastRenderedPageBreak/>
        <w:t>A</w:t>
      </w:r>
      <w:r w:rsidR="004D4655" w:rsidRPr="008F0C1A">
        <w:rPr>
          <w:rFonts w:ascii="Book Antiqua" w:eastAsiaTheme="minorHAnsi" w:hAnsi="Book Antiqua" w:cs="Times New Roman"/>
          <w:sz w:val="24"/>
          <w:szCs w:val="24"/>
        </w:rPr>
        <w:t xml:space="preserve"> total of 31</w:t>
      </w:r>
      <w:r w:rsidRPr="008F0C1A">
        <w:rPr>
          <w:rFonts w:ascii="Book Antiqua" w:eastAsiaTheme="minorHAnsi" w:hAnsi="Book Antiqua" w:cs="Times New Roman"/>
          <w:sz w:val="24"/>
          <w:szCs w:val="24"/>
        </w:rPr>
        <w:t>4</w:t>
      </w:r>
      <w:r w:rsidR="004D4655" w:rsidRPr="008F0C1A">
        <w:rPr>
          <w:rFonts w:ascii="Book Antiqua" w:eastAsiaTheme="minorHAnsi" w:hAnsi="Book Antiqua" w:cs="Times New Roman"/>
          <w:sz w:val="24"/>
          <w:szCs w:val="24"/>
        </w:rPr>
        <w:t xml:space="preserve"> patients with gastric epithelial neoplasm </w:t>
      </w:r>
      <w:r w:rsidRPr="008F0C1A">
        <w:rPr>
          <w:rFonts w:ascii="Book Antiqua" w:eastAsiaTheme="minorHAnsi" w:hAnsi="Book Antiqua" w:cs="Times New Roman"/>
          <w:sz w:val="24"/>
          <w:szCs w:val="24"/>
        </w:rPr>
        <w:t xml:space="preserve">who </w:t>
      </w:r>
      <w:r w:rsidR="004D4655" w:rsidRPr="008F0C1A">
        <w:rPr>
          <w:rFonts w:ascii="Book Antiqua" w:eastAsiaTheme="minorHAnsi" w:hAnsi="Book Antiqua" w:cs="Times New Roman"/>
          <w:sz w:val="24"/>
          <w:szCs w:val="24"/>
        </w:rPr>
        <w:t>were consecutively treated with ESD in Chung-</w:t>
      </w:r>
      <w:proofErr w:type="spellStart"/>
      <w:r w:rsidR="004D4655" w:rsidRPr="008F0C1A">
        <w:rPr>
          <w:rFonts w:ascii="Book Antiqua" w:eastAsiaTheme="minorHAnsi" w:hAnsi="Book Antiqua" w:cs="Times New Roman"/>
          <w:sz w:val="24"/>
          <w:szCs w:val="24"/>
        </w:rPr>
        <w:t>Ang</w:t>
      </w:r>
      <w:proofErr w:type="spellEnd"/>
      <w:r w:rsidR="004D4655" w:rsidRPr="008F0C1A">
        <w:rPr>
          <w:rFonts w:ascii="Book Antiqua" w:eastAsiaTheme="minorHAnsi" w:hAnsi="Book Antiqua" w:cs="Times New Roman"/>
          <w:sz w:val="24"/>
          <w:szCs w:val="24"/>
        </w:rPr>
        <w:t xml:space="preserve"> </w:t>
      </w:r>
      <w:proofErr w:type="spellStart"/>
      <w:r w:rsidR="004D4655" w:rsidRPr="008F0C1A">
        <w:rPr>
          <w:rFonts w:ascii="Book Antiqua" w:eastAsiaTheme="minorHAnsi" w:hAnsi="Book Antiqua" w:cs="Times New Roman"/>
          <w:sz w:val="24"/>
          <w:szCs w:val="24"/>
        </w:rPr>
        <w:t>Uinversity</w:t>
      </w:r>
      <w:proofErr w:type="spellEnd"/>
      <w:r w:rsidR="004D4655" w:rsidRPr="008F0C1A">
        <w:rPr>
          <w:rFonts w:ascii="Book Antiqua" w:eastAsiaTheme="minorHAnsi" w:hAnsi="Book Antiqua" w:cs="Times New Roman"/>
          <w:sz w:val="24"/>
          <w:szCs w:val="24"/>
        </w:rPr>
        <w:t xml:space="preserve"> Hospital from January 2009 to December 2013</w:t>
      </w:r>
      <w:r w:rsidRPr="008F0C1A">
        <w:rPr>
          <w:rFonts w:ascii="Book Antiqua" w:eastAsiaTheme="minorHAnsi" w:hAnsi="Book Antiqua" w:cs="Times New Roman"/>
          <w:sz w:val="24"/>
          <w:szCs w:val="24"/>
        </w:rPr>
        <w:t xml:space="preserve"> were retrospectively reviewed</w:t>
      </w:r>
      <w:r w:rsidR="004D4655" w:rsidRPr="008F0C1A">
        <w:rPr>
          <w:rFonts w:ascii="Book Antiqua" w:eastAsiaTheme="minorHAnsi" w:hAnsi="Book Antiqua" w:cs="Times New Roman"/>
          <w:sz w:val="24"/>
          <w:szCs w:val="24"/>
        </w:rPr>
        <w:t>. ESD was principally indicated for node</w:t>
      </w:r>
      <w:r w:rsidRPr="008F0C1A">
        <w:rPr>
          <w:rFonts w:ascii="Book Antiqua" w:eastAsiaTheme="minorHAnsi" w:hAnsi="Book Antiqua" w:cs="Times New Roman"/>
          <w:sz w:val="24"/>
          <w:szCs w:val="24"/>
        </w:rPr>
        <w:t>-</w:t>
      </w:r>
      <w:r w:rsidR="004D4655" w:rsidRPr="008F0C1A">
        <w:rPr>
          <w:rFonts w:ascii="Book Antiqua" w:eastAsiaTheme="minorHAnsi" w:hAnsi="Book Antiqua" w:cs="Times New Roman"/>
          <w:sz w:val="24"/>
          <w:szCs w:val="24"/>
        </w:rPr>
        <w:t xml:space="preserve">negative EGC or gastric adenoma. </w:t>
      </w:r>
      <w:r w:rsidRPr="008F0C1A">
        <w:rPr>
          <w:rFonts w:ascii="Book Antiqua" w:eastAsiaTheme="minorHAnsi" w:hAnsi="Book Antiqua" w:cs="Times New Roman"/>
          <w:sz w:val="24"/>
          <w:szCs w:val="24"/>
        </w:rPr>
        <w:t>A t</w:t>
      </w:r>
      <w:r w:rsidR="004D4655" w:rsidRPr="008F0C1A">
        <w:rPr>
          <w:rFonts w:ascii="Book Antiqua" w:eastAsiaTheme="minorHAnsi" w:hAnsi="Book Antiqua" w:cs="Times New Roman"/>
          <w:sz w:val="24"/>
          <w:szCs w:val="24"/>
        </w:rPr>
        <w:t>otal</w:t>
      </w:r>
      <w:r w:rsidRPr="008F0C1A">
        <w:rPr>
          <w:rFonts w:ascii="Book Antiqua" w:eastAsiaTheme="minorHAnsi" w:hAnsi="Book Antiqua" w:cs="Times New Roman"/>
          <w:sz w:val="24"/>
          <w:szCs w:val="24"/>
        </w:rPr>
        <w:t xml:space="preserve"> of</w:t>
      </w:r>
      <w:r w:rsidR="004D4655" w:rsidRPr="008F0C1A">
        <w:rPr>
          <w:rFonts w:ascii="Book Antiqua" w:eastAsiaTheme="minorHAnsi" w:hAnsi="Book Antiqua" w:cs="Times New Roman"/>
          <w:sz w:val="24"/>
          <w:szCs w:val="24"/>
        </w:rPr>
        <w:t xml:space="preserve"> four cases were excluded due to deep invasion (</w:t>
      </w:r>
      <w:r w:rsidR="00AB41B8" w:rsidRPr="00AB41B8">
        <w:rPr>
          <w:rFonts w:ascii="Book Antiqua" w:eastAsiaTheme="minorHAnsi" w:hAnsi="Book Antiqua" w:cs="Times New Roman"/>
          <w:i/>
          <w:sz w:val="24"/>
          <w:szCs w:val="24"/>
        </w:rPr>
        <w:t>n =</w:t>
      </w:r>
      <w:r w:rsidR="007E7DE8" w:rsidRPr="008F0C1A">
        <w:rPr>
          <w:rFonts w:ascii="Book Antiqua" w:eastAsiaTheme="minorHAnsi" w:hAnsi="Book Antiqua" w:cs="Times New Roman"/>
          <w:sz w:val="24"/>
          <w:szCs w:val="24"/>
        </w:rPr>
        <w:t xml:space="preserve"> </w:t>
      </w:r>
      <w:r w:rsidR="004D4655" w:rsidRPr="008F0C1A">
        <w:rPr>
          <w:rFonts w:ascii="Book Antiqua" w:eastAsiaTheme="minorHAnsi" w:hAnsi="Book Antiqua" w:cs="Times New Roman"/>
          <w:sz w:val="24"/>
          <w:szCs w:val="24"/>
        </w:rPr>
        <w:t>3) or perforation (</w:t>
      </w:r>
      <w:r w:rsidR="00AB41B8" w:rsidRPr="00AB41B8">
        <w:rPr>
          <w:rFonts w:ascii="Book Antiqua" w:eastAsiaTheme="minorHAnsi" w:hAnsi="Book Antiqua" w:cs="Times New Roman"/>
          <w:i/>
          <w:sz w:val="24"/>
          <w:szCs w:val="24"/>
        </w:rPr>
        <w:t>n =</w:t>
      </w:r>
      <w:r w:rsidR="007E7DE8" w:rsidRPr="008F0C1A">
        <w:rPr>
          <w:rFonts w:ascii="Book Antiqua" w:eastAsiaTheme="minorHAnsi" w:hAnsi="Book Antiqua" w:cs="Times New Roman"/>
          <w:sz w:val="24"/>
          <w:szCs w:val="24"/>
        </w:rPr>
        <w:t xml:space="preserve"> </w:t>
      </w:r>
      <w:r w:rsidR="004D4655" w:rsidRPr="008F0C1A">
        <w:rPr>
          <w:rFonts w:ascii="Book Antiqua" w:eastAsiaTheme="minorHAnsi" w:hAnsi="Book Antiqua" w:cs="Times New Roman"/>
          <w:sz w:val="24"/>
          <w:szCs w:val="24"/>
        </w:rPr>
        <w:t xml:space="preserve">1). As a result, </w:t>
      </w:r>
      <w:r w:rsidR="00AA574D" w:rsidRPr="008F0C1A">
        <w:rPr>
          <w:rFonts w:ascii="Book Antiqua" w:eastAsiaTheme="minorHAnsi" w:hAnsi="Book Antiqua" w:cs="Times New Roman"/>
          <w:sz w:val="24"/>
          <w:szCs w:val="24"/>
        </w:rPr>
        <w:t xml:space="preserve">a total of </w:t>
      </w:r>
      <w:r w:rsidR="004D4655" w:rsidRPr="008F0C1A">
        <w:rPr>
          <w:rFonts w:ascii="Book Antiqua" w:eastAsiaTheme="minorHAnsi" w:hAnsi="Book Antiqua" w:cs="Times New Roman"/>
          <w:sz w:val="24"/>
          <w:szCs w:val="24"/>
        </w:rPr>
        <w:t xml:space="preserve">310 lesions </w:t>
      </w:r>
      <w:r w:rsidR="00AA574D" w:rsidRPr="008F0C1A">
        <w:rPr>
          <w:rFonts w:ascii="Book Antiqua" w:eastAsiaTheme="minorHAnsi" w:hAnsi="Book Antiqua" w:cs="Times New Roman"/>
          <w:kern w:val="0"/>
          <w:sz w:val="24"/>
          <w:szCs w:val="24"/>
        </w:rPr>
        <w:t xml:space="preserve">(74 </w:t>
      </w:r>
      <w:r w:rsidR="00AA574D" w:rsidRPr="008F0C1A">
        <w:rPr>
          <w:rFonts w:ascii="Book Antiqua" w:eastAsiaTheme="minorHAnsi" w:hAnsi="Book Antiqua" w:cs="Times New Roman"/>
          <w:sz w:val="24"/>
          <w:szCs w:val="24"/>
        </w:rPr>
        <w:t>cases of EGCs and 236 cases of gastric adenoma)</w:t>
      </w:r>
      <w:r w:rsidR="00AA574D" w:rsidRPr="008F0C1A">
        <w:rPr>
          <w:rFonts w:ascii="Book Antiqua" w:eastAsiaTheme="minorHAnsi" w:hAnsi="Book Antiqua" w:cs="Times New Roman"/>
          <w:kern w:val="0"/>
          <w:sz w:val="24"/>
          <w:szCs w:val="24"/>
        </w:rPr>
        <w:t xml:space="preserve"> </w:t>
      </w:r>
      <w:r w:rsidR="004D4655" w:rsidRPr="008F0C1A">
        <w:rPr>
          <w:rFonts w:ascii="Book Antiqua" w:eastAsiaTheme="minorHAnsi" w:hAnsi="Book Antiqua" w:cs="Times New Roman"/>
          <w:sz w:val="24"/>
          <w:szCs w:val="24"/>
        </w:rPr>
        <w:t>were explored by SLE, defined as perform</w:t>
      </w:r>
      <w:r w:rsidRPr="008F0C1A">
        <w:rPr>
          <w:rFonts w:ascii="Book Antiqua" w:eastAsiaTheme="minorHAnsi" w:hAnsi="Book Antiqua" w:cs="Times New Roman"/>
          <w:sz w:val="24"/>
          <w:szCs w:val="24"/>
        </w:rPr>
        <w:t>ing</w:t>
      </w:r>
      <w:r w:rsidR="004D4655" w:rsidRPr="008F0C1A">
        <w:rPr>
          <w:rFonts w:ascii="Book Antiqua" w:eastAsiaTheme="minorHAnsi" w:hAnsi="Book Antiqua" w:cs="Times New Roman"/>
          <w:sz w:val="24"/>
          <w:szCs w:val="24"/>
        </w:rPr>
        <w:t xml:space="preserve"> elective endoscopy without any sign of bleeding within 72 hours after ESD. </w:t>
      </w:r>
    </w:p>
    <w:p w:rsidR="0022406F" w:rsidRPr="008F0C1A" w:rsidRDefault="00AB01FB" w:rsidP="00A771AE">
      <w:pPr>
        <w:wordWrap/>
        <w:adjustRightInd w:val="0"/>
        <w:snapToGrid w:val="0"/>
        <w:spacing w:after="0" w:line="360" w:lineRule="auto"/>
        <w:ind w:firstLineChars="100" w:firstLine="240"/>
        <w:rPr>
          <w:rFonts w:ascii="Book Antiqua" w:eastAsiaTheme="minorHAnsi" w:hAnsi="Book Antiqua" w:cs="Times New Roman"/>
          <w:sz w:val="24"/>
          <w:szCs w:val="24"/>
        </w:rPr>
      </w:pPr>
      <w:r w:rsidRPr="008F0C1A">
        <w:rPr>
          <w:rFonts w:ascii="Book Antiqua" w:eastAsiaTheme="minorHAnsi" w:hAnsi="Book Antiqua" w:cs="Times New Roman"/>
          <w:sz w:val="24"/>
          <w:szCs w:val="24"/>
        </w:rPr>
        <w:t xml:space="preserve">The </w:t>
      </w:r>
      <w:r w:rsidR="004D4655" w:rsidRPr="008F0C1A">
        <w:rPr>
          <w:rFonts w:ascii="Book Antiqua" w:eastAsiaTheme="minorHAnsi" w:hAnsi="Book Antiqua" w:cs="Times New Roman"/>
          <w:sz w:val="24"/>
          <w:szCs w:val="24"/>
        </w:rPr>
        <w:t>310 lesions were divided into two groups based on the risk of post-procedur</w:t>
      </w:r>
      <w:r w:rsidRPr="008F0C1A">
        <w:rPr>
          <w:rFonts w:ascii="Book Antiqua" w:eastAsiaTheme="minorHAnsi" w:hAnsi="Book Antiqua" w:cs="Times New Roman"/>
          <w:sz w:val="24"/>
          <w:szCs w:val="24"/>
        </w:rPr>
        <w:t>al</w:t>
      </w:r>
      <w:r w:rsidR="004D4655" w:rsidRPr="008F0C1A">
        <w:rPr>
          <w:rFonts w:ascii="Book Antiqua" w:eastAsiaTheme="minorHAnsi" w:hAnsi="Book Antiqua" w:cs="Times New Roman"/>
          <w:sz w:val="24"/>
          <w:szCs w:val="24"/>
        </w:rPr>
        <w:t xml:space="preserve"> bleeding (high risk group vs low risk group) estimated by Forrest classification</w:t>
      </w:r>
      <w:r w:rsidRPr="008F0C1A">
        <w:rPr>
          <w:rFonts w:ascii="Book Antiqua" w:eastAsiaTheme="minorHAnsi" w:hAnsi="Book Antiqua" w:cs="Times New Roman"/>
          <w:sz w:val="24"/>
          <w:szCs w:val="24"/>
        </w:rPr>
        <w:t>.</w:t>
      </w:r>
      <w:r w:rsidR="004D4655" w:rsidRPr="008F0C1A">
        <w:rPr>
          <w:rFonts w:ascii="Book Antiqua" w:eastAsiaTheme="minorHAnsi" w:hAnsi="Book Antiqua" w:cs="Times New Roman"/>
          <w:sz w:val="24"/>
          <w:szCs w:val="24"/>
        </w:rPr>
        <w:t xml:space="preserve"> </w:t>
      </w:r>
      <w:r w:rsidRPr="008F0C1A">
        <w:rPr>
          <w:rFonts w:ascii="Book Antiqua" w:eastAsiaTheme="minorHAnsi" w:hAnsi="Book Antiqua" w:cs="Times New Roman"/>
          <w:sz w:val="24"/>
          <w:szCs w:val="24"/>
        </w:rPr>
        <w:t>The h</w:t>
      </w:r>
      <w:r w:rsidR="004D4655" w:rsidRPr="008F0C1A">
        <w:rPr>
          <w:rFonts w:ascii="Book Antiqua" w:eastAsiaTheme="minorHAnsi" w:hAnsi="Book Antiqua" w:cs="Times New Roman"/>
          <w:sz w:val="24"/>
          <w:szCs w:val="24"/>
        </w:rPr>
        <w:t xml:space="preserve">igh risk </w:t>
      </w:r>
      <w:r w:rsidR="00BB7511" w:rsidRPr="008F0C1A">
        <w:rPr>
          <w:rFonts w:ascii="Book Antiqua" w:eastAsiaTheme="minorHAnsi" w:hAnsi="Book Antiqua" w:cs="Times New Roman"/>
          <w:sz w:val="24"/>
          <w:szCs w:val="24"/>
        </w:rPr>
        <w:t xml:space="preserve">of </w:t>
      </w:r>
      <w:proofErr w:type="spellStart"/>
      <w:r w:rsidR="006F679F" w:rsidRPr="008F0C1A">
        <w:rPr>
          <w:rFonts w:ascii="Book Antiqua" w:eastAsiaTheme="minorHAnsi" w:hAnsi="Book Antiqua" w:cs="Times New Roman"/>
          <w:sz w:val="24"/>
          <w:szCs w:val="24"/>
        </w:rPr>
        <w:t>rebleeding</w:t>
      </w:r>
      <w:proofErr w:type="spellEnd"/>
      <w:r w:rsidR="004D4655" w:rsidRPr="008F0C1A">
        <w:rPr>
          <w:rFonts w:ascii="Book Antiqua" w:eastAsiaTheme="minorHAnsi" w:hAnsi="Book Antiqua" w:cs="Times New Roman"/>
          <w:sz w:val="24"/>
          <w:szCs w:val="24"/>
        </w:rPr>
        <w:t xml:space="preserve"> group (Forrest </w:t>
      </w:r>
      <w:proofErr w:type="spellStart"/>
      <w:proofErr w:type="gramStart"/>
      <w:r w:rsidR="004D4655" w:rsidRPr="008F0C1A">
        <w:rPr>
          <w:rFonts w:ascii="Book Antiqua" w:eastAsiaTheme="minorHAnsi" w:hAnsi="Book Antiqua" w:cs="Times New Roman"/>
          <w:sz w:val="24"/>
          <w:szCs w:val="24"/>
        </w:rPr>
        <w:t>Ia</w:t>
      </w:r>
      <w:proofErr w:type="spellEnd"/>
      <w:proofErr w:type="gramEnd"/>
      <w:r w:rsidR="004D4655" w:rsidRPr="008F0C1A">
        <w:rPr>
          <w:rFonts w:ascii="Book Antiqua" w:eastAsiaTheme="minorHAnsi" w:hAnsi="Book Antiqua" w:cs="Times New Roman"/>
          <w:sz w:val="24"/>
          <w:szCs w:val="24"/>
        </w:rPr>
        <w:t>,</w:t>
      </w:r>
      <w:r w:rsidR="00786590" w:rsidRPr="008F0C1A">
        <w:rPr>
          <w:rFonts w:ascii="Book Antiqua" w:eastAsiaTheme="minorHAnsi" w:hAnsi="Book Antiqua" w:cs="Times New Roman"/>
          <w:sz w:val="24"/>
          <w:szCs w:val="24"/>
        </w:rPr>
        <w:t xml:space="preserve"> </w:t>
      </w:r>
      <w:proofErr w:type="spellStart"/>
      <w:r w:rsidR="004D4655" w:rsidRPr="008F0C1A">
        <w:rPr>
          <w:rFonts w:ascii="Book Antiqua" w:eastAsiaTheme="minorHAnsi" w:hAnsi="Book Antiqua" w:cs="Times New Roman"/>
          <w:sz w:val="24"/>
          <w:szCs w:val="24"/>
        </w:rPr>
        <w:t>Ib</w:t>
      </w:r>
      <w:proofErr w:type="spellEnd"/>
      <w:r w:rsidR="004D4655" w:rsidRPr="008F0C1A">
        <w:rPr>
          <w:rFonts w:ascii="Book Antiqua" w:eastAsiaTheme="minorHAnsi" w:hAnsi="Book Antiqua" w:cs="Times New Roman"/>
          <w:sz w:val="24"/>
          <w:szCs w:val="24"/>
        </w:rPr>
        <w:t xml:space="preserve"> and </w:t>
      </w:r>
      <w:proofErr w:type="spellStart"/>
      <w:r w:rsidR="004D4655" w:rsidRPr="008F0C1A">
        <w:rPr>
          <w:rFonts w:ascii="Book Antiqua" w:eastAsiaTheme="minorHAnsi" w:hAnsi="Book Antiqua" w:cs="Times New Roman"/>
          <w:sz w:val="24"/>
          <w:szCs w:val="24"/>
        </w:rPr>
        <w:t>IIa</w:t>
      </w:r>
      <w:proofErr w:type="spellEnd"/>
      <w:r w:rsidR="004D4655" w:rsidRPr="008F0C1A">
        <w:rPr>
          <w:rFonts w:ascii="Book Antiqua" w:eastAsiaTheme="minorHAnsi" w:hAnsi="Book Antiqua" w:cs="Times New Roman"/>
          <w:sz w:val="24"/>
          <w:szCs w:val="24"/>
        </w:rPr>
        <w:t>) required endoscopic treatment</w:t>
      </w:r>
      <w:r w:rsidR="0034003C" w:rsidRPr="008F0C1A">
        <w:rPr>
          <w:rFonts w:ascii="Book Antiqua" w:eastAsiaTheme="minorHAnsi" w:hAnsi="Book Antiqua" w:cs="Times New Roman"/>
          <w:sz w:val="24"/>
          <w:szCs w:val="24"/>
        </w:rPr>
        <w:t>, while the</w:t>
      </w:r>
      <w:r w:rsidR="004D4655" w:rsidRPr="008F0C1A">
        <w:rPr>
          <w:rFonts w:ascii="Book Antiqua" w:eastAsiaTheme="minorHAnsi" w:hAnsi="Book Antiqua" w:cs="Times New Roman"/>
          <w:sz w:val="24"/>
          <w:szCs w:val="24"/>
        </w:rPr>
        <w:t xml:space="preserve"> </w:t>
      </w:r>
      <w:r w:rsidR="0034003C" w:rsidRPr="008F0C1A">
        <w:rPr>
          <w:rFonts w:ascii="Book Antiqua" w:eastAsiaTheme="minorHAnsi" w:hAnsi="Book Antiqua" w:cs="Times New Roman"/>
          <w:sz w:val="24"/>
          <w:szCs w:val="24"/>
        </w:rPr>
        <w:t>l</w:t>
      </w:r>
      <w:r w:rsidR="004D4655" w:rsidRPr="008F0C1A">
        <w:rPr>
          <w:rFonts w:ascii="Book Antiqua" w:eastAsiaTheme="minorHAnsi" w:hAnsi="Book Antiqua" w:cs="Times New Roman"/>
          <w:sz w:val="24"/>
          <w:szCs w:val="24"/>
        </w:rPr>
        <w:t xml:space="preserve">ow risk </w:t>
      </w:r>
      <w:r w:rsidR="00BB7511" w:rsidRPr="008F0C1A">
        <w:rPr>
          <w:rFonts w:ascii="Book Antiqua" w:eastAsiaTheme="minorHAnsi" w:hAnsi="Book Antiqua" w:cs="Times New Roman"/>
          <w:sz w:val="24"/>
          <w:szCs w:val="24"/>
        </w:rPr>
        <w:t xml:space="preserve">of </w:t>
      </w:r>
      <w:proofErr w:type="spellStart"/>
      <w:r w:rsidR="006F679F" w:rsidRPr="008F0C1A">
        <w:rPr>
          <w:rFonts w:ascii="Book Antiqua" w:eastAsiaTheme="minorHAnsi" w:hAnsi="Book Antiqua" w:cs="Times New Roman"/>
          <w:sz w:val="24"/>
          <w:szCs w:val="24"/>
        </w:rPr>
        <w:t>rebleeding</w:t>
      </w:r>
      <w:proofErr w:type="spellEnd"/>
      <w:r w:rsidR="004D4655" w:rsidRPr="008F0C1A">
        <w:rPr>
          <w:rFonts w:ascii="Book Antiqua" w:eastAsiaTheme="minorHAnsi" w:hAnsi="Book Antiqua" w:cs="Times New Roman"/>
          <w:sz w:val="24"/>
          <w:szCs w:val="24"/>
        </w:rPr>
        <w:t xml:space="preserve"> group (Forrest </w:t>
      </w:r>
      <w:proofErr w:type="spellStart"/>
      <w:r w:rsidR="004D4655" w:rsidRPr="008F0C1A">
        <w:rPr>
          <w:rFonts w:ascii="Book Antiqua" w:eastAsiaTheme="minorHAnsi" w:hAnsi="Book Antiqua" w:cs="Times New Roman"/>
          <w:sz w:val="24"/>
          <w:szCs w:val="24"/>
        </w:rPr>
        <w:t>IIb</w:t>
      </w:r>
      <w:proofErr w:type="spellEnd"/>
      <w:r w:rsidR="004D4655" w:rsidRPr="008F0C1A">
        <w:rPr>
          <w:rFonts w:ascii="Book Antiqua" w:eastAsiaTheme="minorHAnsi" w:hAnsi="Book Antiqua" w:cs="Times New Roman"/>
          <w:sz w:val="24"/>
          <w:szCs w:val="24"/>
        </w:rPr>
        <w:t>,</w:t>
      </w:r>
      <w:r w:rsidR="00786590" w:rsidRPr="008F0C1A">
        <w:rPr>
          <w:rFonts w:ascii="Book Antiqua" w:eastAsiaTheme="minorHAnsi" w:hAnsi="Book Antiqua" w:cs="Times New Roman"/>
          <w:sz w:val="24"/>
          <w:szCs w:val="24"/>
        </w:rPr>
        <w:t xml:space="preserve"> </w:t>
      </w:r>
      <w:proofErr w:type="spellStart"/>
      <w:r w:rsidR="004D4655" w:rsidRPr="008F0C1A">
        <w:rPr>
          <w:rFonts w:ascii="Book Antiqua" w:eastAsiaTheme="minorHAnsi" w:hAnsi="Book Antiqua" w:cs="Times New Roman"/>
          <w:sz w:val="24"/>
          <w:szCs w:val="24"/>
        </w:rPr>
        <w:t>IIc</w:t>
      </w:r>
      <w:proofErr w:type="spellEnd"/>
      <w:r w:rsidR="004D4655" w:rsidRPr="008F0C1A">
        <w:rPr>
          <w:rFonts w:ascii="Book Antiqua" w:eastAsiaTheme="minorHAnsi" w:hAnsi="Book Antiqua" w:cs="Times New Roman"/>
          <w:sz w:val="24"/>
          <w:szCs w:val="24"/>
        </w:rPr>
        <w:t xml:space="preserve"> and III) </w:t>
      </w:r>
      <w:r w:rsidR="0034003C" w:rsidRPr="008F0C1A">
        <w:rPr>
          <w:rFonts w:ascii="Book Antiqua" w:eastAsiaTheme="minorHAnsi" w:hAnsi="Book Antiqua" w:cs="Times New Roman"/>
          <w:sz w:val="24"/>
          <w:szCs w:val="24"/>
        </w:rPr>
        <w:t>did</w:t>
      </w:r>
      <w:r w:rsidR="004D4655" w:rsidRPr="008F0C1A">
        <w:rPr>
          <w:rFonts w:ascii="Book Antiqua" w:eastAsiaTheme="minorHAnsi" w:hAnsi="Book Antiqua" w:cs="Times New Roman"/>
          <w:sz w:val="24"/>
          <w:szCs w:val="24"/>
        </w:rPr>
        <w:t xml:space="preserve"> not</w:t>
      </w:r>
      <w:r w:rsidR="0034003C" w:rsidRPr="008F0C1A">
        <w:rPr>
          <w:rFonts w:ascii="Book Antiqua" w:eastAsiaTheme="minorHAnsi" w:hAnsi="Book Antiqua" w:cs="Times New Roman"/>
          <w:sz w:val="24"/>
          <w:szCs w:val="24"/>
        </w:rPr>
        <w:t>.</w:t>
      </w:r>
      <w:r w:rsidR="004D4655" w:rsidRPr="008F0C1A">
        <w:rPr>
          <w:rFonts w:ascii="Book Antiqua" w:eastAsiaTheme="minorHAnsi" w:hAnsi="Book Antiqua" w:cs="Times New Roman"/>
          <w:sz w:val="24"/>
          <w:szCs w:val="24"/>
        </w:rPr>
        <w:t xml:space="preserve"> </w:t>
      </w:r>
      <w:r w:rsidR="00AF65B7" w:rsidRPr="008F0C1A">
        <w:rPr>
          <w:rFonts w:ascii="Book Antiqua" w:eastAsiaTheme="minorHAnsi" w:hAnsi="Book Antiqua" w:cs="Times New Roman"/>
          <w:sz w:val="24"/>
          <w:szCs w:val="24"/>
        </w:rPr>
        <w:t xml:space="preserve">More specifically, the high risk of </w:t>
      </w:r>
      <w:proofErr w:type="spellStart"/>
      <w:r w:rsidR="006F679F" w:rsidRPr="008F0C1A">
        <w:rPr>
          <w:rFonts w:ascii="Book Antiqua" w:eastAsiaTheme="minorHAnsi" w:hAnsi="Book Antiqua" w:cs="Times New Roman"/>
          <w:sz w:val="24"/>
          <w:szCs w:val="24"/>
        </w:rPr>
        <w:t>rebleeding</w:t>
      </w:r>
      <w:proofErr w:type="spellEnd"/>
      <w:r w:rsidR="00AF65B7" w:rsidRPr="008F0C1A">
        <w:rPr>
          <w:rFonts w:ascii="Book Antiqua" w:eastAsiaTheme="minorHAnsi" w:hAnsi="Book Antiqua" w:cs="Times New Roman"/>
          <w:sz w:val="24"/>
          <w:szCs w:val="24"/>
        </w:rPr>
        <w:t xml:space="preserve"> group </w:t>
      </w:r>
      <w:r w:rsidR="00AF65B7" w:rsidRPr="008F0C1A">
        <w:rPr>
          <w:rFonts w:ascii="Book Antiqua" w:eastAsiaTheme="minorHAnsi" w:hAnsi="Book Antiqua" w:cs="Times New Roman"/>
          <w:kern w:val="0"/>
          <w:sz w:val="24"/>
          <w:szCs w:val="24"/>
        </w:rPr>
        <w:t>included cases with blood oozing and visible vessels without any sign of hemorrhage.</w:t>
      </w:r>
      <w:r w:rsidR="0043222D" w:rsidRPr="008F0C1A">
        <w:rPr>
          <w:rFonts w:ascii="Book Antiqua" w:eastAsiaTheme="minorHAnsi" w:hAnsi="Book Antiqua" w:cs="Times New Roman"/>
          <w:kern w:val="0"/>
          <w:sz w:val="24"/>
          <w:szCs w:val="24"/>
        </w:rPr>
        <w:t xml:space="preserve"> </w:t>
      </w:r>
      <w:r w:rsidR="004D4655" w:rsidRPr="008F0C1A">
        <w:rPr>
          <w:rFonts w:ascii="Book Antiqua" w:eastAsiaTheme="minorHAnsi" w:hAnsi="Book Antiqua" w:cs="Times New Roman"/>
          <w:sz w:val="24"/>
          <w:szCs w:val="24"/>
        </w:rPr>
        <w:t xml:space="preserve">A flow chart for inclusion in this study is shown in </w:t>
      </w:r>
      <w:r w:rsidR="00EF6AB7" w:rsidRPr="008F0C1A">
        <w:rPr>
          <w:rFonts w:ascii="Book Antiqua" w:eastAsiaTheme="minorHAnsi" w:hAnsi="Book Antiqua" w:cs="Times New Roman"/>
          <w:sz w:val="24"/>
          <w:szCs w:val="24"/>
        </w:rPr>
        <w:t>F</w:t>
      </w:r>
      <w:r w:rsidR="004D4655" w:rsidRPr="008F0C1A">
        <w:rPr>
          <w:rFonts w:ascii="Book Antiqua" w:eastAsiaTheme="minorHAnsi" w:hAnsi="Book Antiqua" w:cs="Times New Roman"/>
          <w:sz w:val="24"/>
          <w:szCs w:val="24"/>
        </w:rPr>
        <w:t>igure 1.</w:t>
      </w:r>
      <w:r w:rsidR="008F3FD8" w:rsidRPr="008F0C1A">
        <w:rPr>
          <w:rFonts w:ascii="Book Antiqua" w:eastAsiaTheme="minorHAnsi" w:hAnsi="Book Antiqua" w:cs="Times New Roman"/>
          <w:b/>
          <w:sz w:val="24"/>
          <w:szCs w:val="24"/>
        </w:rPr>
        <w:t xml:space="preserve"> </w:t>
      </w:r>
      <w:r w:rsidR="004D4655" w:rsidRPr="008F0C1A">
        <w:rPr>
          <w:rFonts w:ascii="Book Antiqua" w:eastAsiaTheme="minorHAnsi" w:hAnsi="Book Antiqua" w:cs="Times New Roman"/>
          <w:sz w:val="24"/>
          <w:szCs w:val="24"/>
        </w:rPr>
        <w:t>The study protocol was approved by the institutional review board of Chung-</w:t>
      </w:r>
      <w:proofErr w:type="spellStart"/>
      <w:r w:rsidR="004D4655" w:rsidRPr="008F0C1A">
        <w:rPr>
          <w:rFonts w:ascii="Book Antiqua" w:eastAsiaTheme="minorHAnsi" w:hAnsi="Book Antiqua" w:cs="Times New Roman"/>
          <w:sz w:val="24"/>
          <w:szCs w:val="24"/>
        </w:rPr>
        <w:t>Ang</w:t>
      </w:r>
      <w:proofErr w:type="spellEnd"/>
      <w:r w:rsidR="004D4655" w:rsidRPr="008F0C1A">
        <w:rPr>
          <w:rFonts w:ascii="Book Antiqua" w:eastAsiaTheme="minorHAnsi" w:hAnsi="Book Antiqua" w:cs="Times New Roman"/>
          <w:sz w:val="24"/>
          <w:szCs w:val="24"/>
        </w:rPr>
        <w:t xml:space="preserve"> University College of Medicine </w:t>
      </w:r>
      <w:r w:rsidR="00EF29C8">
        <w:rPr>
          <w:rFonts w:ascii="Book Antiqua" w:eastAsia="宋体" w:hAnsi="Book Antiqua" w:cs="Times New Roman" w:hint="eastAsia"/>
          <w:sz w:val="24"/>
          <w:szCs w:val="24"/>
          <w:lang w:eastAsia="zh-CN"/>
        </w:rPr>
        <w:t>[</w:t>
      </w:r>
      <w:r w:rsidR="004D4655" w:rsidRPr="008F0C1A">
        <w:rPr>
          <w:rFonts w:ascii="Book Antiqua" w:eastAsiaTheme="minorHAnsi" w:hAnsi="Book Antiqua" w:cs="Times New Roman"/>
          <w:sz w:val="24"/>
          <w:szCs w:val="24"/>
        </w:rPr>
        <w:t xml:space="preserve">IRB No. </w:t>
      </w:r>
      <w:proofErr w:type="gramStart"/>
      <w:r w:rsidR="009D0CE3" w:rsidRPr="008F0C1A">
        <w:rPr>
          <w:rFonts w:ascii="Book Antiqua" w:eastAsiaTheme="minorHAnsi" w:hAnsi="Book Antiqua" w:cs="Times New Roman"/>
          <w:sz w:val="24"/>
          <w:szCs w:val="24"/>
        </w:rPr>
        <w:t>C2014088(</w:t>
      </w:r>
      <w:proofErr w:type="gramEnd"/>
      <w:r w:rsidR="009D0CE3" w:rsidRPr="008F0C1A">
        <w:rPr>
          <w:rFonts w:ascii="Book Antiqua" w:eastAsiaTheme="minorHAnsi" w:hAnsi="Book Antiqua" w:cs="Times New Roman"/>
          <w:sz w:val="24"/>
          <w:szCs w:val="24"/>
        </w:rPr>
        <w:t>1284)</w:t>
      </w:r>
      <w:r w:rsidR="00EF29C8">
        <w:rPr>
          <w:rFonts w:ascii="Book Antiqua" w:eastAsia="宋体" w:hAnsi="Book Antiqua" w:cs="Times New Roman" w:hint="eastAsia"/>
          <w:sz w:val="24"/>
          <w:szCs w:val="24"/>
          <w:lang w:eastAsia="zh-CN"/>
        </w:rPr>
        <w:t>]</w:t>
      </w:r>
      <w:r w:rsidRPr="008F0C1A">
        <w:rPr>
          <w:rFonts w:ascii="Book Antiqua" w:eastAsiaTheme="minorHAnsi" w:hAnsi="Book Antiqua" w:cs="Times New Roman"/>
          <w:sz w:val="24"/>
          <w:szCs w:val="24"/>
        </w:rPr>
        <w:t>.</w:t>
      </w:r>
    </w:p>
    <w:p w:rsidR="0022406F" w:rsidRPr="008F0C1A" w:rsidRDefault="0022406F" w:rsidP="00A771AE">
      <w:pPr>
        <w:wordWrap/>
        <w:adjustRightInd w:val="0"/>
        <w:snapToGrid w:val="0"/>
        <w:spacing w:after="0" w:line="360" w:lineRule="auto"/>
        <w:rPr>
          <w:rFonts w:ascii="Book Antiqua" w:eastAsiaTheme="minorHAnsi" w:hAnsi="Book Antiqua" w:cs="Times New Roman"/>
          <w:b/>
          <w:sz w:val="24"/>
          <w:szCs w:val="24"/>
        </w:rPr>
      </w:pPr>
    </w:p>
    <w:p w:rsidR="0022406F" w:rsidRPr="008F0C1A" w:rsidRDefault="004D4655" w:rsidP="00A771AE">
      <w:pPr>
        <w:wordWrap/>
        <w:adjustRightInd w:val="0"/>
        <w:snapToGrid w:val="0"/>
        <w:spacing w:after="0" w:line="360" w:lineRule="auto"/>
        <w:rPr>
          <w:rFonts w:ascii="Book Antiqua" w:eastAsiaTheme="minorHAnsi" w:hAnsi="Book Antiqua" w:cs="Times New Roman"/>
          <w:b/>
          <w:i/>
          <w:sz w:val="24"/>
          <w:szCs w:val="24"/>
        </w:rPr>
      </w:pPr>
      <w:r w:rsidRPr="008F0C1A">
        <w:rPr>
          <w:rFonts w:ascii="Book Antiqua" w:eastAsiaTheme="minorHAnsi" w:hAnsi="Book Antiqua" w:cs="Times New Roman"/>
          <w:b/>
          <w:i/>
          <w:sz w:val="24"/>
          <w:szCs w:val="24"/>
        </w:rPr>
        <w:t xml:space="preserve">ESD </w:t>
      </w:r>
      <w:r w:rsidR="00956CFC" w:rsidRPr="008F0C1A">
        <w:rPr>
          <w:rFonts w:ascii="Book Antiqua" w:eastAsiaTheme="minorHAnsi" w:hAnsi="Book Antiqua" w:cs="Times New Roman"/>
          <w:b/>
          <w:i/>
          <w:sz w:val="24"/>
          <w:szCs w:val="24"/>
        </w:rPr>
        <w:t>p</w:t>
      </w:r>
      <w:r w:rsidRPr="008F0C1A">
        <w:rPr>
          <w:rFonts w:ascii="Book Antiqua" w:eastAsiaTheme="minorHAnsi" w:hAnsi="Book Antiqua" w:cs="Times New Roman"/>
          <w:b/>
          <w:i/>
          <w:sz w:val="24"/>
          <w:szCs w:val="24"/>
        </w:rPr>
        <w:t>rocedures</w:t>
      </w:r>
    </w:p>
    <w:p w:rsidR="0022406F" w:rsidRPr="008F0C1A" w:rsidRDefault="004D4655" w:rsidP="00A771AE">
      <w:pPr>
        <w:wordWrap/>
        <w:adjustRightInd w:val="0"/>
        <w:snapToGrid w:val="0"/>
        <w:spacing w:after="0" w:line="360" w:lineRule="auto"/>
        <w:rPr>
          <w:rFonts w:ascii="Book Antiqua" w:eastAsiaTheme="minorHAnsi" w:hAnsi="Book Antiqua" w:cs="Times New Roman"/>
          <w:sz w:val="24"/>
          <w:szCs w:val="24"/>
        </w:rPr>
      </w:pPr>
      <w:r w:rsidRPr="008F0C1A">
        <w:rPr>
          <w:rFonts w:ascii="Book Antiqua" w:eastAsiaTheme="minorHAnsi" w:hAnsi="Book Antiqua" w:cs="Times New Roman"/>
          <w:sz w:val="24"/>
          <w:szCs w:val="24"/>
        </w:rPr>
        <w:t>The ESD was performed under conscious sedation. All patients provide</w:t>
      </w:r>
      <w:r w:rsidR="00AB01FB" w:rsidRPr="008F0C1A">
        <w:rPr>
          <w:rFonts w:ascii="Book Antiqua" w:eastAsiaTheme="minorHAnsi" w:hAnsi="Book Antiqua" w:cs="Times New Roman"/>
          <w:sz w:val="24"/>
          <w:szCs w:val="24"/>
        </w:rPr>
        <w:t>d</w:t>
      </w:r>
      <w:r w:rsidRPr="008F0C1A">
        <w:rPr>
          <w:rFonts w:ascii="Book Antiqua" w:eastAsiaTheme="minorHAnsi" w:hAnsi="Book Antiqua" w:cs="Times New Roman"/>
          <w:sz w:val="24"/>
          <w:szCs w:val="24"/>
        </w:rPr>
        <w:t xml:space="preserve"> written informed consent before treatment. Patients fasted the morning of the treatment. After circumferential marking with </w:t>
      </w:r>
      <w:r w:rsidR="00002904" w:rsidRPr="008F0C1A">
        <w:rPr>
          <w:rFonts w:ascii="Book Antiqua" w:eastAsiaTheme="minorHAnsi" w:hAnsi="Book Antiqua" w:cs="Times New Roman"/>
          <w:sz w:val="24"/>
          <w:szCs w:val="24"/>
        </w:rPr>
        <w:t xml:space="preserve">an </w:t>
      </w:r>
      <w:r w:rsidRPr="008F0C1A">
        <w:rPr>
          <w:rFonts w:ascii="Book Antiqua" w:eastAsiaTheme="minorHAnsi" w:hAnsi="Book Antiqua" w:cs="Times New Roman"/>
          <w:sz w:val="24"/>
          <w:szCs w:val="24"/>
        </w:rPr>
        <w:t>argon plasma coagulator (APC) from the tumor edge, a mixture of 0.9% saline with epinephrine</w:t>
      </w:r>
      <w:r w:rsidR="00002904" w:rsidRPr="008F0C1A">
        <w:rPr>
          <w:rFonts w:ascii="Book Antiqua" w:eastAsiaTheme="minorHAnsi" w:hAnsi="Book Antiqua" w:cs="Times New Roman"/>
          <w:sz w:val="24"/>
          <w:szCs w:val="24"/>
        </w:rPr>
        <w:t>,</w:t>
      </w:r>
      <w:r w:rsidRPr="008F0C1A">
        <w:rPr>
          <w:rFonts w:ascii="Book Antiqua" w:eastAsiaTheme="minorHAnsi" w:hAnsi="Book Antiqua" w:cs="Times New Roman"/>
          <w:sz w:val="24"/>
          <w:szCs w:val="24"/>
        </w:rPr>
        <w:t xml:space="preserve"> glycerol</w:t>
      </w:r>
      <w:r w:rsidR="00002904" w:rsidRPr="008F0C1A">
        <w:rPr>
          <w:rFonts w:ascii="Book Antiqua" w:eastAsiaTheme="minorHAnsi" w:hAnsi="Book Antiqua" w:cs="Times New Roman"/>
          <w:sz w:val="24"/>
          <w:szCs w:val="24"/>
        </w:rPr>
        <w:t>,</w:t>
      </w:r>
      <w:r w:rsidRPr="008F0C1A">
        <w:rPr>
          <w:rFonts w:ascii="Book Antiqua" w:eastAsiaTheme="minorHAnsi" w:hAnsi="Book Antiqua" w:cs="Times New Roman"/>
          <w:sz w:val="24"/>
          <w:szCs w:val="24"/>
        </w:rPr>
        <w:t xml:space="preserve"> or hyaluronic acid containing indigo carmine was injected </w:t>
      </w:r>
      <w:r w:rsidR="00002904" w:rsidRPr="008F0C1A">
        <w:rPr>
          <w:rFonts w:ascii="Book Antiqua" w:eastAsiaTheme="minorHAnsi" w:hAnsi="Book Antiqua" w:cs="Times New Roman"/>
          <w:sz w:val="24"/>
          <w:szCs w:val="24"/>
        </w:rPr>
        <w:t>in</w:t>
      </w:r>
      <w:r w:rsidRPr="008F0C1A">
        <w:rPr>
          <w:rFonts w:ascii="Book Antiqua" w:eastAsiaTheme="minorHAnsi" w:hAnsi="Book Antiqua" w:cs="Times New Roman"/>
          <w:sz w:val="24"/>
          <w:szCs w:val="24"/>
        </w:rPr>
        <w:t xml:space="preserve">to </w:t>
      </w:r>
      <w:r w:rsidR="00002904" w:rsidRPr="008F0C1A">
        <w:rPr>
          <w:rFonts w:ascii="Book Antiqua" w:eastAsiaTheme="minorHAnsi" w:hAnsi="Book Antiqua" w:cs="Times New Roman"/>
          <w:sz w:val="24"/>
          <w:szCs w:val="24"/>
        </w:rPr>
        <w:t xml:space="preserve">the </w:t>
      </w:r>
      <w:r w:rsidRPr="008F0C1A">
        <w:rPr>
          <w:rFonts w:ascii="Book Antiqua" w:eastAsiaTheme="minorHAnsi" w:hAnsi="Book Antiqua" w:cs="Times New Roman"/>
          <w:sz w:val="24"/>
          <w:szCs w:val="24"/>
        </w:rPr>
        <w:t xml:space="preserve">submucosal layer. The </w:t>
      </w:r>
      <w:proofErr w:type="spellStart"/>
      <w:r w:rsidRPr="008F0C1A">
        <w:rPr>
          <w:rFonts w:ascii="Book Antiqua" w:eastAsiaTheme="minorHAnsi" w:hAnsi="Book Antiqua" w:cs="Times New Roman"/>
          <w:sz w:val="24"/>
          <w:szCs w:val="24"/>
        </w:rPr>
        <w:t>muscularis</w:t>
      </w:r>
      <w:proofErr w:type="spellEnd"/>
      <w:r w:rsidRPr="008F0C1A">
        <w:rPr>
          <w:rFonts w:ascii="Book Antiqua" w:eastAsiaTheme="minorHAnsi" w:hAnsi="Book Antiqua" w:cs="Times New Roman"/>
          <w:sz w:val="24"/>
          <w:szCs w:val="24"/>
        </w:rPr>
        <w:t xml:space="preserve"> mucosa was then </w:t>
      </w:r>
      <w:r w:rsidR="00002904" w:rsidRPr="008F0C1A">
        <w:rPr>
          <w:rFonts w:ascii="Book Antiqua" w:eastAsiaTheme="minorHAnsi" w:hAnsi="Book Antiqua" w:cs="Times New Roman"/>
          <w:sz w:val="24"/>
          <w:szCs w:val="24"/>
        </w:rPr>
        <w:t xml:space="preserve">cut and </w:t>
      </w:r>
      <w:r w:rsidRPr="008F0C1A">
        <w:rPr>
          <w:rFonts w:ascii="Book Antiqua" w:eastAsiaTheme="minorHAnsi" w:hAnsi="Book Antiqua" w:cs="Times New Roman"/>
          <w:sz w:val="24"/>
          <w:szCs w:val="24"/>
        </w:rPr>
        <w:t xml:space="preserve">submucosal dissection was performed. </w:t>
      </w:r>
      <w:r w:rsidR="00002904" w:rsidRPr="008F0C1A">
        <w:rPr>
          <w:rFonts w:ascii="Book Antiqua" w:eastAsiaTheme="minorHAnsi" w:hAnsi="Book Antiqua" w:cs="Times New Roman"/>
          <w:sz w:val="24"/>
          <w:szCs w:val="24"/>
        </w:rPr>
        <w:t>An</w:t>
      </w:r>
      <w:r w:rsidRPr="008F0C1A">
        <w:rPr>
          <w:rFonts w:ascii="Book Antiqua" w:eastAsiaTheme="minorHAnsi" w:hAnsi="Book Antiqua" w:cs="Times New Roman"/>
          <w:sz w:val="24"/>
          <w:szCs w:val="24"/>
        </w:rPr>
        <w:t xml:space="preserve"> insulation-tipped knife (Olympus, Tokyo, Japan), Hook knife (Olympus, Tokyo, Japan), </w:t>
      </w:r>
      <w:r w:rsidR="00002904" w:rsidRPr="008F0C1A">
        <w:rPr>
          <w:rFonts w:ascii="Book Antiqua" w:eastAsiaTheme="minorHAnsi" w:hAnsi="Book Antiqua" w:cs="Times New Roman"/>
          <w:sz w:val="24"/>
          <w:szCs w:val="24"/>
        </w:rPr>
        <w:t xml:space="preserve">or </w:t>
      </w:r>
      <w:r w:rsidRPr="008F0C1A">
        <w:rPr>
          <w:rFonts w:ascii="Book Antiqua" w:eastAsiaTheme="minorHAnsi" w:hAnsi="Book Antiqua" w:cs="Times New Roman"/>
          <w:sz w:val="24"/>
          <w:szCs w:val="24"/>
        </w:rPr>
        <w:t xml:space="preserve">Flex knife (Olympus, Tokyo, Japan) was selected as </w:t>
      </w:r>
      <w:r w:rsidR="00002904" w:rsidRPr="008F0C1A">
        <w:rPr>
          <w:rFonts w:ascii="Book Antiqua" w:eastAsiaTheme="minorHAnsi" w:hAnsi="Book Antiqua" w:cs="Times New Roman"/>
          <w:sz w:val="24"/>
          <w:szCs w:val="24"/>
        </w:rPr>
        <w:t xml:space="preserve">the </w:t>
      </w:r>
      <w:r w:rsidRPr="008F0C1A">
        <w:rPr>
          <w:rFonts w:ascii="Book Antiqua" w:eastAsiaTheme="minorHAnsi" w:hAnsi="Book Antiqua" w:cs="Times New Roman"/>
          <w:sz w:val="24"/>
          <w:szCs w:val="24"/>
        </w:rPr>
        <w:t xml:space="preserve">electrosurgical knife according to the </w:t>
      </w:r>
      <w:r w:rsidR="00002904" w:rsidRPr="008F0C1A">
        <w:rPr>
          <w:rFonts w:ascii="Book Antiqua" w:eastAsiaTheme="minorHAnsi" w:hAnsi="Book Antiqua" w:cs="Times New Roman"/>
          <w:sz w:val="24"/>
          <w:szCs w:val="24"/>
        </w:rPr>
        <w:t xml:space="preserve">preference of the </w:t>
      </w:r>
      <w:proofErr w:type="spellStart"/>
      <w:r w:rsidRPr="008F0C1A">
        <w:rPr>
          <w:rFonts w:ascii="Book Antiqua" w:eastAsiaTheme="minorHAnsi" w:hAnsi="Book Antiqua" w:cs="Times New Roman"/>
          <w:sz w:val="24"/>
          <w:szCs w:val="24"/>
        </w:rPr>
        <w:t>endoscopist</w:t>
      </w:r>
      <w:proofErr w:type="spellEnd"/>
      <w:r w:rsidRPr="008F0C1A">
        <w:rPr>
          <w:rFonts w:ascii="Book Antiqua" w:eastAsiaTheme="minorHAnsi" w:hAnsi="Book Antiqua" w:cs="Times New Roman"/>
          <w:sz w:val="24"/>
          <w:szCs w:val="24"/>
        </w:rPr>
        <w:t xml:space="preserve"> and/or tumor characteristics. </w:t>
      </w:r>
      <w:r w:rsidR="00002904" w:rsidRPr="008F0C1A">
        <w:rPr>
          <w:rFonts w:ascii="Book Antiqua" w:eastAsiaTheme="minorHAnsi" w:hAnsi="Book Antiqua" w:cs="Times New Roman"/>
          <w:sz w:val="24"/>
          <w:szCs w:val="24"/>
        </w:rPr>
        <w:t>O</w:t>
      </w:r>
      <w:r w:rsidRPr="008F0C1A">
        <w:rPr>
          <w:rFonts w:ascii="Book Antiqua" w:eastAsiaTheme="minorHAnsi" w:hAnsi="Book Antiqua" w:cs="Times New Roman"/>
          <w:sz w:val="24"/>
          <w:szCs w:val="24"/>
        </w:rPr>
        <w:t>ozing lesion</w:t>
      </w:r>
      <w:r w:rsidR="00002904" w:rsidRPr="008F0C1A">
        <w:rPr>
          <w:rFonts w:ascii="Book Antiqua" w:eastAsiaTheme="minorHAnsi" w:hAnsi="Book Antiqua" w:cs="Times New Roman"/>
          <w:sz w:val="24"/>
          <w:szCs w:val="24"/>
        </w:rPr>
        <w:t>s</w:t>
      </w:r>
      <w:r w:rsidRPr="008F0C1A">
        <w:rPr>
          <w:rFonts w:ascii="Book Antiqua" w:eastAsiaTheme="minorHAnsi" w:hAnsi="Book Antiqua" w:cs="Times New Roman"/>
          <w:sz w:val="24"/>
          <w:szCs w:val="24"/>
        </w:rPr>
        <w:t xml:space="preserve"> or non</w:t>
      </w:r>
      <w:r w:rsidR="00002904" w:rsidRPr="008F0C1A">
        <w:rPr>
          <w:rFonts w:ascii="Book Antiqua" w:eastAsiaTheme="minorHAnsi" w:hAnsi="Book Antiqua" w:cs="Times New Roman"/>
          <w:sz w:val="24"/>
          <w:szCs w:val="24"/>
        </w:rPr>
        <w:t>-</w:t>
      </w:r>
      <w:r w:rsidRPr="008F0C1A">
        <w:rPr>
          <w:rFonts w:ascii="Book Antiqua" w:eastAsiaTheme="minorHAnsi" w:hAnsi="Book Antiqua" w:cs="Times New Roman"/>
          <w:sz w:val="24"/>
          <w:szCs w:val="24"/>
        </w:rPr>
        <w:t xml:space="preserve">bleeding visible vessels in </w:t>
      </w:r>
      <w:r w:rsidR="00002904" w:rsidRPr="008F0C1A">
        <w:rPr>
          <w:rFonts w:ascii="Book Antiqua" w:eastAsiaTheme="minorHAnsi" w:hAnsi="Book Antiqua" w:cs="Times New Roman"/>
          <w:sz w:val="24"/>
          <w:szCs w:val="24"/>
        </w:rPr>
        <w:t xml:space="preserve">the </w:t>
      </w:r>
      <w:r w:rsidRPr="008F0C1A">
        <w:rPr>
          <w:rFonts w:ascii="Book Antiqua" w:eastAsiaTheme="minorHAnsi" w:hAnsi="Book Antiqua" w:cs="Times New Roman"/>
          <w:sz w:val="24"/>
          <w:szCs w:val="24"/>
        </w:rPr>
        <w:t xml:space="preserve">ulcer bed </w:t>
      </w:r>
      <w:r w:rsidR="00002904" w:rsidRPr="008F0C1A">
        <w:rPr>
          <w:rFonts w:ascii="Book Antiqua" w:eastAsiaTheme="minorHAnsi" w:hAnsi="Book Antiqua" w:cs="Times New Roman"/>
          <w:sz w:val="24"/>
          <w:szCs w:val="24"/>
        </w:rPr>
        <w:t xml:space="preserve">were treated </w:t>
      </w:r>
      <w:r w:rsidRPr="008F0C1A">
        <w:rPr>
          <w:rFonts w:ascii="Book Antiqua" w:eastAsiaTheme="minorHAnsi" w:hAnsi="Book Antiqua" w:cs="Times New Roman"/>
          <w:sz w:val="24"/>
          <w:szCs w:val="24"/>
        </w:rPr>
        <w:t xml:space="preserve">by </w:t>
      </w:r>
      <w:r w:rsidR="00D012F6" w:rsidRPr="008F0C1A">
        <w:rPr>
          <w:rFonts w:ascii="Book Antiqua" w:eastAsiaTheme="minorHAnsi" w:hAnsi="Book Antiqua" w:cs="Times New Roman"/>
          <w:sz w:val="24"/>
          <w:szCs w:val="24"/>
        </w:rPr>
        <w:t>hemostatic forceps (FD-</w:t>
      </w:r>
      <w:r w:rsidR="00D012F6" w:rsidRPr="008F0C1A">
        <w:rPr>
          <w:rFonts w:ascii="Book Antiqua" w:eastAsiaTheme="minorHAnsi" w:hAnsi="Book Antiqua" w:cs="Times New Roman"/>
          <w:sz w:val="24"/>
          <w:szCs w:val="24"/>
        </w:rPr>
        <w:lastRenderedPageBreak/>
        <w:t xml:space="preserve">410LR; Olympus) or </w:t>
      </w:r>
      <w:proofErr w:type="spellStart"/>
      <w:r w:rsidR="00D012F6" w:rsidRPr="008F0C1A">
        <w:rPr>
          <w:rFonts w:ascii="Book Antiqua" w:eastAsiaTheme="minorHAnsi" w:hAnsi="Book Antiqua" w:cs="Times New Roman"/>
          <w:sz w:val="24"/>
          <w:szCs w:val="24"/>
        </w:rPr>
        <w:t>hemo</w:t>
      </w:r>
      <w:r w:rsidRPr="008F0C1A">
        <w:rPr>
          <w:rFonts w:ascii="Book Antiqua" w:eastAsiaTheme="minorHAnsi" w:hAnsi="Book Antiqua" w:cs="Times New Roman"/>
          <w:sz w:val="24"/>
          <w:szCs w:val="24"/>
        </w:rPr>
        <w:t>clips</w:t>
      </w:r>
      <w:proofErr w:type="spellEnd"/>
      <w:r w:rsidRPr="008F0C1A">
        <w:rPr>
          <w:rFonts w:ascii="Book Antiqua" w:eastAsiaTheme="minorHAnsi" w:hAnsi="Book Antiqua" w:cs="Times New Roman"/>
          <w:sz w:val="24"/>
          <w:szCs w:val="24"/>
        </w:rPr>
        <w:t xml:space="preserve"> immediately after ESD.</w:t>
      </w:r>
    </w:p>
    <w:p w:rsidR="0022406F" w:rsidRPr="008F0C1A" w:rsidRDefault="004D4655" w:rsidP="00A771AE">
      <w:pPr>
        <w:wordWrap/>
        <w:adjustRightInd w:val="0"/>
        <w:snapToGrid w:val="0"/>
        <w:spacing w:after="0" w:line="360" w:lineRule="auto"/>
        <w:ind w:firstLineChars="100" w:firstLine="240"/>
        <w:rPr>
          <w:rFonts w:ascii="Book Antiqua" w:eastAsiaTheme="minorHAnsi" w:hAnsi="Book Antiqua" w:cs="Times New Roman"/>
          <w:sz w:val="24"/>
          <w:szCs w:val="24"/>
        </w:rPr>
      </w:pPr>
      <w:r w:rsidRPr="008F0C1A">
        <w:rPr>
          <w:rFonts w:ascii="Book Antiqua" w:eastAsiaTheme="minorHAnsi" w:hAnsi="Book Antiqua" w:cs="Times New Roman"/>
          <w:sz w:val="24"/>
          <w:szCs w:val="24"/>
        </w:rPr>
        <w:t xml:space="preserve">In principle, </w:t>
      </w:r>
      <w:r w:rsidR="00002904" w:rsidRPr="008F0C1A">
        <w:rPr>
          <w:rFonts w:ascii="Book Antiqua" w:eastAsiaTheme="minorHAnsi" w:hAnsi="Book Antiqua" w:cs="Times New Roman"/>
          <w:sz w:val="24"/>
          <w:szCs w:val="24"/>
        </w:rPr>
        <w:t xml:space="preserve">treatment with </w:t>
      </w:r>
      <w:r w:rsidRPr="008F0C1A">
        <w:rPr>
          <w:rFonts w:ascii="Book Antiqua" w:eastAsiaTheme="minorHAnsi" w:hAnsi="Book Antiqua" w:cs="Times New Roman"/>
          <w:sz w:val="24"/>
          <w:szCs w:val="24"/>
        </w:rPr>
        <w:t xml:space="preserve">antiplatelet or anticoagulant agents </w:t>
      </w:r>
      <w:r w:rsidR="00002904" w:rsidRPr="008F0C1A">
        <w:rPr>
          <w:rFonts w:ascii="Book Antiqua" w:eastAsiaTheme="minorHAnsi" w:hAnsi="Book Antiqua" w:cs="Times New Roman"/>
          <w:sz w:val="24"/>
          <w:szCs w:val="24"/>
        </w:rPr>
        <w:t>was</w:t>
      </w:r>
      <w:r w:rsidR="00EF29C8">
        <w:rPr>
          <w:rFonts w:ascii="Book Antiqua" w:eastAsiaTheme="minorHAnsi" w:hAnsi="Book Antiqua" w:cs="Times New Roman"/>
          <w:sz w:val="24"/>
          <w:szCs w:val="24"/>
        </w:rPr>
        <w:t xml:space="preserve"> stopped 1 </w:t>
      </w:r>
      <w:proofErr w:type="spellStart"/>
      <w:r w:rsidR="00EF29C8">
        <w:rPr>
          <w:rFonts w:ascii="Book Antiqua" w:eastAsiaTheme="minorHAnsi" w:hAnsi="Book Antiqua" w:cs="Times New Roman"/>
          <w:sz w:val="24"/>
          <w:szCs w:val="24"/>
        </w:rPr>
        <w:t>w</w:t>
      </w:r>
      <w:r w:rsidRPr="008F0C1A">
        <w:rPr>
          <w:rFonts w:ascii="Book Antiqua" w:eastAsiaTheme="minorHAnsi" w:hAnsi="Book Antiqua" w:cs="Times New Roman"/>
          <w:sz w:val="24"/>
          <w:szCs w:val="24"/>
        </w:rPr>
        <w:t>k</w:t>
      </w:r>
      <w:proofErr w:type="spellEnd"/>
      <w:r w:rsidRPr="008F0C1A">
        <w:rPr>
          <w:rFonts w:ascii="Book Antiqua" w:eastAsiaTheme="minorHAnsi" w:hAnsi="Book Antiqua" w:cs="Times New Roman"/>
          <w:sz w:val="24"/>
          <w:szCs w:val="24"/>
        </w:rPr>
        <w:t xml:space="preserve"> before ESD. </w:t>
      </w:r>
      <w:r w:rsidR="00167652" w:rsidRPr="008F0C1A">
        <w:rPr>
          <w:rFonts w:ascii="Book Antiqua" w:eastAsiaTheme="minorHAnsi" w:hAnsi="Book Antiqua" w:cs="Times New Roman"/>
          <w:sz w:val="24"/>
          <w:szCs w:val="24"/>
        </w:rPr>
        <w:t>4</w:t>
      </w:r>
      <w:r w:rsidRPr="008F0C1A">
        <w:rPr>
          <w:rFonts w:ascii="Book Antiqua" w:eastAsiaTheme="minorHAnsi" w:hAnsi="Book Antiqua" w:cs="Times New Roman"/>
          <w:sz w:val="24"/>
          <w:szCs w:val="24"/>
        </w:rPr>
        <w:t xml:space="preserve">0mg pantoprazole was administered intravenously once daily from the day of ESD to the first </w:t>
      </w:r>
      <w:r w:rsidR="00002904" w:rsidRPr="008F0C1A">
        <w:rPr>
          <w:rFonts w:ascii="Book Antiqua" w:eastAsiaTheme="minorHAnsi" w:hAnsi="Book Antiqua" w:cs="Times New Roman"/>
          <w:sz w:val="24"/>
          <w:szCs w:val="24"/>
        </w:rPr>
        <w:t xml:space="preserve">day of </w:t>
      </w:r>
      <w:r w:rsidRPr="008F0C1A">
        <w:rPr>
          <w:rFonts w:ascii="Book Antiqua" w:eastAsiaTheme="minorHAnsi" w:hAnsi="Book Antiqua" w:cs="Times New Roman"/>
          <w:sz w:val="24"/>
          <w:szCs w:val="24"/>
        </w:rPr>
        <w:t>feeding</w:t>
      </w:r>
      <w:r w:rsidR="00002904" w:rsidRPr="008F0C1A">
        <w:rPr>
          <w:rFonts w:ascii="Book Antiqua" w:eastAsiaTheme="minorHAnsi" w:hAnsi="Book Antiqua" w:cs="Times New Roman"/>
          <w:sz w:val="24"/>
          <w:szCs w:val="24"/>
        </w:rPr>
        <w:t>.</w:t>
      </w:r>
      <w:r w:rsidRPr="008F0C1A">
        <w:rPr>
          <w:rFonts w:ascii="Book Antiqua" w:eastAsiaTheme="minorHAnsi" w:hAnsi="Book Antiqua" w:cs="Times New Roman"/>
          <w:sz w:val="24"/>
          <w:szCs w:val="24"/>
        </w:rPr>
        <w:t xml:space="preserve"> </w:t>
      </w:r>
      <w:r w:rsidR="00002904" w:rsidRPr="008F0C1A">
        <w:rPr>
          <w:rFonts w:ascii="Book Antiqua" w:eastAsiaTheme="minorHAnsi" w:hAnsi="Book Antiqua" w:cs="Times New Roman"/>
          <w:sz w:val="24"/>
          <w:szCs w:val="24"/>
        </w:rPr>
        <w:t>C</w:t>
      </w:r>
      <w:r w:rsidRPr="008F0C1A">
        <w:rPr>
          <w:rFonts w:ascii="Book Antiqua" w:eastAsiaTheme="minorHAnsi" w:hAnsi="Book Antiqua" w:cs="Times New Roman"/>
          <w:sz w:val="24"/>
          <w:szCs w:val="24"/>
        </w:rPr>
        <w:t xml:space="preserve">omplete blood count </w:t>
      </w:r>
      <w:r w:rsidR="00002904" w:rsidRPr="008F0C1A">
        <w:rPr>
          <w:rFonts w:ascii="Book Antiqua" w:eastAsiaTheme="minorHAnsi" w:hAnsi="Book Antiqua" w:cs="Times New Roman"/>
          <w:sz w:val="24"/>
          <w:szCs w:val="24"/>
        </w:rPr>
        <w:t xml:space="preserve">was checked </w:t>
      </w:r>
      <w:r w:rsidRPr="008F0C1A">
        <w:rPr>
          <w:rFonts w:ascii="Book Antiqua" w:eastAsiaTheme="minorHAnsi" w:hAnsi="Book Antiqua" w:cs="Times New Roman"/>
          <w:sz w:val="24"/>
          <w:szCs w:val="24"/>
        </w:rPr>
        <w:t>immediately after ESD, the day after</w:t>
      </w:r>
      <w:r w:rsidR="00002904" w:rsidRPr="008F0C1A">
        <w:rPr>
          <w:rFonts w:ascii="Book Antiqua" w:eastAsiaTheme="minorHAnsi" w:hAnsi="Book Antiqua" w:cs="Times New Roman"/>
          <w:sz w:val="24"/>
          <w:szCs w:val="24"/>
        </w:rPr>
        <w:t>,</w:t>
      </w:r>
      <w:r w:rsidRPr="008F0C1A">
        <w:rPr>
          <w:rFonts w:ascii="Book Antiqua" w:eastAsiaTheme="minorHAnsi" w:hAnsi="Book Antiqua" w:cs="Times New Roman"/>
          <w:sz w:val="24"/>
          <w:szCs w:val="24"/>
        </w:rPr>
        <w:t xml:space="preserve"> at discharge, </w:t>
      </w:r>
      <w:r w:rsidR="00002904" w:rsidRPr="008F0C1A">
        <w:rPr>
          <w:rFonts w:ascii="Book Antiqua" w:eastAsiaTheme="minorHAnsi" w:hAnsi="Book Antiqua" w:cs="Times New Roman"/>
          <w:sz w:val="24"/>
          <w:szCs w:val="24"/>
        </w:rPr>
        <w:t xml:space="preserve">and </w:t>
      </w:r>
      <w:r w:rsidR="00EF29C8">
        <w:rPr>
          <w:rFonts w:ascii="Book Antiqua" w:eastAsiaTheme="minorHAnsi" w:hAnsi="Book Antiqua" w:cs="Times New Roman"/>
          <w:sz w:val="24"/>
          <w:szCs w:val="24"/>
        </w:rPr>
        <w:t>after 1 and 4 wk</w:t>
      </w:r>
      <w:r w:rsidRPr="008F0C1A">
        <w:rPr>
          <w:rFonts w:ascii="Book Antiqua" w:eastAsiaTheme="minorHAnsi" w:hAnsi="Book Antiqua" w:cs="Times New Roman"/>
          <w:sz w:val="24"/>
          <w:szCs w:val="24"/>
        </w:rPr>
        <w:t xml:space="preserve">. </w:t>
      </w:r>
    </w:p>
    <w:p w:rsidR="0022406F" w:rsidRPr="008F0C1A" w:rsidRDefault="0022406F" w:rsidP="00A771AE">
      <w:pPr>
        <w:wordWrap/>
        <w:adjustRightInd w:val="0"/>
        <w:snapToGrid w:val="0"/>
        <w:spacing w:after="0" w:line="360" w:lineRule="auto"/>
        <w:rPr>
          <w:rFonts w:ascii="Book Antiqua" w:eastAsiaTheme="minorHAnsi" w:hAnsi="Book Antiqua" w:cs="Times New Roman"/>
          <w:sz w:val="24"/>
          <w:szCs w:val="24"/>
        </w:rPr>
      </w:pPr>
    </w:p>
    <w:p w:rsidR="0022406F" w:rsidRPr="008F0C1A" w:rsidRDefault="00BE375D" w:rsidP="00A771AE">
      <w:pPr>
        <w:wordWrap/>
        <w:adjustRightInd w:val="0"/>
        <w:snapToGrid w:val="0"/>
        <w:spacing w:after="0" w:line="360" w:lineRule="auto"/>
        <w:rPr>
          <w:rFonts w:ascii="Book Antiqua" w:eastAsiaTheme="minorHAnsi" w:hAnsi="Book Antiqua" w:cs="Times New Roman"/>
          <w:b/>
          <w:i/>
          <w:sz w:val="24"/>
          <w:szCs w:val="24"/>
        </w:rPr>
      </w:pPr>
      <w:r w:rsidRPr="008F0C1A">
        <w:rPr>
          <w:rFonts w:ascii="Book Antiqua" w:eastAsiaTheme="minorHAnsi" w:hAnsi="Book Antiqua" w:cs="Times New Roman"/>
          <w:b/>
          <w:i/>
          <w:sz w:val="24"/>
          <w:szCs w:val="24"/>
        </w:rPr>
        <w:t xml:space="preserve">Second </w:t>
      </w:r>
      <w:r w:rsidR="00956CFC" w:rsidRPr="008F0C1A">
        <w:rPr>
          <w:rFonts w:ascii="Book Antiqua" w:eastAsiaTheme="minorHAnsi" w:hAnsi="Book Antiqua" w:cs="Times New Roman"/>
          <w:b/>
          <w:i/>
          <w:sz w:val="24"/>
          <w:szCs w:val="24"/>
        </w:rPr>
        <w:t>l</w:t>
      </w:r>
      <w:r w:rsidR="004D4655" w:rsidRPr="008F0C1A">
        <w:rPr>
          <w:rFonts w:ascii="Book Antiqua" w:eastAsiaTheme="minorHAnsi" w:hAnsi="Book Antiqua" w:cs="Times New Roman"/>
          <w:b/>
          <w:i/>
          <w:sz w:val="24"/>
          <w:szCs w:val="24"/>
        </w:rPr>
        <w:t xml:space="preserve">ook </w:t>
      </w:r>
      <w:r w:rsidR="00956CFC" w:rsidRPr="008F0C1A">
        <w:rPr>
          <w:rFonts w:ascii="Book Antiqua" w:eastAsiaTheme="minorHAnsi" w:hAnsi="Book Antiqua" w:cs="Times New Roman"/>
          <w:b/>
          <w:i/>
          <w:sz w:val="24"/>
          <w:szCs w:val="24"/>
        </w:rPr>
        <w:t>e</w:t>
      </w:r>
      <w:r w:rsidR="004D4655" w:rsidRPr="008F0C1A">
        <w:rPr>
          <w:rFonts w:ascii="Book Antiqua" w:eastAsiaTheme="minorHAnsi" w:hAnsi="Book Antiqua" w:cs="Times New Roman"/>
          <w:b/>
          <w:i/>
          <w:sz w:val="24"/>
          <w:szCs w:val="24"/>
        </w:rPr>
        <w:t>ndoscopies</w:t>
      </w:r>
    </w:p>
    <w:p w:rsidR="0022406F" w:rsidRPr="008F0C1A" w:rsidRDefault="004D4655" w:rsidP="00A771AE">
      <w:pPr>
        <w:wordWrap/>
        <w:adjustRightInd w:val="0"/>
        <w:snapToGrid w:val="0"/>
        <w:spacing w:after="0" w:line="360" w:lineRule="auto"/>
        <w:rPr>
          <w:rFonts w:ascii="Book Antiqua" w:eastAsiaTheme="minorHAnsi" w:hAnsi="Book Antiqua" w:cs="Times New Roman"/>
          <w:sz w:val="24"/>
          <w:szCs w:val="24"/>
        </w:rPr>
      </w:pPr>
      <w:r w:rsidRPr="008F0C1A">
        <w:rPr>
          <w:rFonts w:ascii="Book Antiqua" w:eastAsiaTheme="minorHAnsi" w:hAnsi="Book Antiqua" w:cs="Times New Roman"/>
          <w:sz w:val="24"/>
          <w:szCs w:val="24"/>
        </w:rPr>
        <w:t>The purpose of SLE was to check and prevent post-ESD bleeding from the artificial ulcer. SLE was performed within 72 h after ESD. SLE was mainly performed the day after ESD</w:t>
      </w:r>
      <w:r w:rsidR="00E9411C" w:rsidRPr="008F0C1A">
        <w:rPr>
          <w:rFonts w:ascii="Book Antiqua" w:eastAsiaTheme="minorHAnsi" w:hAnsi="Book Antiqua" w:cs="Times New Roman"/>
          <w:sz w:val="24"/>
          <w:szCs w:val="24"/>
        </w:rPr>
        <w:t>;</w:t>
      </w:r>
      <w:r w:rsidRPr="008F0C1A">
        <w:rPr>
          <w:rFonts w:ascii="Book Antiqua" w:eastAsiaTheme="minorHAnsi" w:hAnsi="Book Antiqua" w:cs="Times New Roman"/>
          <w:sz w:val="24"/>
          <w:szCs w:val="24"/>
        </w:rPr>
        <w:t xml:space="preserve"> </w:t>
      </w:r>
      <w:r w:rsidR="00E9411C" w:rsidRPr="008F0C1A">
        <w:rPr>
          <w:rFonts w:ascii="Book Antiqua" w:eastAsiaTheme="minorHAnsi" w:hAnsi="Book Antiqua" w:cs="Times New Roman"/>
          <w:sz w:val="24"/>
          <w:szCs w:val="24"/>
        </w:rPr>
        <w:t>h</w:t>
      </w:r>
      <w:r w:rsidRPr="008F0C1A">
        <w:rPr>
          <w:rFonts w:ascii="Book Antiqua" w:eastAsiaTheme="minorHAnsi" w:hAnsi="Book Antiqua" w:cs="Times New Roman"/>
          <w:sz w:val="24"/>
          <w:szCs w:val="24"/>
        </w:rPr>
        <w:t xml:space="preserve">owever, </w:t>
      </w:r>
      <w:r w:rsidR="00E9411C" w:rsidRPr="008F0C1A">
        <w:rPr>
          <w:rFonts w:ascii="Book Antiqua" w:eastAsiaTheme="minorHAnsi" w:hAnsi="Book Antiqua" w:cs="Times New Roman"/>
          <w:sz w:val="24"/>
          <w:szCs w:val="24"/>
        </w:rPr>
        <w:t>emergency endoscopy was performed anytime within 24 h i</w:t>
      </w:r>
      <w:r w:rsidRPr="008F0C1A">
        <w:rPr>
          <w:rFonts w:ascii="Book Antiqua" w:eastAsiaTheme="minorHAnsi" w:hAnsi="Book Antiqua" w:cs="Times New Roman"/>
          <w:sz w:val="24"/>
          <w:szCs w:val="24"/>
        </w:rPr>
        <w:t>n patients with suspected bleeding or perforation</w:t>
      </w:r>
      <w:r w:rsidR="00E9411C" w:rsidRPr="008F0C1A">
        <w:rPr>
          <w:rFonts w:ascii="Book Antiqua" w:eastAsiaTheme="minorHAnsi" w:hAnsi="Book Antiqua" w:cs="Times New Roman"/>
          <w:sz w:val="24"/>
          <w:szCs w:val="24"/>
        </w:rPr>
        <w:t>.</w:t>
      </w:r>
      <w:r w:rsidRPr="008F0C1A">
        <w:rPr>
          <w:rFonts w:ascii="Book Antiqua" w:eastAsiaTheme="minorHAnsi" w:hAnsi="Book Antiqua" w:cs="Times New Roman"/>
          <w:sz w:val="24"/>
          <w:szCs w:val="24"/>
        </w:rPr>
        <w:t xml:space="preserve"> During SLE, prophylactic hemostasis with </w:t>
      </w:r>
      <w:proofErr w:type="spellStart"/>
      <w:r w:rsidRPr="008F0C1A">
        <w:rPr>
          <w:rFonts w:ascii="Book Antiqua" w:eastAsiaTheme="minorHAnsi" w:hAnsi="Book Antiqua" w:cs="Times New Roman"/>
          <w:sz w:val="24"/>
          <w:szCs w:val="24"/>
        </w:rPr>
        <w:t>thermocoagulation</w:t>
      </w:r>
      <w:proofErr w:type="spellEnd"/>
      <w:r w:rsidRPr="008F0C1A">
        <w:rPr>
          <w:rFonts w:ascii="Book Antiqua" w:eastAsiaTheme="minorHAnsi" w:hAnsi="Book Antiqua" w:cs="Times New Roman"/>
          <w:sz w:val="24"/>
          <w:szCs w:val="24"/>
        </w:rPr>
        <w:t xml:space="preserve"> or hemostatic clipping were performed </w:t>
      </w:r>
      <w:r w:rsidR="00E9411C" w:rsidRPr="008F0C1A">
        <w:rPr>
          <w:rFonts w:ascii="Book Antiqua" w:eastAsiaTheme="minorHAnsi" w:hAnsi="Book Antiqua" w:cs="Times New Roman"/>
          <w:sz w:val="24"/>
          <w:szCs w:val="24"/>
        </w:rPr>
        <w:t>on</w:t>
      </w:r>
      <w:r w:rsidRPr="008F0C1A">
        <w:rPr>
          <w:rFonts w:ascii="Book Antiqua" w:eastAsiaTheme="minorHAnsi" w:hAnsi="Book Antiqua" w:cs="Times New Roman"/>
          <w:sz w:val="24"/>
          <w:szCs w:val="24"/>
        </w:rPr>
        <w:t xml:space="preserve"> active</w:t>
      </w:r>
      <w:r w:rsidR="00E9411C" w:rsidRPr="008F0C1A">
        <w:rPr>
          <w:rFonts w:ascii="Book Antiqua" w:eastAsiaTheme="minorHAnsi" w:hAnsi="Book Antiqua" w:cs="Times New Roman"/>
          <w:sz w:val="24"/>
          <w:szCs w:val="24"/>
        </w:rPr>
        <w:t>ly</w:t>
      </w:r>
      <w:r w:rsidRPr="008F0C1A">
        <w:rPr>
          <w:rFonts w:ascii="Book Antiqua" w:eastAsiaTheme="minorHAnsi" w:hAnsi="Book Antiqua" w:cs="Times New Roman"/>
          <w:sz w:val="24"/>
          <w:szCs w:val="24"/>
        </w:rPr>
        <w:t xml:space="preserve"> bleeding </w:t>
      </w:r>
      <w:r w:rsidR="00CF6945" w:rsidRPr="008F0C1A">
        <w:rPr>
          <w:rFonts w:ascii="Book Antiqua" w:eastAsiaTheme="minorHAnsi" w:hAnsi="Book Antiqua" w:cs="Times New Roman"/>
          <w:sz w:val="24"/>
          <w:szCs w:val="24"/>
        </w:rPr>
        <w:t xml:space="preserve">(Forrest classification </w:t>
      </w:r>
      <w:proofErr w:type="spellStart"/>
      <w:proofErr w:type="gramStart"/>
      <w:r w:rsidR="00CF6945" w:rsidRPr="008F0C1A">
        <w:rPr>
          <w:rFonts w:ascii="Book Antiqua" w:eastAsiaTheme="minorHAnsi" w:hAnsi="Book Antiqua" w:cs="Times New Roman"/>
          <w:sz w:val="24"/>
          <w:szCs w:val="24"/>
        </w:rPr>
        <w:t>Ia</w:t>
      </w:r>
      <w:proofErr w:type="spellEnd"/>
      <w:proofErr w:type="gramEnd"/>
      <w:r w:rsidR="00CF6945" w:rsidRPr="008F0C1A">
        <w:rPr>
          <w:rFonts w:ascii="Book Antiqua" w:eastAsiaTheme="minorHAnsi" w:hAnsi="Book Antiqua" w:cs="Times New Roman"/>
          <w:sz w:val="24"/>
          <w:szCs w:val="24"/>
        </w:rPr>
        <w:t xml:space="preserve">) </w:t>
      </w:r>
      <w:r w:rsidRPr="008F0C1A">
        <w:rPr>
          <w:rFonts w:ascii="Book Antiqua" w:eastAsiaTheme="minorHAnsi" w:hAnsi="Book Antiqua" w:cs="Times New Roman"/>
          <w:sz w:val="24"/>
          <w:szCs w:val="24"/>
        </w:rPr>
        <w:t>or blood-oozing ulcer</w:t>
      </w:r>
      <w:r w:rsidR="00E9411C" w:rsidRPr="008F0C1A">
        <w:rPr>
          <w:rFonts w:ascii="Book Antiqua" w:eastAsiaTheme="minorHAnsi" w:hAnsi="Book Antiqua" w:cs="Times New Roman"/>
          <w:sz w:val="24"/>
          <w:szCs w:val="24"/>
        </w:rPr>
        <w:t>s</w:t>
      </w:r>
      <w:r w:rsidRPr="008F0C1A">
        <w:rPr>
          <w:rFonts w:ascii="Book Antiqua" w:eastAsiaTheme="minorHAnsi" w:hAnsi="Book Antiqua" w:cs="Times New Roman"/>
          <w:sz w:val="24"/>
          <w:szCs w:val="24"/>
        </w:rPr>
        <w:t xml:space="preserve"> (Forrest classification </w:t>
      </w:r>
      <w:proofErr w:type="spellStart"/>
      <w:r w:rsidRPr="008F0C1A">
        <w:rPr>
          <w:rFonts w:ascii="Book Antiqua" w:eastAsiaTheme="minorHAnsi" w:hAnsi="Book Antiqua" w:cs="Times New Roman"/>
          <w:sz w:val="24"/>
          <w:szCs w:val="24"/>
        </w:rPr>
        <w:t>Ib</w:t>
      </w:r>
      <w:proofErr w:type="spellEnd"/>
      <w:r w:rsidRPr="008F0C1A">
        <w:rPr>
          <w:rFonts w:ascii="Book Antiqua" w:eastAsiaTheme="minorHAnsi" w:hAnsi="Book Antiqua" w:cs="Times New Roman"/>
          <w:sz w:val="24"/>
          <w:szCs w:val="24"/>
        </w:rPr>
        <w:t>) or non-bleeding visible vessel</w:t>
      </w:r>
      <w:r w:rsidR="00E9411C" w:rsidRPr="008F0C1A">
        <w:rPr>
          <w:rFonts w:ascii="Book Antiqua" w:eastAsiaTheme="minorHAnsi" w:hAnsi="Book Antiqua" w:cs="Times New Roman"/>
          <w:sz w:val="24"/>
          <w:szCs w:val="24"/>
        </w:rPr>
        <w:t>s</w:t>
      </w:r>
      <w:r w:rsidRPr="008F0C1A">
        <w:rPr>
          <w:rFonts w:ascii="Book Antiqua" w:eastAsiaTheme="minorHAnsi" w:hAnsi="Book Antiqua" w:cs="Times New Roman"/>
          <w:sz w:val="24"/>
          <w:szCs w:val="24"/>
        </w:rPr>
        <w:t xml:space="preserve"> (Forrest classification </w:t>
      </w:r>
      <w:proofErr w:type="spellStart"/>
      <w:r w:rsidRPr="008F0C1A">
        <w:rPr>
          <w:rFonts w:ascii="Book Antiqua" w:eastAsiaTheme="minorHAnsi" w:hAnsi="Book Antiqua" w:cs="Times New Roman"/>
          <w:sz w:val="24"/>
          <w:szCs w:val="24"/>
        </w:rPr>
        <w:t>IIa</w:t>
      </w:r>
      <w:proofErr w:type="spellEnd"/>
      <w:r w:rsidRPr="008F0C1A">
        <w:rPr>
          <w:rFonts w:ascii="Book Antiqua" w:eastAsiaTheme="minorHAnsi" w:hAnsi="Book Antiqua" w:cs="Times New Roman"/>
          <w:sz w:val="24"/>
          <w:szCs w:val="24"/>
        </w:rPr>
        <w:t xml:space="preserve">). After SLE, patients without evidence of bleeding were usually allowed to have a liquid diet with </w:t>
      </w:r>
      <w:r w:rsidR="00E9411C" w:rsidRPr="008F0C1A">
        <w:rPr>
          <w:rFonts w:ascii="Book Antiqua" w:eastAsiaTheme="minorHAnsi" w:hAnsi="Book Antiqua" w:cs="Times New Roman"/>
          <w:sz w:val="24"/>
          <w:szCs w:val="24"/>
        </w:rPr>
        <w:t xml:space="preserve">an </w:t>
      </w:r>
      <w:r w:rsidRPr="008F0C1A">
        <w:rPr>
          <w:rFonts w:ascii="Book Antiqua" w:eastAsiaTheme="minorHAnsi" w:hAnsi="Book Antiqua" w:cs="Times New Roman"/>
          <w:sz w:val="24"/>
          <w:szCs w:val="24"/>
        </w:rPr>
        <w:t xml:space="preserve">oral proton pump inhibitor. Most patients were discharged within </w:t>
      </w:r>
      <w:r w:rsidR="00346F3C" w:rsidRPr="008F0C1A">
        <w:rPr>
          <w:rFonts w:ascii="Book Antiqua" w:eastAsiaTheme="minorHAnsi" w:hAnsi="Book Antiqua" w:cs="Times New Roman"/>
          <w:sz w:val="24"/>
          <w:szCs w:val="24"/>
        </w:rPr>
        <w:t>3</w:t>
      </w:r>
      <w:r w:rsidRPr="008F0C1A">
        <w:rPr>
          <w:rFonts w:ascii="Book Antiqua" w:eastAsiaTheme="minorHAnsi" w:hAnsi="Book Antiqua" w:cs="Times New Roman"/>
          <w:sz w:val="24"/>
          <w:szCs w:val="24"/>
        </w:rPr>
        <w:t xml:space="preserve"> days after ESD if </w:t>
      </w:r>
      <w:r w:rsidR="00E9411C" w:rsidRPr="008F0C1A">
        <w:rPr>
          <w:rFonts w:ascii="Book Antiqua" w:eastAsiaTheme="minorHAnsi" w:hAnsi="Book Antiqua" w:cs="Times New Roman"/>
          <w:sz w:val="24"/>
          <w:szCs w:val="24"/>
        </w:rPr>
        <w:t xml:space="preserve">a </w:t>
      </w:r>
      <w:r w:rsidRPr="008F0C1A">
        <w:rPr>
          <w:rFonts w:ascii="Book Antiqua" w:eastAsiaTheme="minorHAnsi" w:hAnsi="Book Antiqua" w:cs="Times New Roman"/>
          <w:sz w:val="24"/>
          <w:szCs w:val="24"/>
        </w:rPr>
        <w:t xml:space="preserve">bleeding event </w:t>
      </w:r>
      <w:r w:rsidR="00E9411C" w:rsidRPr="008F0C1A">
        <w:rPr>
          <w:rFonts w:ascii="Book Antiqua" w:eastAsiaTheme="minorHAnsi" w:hAnsi="Book Antiqua" w:cs="Times New Roman"/>
          <w:sz w:val="24"/>
          <w:szCs w:val="24"/>
        </w:rPr>
        <w:t>did</w:t>
      </w:r>
      <w:r w:rsidRPr="008F0C1A">
        <w:rPr>
          <w:rFonts w:ascii="Book Antiqua" w:eastAsiaTheme="minorHAnsi" w:hAnsi="Book Antiqua" w:cs="Times New Roman"/>
          <w:sz w:val="24"/>
          <w:szCs w:val="24"/>
        </w:rPr>
        <w:t xml:space="preserve"> not </w:t>
      </w:r>
      <w:r w:rsidR="00E9411C" w:rsidRPr="008F0C1A">
        <w:rPr>
          <w:rFonts w:ascii="Book Antiqua" w:eastAsiaTheme="minorHAnsi" w:hAnsi="Book Antiqua" w:cs="Times New Roman"/>
          <w:sz w:val="24"/>
          <w:szCs w:val="24"/>
        </w:rPr>
        <w:t>occur</w:t>
      </w:r>
      <w:r w:rsidRPr="008F0C1A">
        <w:rPr>
          <w:rFonts w:ascii="Book Antiqua" w:eastAsiaTheme="minorHAnsi" w:hAnsi="Book Antiqua" w:cs="Times New Roman"/>
          <w:sz w:val="24"/>
          <w:szCs w:val="24"/>
        </w:rPr>
        <w:t xml:space="preserve">. </w:t>
      </w:r>
      <w:r w:rsidR="00E9411C" w:rsidRPr="008F0C1A">
        <w:rPr>
          <w:rFonts w:ascii="Book Antiqua" w:eastAsiaTheme="minorHAnsi" w:hAnsi="Book Antiqua" w:cs="Times New Roman"/>
          <w:sz w:val="24"/>
          <w:szCs w:val="24"/>
        </w:rPr>
        <w:t>The</w:t>
      </w:r>
      <w:r w:rsidRPr="008F0C1A">
        <w:rPr>
          <w:rFonts w:ascii="Book Antiqua" w:eastAsiaTheme="minorHAnsi" w:hAnsi="Book Antiqua" w:cs="Times New Roman"/>
          <w:sz w:val="24"/>
          <w:szCs w:val="24"/>
        </w:rPr>
        <w:t xml:space="preserve"> patients were scheduled to visit </w:t>
      </w:r>
      <w:r w:rsidR="00E9411C" w:rsidRPr="008F0C1A">
        <w:rPr>
          <w:rFonts w:ascii="Book Antiqua" w:eastAsiaTheme="minorHAnsi" w:hAnsi="Book Antiqua" w:cs="Times New Roman"/>
          <w:sz w:val="24"/>
          <w:szCs w:val="24"/>
        </w:rPr>
        <w:t xml:space="preserve">the </w:t>
      </w:r>
      <w:r w:rsidRPr="008F0C1A">
        <w:rPr>
          <w:rFonts w:ascii="Book Antiqua" w:eastAsiaTheme="minorHAnsi" w:hAnsi="Book Antiqua" w:cs="Times New Roman"/>
          <w:sz w:val="24"/>
          <w:szCs w:val="24"/>
        </w:rPr>
        <w:t>hospital at 1</w:t>
      </w:r>
      <w:r w:rsidR="00786590" w:rsidRPr="008F0C1A">
        <w:rPr>
          <w:rFonts w:ascii="Book Antiqua" w:eastAsiaTheme="minorHAnsi" w:hAnsi="Book Antiqua" w:cs="Times New Roman"/>
          <w:sz w:val="24"/>
          <w:szCs w:val="24"/>
        </w:rPr>
        <w:t xml:space="preserve"> </w:t>
      </w:r>
      <w:r w:rsidRPr="008F0C1A">
        <w:rPr>
          <w:rFonts w:ascii="Book Antiqua" w:eastAsiaTheme="minorHAnsi" w:hAnsi="Book Antiqua" w:cs="Times New Roman"/>
          <w:sz w:val="24"/>
          <w:szCs w:val="24"/>
        </w:rPr>
        <w:t>week, 1</w:t>
      </w:r>
      <w:r w:rsidR="00786590" w:rsidRPr="008F0C1A">
        <w:rPr>
          <w:rFonts w:ascii="Book Antiqua" w:eastAsiaTheme="minorHAnsi" w:hAnsi="Book Antiqua" w:cs="Times New Roman"/>
          <w:sz w:val="24"/>
          <w:szCs w:val="24"/>
        </w:rPr>
        <w:t xml:space="preserve"> </w:t>
      </w:r>
      <w:r w:rsidRPr="008F0C1A">
        <w:rPr>
          <w:rFonts w:ascii="Book Antiqua" w:eastAsiaTheme="minorHAnsi" w:hAnsi="Book Antiqua" w:cs="Times New Roman"/>
          <w:sz w:val="24"/>
          <w:szCs w:val="24"/>
        </w:rPr>
        <w:t xml:space="preserve">month, </w:t>
      </w:r>
      <w:r w:rsidR="00E9411C" w:rsidRPr="008F0C1A">
        <w:rPr>
          <w:rFonts w:ascii="Book Antiqua" w:eastAsiaTheme="minorHAnsi" w:hAnsi="Book Antiqua" w:cs="Times New Roman"/>
          <w:sz w:val="24"/>
          <w:szCs w:val="24"/>
        </w:rPr>
        <w:t xml:space="preserve">and </w:t>
      </w:r>
      <w:r w:rsidRPr="008F0C1A">
        <w:rPr>
          <w:rFonts w:ascii="Book Antiqua" w:eastAsiaTheme="minorHAnsi" w:hAnsi="Book Antiqua" w:cs="Times New Roman"/>
          <w:sz w:val="24"/>
          <w:szCs w:val="24"/>
        </w:rPr>
        <w:t>3</w:t>
      </w:r>
      <w:r w:rsidR="00786590" w:rsidRPr="008F0C1A">
        <w:rPr>
          <w:rFonts w:ascii="Book Antiqua" w:eastAsiaTheme="minorHAnsi" w:hAnsi="Book Antiqua" w:cs="Times New Roman"/>
          <w:sz w:val="24"/>
          <w:szCs w:val="24"/>
        </w:rPr>
        <w:t xml:space="preserve"> </w:t>
      </w:r>
      <w:r w:rsidRPr="008F0C1A">
        <w:rPr>
          <w:rFonts w:ascii="Book Antiqua" w:eastAsiaTheme="minorHAnsi" w:hAnsi="Book Antiqua" w:cs="Times New Roman"/>
          <w:sz w:val="24"/>
          <w:szCs w:val="24"/>
        </w:rPr>
        <w:t xml:space="preserve">months after discharge. All patients were </w:t>
      </w:r>
      <w:r w:rsidR="008D1E36" w:rsidRPr="008F0C1A">
        <w:rPr>
          <w:rFonts w:ascii="Book Antiqua" w:eastAsiaTheme="minorHAnsi" w:hAnsi="Book Antiqua" w:cs="Times New Roman"/>
          <w:sz w:val="24"/>
          <w:szCs w:val="24"/>
        </w:rPr>
        <w:t>instructed</w:t>
      </w:r>
      <w:r w:rsidRPr="008F0C1A">
        <w:rPr>
          <w:rFonts w:ascii="Book Antiqua" w:eastAsiaTheme="minorHAnsi" w:hAnsi="Book Antiqua" w:cs="Times New Roman"/>
          <w:sz w:val="24"/>
          <w:szCs w:val="24"/>
        </w:rPr>
        <w:t xml:space="preserve"> to visit </w:t>
      </w:r>
      <w:r w:rsidR="00E9411C" w:rsidRPr="008F0C1A">
        <w:rPr>
          <w:rFonts w:ascii="Book Antiqua" w:eastAsiaTheme="minorHAnsi" w:hAnsi="Book Antiqua" w:cs="Times New Roman"/>
          <w:sz w:val="24"/>
          <w:szCs w:val="24"/>
        </w:rPr>
        <w:t xml:space="preserve">the </w:t>
      </w:r>
      <w:r w:rsidRPr="008F0C1A">
        <w:rPr>
          <w:rFonts w:ascii="Book Antiqua" w:eastAsiaTheme="minorHAnsi" w:hAnsi="Book Antiqua" w:cs="Times New Roman"/>
          <w:sz w:val="24"/>
          <w:szCs w:val="24"/>
        </w:rPr>
        <w:t>hospital in case of hematemesis,</w:t>
      </w:r>
      <w:r w:rsidR="00E9411C" w:rsidRPr="008F0C1A">
        <w:rPr>
          <w:rFonts w:ascii="Book Antiqua" w:eastAsiaTheme="minorHAnsi" w:hAnsi="Book Antiqua" w:cs="Times New Roman"/>
          <w:sz w:val="24"/>
          <w:szCs w:val="24"/>
        </w:rPr>
        <w:t xml:space="preserve"> </w:t>
      </w:r>
      <w:r w:rsidRPr="008F0C1A">
        <w:rPr>
          <w:rFonts w:ascii="Book Antiqua" w:eastAsiaTheme="minorHAnsi" w:hAnsi="Book Antiqua" w:cs="Times New Roman"/>
          <w:sz w:val="24"/>
          <w:szCs w:val="24"/>
        </w:rPr>
        <w:t xml:space="preserve">hematochezia, melena or dizziness. </w:t>
      </w:r>
    </w:p>
    <w:p w:rsidR="0022406F" w:rsidRPr="008F0C1A" w:rsidRDefault="0022406F" w:rsidP="00A771AE">
      <w:pPr>
        <w:wordWrap/>
        <w:adjustRightInd w:val="0"/>
        <w:snapToGrid w:val="0"/>
        <w:spacing w:after="0" w:line="360" w:lineRule="auto"/>
        <w:rPr>
          <w:rFonts w:ascii="Book Antiqua" w:eastAsiaTheme="minorHAnsi" w:hAnsi="Book Antiqua" w:cs="Times New Roman"/>
          <w:b/>
          <w:sz w:val="24"/>
          <w:szCs w:val="24"/>
        </w:rPr>
      </w:pPr>
    </w:p>
    <w:p w:rsidR="0022406F" w:rsidRPr="008F0C1A" w:rsidRDefault="00BE375D" w:rsidP="00A771AE">
      <w:pPr>
        <w:wordWrap/>
        <w:adjustRightInd w:val="0"/>
        <w:snapToGrid w:val="0"/>
        <w:spacing w:after="0" w:line="360" w:lineRule="auto"/>
        <w:rPr>
          <w:rFonts w:ascii="Book Antiqua" w:eastAsiaTheme="minorHAnsi" w:hAnsi="Book Antiqua" w:cs="Times New Roman"/>
          <w:b/>
          <w:i/>
          <w:sz w:val="24"/>
          <w:szCs w:val="24"/>
        </w:rPr>
      </w:pPr>
      <w:r w:rsidRPr="008F0C1A">
        <w:rPr>
          <w:rFonts w:ascii="Book Antiqua" w:eastAsiaTheme="minorHAnsi" w:hAnsi="Book Antiqua" w:cs="Times New Roman"/>
          <w:b/>
          <w:i/>
          <w:sz w:val="24"/>
          <w:szCs w:val="24"/>
        </w:rPr>
        <w:t xml:space="preserve">Data </w:t>
      </w:r>
      <w:r w:rsidR="00956CFC" w:rsidRPr="008F0C1A">
        <w:rPr>
          <w:rFonts w:ascii="Book Antiqua" w:eastAsiaTheme="minorHAnsi" w:hAnsi="Book Antiqua" w:cs="Times New Roman"/>
          <w:b/>
          <w:i/>
          <w:sz w:val="24"/>
          <w:szCs w:val="24"/>
        </w:rPr>
        <w:t>a</w:t>
      </w:r>
      <w:r w:rsidR="004D4655" w:rsidRPr="008F0C1A">
        <w:rPr>
          <w:rFonts w:ascii="Book Antiqua" w:eastAsiaTheme="minorHAnsi" w:hAnsi="Book Antiqua" w:cs="Times New Roman"/>
          <w:b/>
          <w:i/>
          <w:sz w:val="24"/>
          <w:szCs w:val="24"/>
        </w:rPr>
        <w:t>nalysis</w:t>
      </w:r>
    </w:p>
    <w:p w:rsidR="0022406F" w:rsidRPr="008F0C1A" w:rsidRDefault="004D4655" w:rsidP="00A771AE">
      <w:pPr>
        <w:wordWrap/>
        <w:adjustRightInd w:val="0"/>
        <w:snapToGrid w:val="0"/>
        <w:spacing w:after="0" w:line="360" w:lineRule="auto"/>
        <w:rPr>
          <w:rFonts w:ascii="Book Antiqua" w:eastAsiaTheme="minorHAnsi" w:hAnsi="Book Antiqua" w:cs="Times New Roman"/>
          <w:b/>
          <w:sz w:val="24"/>
          <w:szCs w:val="24"/>
        </w:rPr>
      </w:pPr>
      <w:r w:rsidRPr="008F0C1A">
        <w:rPr>
          <w:rFonts w:ascii="Book Antiqua" w:eastAsiaTheme="minorHAnsi" w:hAnsi="Book Antiqua" w:cs="Times New Roman"/>
          <w:sz w:val="24"/>
          <w:szCs w:val="24"/>
        </w:rPr>
        <w:t xml:space="preserve">Post-ESD bleeding was defined </w:t>
      </w:r>
      <w:r w:rsidR="00B90C0B" w:rsidRPr="008F0C1A">
        <w:rPr>
          <w:rFonts w:ascii="Book Antiqua" w:eastAsiaTheme="minorHAnsi" w:hAnsi="Book Antiqua" w:cs="Times New Roman"/>
          <w:sz w:val="24"/>
          <w:szCs w:val="24"/>
        </w:rPr>
        <w:t>as the</w:t>
      </w:r>
      <w:r w:rsidRPr="008F0C1A">
        <w:rPr>
          <w:rFonts w:ascii="Book Antiqua" w:eastAsiaTheme="minorHAnsi" w:hAnsi="Book Antiqua" w:cs="Times New Roman"/>
          <w:sz w:val="24"/>
          <w:szCs w:val="24"/>
        </w:rPr>
        <w:t xml:space="preserve"> appear</w:t>
      </w:r>
      <w:r w:rsidR="00B90C0B" w:rsidRPr="008F0C1A">
        <w:rPr>
          <w:rFonts w:ascii="Book Antiqua" w:eastAsiaTheme="minorHAnsi" w:hAnsi="Book Antiqua" w:cs="Times New Roman"/>
          <w:sz w:val="24"/>
          <w:szCs w:val="24"/>
        </w:rPr>
        <w:t>ance of</w:t>
      </w:r>
      <w:r w:rsidRPr="008F0C1A">
        <w:rPr>
          <w:rFonts w:ascii="Book Antiqua" w:eastAsiaTheme="minorHAnsi" w:hAnsi="Book Antiqua" w:cs="Times New Roman"/>
          <w:sz w:val="24"/>
          <w:szCs w:val="24"/>
        </w:rPr>
        <w:t xml:space="preserve"> hematemesis, hematochezia, melena</w:t>
      </w:r>
      <w:r w:rsidR="00B90C0B" w:rsidRPr="008F0C1A">
        <w:rPr>
          <w:rFonts w:ascii="Book Antiqua" w:eastAsiaTheme="minorHAnsi" w:hAnsi="Book Antiqua" w:cs="Times New Roman"/>
          <w:sz w:val="24"/>
          <w:szCs w:val="24"/>
        </w:rPr>
        <w:t>,</w:t>
      </w:r>
      <w:r w:rsidRPr="008F0C1A">
        <w:rPr>
          <w:rFonts w:ascii="Book Antiqua" w:eastAsiaTheme="minorHAnsi" w:hAnsi="Book Antiqua" w:cs="Times New Roman"/>
          <w:sz w:val="24"/>
          <w:szCs w:val="24"/>
        </w:rPr>
        <w:t xml:space="preserve"> hypotension or decrease in hemoglobin </w:t>
      </w:r>
      <w:r w:rsidR="00B90C0B" w:rsidRPr="008F0C1A">
        <w:rPr>
          <w:rFonts w:ascii="Book Antiqua" w:eastAsiaTheme="minorHAnsi" w:hAnsi="Book Antiqua" w:cs="Times New Roman"/>
          <w:sz w:val="24"/>
          <w:szCs w:val="24"/>
        </w:rPr>
        <w:t xml:space="preserve">of </w:t>
      </w:r>
      <w:r w:rsidRPr="008F0C1A">
        <w:rPr>
          <w:rFonts w:ascii="Book Antiqua" w:eastAsiaTheme="minorHAnsi" w:hAnsi="Book Antiqua" w:cs="Times New Roman"/>
          <w:sz w:val="24"/>
          <w:szCs w:val="24"/>
        </w:rPr>
        <w:t>more than 2g/</w:t>
      </w:r>
      <w:proofErr w:type="spellStart"/>
      <w:r w:rsidRPr="008F0C1A">
        <w:rPr>
          <w:rFonts w:ascii="Book Antiqua" w:eastAsiaTheme="minorHAnsi" w:hAnsi="Book Antiqua" w:cs="Times New Roman"/>
          <w:sz w:val="24"/>
          <w:szCs w:val="24"/>
        </w:rPr>
        <w:t>dL</w:t>
      </w:r>
      <w:proofErr w:type="spellEnd"/>
      <w:r w:rsidRPr="008F0C1A">
        <w:rPr>
          <w:rFonts w:ascii="Book Antiqua" w:eastAsiaTheme="minorHAnsi" w:hAnsi="Book Antiqua" w:cs="Times New Roman"/>
          <w:sz w:val="24"/>
          <w:szCs w:val="24"/>
        </w:rPr>
        <w:t xml:space="preserve"> after ESD. </w:t>
      </w:r>
      <w:r w:rsidR="00B90C0B" w:rsidRPr="008F0C1A">
        <w:rPr>
          <w:rFonts w:ascii="Book Antiqua" w:eastAsiaTheme="minorHAnsi" w:hAnsi="Book Antiqua" w:cs="Times New Roman"/>
          <w:sz w:val="24"/>
          <w:szCs w:val="24"/>
        </w:rPr>
        <w:t>D</w:t>
      </w:r>
      <w:r w:rsidRPr="008F0C1A">
        <w:rPr>
          <w:rFonts w:ascii="Book Antiqua" w:eastAsiaTheme="minorHAnsi" w:hAnsi="Book Antiqua" w:cs="Times New Roman"/>
          <w:sz w:val="24"/>
          <w:szCs w:val="24"/>
        </w:rPr>
        <w:t>iagnos</w:t>
      </w:r>
      <w:r w:rsidR="00B90C0B" w:rsidRPr="008F0C1A">
        <w:rPr>
          <w:rFonts w:ascii="Book Antiqua" w:eastAsiaTheme="minorHAnsi" w:hAnsi="Book Antiqua" w:cs="Times New Roman"/>
          <w:sz w:val="24"/>
          <w:szCs w:val="24"/>
        </w:rPr>
        <w:t>is was made</w:t>
      </w:r>
      <w:r w:rsidRPr="008F0C1A">
        <w:rPr>
          <w:rFonts w:ascii="Book Antiqua" w:eastAsiaTheme="minorHAnsi" w:hAnsi="Book Antiqua" w:cs="Times New Roman"/>
          <w:sz w:val="24"/>
          <w:szCs w:val="24"/>
        </w:rPr>
        <w:t xml:space="preserve"> by endoscopy. Delayed bleeding was defined </w:t>
      </w:r>
      <w:r w:rsidR="00B90C0B" w:rsidRPr="008F0C1A">
        <w:rPr>
          <w:rFonts w:ascii="Book Antiqua" w:eastAsiaTheme="minorHAnsi" w:hAnsi="Book Antiqua" w:cs="Times New Roman"/>
          <w:sz w:val="24"/>
          <w:szCs w:val="24"/>
        </w:rPr>
        <w:t xml:space="preserve">as </w:t>
      </w:r>
      <w:r w:rsidRPr="008F0C1A">
        <w:rPr>
          <w:rFonts w:ascii="Book Antiqua" w:eastAsiaTheme="minorHAnsi" w:hAnsi="Book Antiqua" w:cs="Times New Roman"/>
          <w:sz w:val="24"/>
          <w:szCs w:val="24"/>
        </w:rPr>
        <w:t>bleeding event</w:t>
      </w:r>
      <w:r w:rsidR="00B90C0B" w:rsidRPr="008F0C1A">
        <w:rPr>
          <w:rFonts w:ascii="Book Antiqua" w:eastAsiaTheme="minorHAnsi" w:hAnsi="Book Antiqua" w:cs="Times New Roman"/>
          <w:sz w:val="24"/>
          <w:szCs w:val="24"/>
        </w:rPr>
        <w:t>s</w:t>
      </w:r>
      <w:r w:rsidRPr="008F0C1A">
        <w:rPr>
          <w:rFonts w:ascii="Book Antiqua" w:eastAsiaTheme="minorHAnsi" w:hAnsi="Book Antiqua" w:cs="Times New Roman"/>
          <w:sz w:val="24"/>
          <w:szCs w:val="24"/>
        </w:rPr>
        <w:t xml:space="preserve"> after SLE </w:t>
      </w:r>
      <w:r w:rsidR="00B90C0B" w:rsidRPr="008F0C1A">
        <w:rPr>
          <w:rFonts w:ascii="Book Antiqua" w:eastAsiaTheme="minorHAnsi" w:hAnsi="Book Antiqua" w:cs="Times New Roman"/>
          <w:sz w:val="24"/>
          <w:szCs w:val="24"/>
        </w:rPr>
        <w:t xml:space="preserve">which occurred </w:t>
      </w:r>
      <w:r w:rsidRPr="008F0C1A">
        <w:rPr>
          <w:rFonts w:ascii="Book Antiqua" w:eastAsiaTheme="minorHAnsi" w:hAnsi="Book Antiqua" w:cs="Times New Roman"/>
          <w:sz w:val="24"/>
          <w:szCs w:val="24"/>
        </w:rPr>
        <w:t xml:space="preserve">within 30 days. </w:t>
      </w:r>
      <w:r w:rsidR="00B90C0B" w:rsidRPr="008F0C1A">
        <w:rPr>
          <w:rFonts w:ascii="Book Antiqua" w:eastAsiaTheme="minorHAnsi" w:hAnsi="Book Antiqua" w:cs="Times New Roman"/>
          <w:sz w:val="24"/>
          <w:szCs w:val="24"/>
        </w:rPr>
        <w:t xml:space="preserve">The </w:t>
      </w:r>
      <w:r w:rsidRPr="008F0C1A">
        <w:rPr>
          <w:rFonts w:ascii="Book Antiqua" w:eastAsiaTheme="minorHAnsi" w:hAnsi="Book Antiqua" w:cs="Times New Roman"/>
          <w:sz w:val="24"/>
          <w:szCs w:val="24"/>
        </w:rPr>
        <w:t xml:space="preserve">following variables </w:t>
      </w:r>
      <w:r w:rsidR="00B90C0B" w:rsidRPr="008F0C1A">
        <w:rPr>
          <w:rFonts w:ascii="Book Antiqua" w:eastAsiaTheme="minorHAnsi" w:hAnsi="Book Antiqua" w:cs="Times New Roman"/>
          <w:sz w:val="24"/>
          <w:szCs w:val="24"/>
        </w:rPr>
        <w:t>were analyzed</w:t>
      </w:r>
      <w:r w:rsidRPr="008F0C1A">
        <w:rPr>
          <w:rFonts w:ascii="Book Antiqua" w:eastAsiaTheme="minorHAnsi" w:hAnsi="Book Antiqua" w:cs="Times New Roman"/>
          <w:sz w:val="24"/>
          <w:szCs w:val="24"/>
        </w:rPr>
        <w:t xml:space="preserve">: age, sex, comorbidities with </w:t>
      </w:r>
      <w:proofErr w:type="spellStart"/>
      <w:r w:rsidRPr="008F0C1A">
        <w:rPr>
          <w:rFonts w:ascii="Book Antiqua" w:eastAsiaTheme="minorHAnsi" w:hAnsi="Book Antiqua" w:cs="Times New Roman"/>
          <w:sz w:val="24"/>
          <w:szCs w:val="24"/>
        </w:rPr>
        <w:t>Charlson</w:t>
      </w:r>
      <w:proofErr w:type="spellEnd"/>
      <w:r w:rsidRPr="008F0C1A">
        <w:rPr>
          <w:rFonts w:ascii="Book Antiqua" w:eastAsiaTheme="minorHAnsi" w:hAnsi="Book Antiqua" w:cs="Times New Roman"/>
          <w:sz w:val="24"/>
          <w:szCs w:val="24"/>
        </w:rPr>
        <w:t xml:space="preserve"> comorbidity scale, use of antiplatelet or anticoagulant agents</w:t>
      </w:r>
      <w:r w:rsidR="00B90C0B" w:rsidRPr="008F0C1A">
        <w:rPr>
          <w:rFonts w:ascii="Book Antiqua" w:eastAsiaTheme="minorHAnsi" w:hAnsi="Book Antiqua" w:cs="Times New Roman"/>
          <w:sz w:val="24"/>
          <w:szCs w:val="24"/>
        </w:rPr>
        <w:t>,</w:t>
      </w:r>
      <w:r w:rsidRPr="008F0C1A">
        <w:rPr>
          <w:rFonts w:ascii="Book Antiqua" w:eastAsiaTheme="minorHAnsi" w:hAnsi="Book Antiqua" w:cs="Times New Roman"/>
          <w:sz w:val="24"/>
          <w:szCs w:val="24"/>
        </w:rPr>
        <w:t xml:space="preserve"> </w:t>
      </w:r>
      <w:r w:rsidR="00B90C0B" w:rsidRPr="008F0C1A">
        <w:rPr>
          <w:rFonts w:ascii="Book Antiqua" w:eastAsiaTheme="minorHAnsi" w:hAnsi="Book Antiqua" w:cs="Times New Roman"/>
          <w:sz w:val="24"/>
          <w:szCs w:val="24"/>
        </w:rPr>
        <w:t xml:space="preserve">use of </w:t>
      </w:r>
      <w:r w:rsidRPr="008F0C1A">
        <w:rPr>
          <w:rFonts w:ascii="Book Antiqua" w:eastAsiaTheme="minorHAnsi" w:hAnsi="Book Antiqua" w:cs="Times New Roman"/>
          <w:sz w:val="24"/>
          <w:szCs w:val="24"/>
        </w:rPr>
        <w:t>steroid or nonsteroidal anti-inflammatory drugs, pro</w:t>
      </w:r>
      <w:r w:rsidR="00576000" w:rsidRPr="008F0C1A">
        <w:rPr>
          <w:rFonts w:ascii="Book Antiqua" w:eastAsiaTheme="minorHAnsi" w:hAnsi="Book Antiqua" w:cs="Times New Roman"/>
          <w:sz w:val="24"/>
          <w:szCs w:val="24"/>
        </w:rPr>
        <w:t>c</w:t>
      </w:r>
      <w:r w:rsidRPr="008F0C1A">
        <w:rPr>
          <w:rFonts w:ascii="Book Antiqua" w:eastAsiaTheme="minorHAnsi" w:hAnsi="Book Antiqua" w:cs="Times New Roman"/>
          <w:sz w:val="24"/>
          <w:szCs w:val="24"/>
        </w:rPr>
        <w:t>e</w:t>
      </w:r>
      <w:r w:rsidR="00576000" w:rsidRPr="008F0C1A">
        <w:rPr>
          <w:rFonts w:ascii="Book Antiqua" w:eastAsiaTheme="minorHAnsi" w:hAnsi="Book Antiqua" w:cs="Times New Roman"/>
          <w:sz w:val="24"/>
          <w:szCs w:val="24"/>
        </w:rPr>
        <w:t>d</w:t>
      </w:r>
      <w:r w:rsidRPr="008F0C1A">
        <w:rPr>
          <w:rFonts w:ascii="Book Antiqua" w:eastAsiaTheme="minorHAnsi" w:hAnsi="Book Antiqua" w:cs="Times New Roman"/>
          <w:sz w:val="24"/>
          <w:szCs w:val="24"/>
        </w:rPr>
        <w:t>ure time, resection type</w:t>
      </w:r>
      <w:r w:rsidR="00B90C0B" w:rsidRPr="008F0C1A">
        <w:rPr>
          <w:rFonts w:ascii="Book Antiqua" w:eastAsiaTheme="minorHAnsi" w:hAnsi="Book Antiqua" w:cs="Times New Roman"/>
          <w:sz w:val="24"/>
          <w:szCs w:val="24"/>
        </w:rPr>
        <w:t xml:space="preserve"> </w:t>
      </w:r>
      <w:r w:rsidRPr="008F0C1A">
        <w:rPr>
          <w:rFonts w:ascii="Book Antiqua" w:eastAsiaTheme="minorHAnsi" w:hAnsi="Book Antiqua" w:cs="Times New Roman"/>
          <w:sz w:val="24"/>
          <w:szCs w:val="24"/>
        </w:rPr>
        <w:t>(</w:t>
      </w:r>
      <w:proofErr w:type="spellStart"/>
      <w:r w:rsidRPr="00EF29C8">
        <w:rPr>
          <w:rFonts w:ascii="Book Antiqua" w:eastAsiaTheme="minorHAnsi" w:hAnsi="Book Antiqua" w:cs="Times New Roman"/>
          <w:i/>
          <w:sz w:val="24"/>
          <w:szCs w:val="24"/>
        </w:rPr>
        <w:t>en</w:t>
      </w:r>
      <w:proofErr w:type="spellEnd"/>
      <w:r w:rsidRPr="00EF29C8">
        <w:rPr>
          <w:rFonts w:ascii="Book Antiqua" w:eastAsiaTheme="minorHAnsi" w:hAnsi="Book Antiqua" w:cs="Times New Roman"/>
          <w:i/>
          <w:sz w:val="24"/>
          <w:szCs w:val="24"/>
        </w:rPr>
        <w:t xml:space="preserve"> bloc</w:t>
      </w:r>
      <w:r w:rsidRPr="008F0C1A">
        <w:rPr>
          <w:rFonts w:ascii="Book Antiqua" w:eastAsiaTheme="minorHAnsi" w:hAnsi="Book Antiqua" w:cs="Times New Roman"/>
          <w:sz w:val="24"/>
          <w:szCs w:val="24"/>
        </w:rPr>
        <w:t xml:space="preserve"> or piecemeal), lesion location</w:t>
      </w:r>
      <w:r w:rsidR="00B90C0B" w:rsidRPr="008F0C1A">
        <w:rPr>
          <w:rFonts w:ascii="Book Antiqua" w:eastAsiaTheme="minorHAnsi" w:hAnsi="Book Antiqua" w:cs="Times New Roman"/>
          <w:sz w:val="24"/>
          <w:szCs w:val="24"/>
        </w:rPr>
        <w:t xml:space="preserve"> </w:t>
      </w:r>
      <w:r w:rsidRPr="008F0C1A">
        <w:rPr>
          <w:rFonts w:ascii="Book Antiqua" w:eastAsiaTheme="minorHAnsi" w:hAnsi="Book Antiqua" w:cs="Times New Roman"/>
          <w:sz w:val="24"/>
          <w:szCs w:val="24"/>
        </w:rPr>
        <w:t>(upper third-</w:t>
      </w:r>
      <w:r w:rsidRPr="008F0C1A">
        <w:rPr>
          <w:rFonts w:ascii="Book Antiqua" w:eastAsiaTheme="minorHAnsi" w:hAnsi="Book Antiqua" w:cs="Times New Roman"/>
          <w:sz w:val="24"/>
          <w:szCs w:val="24"/>
        </w:rPr>
        <w:lastRenderedPageBreak/>
        <w:t>high body or cardia, middle third-mid body or lower body, lower third-antrum</w:t>
      </w:r>
      <w:r w:rsidR="00786590" w:rsidRPr="008F0C1A">
        <w:rPr>
          <w:rFonts w:ascii="Book Antiqua" w:eastAsiaTheme="minorHAnsi" w:hAnsi="Book Antiqua" w:cs="Times New Roman"/>
          <w:sz w:val="24"/>
          <w:szCs w:val="24"/>
        </w:rPr>
        <w:t xml:space="preserve"> </w:t>
      </w:r>
      <w:r w:rsidRPr="008F0C1A">
        <w:rPr>
          <w:rFonts w:ascii="Book Antiqua" w:eastAsiaTheme="minorHAnsi" w:hAnsi="Book Antiqua" w:cs="Times New Roman"/>
          <w:sz w:val="24"/>
          <w:szCs w:val="24"/>
        </w:rPr>
        <w:t>or angle), lesion characteristics</w:t>
      </w:r>
      <w:r w:rsidR="00786590" w:rsidRPr="008F0C1A">
        <w:rPr>
          <w:rFonts w:ascii="Book Antiqua" w:eastAsiaTheme="minorHAnsi" w:hAnsi="Book Antiqua" w:cs="Times New Roman"/>
          <w:sz w:val="24"/>
          <w:szCs w:val="24"/>
        </w:rPr>
        <w:t xml:space="preserve"> </w:t>
      </w:r>
      <w:r w:rsidRPr="008F0C1A">
        <w:rPr>
          <w:rFonts w:ascii="Book Antiqua" w:eastAsiaTheme="minorHAnsi" w:hAnsi="Book Antiqua" w:cs="Times New Roman"/>
          <w:sz w:val="24"/>
          <w:szCs w:val="24"/>
        </w:rPr>
        <w:t>(elevated or flat,</w:t>
      </w:r>
      <w:r w:rsidR="00B90C0B" w:rsidRPr="008F0C1A">
        <w:rPr>
          <w:rFonts w:ascii="Book Antiqua" w:eastAsiaTheme="minorHAnsi" w:hAnsi="Book Antiqua" w:cs="Times New Roman"/>
          <w:sz w:val="24"/>
          <w:szCs w:val="24"/>
        </w:rPr>
        <w:t xml:space="preserve"> </w:t>
      </w:r>
      <w:r w:rsidRPr="008F0C1A">
        <w:rPr>
          <w:rFonts w:ascii="Book Antiqua" w:eastAsiaTheme="minorHAnsi" w:hAnsi="Book Antiqua" w:cs="Times New Roman"/>
          <w:sz w:val="24"/>
          <w:szCs w:val="24"/>
        </w:rPr>
        <w:t>depressed), lesion size</w:t>
      </w:r>
      <w:r w:rsidR="00786590" w:rsidRPr="008F0C1A">
        <w:rPr>
          <w:rFonts w:ascii="Book Antiqua" w:eastAsiaTheme="minorHAnsi" w:hAnsi="Book Antiqua" w:cs="Times New Roman"/>
          <w:sz w:val="24"/>
          <w:szCs w:val="24"/>
        </w:rPr>
        <w:t xml:space="preserve"> </w:t>
      </w:r>
      <w:r w:rsidRPr="008F0C1A">
        <w:rPr>
          <w:rFonts w:ascii="Book Antiqua" w:eastAsiaTheme="minorHAnsi" w:hAnsi="Book Antiqua" w:cs="Times New Roman"/>
          <w:sz w:val="24"/>
          <w:szCs w:val="24"/>
        </w:rPr>
        <w:t>(maximum diameter), resected specimen size</w:t>
      </w:r>
      <w:r w:rsidR="00B90C0B" w:rsidRPr="008F0C1A">
        <w:rPr>
          <w:rFonts w:ascii="Book Antiqua" w:eastAsiaTheme="minorHAnsi" w:hAnsi="Book Antiqua" w:cs="Times New Roman"/>
          <w:sz w:val="24"/>
          <w:szCs w:val="24"/>
        </w:rPr>
        <w:t xml:space="preserve"> </w:t>
      </w:r>
      <w:r w:rsidRPr="008F0C1A">
        <w:rPr>
          <w:rFonts w:ascii="Book Antiqua" w:eastAsiaTheme="minorHAnsi" w:hAnsi="Book Antiqua" w:cs="Times New Roman"/>
          <w:sz w:val="24"/>
          <w:szCs w:val="24"/>
        </w:rPr>
        <w:t xml:space="preserve">(maximum diameter), histologic type, presence of </w:t>
      </w:r>
      <w:r w:rsidRPr="008F0C1A">
        <w:rPr>
          <w:rFonts w:ascii="Book Antiqua" w:eastAsiaTheme="minorHAnsi" w:hAnsi="Book Antiqua" w:cs="Times New Roman"/>
          <w:i/>
          <w:sz w:val="24"/>
          <w:szCs w:val="24"/>
        </w:rPr>
        <w:t>Helicobacter pylori</w:t>
      </w:r>
      <w:r w:rsidR="00786590" w:rsidRPr="008F0C1A">
        <w:rPr>
          <w:rFonts w:ascii="Book Antiqua" w:eastAsiaTheme="minorHAnsi" w:hAnsi="Book Antiqua" w:cs="Times New Roman"/>
          <w:i/>
          <w:sz w:val="24"/>
          <w:szCs w:val="24"/>
        </w:rPr>
        <w:t xml:space="preserve"> </w:t>
      </w:r>
      <w:r w:rsidRPr="008F0C1A">
        <w:rPr>
          <w:rFonts w:ascii="Book Antiqua" w:eastAsiaTheme="minorHAnsi" w:hAnsi="Book Antiqua" w:cs="Times New Roman"/>
          <w:i/>
          <w:sz w:val="24"/>
          <w:szCs w:val="24"/>
        </w:rPr>
        <w:t>(H.</w:t>
      </w:r>
      <w:r w:rsidR="00786590" w:rsidRPr="008F0C1A">
        <w:rPr>
          <w:rFonts w:ascii="Book Antiqua" w:eastAsiaTheme="minorHAnsi" w:hAnsi="Book Antiqua" w:cs="Times New Roman"/>
          <w:i/>
          <w:sz w:val="24"/>
          <w:szCs w:val="24"/>
        </w:rPr>
        <w:t xml:space="preserve"> </w:t>
      </w:r>
      <w:r w:rsidRPr="008F0C1A">
        <w:rPr>
          <w:rFonts w:ascii="Book Antiqua" w:eastAsiaTheme="minorHAnsi" w:hAnsi="Book Antiqua" w:cs="Times New Roman"/>
          <w:i/>
          <w:sz w:val="24"/>
          <w:szCs w:val="24"/>
        </w:rPr>
        <w:t>pylori)</w:t>
      </w:r>
      <w:r w:rsidRPr="008F0C1A">
        <w:rPr>
          <w:rFonts w:ascii="Book Antiqua" w:eastAsiaTheme="minorHAnsi" w:hAnsi="Book Antiqua" w:cs="Times New Roman"/>
          <w:sz w:val="24"/>
          <w:szCs w:val="24"/>
        </w:rPr>
        <w:t>, Forrest classification at SLE</w:t>
      </w:r>
      <w:r w:rsidR="00786590" w:rsidRPr="008F0C1A">
        <w:rPr>
          <w:rFonts w:ascii="Book Antiqua" w:eastAsiaTheme="minorHAnsi" w:hAnsi="Book Antiqua" w:cs="Times New Roman"/>
          <w:sz w:val="24"/>
          <w:szCs w:val="24"/>
        </w:rPr>
        <w:t xml:space="preserve"> </w:t>
      </w:r>
      <w:r w:rsidRPr="008F0C1A">
        <w:rPr>
          <w:rFonts w:ascii="Book Antiqua" w:eastAsiaTheme="minorHAnsi" w:hAnsi="Book Antiqua" w:cs="Times New Roman"/>
          <w:sz w:val="24"/>
          <w:szCs w:val="24"/>
        </w:rPr>
        <w:t>(high risk-</w:t>
      </w:r>
      <w:proofErr w:type="spellStart"/>
      <w:r w:rsidRPr="008F0C1A">
        <w:rPr>
          <w:rFonts w:ascii="Book Antiqua" w:eastAsiaTheme="minorHAnsi" w:hAnsi="Book Antiqua" w:cs="Times New Roman"/>
          <w:sz w:val="24"/>
          <w:szCs w:val="24"/>
        </w:rPr>
        <w:t>Ia</w:t>
      </w:r>
      <w:proofErr w:type="spellEnd"/>
      <w:r w:rsidRPr="008F0C1A">
        <w:rPr>
          <w:rFonts w:ascii="Book Antiqua" w:eastAsiaTheme="minorHAnsi" w:hAnsi="Book Antiqua" w:cs="Times New Roman"/>
          <w:sz w:val="24"/>
          <w:szCs w:val="24"/>
        </w:rPr>
        <w:t>,</w:t>
      </w:r>
      <w:r w:rsidR="00B90C0B" w:rsidRPr="008F0C1A">
        <w:rPr>
          <w:rFonts w:ascii="Book Antiqua" w:eastAsiaTheme="minorHAnsi" w:hAnsi="Book Antiqua" w:cs="Times New Roman"/>
          <w:sz w:val="24"/>
          <w:szCs w:val="24"/>
        </w:rPr>
        <w:t xml:space="preserve"> </w:t>
      </w:r>
      <w:proofErr w:type="spellStart"/>
      <w:r w:rsidRPr="008F0C1A">
        <w:rPr>
          <w:rFonts w:ascii="Book Antiqua" w:eastAsiaTheme="minorHAnsi" w:hAnsi="Book Antiqua" w:cs="Times New Roman"/>
          <w:sz w:val="24"/>
          <w:szCs w:val="24"/>
        </w:rPr>
        <w:t>Ib</w:t>
      </w:r>
      <w:proofErr w:type="spellEnd"/>
      <w:r w:rsidRPr="008F0C1A">
        <w:rPr>
          <w:rFonts w:ascii="Book Antiqua" w:eastAsiaTheme="minorHAnsi" w:hAnsi="Book Antiqua" w:cs="Times New Roman"/>
          <w:sz w:val="24"/>
          <w:szCs w:val="24"/>
        </w:rPr>
        <w:t>,</w:t>
      </w:r>
      <w:r w:rsidR="00B90C0B" w:rsidRPr="008F0C1A">
        <w:rPr>
          <w:rFonts w:ascii="Book Antiqua" w:eastAsiaTheme="minorHAnsi" w:hAnsi="Book Antiqua" w:cs="Times New Roman"/>
          <w:sz w:val="24"/>
          <w:szCs w:val="24"/>
        </w:rPr>
        <w:t xml:space="preserve"> </w:t>
      </w:r>
      <w:proofErr w:type="spellStart"/>
      <w:r w:rsidRPr="008F0C1A">
        <w:rPr>
          <w:rFonts w:ascii="Book Antiqua" w:eastAsiaTheme="minorHAnsi" w:hAnsi="Book Antiqua" w:cs="Times New Roman"/>
          <w:sz w:val="24"/>
          <w:szCs w:val="24"/>
        </w:rPr>
        <w:t>IIa</w:t>
      </w:r>
      <w:proofErr w:type="spellEnd"/>
      <w:r w:rsidRPr="008F0C1A">
        <w:rPr>
          <w:rFonts w:ascii="Book Antiqua" w:eastAsiaTheme="minorHAnsi" w:hAnsi="Book Antiqua" w:cs="Times New Roman"/>
          <w:sz w:val="24"/>
          <w:szCs w:val="24"/>
        </w:rPr>
        <w:t xml:space="preserve"> or low risk-</w:t>
      </w:r>
      <w:proofErr w:type="spellStart"/>
      <w:r w:rsidRPr="008F0C1A">
        <w:rPr>
          <w:rFonts w:ascii="Book Antiqua" w:eastAsiaTheme="minorHAnsi" w:hAnsi="Book Antiqua" w:cs="Times New Roman"/>
          <w:sz w:val="24"/>
          <w:szCs w:val="24"/>
        </w:rPr>
        <w:t>IIa</w:t>
      </w:r>
      <w:proofErr w:type="spellEnd"/>
      <w:r w:rsidRPr="008F0C1A">
        <w:rPr>
          <w:rFonts w:ascii="Book Antiqua" w:eastAsiaTheme="minorHAnsi" w:hAnsi="Book Antiqua" w:cs="Times New Roman"/>
          <w:sz w:val="24"/>
          <w:szCs w:val="24"/>
        </w:rPr>
        <w:t>,</w:t>
      </w:r>
      <w:r w:rsidR="00786590" w:rsidRPr="008F0C1A">
        <w:rPr>
          <w:rFonts w:ascii="Book Antiqua" w:eastAsiaTheme="minorHAnsi" w:hAnsi="Book Antiqua" w:cs="Times New Roman"/>
          <w:sz w:val="24"/>
          <w:szCs w:val="24"/>
        </w:rPr>
        <w:t xml:space="preserve"> </w:t>
      </w:r>
      <w:proofErr w:type="spellStart"/>
      <w:r w:rsidRPr="008F0C1A">
        <w:rPr>
          <w:rFonts w:ascii="Book Antiqua" w:eastAsiaTheme="minorHAnsi" w:hAnsi="Book Antiqua" w:cs="Times New Roman"/>
          <w:sz w:val="24"/>
          <w:szCs w:val="24"/>
        </w:rPr>
        <w:t>IIb</w:t>
      </w:r>
      <w:proofErr w:type="spellEnd"/>
      <w:r w:rsidRPr="008F0C1A">
        <w:rPr>
          <w:rFonts w:ascii="Book Antiqua" w:eastAsiaTheme="minorHAnsi" w:hAnsi="Book Antiqua" w:cs="Times New Roman"/>
          <w:sz w:val="24"/>
          <w:szCs w:val="24"/>
        </w:rPr>
        <w:t>,</w:t>
      </w:r>
      <w:r w:rsidR="00786590" w:rsidRPr="008F0C1A">
        <w:rPr>
          <w:rFonts w:ascii="Book Antiqua" w:eastAsiaTheme="minorHAnsi" w:hAnsi="Book Antiqua" w:cs="Times New Roman"/>
          <w:sz w:val="24"/>
          <w:szCs w:val="24"/>
        </w:rPr>
        <w:t xml:space="preserve"> </w:t>
      </w:r>
      <w:r w:rsidRPr="008F0C1A">
        <w:rPr>
          <w:rFonts w:ascii="Book Antiqua" w:eastAsiaTheme="minorHAnsi" w:hAnsi="Book Antiqua" w:cs="Times New Roman"/>
          <w:sz w:val="24"/>
          <w:szCs w:val="24"/>
        </w:rPr>
        <w:t>III), whether or not prophylactic hemostasis</w:t>
      </w:r>
      <w:r w:rsidR="00B90C0B" w:rsidRPr="008F0C1A">
        <w:rPr>
          <w:rFonts w:ascii="Book Antiqua" w:eastAsiaTheme="minorHAnsi" w:hAnsi="Book Antiqua" w:cs="Times New Roman"/>
          <w:sz w:val="24"/>
          <w:szCs w:val="24"/>
        </w:rPr>
        <w:t xml:space="preserve"> occurred</w:t>
      </w:r>
      <w:r w:rsidRPr="008F0C1A">
        <w:rPr>
          <w:rFonts w:ascii="Book Antiqua" w:eastAsiaTheme="minorHAnsi" w:hAnsi="Book Antiqua" w:cs="Times New Roman"/>
          <w:sz w:val="24"/>
          <w:szCs w:val="24"/>
        </w:rPr>
        <w:t xml:space="preserve">, </w:t>
      </w:r>
      <w:r w:rsidR="00B90C0B" w:rsidRPr="008F0C1A">
        <w:rPr>
          <w:rFonts w:ascii="Book Antiqua" w:eastAsiaTheme="minorHAnsi" w:hAnsi="Book Antiqua" w:cs="Times New Roman"/>
          <w:sz w:val="24"/>
          <w:szCs w:val="24"/>
        </w:rPr>
        <w:t xml:space="preserve">and </w:t>
      </w:r>
      <w:r w:rsidRPr="008F0C1A">
        <w:rPr>
          <w:rFonts w:ascii="Book Antiqua" w:eastAsiaTheme="minorHAnsi" w:hAnsi="Book Antiqua" w:cs="Times New Roman"/>
          <w:sz w:val="24"/>
          <w:szCs w:val="24"/>
        </w:rPr>
        <w:t>presence of delayed bleeding (</w:t>
      </w:r>
      <w:r w:rsidR="006D143B" w:rsidRPr="008F0C1A">
        <w:rPr>
          <w:rFonts w:ascii="Book Antiqua" w:eastAsiaTheme="minorHAnsi" w:hAnsi="Book Antiqua" w:cs="Times New Roman"/>
          <w:sz w:val="24"/>
          <w:szCs w:val="24"/>
        </w:rPr>
        <w:t>≤</w:t>
      </w:r>
      <w:r w:rsidR="00EF29C8">
        <w:rPr>
          <w:rFonts w:ascii="Book Antiqua" w:eastAsia="宋体" w:hAnsi="Book Antiqua" w:cs="Times New Roman" w:hint="eastAsia"/>
          <w:sz w:val="24"/>
          <w:szCs w:val="24"/>
          <w:lang w:eastAsia="zh-CN"/>
        </w:rPr>
        <w:t xml:space="preserve"> </w:t>
      </w:r>
      <w:r w:rsidRPr="008F0C1A">
        <w:rPr>
          <w:rFonts w:ascii="Book Antiqua" w:eastAsiaTheme="minorHAnsi" w:hAnsi="Book Antiqua" w:cs="Times New Roman"/>
          <w:sz w:val="24"/>
          <w:szCs w:val="24"/>
        </w:rPr>
        <w:t xml:space="preserve">30 d after </w:t>
      </w:r>
      <w:r w:rsidR="0043222D" w:rsidRPr="008F0C1A">
        <w:rPr>
          <w:rFonts w:ascii="Book Antiqua" w:eastAsiaTheme="minorHAnsi" w:hAnsi="Book Antiqua" w:cs="Times New Roman"/>
          <w:sz w:val="24"/>
          <w:szCs w:val="24"/>
        </w:rPr>
        <w:t>ESD</w:t>
      </w:r>
      <w:r w:rsidRPr="008F0C1A">
        <w:rPr>
          <w:rFonts w:ascii="Book Antiqua" w:eastAsiaTheme="minorHAnsi" w:hAnsi="Book Antiqua" w:cs="Times New Roman"/>
          <w:sz w:val="24"/>
          <w:szCs w:val="24"/>
        </w:rPr>
        <w:t>).</w:t>
      </w:r>
    </w:p>
    <w:p w:rsidR="0022406F" w:rsidRPr="008F0C1A" w:rsidRDefault="0022406F" w:rsidP="00A771AE">
      <w:pPr>
        <w:wordWrap/>
        <w:adjustRightInd w:val="0"/>
        <w:snapToGrid w:val="0"/>
        <w:spacing w:after="0" w:line="360" w:lineRule="auto"/>
        <w:ind w:firstLineChars="50" w:firstLine="120"/>
        <w:rPr>
          <w:rFonts w:ascii="Book Antiqua" w:eastAsiaTheme="minorHAnsi" w:hAnsi="Book Antiqua" w:cs="Times New Roman"/>
          <w:sz w:val="24"/>
          <w:szCs w:val="24"/>
        </w:rPr>
      </w:pPr>
    </w:p>
    <w:p w:rsidR="0022406F" w:rsidRPr="008F0C1A" w:rsidRDefault="004D4655" w:rsidP="00A771AE">
      <w:pPr>
        <w:wordWrap/>
        <w:adjustRightInd w:val="0"/>
        <w:snapToGrid w:val="0"/>
        <w:spacing w:after="0" w:line="360" w:lineRule="auto"/>
        <w:rPr>
          <w:rFonts w:ascii="Book Antiqua" w:eastAsiaTheme="minorHAnsi" w:hAnsi="Book Antiqua" w:cs="Times New Roman"/>
          <w:b/>
          <w:i/>
          <w:sz w:val="24"/>
          <w:szCs w:val="24"/>
        </w:rPr>
      </w:pPr>
      <w:r w:rsidRPr="008F0C1A">
        <w:rPr>
          <w:rFonts w:ascii="Book Antiqua" w:eastAsiaTheme="minorHAnsi" w:hAnsi="Book Antiqua" w:cs="Times New Roman"/>
          <w:b/>
          <w:i/>
          <w:sz w:val="24"/>
          <w:szCs w:val="24"/>
        </w:rPr>
        <w:t xml:space="preserve">Statistical </w:t>
      </w:r>
      <w:r w:rsidR="00956CFC" w:rsidRPr="008F0C1A">
        <w:rPr>
          <w:rFonts w:ascii="Book Antiqua" w:eastAsiaTheme="minorHAnsi" w:hAnsi="Book Antiqua" w:cs="Times New Roman"/>
          <w:b/>
          <w:i/>
          <w:sz w:val="24"/>
          <w:szCs w:val="24"/>
        </w:rPr>
        <w:t>a</w:t>
      </w:r>
      <w:r w:rsidRPr="008F0C1A">
        <w:rPr>
          <w:rFonts w:ascii="Book Antiqua" w:eastAsiaTheme="minorHAnsi" w:hAnsi="Book Antiqua" w:cs="Times New Roman"/>
          <w:b/>
          <w:i/>
          <w:sz w:val="24"/>
          <w:szCs w:val="24"/>
        </w:rPr>
        <w:t>nalysis</w:t>
      </w:r>
    </w:p>
    <w:p w:rsidR="0022406F" w:rsidRPr="008F0C1A" w:rsidRDefault="00786590" w:rsidP="00A771AE">
      <w:pPr>
        <w:wordWrap/>
        <w:adjustRightInd w:val="0"/>
        <w:snapToGrid w:val="0"/>
        <w:spacing w:after="0" w:line="360" w:lineRule="auto"/>
        <w:rPr>
          <w:rFonts w:ascii="Book Antiqua" w:eastAsiaTheme="minorHAnsi" w:hAnsi="Book Antiqua" w:cs="Times New Roman"/>
          <w:b/>
          <w:sz w:val="24"/>
          <w:szCs w:val="24"/>
        </w:rPr>
      </w:pPr>
      <w:r w:rsidRPr="008F0C1A">
        <w:rPr>
          <w:rFonts w:ascii="Book Antiqua" w:eastAsiaTheme="minorHAnsi" w:hAnsi="Book Antiqua" w:cs="Times New Roman"/>
          <w:sz w:val="24"/>
          <w:szCs w:val="24"/>
        </w:rPr>
        <w:t>Data</w:t>
      </w:r>
      <w:r w:rsidR="004D4655" w:rsidRPr="008F0C1A">
        <w:rPr>
          <w:rFonts w:ascii="Book Antiqua" w:eastAsiaTheme="minorHAnsi" w:hAnsi="Book Antiqua" w:cs="Times New Roman"/>
          <w:sz w:val="24"/>
          <w:szCs w:val="24"/>
        </w:rPr>
        <w:t xml:space="preserve"> </w:t>
      </w:r>
      <w:r w:rsidR="00D52387" w:rsidRPr="008F0C1A">
        <w:rPr>
          <w:rFonts w:ascii="Book Antiqua" w:eastAsiaTheme="minorHAnsi" w:hAnsi="Book Antiqua" w:cs="Times New Roman"/>
          <w:sz w:val="24"/>
          <w:szCs w:val="24"/>
        </w:rPr>
        <w:t>were</w:t>
      </w:r>
      <w:r w:rsidR="004D4655" w:rsidRPr="008F0C1A">
        <w:rPr>
          <w:rFonts w:ascii="Book Antiqua" w:eastAsiaTheme="minorHAnsi" w:hAnsi="Book Antiqua" w:cs="Times New Roman"/>
          <w:sz w:val="24"/>
          <w:szCs w:val="24"/>
        </w:rPr>
        <w:t xml:space="preserve"> analyzed </w:t>
      </w:r>
      <w:r w:rsidR="00D52387" w:rsidRPr="008F0C1A">
        <w:rPr>
          <w:rFonts w:ascii="Book Antiqua" w:eastAsiaTheme="minorHAnsi" w:hAnsi="Book Antiqua" w:cs="Times New Roman"/>
          <w:sz w:val="24"/>
          <w:szCs w:val="24"/>
        </w:rPr>
        <w:t xml:space="preserve">with comparison </w:t>
      </w:r>
      <w:r w:rsidR="004D4655" w:rsidRPr="008F0C1A">
        <w:rPr>
          <w:rFonts w:ascii="Book Antiqua" w:eastAsiaTheme="minorHAnsi" w:hAnsi="Book Antiqua" w:cs="Times New Roman"/>
          <w:sz w:val="24"/>
          <w:szCs w:val="24"/>
        </w:rPr>
        <w:t>between the two bleeding groups. Statistical analysis was performed using the SPSS software version 18.0</w:t>
      </w:r>
      <w:r w:rsidRPr="008F0C1A">
        <w:rPr>
          <w:rFonts w:ascii="Book Antiqua" w:eastAsiaTheme="minorHAnsi" w:hAnsi="Book Antiqua" w:cs="Times New Roman"/>
          <w:sz w:val="24"/>
          <w:szCs w:val="24"/>
        </w:rPr>
        <w:t xml:space="preserve"> </w:t>
      </w:r>
      <w:r w:rsidR="004D4655" w:rsidRPr="008F0C1A">
        <w:rPr>
          <w:rFonts w:ascii="Book Antiqua" w:eastAsiaTheme="minorHAnsi" w:hAnsi="Book Antiqua" w:cs="Times New Roman"/>
          <w:sz w:val="24"/>
          <w:szCs w:val="24"/>
        </w:rPr>
        <w:t>(SPSS Inc., Chicago, IL, U</w:t>
      </w:r>
      <w:r w:rsidR="00EF29C8">
        <w:rPr>
          <w:rFonts w:ascii="Book Antiqua" w:eastAsia="宋体" w:hAnsi="Book Antiqua" w:cs="Times New Roman" w:hint="eastAsia"/>
          <w:sz w:val="24"/>
          <w:szCs w:val="24"/>
          <w:lang w:eastAsia="zh-CN"/>
        </w:rPr>
        <w:t>nited States</w:t>
      </w:r>
      <w:r w:rsidR="004D4655" w:rsidRPr="008F0C1A">
        <w:rPr>
          <w:rFonts w:ascii="Book Antiqua" w:eastAsiaTheme="minorHAnsi" w:hAnsi="Book Antiqua" w:cs="Times New Roman"/>
          <w:sz w:val="24"/>
          <w:szCs w:val="24"/>
        </w:rPr>
        <w:t xml:space="preserve">). Univariate analysis by </w:t>
      </w:r>
      <w:r w:rsidR="00D52387" w:rsidRPr="008F0C1A">
        <w:rPr>
          <w:rFonts w:ascii="Book Antiqua" w:eastAsiaTheme="minorHAnsi" w:hAnsi="Book Antiqua" w:cs="Times New Roman"/>
          <w:sz w:val="24"/>
          <w:szCs w:val="24"/>
        </w:rPr>
        <w:t xml:space="preserve">the </w:t>
      </w:r>
      <w:r w:rsidR="004D4655" w:rsidRPr="008F0C1A">
        <w:rPr>
          <w:rFonts w:ascii="Book Antiqua" w:eastAsiaTheme="minorHAnsi" w:hAnsi="Book Antiqua" w:cs="Times New Roman"/>
          <w:sz w:val="24"/>
          <w:szCs w:val="24"/>
        </w:rPr>
        <w:t xml:space="preserve">Student’s </w:t>
      </w:r>
      <w:r w:rsidR="004D4655" w:rsidRPr="00EF29C8">
        <w:rPr>
          <w:rFonts w:ascii="Book Antiqua" w:eastAsiaTheme="minorHAnsi" w:hAnsi="Book Antiqua" w:cs="Times New Roman"/>
          <w:i/>
          <w:sz w:val="24"/>
          <w:szCs w:val="24"/>
        </w:rPr>
        <w:t>t</w:t>
      </w:r>
      <w:r w:rsidR="004D4655" w:rsidRPr="008F0C1A">
        <w:rPr>
          <w:rFonts w:ascii="Book Antiqua" w:eastAsiaTheme="minorHAnsi" w:hAnsi="Book Antiqua" w:cs="Times New Roman"/>
          <w:sz w:val="24"/>
          <w:szCs w:val="24"/>
        </w:rPr>
        <w:t>-test was performed for age, lesion size, resected specimen size, and pro</w:t>
      </w:r>
      <w:r w:rsidR="00576000" w:rsidRPr="008F0C1A">
        <w:rPr>
          <w:rFonts w:ascii="Book Antiqua" w:eastAsiaTheme="minorHAnsi" w:hAnsi="Book Antiqua" w:cs="Times New Roman"/>
          <w:sz w:val="24"/>
          <w:szCs w:val="24"/>
        </w:rPr>
        <w:t>c</w:t>
      </w:r>
      <w:r w:rsidR="004D4655" w:rsidRPr="008F0C1A">
        <w:rPr>
          <w:rFonts w:ascii="Book Antiqua" w:eastAsiaTheme="minorHAnsi" w:hAnsi="Book Antiqua" w:cs="Times New Roman"/>
          <w:sz w:val="24"/>
          <w:szCs w:val="24"/>
        </w:rPr>
        <w:t>e</w:t>
      </w:r>
      <w:r w:rsidR="00576000" w:rsidRPr="008F0C1A">
        <w:rPr>
          <w:rFonts w:ascii="Book Antiqua" w:eastAsiaTheme="minorHAnsi" w:hAnsi="Book Antiqua" w:cs="Times New Roman"/>
          <w:sz w:val="24"/>
          <w:szCs w:val="24"/>
        </w:rPr>
        <w:t>d</w:t>
      </w:r>
      <w:r w:rsidR="004D4655" w:rsidRPr="008F0C1A">
        <w:rPr>
          <w:rFonts w:ascii="Book Antiqua" w:eastAsiaTheme="minorHAnsi" w:hAnsi="Book Antiqua" w:cs="Times New Roman"/>
          <w:sz w:val="24"/>
          <w:szCs w:val="24"/>
        </w:rPr>
        <w:t xml:space="preserve">ure time. </w:t>
      </w:r>
      <w:r w:rsidR="00EF29C8" w:rsidRPr="00370F5A">
        <w:rPr>
          <w:rFonts w:ascii="Symbol" w:hAnsi="Symbol"/>
          <w:i/>
          <w:kern w:val="0"/>
          <w:sz w:val="24"/>
          <w:szCs w:val="24"/>
        </w:rPr>
        <w:t></w:t>
      </w:r>
      <w:r w:rsidR="00EF29C8" w:rsidRPr="00FB2D51">
        <w:rPr>
          <w:rFonts w:ascii="Book Antiqua" w:hAnsi="Book Antiqua" w:hint="eastAsia"/>
          <w:sz w:val="24"/>
          <w:szCs w:val="24"/>
          <w:vertAlign w:val="superscript"/>
        </w:rPr>
        <w:t>2</w:t>
      </w:r>
      <w:r w:rsidR="004D4655" w:rsidRPr="008F0C1A">
        <w:rPr>
          <w:rFonts w:ascii="Book Antiqua" w:eastAsiaTheme="minorHAnsi" w:hAnsi="Book Antiqua" w:cs="Times New Roman"/>
          <w:sz w:val="24"/>
          <w:szCs w:val="24"/>
        </w:rPr>
        <w:t xml:space="preserve"> test was performed for sex, </w:t>
      </w:r>
      <w:proofErr w:type="spellStart"/>
      <w:r w:rsidR="004D4655" w:rsidRPr="008F0C1A">
        <w:rPr>
          <w:rFonts w:ascii="Book Antiqua" w:eastAsiaTheme="minorHAnsi" w:hAnsi="Book Antiqua" w:cs="Times New Roman"/>
          <w:sz w:val="24"/>
          <w:szCs w:val="24"/>
        </w:rPr>
        <w:t>cormorbidities</w:t>
      </w:r>
      <w:proofErr w:type="spellEnd"/>
      <w:r w:rsidR="004D4655" w:rsidRPr="008F0C1A">
        <w:rPr>
          <w:rFonts w:ascii="Book Antiqua" w:eastAsiaTheme="minorHAnsi" w:hAnsi="Book Antiqua" w:cs="Times New Roman"/>
          <w:sz w:val="24"/>
          <w:szCs w:val="24"/>
        </w:rPr>
        <w:t xml:space="preserve">, the use of antiplatelet or anticoagulant agents or </w:t>
      </w:r>
      <w:r w:rsidR="00D52387" w:rsidRPr="008F0C1A">
        <w:rPr>
          <w:rFonts w:ascii="Book Antiqua" w:eastAsiaTheme="minorHAnsi" w:hAnsi="Book Antiqua" w:cs="Times New Roman"/>
          <w:sz w:val="24"/>
          <w:szCs w:val="24"/>
        </w:rPr>
        <w:t xml:space="preserve">of </w:t>
      </w:r>
      <w:r w:rsidR="004D4655" w:rsidRPr="008F0C1A">
        <w:rPr>
          <w:rFonts w:ascii="Book Antiqua" w:eastAsiaTheme="minorHAnsi" w:hAnsi="Book Antiqua" w:cs="Times New Roman"/>
          <w:sz w:val="24"/>
          <w:szCs w:val="24"/>
        </w:rPr>
        <w:t>steroid or non</w:t>
      </w:r>
      <w:r w:rsidRPr="008F0C1A">
        <w:rPr>
          <w:rFonts w:ascii="Book Antiqua" w:eastAsiaTheme="minorHAnsi" w:hAnsi="Book Antiqua" w:cs="Times New Roman"/>
          <w:sz w:val="24"/>
          <w:szCs w:val="24"/>
        </w:rPr>
        <w:t>-</w:t>
      </w:r>
      <w:r w:rsidR="004D4655" w:rsidRPr="008F0C1A">
        <w:rPr>
          <w:rFonts w:ascii="Book Antiqua" w:eastAsiaTheme="minorHAnsi" w:hAnsi="Book Antiqua" w:cs="Times New Roman"/>
          <w:sz w:val="24"/>
          <w:szCs w:val="24"/>
        </w:rPr>
        <w:t xml:space="preserve">steroidal anti-inflammatory drugs, technique of resection, resection type, lesion location, lesion characteristics, histologic type, presence of </w:t>
      </w:r>
      <w:r w:rsidR="004D4655" w:rsidRPr="008F0C1A">
        <w:rPr>
          <w:rFonts w:ascii="Book Antiqua" w:eastAsiaTheme="minorHAnsi" w:hAnsi="Book Antiqua" w:cs="Times New Roman"/>
          <w:i/>
          <w:sz w:val="24"/>
          <w:szCs w:val="24"/>
        </w:rPr>
        <w:t>H.</w:t>
      </w:r>
      <w:r w:rsidRPr="008F0C1A">
        <w:rPr>
          <w:rFonts w:ascii="Book Antiqua" w:eastAsiaTheme="minorHAnsi" w:hAnsi="Book Antiqua" w:cs="Times New Roman"/>
          <w:i/>
          <w:sz w:val="24"/>
          <w:szCs w:val="24"/>
        </w:rPr>
        <w:t xml:space="preserve"> </w:t>
      </w:r>
      <w:r w:rsidR="004D4655" w:rsidRPr="008F0C1A">
        <w:rPr>
          <w:rFonts w:ascii="Book Antiqua" w:eastAsiaTheme="minorHAnsi" w:hAnsi="Book Antiqua" w:cs="Times New Roman"/>
          <w:i/>
          <w:sz w:val="24"/>
          <w:szCs w:val="24"/>
        </w:rPr>
        <w:t>pylori</w:t>
      </w:r>
      <w:r w:rsidR="004D4655" w:rsidRPr="008F0C1A">
        <w:rPr>
          <w:rFonts w:ascii="Book Antiqua" w:eastAsiaTheme="minorHAnsi" w:hAnsi="Book Antiqua" w:cs="Times New Roman"/>
          <w:sz w:val="24"/>
          <w:szCs w:val="24"/>
        </w:rPr>
        <w:t>, whether or not prophylactic hemostasis</w:t>
      </w:r>
      <w:r w:rsidR="00D52387" w:rsidRPr="008F0C1A">
        <w:rPr>
          <w:rFonts w:ascii="Book Antiqua" w:eastAsiaTheme="minorHAnsi" w:hAnsi="Book Antiqua" w:cs="Times New Roman"/>
          <w:sz w:val="24"/>
          <w:szCs w:val="24"/>
        </w:rPr>
        <w:t xml:space="preserve"> occurred</w:t>
      </w:r>
      <w:r w:rsidR="004D4655" w:rsidRPr="008F0C1A">
        <w:rPr>
          <w:rFonts w:ascii="Book Antiqua" w:eastAsiaTheme="minorHAnsi" w:hAnsi="Book Antiqua" w:cs="Times New Roman"/>
          <w:sz w:val="24"/>
          <w:szCs w:val="24"/>
        </w:rPr>
        <w:t xml:space="preserve">, </w:t>
      </w:r>
      <w:r w:rsidR="00D52387" w:rsidRPr="008F0C1A">
        <w:rPr>
          <w:rFonts w:ascii="Book Antiqua" w:eastAsiaTheme="minorHAnsi" w:hAnsi="Book Antiqua" w:cs="Times New Roman"/>
          <w:sz w:val="24"/>
          <w:szCs w:val="24"/>
        </w:rPr>
        <w:t xml:space="preserve">and </w:t>
      </w:r>
      <w:r w:rsidR="004D4655" w:rsidRPr="008F0C1A">
        <w:rPr>
          <w:rFonts w:ascii="Book Antiqua" w:eastAsiaTheme="minorHAnsi" w:hAnsi="Book Antiqua" w:cs="Times New Roman"/>
          <w:sz w:val="24"/>
          <w:szCs w:val="24"/>
        </w:rPr>
        <w:t xml:space="preserve">presence of delayed bleeding. The statistical significance was set at a </w:t>
      </w:r>
      <w:r w:rsidR="00DB6C1C" w:rsidRPr="00F917A1">
        <w:rPr>
          <w:rFonts w:ascii="Book Antiqua" w:eastAsiaTheme="minorHAnsi" w:hAnsi="Book Antiqua" w:cs="Times New Roman"/>
          <w:i/>
          <w:caps/>
          <w:sz w:val="24"/>
          <w:szCs w:val="24"/>
        </w:rPr>
        <w:t>p</w:t>
      </w:r>
      <w:r w:rsidR="004D4655" w:rsidRPr="008F0C1A">
        <w:rPr>
          <w:rFonts w:ascii="Book Antiqua" w:eastAsiaTheme="minorHAnsi" w:hAnsi="Book Antiqua" w:cs="Times New Roman"/>
          <w:sz w:val="24"/>
          <w:szCs w:val="24"/>
        </w:rPr>
        <w:t xml:space="preserve"> value &lt; 0.05.</w:t>
      </w:r>
    </w:p>
    <w:p w:rsidR="0022406F" w:rsidRPr="008F0C1A" w:rsidRDefault="0022406F" w:rsidP="00A771AE">
      <w:pPr>
        <w:wordWrap/>
        <w:adjustRightInd w:val="0"/>
        <w:snapToGrid w:val="0"/>
        <w:spacing w:after="0" w:line="360" w:lineRule="auto"/>
        <w:rPr>
          <w:rFonts w:ascii="Book Antiqua" w:eastAsiaTheme="minorHAnsi" w:hAnsi="Book Antiqua" w:cs="Times New Roman"/>
          <w:b/>
          <w:sz w:val="24"/>
          <w:szCs w:val="24"/>
        </w:rPr>
      </w:pPr>
    </w:p>
    <w:p w:rsidR="0022406F" w:rsidRPr="008F0C1A" w:rsidRDefault="004D4655" w:rsidP="00A771AE">
      <w:pPr>
        <w:wordWrap/>
        <w:adjustRightInd w:val="0"/>
        <w:snapToGrid w:val="0"/>
        <w:spacing w:after="0" w:line="360" w:lineRule="auto"/>
        <w:rPr>
          <w:rFonts w:ascii="Book Antiqua" w:eastAsia="Gulim" w:hAnsi="Book Antiqua" w:cs="Times New Roman"/>
          <w:caps/>
          <w:sz w:val="24"/>
          <w:szCs w:val="24"/>
        </w:rPr>
      </w:pPr>
      <w:r w:rsidRPr="008F0C1A">
        <w:rPr>
          <w:rFonts w:ascii="Book Antiqua" w:eastAsiaTheme="minorHAnsi" w:hAnsi="Book Antiqua" w:cs="Times New Roman"/>
          <w:b/>
          <w:caps/>
          <w:sz w:val="24"/>
          <w:szCs w:val="24"/>
        </w:rPr>
        <w:t>Results</w:t>
      </w:r>
    </w:p>
    <w:p w:rsidR="0022406F" w:rsidRPr="008F0C1A" w:rsidRDefault="00AF65B7" w:rsidP="00A771AE">
      <w:pPr>
        <w:wordWrap/>
        <w:adjustRightInd w:val="0"/>
        <w:snapToGrid w:val="0"/>
        <w:spacing w:after="0" w:line="360" w:lineRule="auto"/>
        <w:rPr>
          <w:rFonts w:ascii="Book Antiqua" w:eastAsiaTheme="minorHAnsi" w:hAnsi="Book Antiqua" w:cs="Times New Roman"/>
          <w:sz w:val="24"/>
          <w:szCs w:val="24"/>
        </w:rPr>
      </w:pPr>
      <w:r w:rsidRPr="008F0C1A">
        <w:rPr>
          <w:rFonts w:ascii="Book Antiqua" w:eastAsiaTheme="minorHAnsi" w:hAnsi="Book Antiqua" w:cs="Times New Roman"/>
          <w:kern w:val="0"/>
          <w:sz w:val="24"/>
          <w:szCs w:val="24"/>
        </w:rPr>
        <w:t xml:space="preserve">When the 310 lesions were classified into two groups according to the Forrest classification, 66 lesions (21.2%) were included in the high risk </w:t>
      </w:r>
      <w:r w:rsidR="00BB7511" w:rsidRPr="008F0C1A">
        <w:rPr>
          <w:rFonts w:ascii="Book Antiqua" w:eastAsiaTheme="minorHAnsi" w:hAnsi="Book Antiqua" w:cs="Times New Roman"/>
          <w:kern w:val="0"/>
          <w:sz w:val="24"/>
          <w:szCs w:val="24"/>
        </w:rPr>
        <w:t xml:space="preserve">of </w:t>
      </w:r>
      <w:proofErr w:type="spellStart"/>
      <w:r w:rsidR="006F679F" w:rsidRPr="008F0C1A">
        <w:rPr>
          <w:rFonts w:ascii="Book Antiqua" w:eastAsiaTheme="minorHAnsi" w:hAnsi="Book Antiqua" w:cs="Times New Roman"/>
          <w:kern w:val="0"/>
          <w:sz w:val="24"/>
          <w:szCs w:val="24"/>
        </w:rPr>
        <w:t>rebleeding</w:t>
      </w:r>
      <w:proofErr w:type="spellEnd"/>
      <w:r w:rsidRPr="008F0C1A">
        <w:rPr>
          <w:rFonts w:ascii="Book Antiqua" w:eastAsiaTheme="minorHAnsi" w:hAnsi="Book Antiqua" w:cs="Times New Roman"/>
          <w:kern w:val="0"/>
          <w:sz w:val="24"/>
          <w:szCs w:val="24"/>
        </w:rPr>
        <w:t xml:space="preserve"> group (Forrest classification: </w:t>
      </w:r>
      <w:proofErr w:type="spellStart"/>
      <w:proofErr w:type="gramStart"/>
      <w:r w:rsidRPr="008F0C1A">
        <w:rPr>
          <w:rFonts w:ascii="Book Antiqua" w:eastAsiaTheme="minorHAnsi" w:hAnsi="Book Antiqua" w:cs="Times New Roman"/>
          <w:kern w:val="0"/>
          <w:sz w:val="24"/>
          <w:szCs w:val="24"/>
        </w:rPr>
        <w:t>Ia</w:t>
      </w:r>
      <w:proofErr w:type="spellEnd"/>
      <w:proofErr w:type="gramEnd"/>
      <w:r w:rsidRPr="008F0C1A">
        <w:rPr>
          <w:rFonts w:ascii="Book Antiqua" w:eastAsiaTheme="minorHAnsi" w:hAnsi="Book Antiqua" w:cs="Times New Roman"/>
          <w:kern w:val="0"/>
          <w:sz w:val="24"/>
          <w:szCs w:val="24"/>
        </w:rPr>
        <w:t xml:space="preserve">, </w:t>
      </w:r>
      <w:proofErr w:type="spellStart"/>
      <w:r w:rsidRPr="008F0C1A">
        <w:rPr>
          <w:rFonts w:ascii="Book Antiqua" w:eastAsiaTheme="minorHAnsi" w:hAnsi="Book Antiqua" w:cs="Times New Roman"/>
          <w:kern w:val="0"/>
          <w:sz w:val="24"/>
          <w:szCs w:val="24"/>
        </w:rPr>
        <w:t>Ib</w:t>
      </w:r>
      <w:proofErr w:type="spellEnd"/>
      <w:r w:rsidRPr="008F0C1A">
        <w:rPr>
          <w:rFonts w:ascii="Book Antiqua" w:eastAsiaTheme="minorHAnsi" w:hAnsi="Book Antiqua" w:cs="Times New Roman"/>
          <w:kern w:val="0"/>
          <w:sz w:val="24"/>
          <w:szCs w:val="24"/>
        </w:rPr>
        <w:t xml:space="preserve">, </w:t>
      </w:r>
      <w:proofErr w:type="spellStart"/>
      <w:r w:rsidRPr="008F0C1A">
        <w:rPr>
          <w:rFonts w:ascii="Book Antiqua" w:eastAsiaTheme="minorHAnsi" w:hAnsi="Book Antiqua" w:cs="Times New Roman"/>
          <w:kern w:val="0"/>
          <w:sz w:val="24"/>
          <w:szCs w:val="24"/>
        </w:rPr>
        <w:t>IIa</w:t>
      </w:r>
      <w:proofErr w:type="spellEnd"/>
      <w:r w:rsidRPr="008F0C1A">
        <w:rPr>
          <w:rFonts w:ascii="Book Antiqua" w:eastAsiaTheme="minorHAnsi" w:hAnsi="Book Antiqua" w:cs="Times New Roman"/>
          <w:kern w:val="0"/>
          <w:sz w:val="24"/>
          <w:szCs w:val="24"/>
        </w:rPr>
        <w:t xml:space="preserve">) and 244 lesions (78.8%) were included in the low risk </w:t>
      </w:r>
      <w:r w:rsidR="00BB7511" w:rsidRPr="008F0C1A">
        <w:rPr>
          <w:rFonts w:ascii="Book Antiqua" w:eastAsiaTheme="minorHAnsi" w:hAnsi="Book Antiqua" w:cs="Times New Roman"/>
          <w:kern w:val="0"/>
          <w:sz w:val="24"/>
          <w:szCs w:val="24"/>
        </w:rPr>
        <w:t xml:space="preserve">of </w:t>
      </w:r>
      <w:proofErr w:type="spellStart"/>
      <w:r w:rsidR="006F679F" w:rsidRPr="008F0C1A">
        <w:rPr>
          <w:rFonts w:ascii="Book Antiqua" w:eastAsiaTheme="minorHAnsi" w:hAnsi="Book Antiqua" w:cs="Times New Roman"/>
          <w:kern w:val="0"/>
          <w:sz w:val="24"/>
          <w:szCs w:val="24"/>
        </w:rPr>
        <w:t>rebleeding</w:t>
      </w:r>
      <w:proofErr w:type="spellEnd"/>
      <w:r w:rsidRPr="008F0C1A">
        <w:rPr>
          <w:rFonts w:ascii="Book Antiqua" w:eastAsiaTheme="minorHAnsi" w:hAnsi="Book Antiqua" w:cs="Times New Roman"/>
          <w:kern w:val="0"/>
          <w:sz w:val="24"/>
          <w:szCs w:val="24"/>
        </w:rPr>
        <w:t xml:space="preserve"> group (Forrest classification: </w:t>
      </w:r>
      <w:proofErr w:type="spellStart"/>
      <w:r w:rsidRPr="008F0C1A">
        <w:rPr>
          <w:rFonts w:ascii="Book Antiqua" w:eastAsiaTheme="minorHAnsi" w:hAnsi="Book Antiqua" w:cs="Times New Roman"/>
          <w:kern w:val="0"/>
          <w:sz w:val="24"/>
          <w:szCs w:val="24"/>
        </w:rPr>
        <w:t>IIb</w:t>
      </w:r>
      <w:proofErr w:type="spellEnd"/>
      <w:r w:rsidRPr="008F0C1A">
        <w:rPr>
          <w:rFonts w:ascii="Book Antiqua" w:eastAsiaTheme="minorHAnsi" w:hAnsi="Book Antiqua" w:cs="Times New Roman"/>
          <w:kern w:val="0"/>
          <w:sz w:val="24"/>
          <w:szCs w:val="24"/>
        </w:rPr>
        <w:t xml:space="preserve">, </w:t>
      </w:r>
      <w:proofErr w:type="spellStart"/>
      <w:r w:rsidRPr="008F0C1A">
        <w:rPr>
          <w:rFonts w:ascii="Book Antiqua" w:eastAsiaTheme="minorHAnsi" w:hAnsi="Book Antiqua" w:cs="Times New Roman"/>
          <w:kern w:val="0"/>
          <w:sz w:val="24"/>
          <w:szCs w:val="24"/>
        </w:rPr>
        <w:t>IIc</w:t>
      </w:r>
      <w:proofErr w:type="spellEnd"/>
      <w:r w:rsidRPr="008F0C1A">
        <w:rPr>
          <w:rFonts w:ascii="Book Antiqua" w:eastAsiaTheme="minorHAnsi" w:hAnsi="Book Antiqua" w:cs="Times New Roman"/>
          <w:kern w:val="0"/>
          <w:sz w:val="24"/>
          <w:szCs w:val="24"/>
        </w:rPr>
        <w:t>, III).</w:t>
      </w:r>
      <w:r w:rsidRPr="008F0C1A">
        <w:rPr>
          <w:rFonts w:ascii="Book Antiqua" w:eastAsiaTheme="minorHAnsi" w:hAnsi="Book Antiqua" w:cs="Times New Roman"/>
          <w:sz w:val="24"/>
          <w:szCs w:val="24"/>
        </w:rPr>
        <w:t xml:space="preserve"> </w:t>
      </w:r>
      <w:r w:rsidR="004D4655" w:rsidRPr="008F0C1A">
        <w:rPr>
          <w:rFonts w:ascii="Book Antiqua" w:eastAsiaTheme="minorHAnsi" w:hAnsi="Book Antiqua" w:cs="Times New Roman"/>
          <w:sz w:val="24"/>
          <w:szCs w:val="24"/>
        </w:rPr>
        <w:t xml:space="preserve">No bleeding occurred within 3 d after SLE in both groups. </w:t>
      </w:r>
      <w:r w:rsidR="00576000" w:rsidRPr="008F0C1A">
        <w:rPr>
          <w:rFonts w:ascii="Book Antiqua" w:eastAsiaTheme="minorHAnsi" w:hAnsi="Book Antiqua" w:cs="Times New Roman"/>
          <w:sz w:val="24"/>
          <w:szCs w:val="24"/>
        </w:rPr>
        <w:t>Delayed bleeding occurred in o</w:t>
      </w:r>
      <w:r w:rsidR="004D4655" w:rsidRPr="008F0C1A">
        <w:rPr>
          <w:rFonts w:ascii="Book Antiqua" w:eastAsiaTheme="minorHAnsi" w:hAnsi="Book Antiqua" w:cs="Times New Roman"/>
          <w:sz w:val="24"/>
          <w:szCs w:val="24"/>
        </w:rPr>
        <w:t xml:space="preserve">nly two of </w:t>
      </w:r>
      <w:r w:rsidR="00576000" w:rsidRPr="008F0C1A">
        <w:rPr>
          <w:rFonts w:ascii="Book Antiqua" w:eastAsiaTheme="minorHAnsi" w:hAnsi="Book Antiqua" w:cs="Times New Roman"/>
          <w:sz w:val="24"/>
          <w:szCs w:val="24"/>
        </w:rPr>
        <w:t xml:space="preserve">the </w:t>
      </w:r>
      <w:r w:rsidR="004D4655" w:rsidRPr="008F0C1A">
        <w:rPr>
          <w:rFonts w:ascii="Book Antiqua" w:eastAsiaTheme="minorHAnsi" w:hAnsi="Book Antiqua" w:cs="Times New Roman"/>
          <w:sz w:val="24"/>
          <w:szCs w:val="24"/>
        </w:rPr>
        <w:t>310 lesions (0.64%)</w:t>
      </w:r>
      <w:r w:rsidR="00576000" w:rsidRPr="008F0C1A">
        <w:rPr>
          <w:rFonts w:ascii="Book Antiqua" w:eastAsiaTheme="minorHAnsi" w:hAnsi="Book Antiqua" w:cs="Times New Roman"/>
          <w:sz w:val="24"/>
          <w:szCs w:val="24"/>
        </w:rPr>
        <w:t>.</w:t>
      </w:r>
      <w:r w:rsidR="004D4655" w:rsidRPr="008F0C1A">
        <w:rPr>
          <w:rFonts w:ascii="Book Antiqua" w:eastAsiaTheme="minorHAnsi" w:hAnsi="Book Antiqua" w:cs="Times New Roman"/>
          <w:sz w:val="24"/>
          <w:szCs w:val="24"/>
        </w:rPr>
        <w:t xml:space="preserve"> </w:t>
      </w:r>
      <w:r w:rsidR="004D4655" w:rsidRPr="008F0C1A">
        <w:rPr>
          <w:rFonts w:ascii="Book Antiqua" w:eastAsiaTheme="minorHAnsi" w:hAnsi="Book Antiqua" w:cs="Times New Roman"/>
          <w:kern w:val="0"/>
          <w:sz w:val="24"/>
          <w:szCs w:val="24"/>
        </w:rPr>
        <w:t xml:space="preserve">All </w:t>
      </w:r>
      <w:r w:rsidR="00576000" w:rsidRPr="008F0C1A">
        <w:rPr>
          <w:rFonts w:ascii="Book Antiqua" w:eastAsiaTheme="minorHAnsi" w:hAnsi="Book Antiqua" w:cs="Times New Roman"/>
          <w:kern w:val="0"/>
          <w:sz w:val="24"/>
          <w:szCs w:val="24"/>
        </w:rPr>
        <w:t>cases of</w:t>
      </w:r>
      <w:r w:rsidR="004D4655" w:rsidRPr="008F0C1A">
        <w:rPr>
          <w:rFonts w:ascii="Book Antiqua" w:eastAsiaTheme="minorHAnsi" w:hAnsi="Book Antiqua" w:cs="Times New Roman"/>
          <w:kern w:val="0"/>
          <w:sz w:val="24"/>
          <w:szCs w:val="24"/>
        </w:rPr>
        <w:t xml:space="preserve"> bleeding were controlled with endoscopic management </w:t>
      </w:r>
      <w:r w:rsidR="00990062" w:rsidRPr="008F0C1A">
        <w:rPr>
          <w:rFonts w:ascii="Book Antiqua" w:eastAsiaTheme="minorHAnsi" w:hAnsi="Book Antiqua" w:cs="Times New Roman"/>
          <w:kern w:val="0"/>
          <w:sz w:val="24"/>
          <w:szCs w:val="24"/>
        </w:rPr>
        <w:t xml:space="preserve">(e.g. </w:t>
      </w:r>
      <w:r w:rsidR="00D012F6" w:rsidRPr="008F0C1A">
        <w:rPr>
          <w:rFonts w:ascii="Book Antiqua" w:eastAsiaTheme="minorHAnsi" w:hAnsi="Book Antiqua" w:cs="Times New Roman"/>
          <w:kern w:val="0"/>
          <w:sz w:val="24"/>
          <w:szCs w:val="24"/>
        </w:rPr>
        <w:t xml:space="preserve">hemostatic forceps and </w:t>
      </w:r>
      <w:proofErr w:type="spellStart"/>
      <w:r w:rsidR="00D012F6" w:rsidRPr="008F0C1A">
        <w:rPr>
          <w:rFonts w:ascii="Book Antiqua" w:eastAsiaTheme="minorHAnsi" w:hAnsi="Book Antiqua" w:cs="Times New Roman"/>
          <w:kern w:val="0"/>
          <w:sz w:val="24"/>
          <w:szCs w:val="24"/>
        </w:rPr>
        <w:t>hemoclips</w:t>
      </w:r>
      <w:proofErr w:type="spellEnd"/>
      <w:r w:rsidR="00990062" w:rsidRPr="008F0C1A">
        <w:rPr>
          <w:rFonts w:ascii="Book Antiqua" w:eastAsiaTheme="minorHAnsi" w:hAnsi="Book Antiqua" w:cs="Times New Roman"/>
          <w:kern w:val="0"/>
          <w:sz w:val="24"/>
          <w:szCs w:val="24"/>
        </w:rPr>
        <w:t>) without su</w:t>
      </w:r>
      <w:r w:rsidR="004D4655" w:rsidRPr="008F0C1A">
        <w:rPr>
          <w:rFonts w:ascii="Book Antiqua" w:eastAsiaTheme="minorHAnsi" w:hAnsi="Book Antiqua" w:cs="Times New Roman"/>
          <w:kern w:val="0"/>
          <w:sz w:val="24"/>
          <w:szCs w:val="24"/>
        </w:rPr>
        <w:t xml:space="preserve">rgical intervention. Blood transfusion </w:t>
      </w:r>
      <w:r w:rsidR="00576000" w:rsidRPr="008F0C1A">
        <w:rPr>
          <w:rFonts w:ascii="Book Antiqua" w:eastAsiaTheme="minorHAnsi" w:hAnsi="Book Antiqua" w:cs="Times New Roman"/>
          <w:kern w:val="0"/>
          <w:sz w:val="24"/>
          <w:szCs w:val="24"/>
        </w:rPr>
        <w:t>was</w:t>
      </w:r>
      <w:r w:rsidR="004D4655" w:rsidRPr="008F0C1A">
        <w:rPr>
          <w:rFonts w:ascii="Book Antiqua" w:eastAsiaTheme="minorHAnsi" w:hAnsi="Book Antiqua" w:cs="Times New Roman"/>
          <w:kern w:val="0"/>
          <w:sz w:val="24"/>
          <w:szCs w:val="24"/>
        </w:rPr>
        <w:t xml:space="preserve"> not performed in delayed bleeding cases because of stable vital sign</w:t>
      </w:r>
      <w:r w:rsidR="00576000" w:rsidRPr="008F0C1A">
        <w:rPr>
          <w:rFonts w:ascii="Book Antiqua" w:eastAsiaTheme="minorHAnsi" w:hAnsi="Book Antiqua" w:cs="Times New Roman"/>
          <w:kern w:val="0"/>
          <w:sz w:val="24"/>
          <w:szCs w:val="24"/>
        </w:rPr>
        <w:t>s</w:t>
      </w:r>
      <w:r w:rsidR="004D4655" w:rsidRPr="008F0C1A">
        <w:rPr>
          <w:rFonts w:ascii="Book Antiqua" w:eastAsiaTheme="minorHAnsi" w:hAnsi="Book Antiqua" w:cs="Times New Roman"/>
          <w:kern w:val="0"/>
          <w:sz w:val="24"/>
          <w:szCs w:val="24"/>
        </w:rPr>
        <w:t xml:space="preserve"> and hemoglobin levels above 9 g/</w:t>
      </w:r>
      <w:proofErr w:type="spellStart"/>
      <w:r w:rsidR="004D4655" w:rsidRPr="008F0C1A">
        <w:rPr>
          <w:rFonts w:ascii="Book Antiqua" w:eastAsiaTheme="minorHAnsi" w:hAnsi="Book Antiqua" w:cs="Times New Roman"/>
          <w:kern w:val="0"/>
          <w:sz w:val="24"/>
          <w:szCs w:val="24"/>
        </w:rPr>
        <w:t>dL</w:t>
      </w:r>
      <w:proofErr w:type="spellEnd"/>
      <w:r w:rsidR="004D4655" w:rsidRPr="008F0C1A">
        <w:rPr>
          <w:rFonts w:ascii="Book Antiqua" w:eastAsiaTheme="minorHAnsi" w:hAnsi="Book Antiqua" w:cs="Times New Roman"/>
          <w:kern w:val="0"/>
          <w:sz w:val="24"/>
          <w:szCs w:val="24"/>
        </w:rPr>
        <w:t xml:space="preserve">. </w:t>
      </w:r>
      <w:r w:rsidR="00576000" w:rsidRPr="008F0C1A">
        <w:rPr>
          <w:rFonts w:ascii="Book Antiqua" w:eastAsiaTheme="minorHAnsi" w:hAnsi="Book Antiqua" w:cs="Times New Roman"/>
          <w:kern w:val="0"/>
          <w:sz w:val="24"/>
          <w:szCs w:val="24"/>
        </w:rPr>
        <w:t>N</w:t>
      </w:r>
      <w:r w:rsidR="004D4655" w:rsidRPr="008F0C1A">
        <w:rPr>
          <w:rFonts w:ascii="Book Antiqua" w:eastAsiaTheme="minorHAnsi" w:hAnsi="Book Antiqua" w:cs="Times New Roman"/>
          <w:kern w:val="0"/>
          <w:sz w:val="24"/>
          <w:szCs w:val="24"/>
        </w:rPr>
        <w:t xml:space="preserve">o </w:t>
      </w:r>
      <w:proofErr w:type="spellStart"/>
      <w:r w:rsidR="006F679F" w:rsidRPr="008F0C1A">
        <w:rPr>
          <w:rFonts w:ascii="Book Antiqua" w:eastAsiaTheme="minorHAnsi" w:hAnsi="Book Antiqua" w:cs="Times New Roman"/>
          <w:kern w:val="0"/>
          <w:sz w:val="24"/>
          <w:szCs w:val="24"/>
        </w:rPr>
        <w:t>rebleeding</w:t>
      </w:r>
      <w:proofErr w:type="spellEnd"/>
      <w:r w:rsidR="004D4655" w:rsidRPr="008F0C1A">
        <w:rPr>
          <w:rFonts w:ascii="Book Antiqua" w:eastAsiaTheme="minorHAnsi" w:hAnsi="Book Antiqua" w:cs="Times New Roman"/>
          <w:kern w:val="0"/>
          <w:sz w:val="24"/>
          <w:szCs w:val="24"/>
        </w:rPr>
        <w:t xml:space="preserve"> </w:t>
      </w:r>
      <w:r w:rsidR="00576000" w:rsidRPr="008F0C1A">
        <w:rPr>
          <w:rFonts w:ascii="Book Antiqua" w:eastAsiaTheme="minorHAnsi" w:hAnsi="Book Antiqua" w:cs="Times New Roman"/>
          <w:kern w:val="0"/>
          <w:sz w:val="24"/>
          <w:szCs w:val="24"/>
        </w:rPr>
        <w:t xml:space="preserve">occurred </w:t>
      </w:r>
      <w:r w:rsidR="004D4655" w:rsidRPr="008F0C1A">
        <w:rPr>
          <w:rFonts w:ascii="Book Antiqua" w:eastAsiaTheme="minorHAnsi" w:hAnsi="Book Antiqua" w:cs="Times New Roman"/>
          <w:kern w:val="0"/>
          <w:sz w:val="24"/>
          <w:szCs w:val="24"/>
        </w:rPr>
        <w:t xml:space="preserve">after post-ESD hemostasis. There </w:t>
      </w:r>
      <w:r w:rsidR="00576000" w:rsidRPr="008F0C1A">
        <w:rPr>
          <w:rFonts w:ascii="Book Antiqua" w:eastAsiaTheme="minorHAnsi" w:hAnsi="Book Antiqua" w:cs="Times New Roman"/>
          <w:kern w:val="0"/>
          <w:sz w:val="24"/>
          <w:szCs w:val="24"/>
        </w:rPr>
        <w:t>were</w:t>
      </w:r>
      <w:r w:rsidR="004D4655" w:rsidRPr="008F0C1A">
        <w:rPr>
          <w:rFonts w:ascii="Book Antiqua" w:eastAsiaTheme="minorHAnsi" w:hAnsi="Book Antiqua" w:cs="Times New Roman"/>
          <w:kern w:val="0"/>
          <w:sz w:val="24"/>
          <w:szCs w:val="24"/>
        </w:rPr>
        <w:t xml:space="preserve"> no statistical</w:t>
      </w:r>
      <w:r w:rsidR="00576000" w:rsidRPr="008F0C1A">
        <w:rPr>
          <w:rFonts w:ascii="Book Antiqua" w:eastAsiaTheme="minorHAnsi" w:hAnsi="Book Antiqua" w:cs="Times New Roman"/>
          <w:kern w:val="0"/>
          <w:sz w:val="24"/>
          <w:szCs w:val="24"/>
        </w:rPr>
        <w:t>ly significant</w:t>
      </w:r>
      <w:r w:rsidR="004D4655" w:rsidRPr="008F0C1A">
        <w:rPr>
          <w:rFonts w:ascii="Book Antiqua" w:eastAsiaTheme="minorHAnsi" w:hAnsi="Book Antiqua" w:cs="Times New Roman"/>
          <w:kern w:val="0"/>
          <w:sz w:val="24"/>
          <w:szCs w:val="24"/>
        </w:rPr>
        <w:t xml:space="preserve"> differences between</w:t>
      </w:r>
      <w:r w:rsidR="004D4655" w:rsidRPr="008F0C1A">
        <w:rPr>
          <w:rFonts w:ascii="Book Antiqua" w:eastAsiaTheme="minorHAnsi" w:hAnsi="Book Antiqua" w:cs="Times New Roman"/>
          <w:sz w:val="24"/>
          <w:szCs w:val="24"/>
        </w:rPr>
        <w:t xml:space="preserve"> </w:t>
      </w:r>
      <w:r w:rsidR="00576000" w:rsidRPr="008F0C1A">
        <w:rPr>
          <w:rFonts w:ascii="Book Antiqua" w:eastAsiaTheme="minorHAnsi" w:hAnsi="Book Antiqua" w:cs="Times New Roman"/>
          <w:sz w:val="24"/>
          <w:szCs w:val="24"/>
        </w:rPr>
        <w:t xml:space="preserve">the </w:t>
      </w:r>
      <w:r w:rsidR="004D4655" w:rsidRPr="008F0C1A">
        <w:rPr>
          <w:rFonts w:ascii="Book Antiqua" w:eastAsiaTheme="minorHAnsi" w:hAnsi="Book Antiqua" w:cs="Times New Roman"/>
          <w:sz w:val="24"/>
          <w:szCs w:val="24"/>
        </w:rPr>
        <w:t xml:space="preserve">two </w:t>
      </w:r>
      <w:r w:rsidR="004D4655" w:rsidRPr="008F0C1A">
        <w:rPr>
          <w:rFonts w:ascii="Book Antiqua" w:eastAsiaTheme="minorHAnsi" w:hAnsi="Book Antiqua" w:cs="Times New Roman"/>
          <w:sz w:val="24"/>
          <w:szCs w:val="24"/>
        </w:rPr>
        <w:lastRenderedPageBreak/>
        <w:t xml:space="preserve">groups </w:t>
      </w:r>
      <w:r w:rsidR="00FB4951" w:rsidRPr="008F0C1A">
        <w:rPr>
          <w:rFonts w:ascii="Book Antiqua" w:eastAsiaTheme="minorHAnsi" w:hAnsi="Book Antiqua" w:cs="Times New Roman"/>
          <w:sz w:val="24"/>
          <w:szCs w:val="24"/>
        </w:rPr>
        <w:t>according to</w:t>
      </w:r>
      <w:r w:rsidR="004D4655" w:rsidRPr="008F0C1A">
        <w:rPr>
          <w:rFonts w:ascii="Book Antiqua" w:eastAsiaTheme="minorHAnsi" w:hAnsi="Book Antiqua" w:cs="Times New Roman"/>
          <w:sz w:val="24"/>
          <w:szCs w:val="24"/>
        </w:rPr>
        <w:t xml:space="preserve"> age, sex, comorbidities using the </w:t>
      </w:r>
      <w:proofErr w:type="spellStart"/>
      <w:r w:rsidR="004D4655" w:rsidRPr="008F0C1A">
        <w:rPr>
          <w:rFonts w:ascii="Book Antiqua" w:eastAsiaTheme="minorHAnsi" w:hAnsi="Book Antiqua" w:cs="Times New Roman"/>
          <w:sz w:val="24"/>
          <w:szCs w:val="24"/>
        </w:rPr>
        <w:t>Charlson</w:t>
      </w:r>
      <w:proofErr w:type="spellEnd"/>
      <w:r w:rsidR="004D4655" w:rsidRPr="008F0C1A">
        <w:rPr>
          <w:rFonts w:ascii="Book Antiqua" w:eastAsiaTheme="minorHAnsi" w:hAnsi="Book Antiqua" w:cs="Times New Roman"/>
          <w:sz w:val="24"/>
          <w:szCs w:val="24"/>
        </w:rPr>
        <w:t xml:space="preserve"> comorbidity scale</w:t>
      </w:r>
      <w:r w:rsidR="007D2029" w:rsidRPr="008F0C1A">
        <w:rPr>
          <w:rFonts w:ascii="Book Antiqua" w:eastAsiaTheme="minorHAnsi" w:hAnsi="Book Antiqua" w:cs="Times New Roman"/>
          <w:sz w:val="24"/>
          <w:szCs w:val="24"/>
        </w:rPr>
        <w:t xml:space="preserve"> (Table </w:t>
      </w:r>
      <w:r w:rsidR="00EF6AB7" w:rsidRPr="008F0C1A">
        <w:rPr>
          <w:rFonts w:ascii="Book Antiqua" w:eastAsiaTheme="minorHAnsi" w:hAnsi="Book Antiqua" w:cs="Times New Roman"/>
          <w:sz w:val="24"/>
          <w:szCs w:val="24"/>
        </w:rPr>
        <w:t>1</w:t>
      </w:r>
      <w:r w:rsidR="007D2029" w:rsidRPr="008F0C1A">
        <w:rPr>
          <w:rFonts w:ascii="Book Antiqua" w:eastAsiaTheme="minorHAnsi" w:hAnsi="Book Antiqua" w:cs="Times New Roman"/>
          <w:sz w:val="24"/>
          <w:szCs w:val="24"/>
        </w:rPr>
        <w:t xml:space="preserve">). In addition, </w:t>
      </w:r>
      <w:r w:rsidR="007D2029" w:rsidRPr="008F0C1A">
        <w:rPr>
          <w:rFonts w:ascii="Book Antiqua" w:eastAsiaTheme="minorHAnsi" w:hAnsi="Book Antiqua" w:cs="Times New Roman"/>
          <w:kern w:val="0"/>
          <w:sz w:val="24"/>
          <w:szCs w:val="24"/>
        </w:rPr>
        <w:t xml:space="preserve">there were no significant differences in </w:t>
      </w:r>
      <w:r w:rsidR="004D4655" w:rsidRPr="008F0C1A">
        <w:rPr>
          <w:rFonts w:ascii="Book Antiqua" w:eastAsiaTheme="minorHAnsi" w:hAnsi="Book Antiqua" w:cs="Times New Roman"/>
          <w:sz w:val="24"/>
          <w:szCs w:val="24"/>
        </w:rPr>
        <w:t>pro</w:t>
      </w:r>
      <w:r w:rsidR="00576000" w:rsidRPr="008F0C1A">
        <w:rPr>
          <w:rFonts w:ascii="Book Antiqua" w:eastAsiaTheme="minorHAnsi" w:hAnsi="Book Antiqua" w:cs="Times New Roman"/>
          <w:sz w:val="24"/>
          <w:szCs w:val="24"/>
        </w:rPr>
        <w:t>c</w:t>
      </w:r>
      <w:r w:rsidR="004D4655" w:rsidRPr="008F0C1A">
        <w:rPr>
          <w:rFonts w:ascii="Book Antiqua" w:eastAsiaTheme="minorHAnsi" w:hAnsi="Book Antiqua" w:cs="Times New Roman"/>
          <w:sz w:val="24"/>
          <w:szCs w:val="24"/>
        </w:rPr>
        <w:t>e</w:t>
      </w:r>
      <w:r w:rsidR="00576000" w:rsidRPr="008F0C1A">
        <w:rPr>
          <w:rFonts w:ascii="Book Antiqua" w:eastAsiaTheme="minorHAnsi" w:hAnsi="Book Antiqua" w:cs="Times New Roman"/>
          <w:sz w:val="24"/>
          <w:szCs w:val="24"/>
        </w:rPr>
        <w:t>d</w:t>
      </w:r>
      <w:r w:rsidR="004D4655" w:rsidRPr="008F0C1A">
        <w:rPr>
          <w:rFonts w:ascii="Book Antiqua" w:eastAsiaTheme="minorHAnsi" w:hAnsi="Book Antiqua" w:cs="Times New Roman"/>
          <w:sz w:val="24"/>
          <w:szCs w:val="24"/>
        </w:rPr>
        <w:t xml:space="preserve">ure time, lesion size, resected specimen size, histologic type, presence of </w:t>
      </w:r>
      <w:r w:rsidR="004D4655" w:rsidRPr="008F0C1A">
        <w:rPr>
          <w:rFonts w:ascii="Book Antiqua" w:eastAsiaTheme="minorHAnsi" w:hAnsi="Book Antiqua" w:cs="Times New Roman"/>
          <w:i/>
          <w:sz w:val="24"/>
          <w:szCs w:val="24"/>
        </w:rPr>
        <w:t>H.</w:t>
      </w:r>
      <w:r w:rsidR="00786590" w:rsidRPr="008F0C1A">
        <w:rPr>
          <w:rFonts w:ascii="Book Antiqua" w:eastAsiaTheme="minorHAnsi" w:hAnsi="Book Antiqua" w:cs="Times New Roman"/>
          <w:i/>
          <w:sz w:val="24"/>
          <w:szCs w:val="24"/>
        </w:rPr>
        <w:t xml:space="preserve"> </w:t>
      </w:r>
      <w:r w:rsidR="004D4655" w:rsidRPr="008F0C1A">
        <w:rPr>
          <w:rFonts w:ascii="Book Antiqua" w:eastAsiaTheme="minorHAnsi" w:hAnsi="Book Antiqua" w:cs="Times New Roman"/>
          <w:i/>
          <w:sz w:val="24"/>
          <w:szCs w:val="24"/>
        </w:rPr>
        <w:t>pylori</w:t>
      </w:r>
      <w:r w:rsidR="004D4655" w:rsidRPr="008F0C1A">
        <w:rPr>
          <w:rFonts w:ascii="Book Antiqua" w:eastAsiaTheme="minorHAnsi" w:hAnsi="Book Antiqua" w:cs="Times New Roman"/>
          <w:sz w:val="24"/>
          <w:szCs w:val="24"/>
        </w:rPr>
        <w:t>, whether or not prophylactic hemostasis</w:t>
      </w:r>
      <w:r w:rsidR="00FB4951" w:rsidRPr="008F0C1A">
        <w:rPr>
          <w:rFonts w:ascii="Book Antiqua" w:eastAsiaTheme="minorHAnsi" w:hAnsi="Book Antiqua" w:cs="Times New Roman"/>
          <w:sz w:val="24"/>
          <w:szCs w:val="24"/>
        </w:rPr>
        <w:t xml:space="preserve"> occurred</w:t>
      </w:r>
      <w:r w:rsidR="004D4655" w:rsidRPr="008F0C1A">
        <w:rPr>
          <w:rFonts w:ascii="Book Antiqua" w:eastAsiaTheme="minorHAnsi" w:hAnsi="Book Antiqua" w:cs="Times New Roman"/>
          <w:sz w:val="24"/>
          <w:szCs w:val="24"/>
        </w:rPr>
        <w:t xml:space="preserve">, </w:t>
      </w:r>
      <w:r w:rsidR="00FB4951" w:rsidRPr="008F0C1A">
        <w:rPr>
          <w:rFonts w:ascii="Book Antiqua" w:eastAsiaTheme="minorHAnsi" w:hAnsi="Book Antiqua" w:cs="Times New Roman"/>
          <w:sz w:val="24"/>
          <w:szCs w:val="24"/>
        </w:rPr>
        <w:t xml:space="preserve">and </w:t>
      </w:r>
      <w:r w:rsidR="004D4655" w:rsidRPr="008F0C1A">
        <w:rPr>
          <w:rFonts w:ascii="Book Antiqua" w:eastAsiaTheme="minorHAnsi" w:hAnsi="Book Antiqua" w:cs="Times New Roman"/>
          <w:sz w:val="24"/>
          <w:szCs w:val="24"/>
        </w:rPr>
        <w:t>presence of delayed bleeding</w:t>
      </w:r>
      <w:r w:rsidR="00786590" w:rsidRPr="008F0C1A">
        <w:rPr>
          <w:rFonts w:ascii="Book Antiqua" w:eastAsiaTheme="minorHAnsi" w:hAnsi="Book Antiqua" w:cs="Times New Roman"/>
          <w:sz w:val="24"/>
          <w:szCs w:val="24"/>
        </w:rPr>
        <w:t xml:space="preserve"> </w:t>
      </w:r>
      <w:r w:rsidR="007D2029" w:rsidRPr="008F0C1A">
        <w:rPr>
          <w:rFonts w:ascii="Book Antiqua" w:eastAsiaTheme="minorHAnsi" w:hAnsi="Book Antiqua" w:cs="Times New Roman"/>
          <w:sz w:val="24"/>
          <w:szCs w:val="24"/>
        </w:rPr>
        <w:t xml:space="preserve">(Table </w:t>
      </w:r>
      <w:r w:rsidR="00EF6AB7" w:rsidRPr="008F0C1A">
        <w:rPr>
          <w:rFonts w:ascii="Book Antiqua" w:eastAsiaTheme="minorHAnsi" w:hAnsi="Book Antiqua" w:cs="Times New Roman"/>
          <w:sz w:val="24"/>
          <w:szCs w:val="24"/>
        </w:rPr>
        <w:t>2</w:t>
      </w:r>
      <w:r w:rsidR="004D4655" w:rsidRPr="008F0C1A">
        <w:rPr>
          <w:rFonts w:ascii="Book Antiqua" w:eastAsiaTheme="minorHAnsi" w:hAnsi="Book Antiqua" w:cs="Times New Roman"/>
          <w:sz w:val="24"/>
          <w:szCs w:val="24"/>
        </w:rPr>
        <w:t xml:space="preserve">). The lesions of </w:t>
      </w:r>
      <w:r w:rsidR="00FB4951" w:rsidRPr="008F0C1A">
        <w:rPr>
          <w:rFonts w:ascii="Book Antiqua" w:eastAsiaTheme="minorHAnsi" w:hAnsi="Book Antiqua" w:cs="Times New Roman"/>
          <w:sz w:val="24"/>
          <w:szCs w:val="24"/>
        </w:rPr>
        <w:t xml:space="preserve">the </w:t>
      </w:r>
      <w:r w:rsidR="004D4655" w:rsidRPr="008F0C1A">
        <w:rPr>
          <w:rFonts w:ascii="Book Antiqua" w:eastAsiaTheme="minorHAnsi" w:hAnsi="Book Antiqua" w:cs="Times New Roman"/>
          <w:sz w:val="24"/>
          <w:szCs w:val="24"/>
        </w:rPr>
        <w:t xml:space="preserve">high risk </w:t>
      </w:r>
      <w:r w:rsidR="00994338" w:rsidRPr="008F0C1A">
        <w:rPr>
          <w:rFonts w:ascii="Book Antiqua" w:eastAsiaTheme="minorHAnsi" w:hAnsi="Book Antiqua" w:cs="Times New Roman"/>
          <w:sz w:val="24"/>
          <w:szCs w:val="24"/>
        </w:rPr>
        <w:t xml:space="preserve">of </w:t>
      </w:r>
      <w:proofErr w:type="spellStart"/>
      <w:r w:rsidR="006F679F" w:rsidRPr="008F0C1A">
        <w:rPr>
          <w:rFonts w:ascii="Book Antiqua" w:eastAsiaTheme="minorHAnsi" w:hAnsi="Book Antiqua" w:cs="Times New Roman"/>
          <w:sz w:val="24"/>
          <w:szCs w:val="24"/>
        </w:rPr>
        <w:t>rebleeding</w:t>
      </w:r>
      <w:proofErr w:type="spellEnd"/>
      <w:r w:rsidR="004D4655" w:rsidRPr="008F0C1A">
        <w:rPr>
          <w:rFonts w:ascii="Book Antiqua" w:eastAsiaTheme="minorHAnsi" w:hAnsi="Book Antiqua" w:cs="Times New Roman"/>
          <w:sz w:val="24"/>
          <w:szCs w:val="24"/>
        </w:rPr>
        <w:t xml:space="preserve"> group </w:t>
      </w:r>
      <w:r w:rsidR="00FB4951" w:rsidRPr="008F0C1A">
        <w:rPr>
          <w:rFonts w:ascii="Book Antiqua" w:eastAsiaTheme="minorHAnsi" w:hAnsi="Book Antiqua" w:cs="Times New Roman"/>
          <w:sz w:val="24"/>
          <w:szCs w:val="24"/>
        </w:rPr>
        <w:t>tended to be</w:t>
      </w:r>
      <w:r w:rsidR="004D4655" w:rsidRPr="008F0C1A">
        <w:rPr>
          <w:rFonts w:ascii="Book Antiqua" w:eastAsiaTheme="minorHAnsi" w:hAnsi="Book Antiqua" w:cs="Times New Roman"/>
          <w:sz w:val="24"/>
          <w:szCs w:val="24"/>
        </w:rPr>
        <w:t xml:space="preserve"> located more </w:t>
      </w:r>
      <w:r w:rsidR="00FB4951" w:rsidRPr="008F0C1A">
        <w:rPr>
          <w:rFonts w:ascii="Book Antiqua" w:eastAsiaTheme="minorHAnsi" w:hAnsi="Book Antiqua" w:cs="Times New Roman"/>
          <w:sz w:val="24"/>
          <w:szCs w:val="24"/>
        </w:rPr>
        <w:t xml:space="preserve">often </w:t>
      </w:r>
      <w:r w:rsidR="004D4655" w:rsidRPr="008F0C1A">
        <w:rPr>
          <w:rFonts w:ascii="Book Antiqua" w:eastAsiaTheme="minorHAnsi" w:hAnsi="Book Antiqua" w:cs="Times New Roman"/>
          <w:sz w:val="24"/>
          <w:szCs w:val="24"/>
        </w:rPr>
        <w:t xml:space="preserve">in </w:t>
      </w:r>
      <w:r w:rsidR="00FB4951" w:rsidRPr="008F0C1A">
        <w:rPr>
          <w:rFonts w:ascii="Book Antiqua" w:eastAsiaTheme="minorHAnsi" w:hAnsi="Book Antiqua" w:cs="Times New Roman"/>
          <w:sz w:val="24"/>
          <w:szCs w:val="24"/>
        </w:rPr>
        <w:t xml:space="preserve">the </w:t>
      </w:r>
      <w:r w:rsidR="004D4655" w:rsidRPr="008F0C1A">
        <w:rPr>
          <w:rFonts w:ascii="Book Antiqua" w:eastAsiaTheme="minorHAnsi" w:hAnsi="Book Antiqua" w:cs="Times New Roman"/>
          <w:sz w:val="24"/>
          <w:szCs w:val="24"/>
        </w:rPr>
        <w:t>mid-third</w:t>
      </w:r>
      <w:r w:rsidR="00FB4951" w:rsidRPr="008F0C1A">
        <w:rPr>
          <w:rFonts w:ascii="Book Antiqua" w:eastAsiaTheme="minorHAnsi" w:hAnsi="Book Antiqua" w:cs="Times New Roman"/>
          <w:sz w:val="24"/>
          <w:szCs w:val="24"/>
        </w:rPr>
        <w:t>,</w:t>
      </w:r>
      <w:r w:rsidR="004D4655" w:rsidRPr="008F0C1A">
        <w:rPr>
          <w:rFonts w:ascii="Book Antiqua" w:eastAsiaTheme="minorHAnsi" w:hAnsi="Book Antiqua" w:cs="Times New Roman"/>
          <w:sz w:val="24"/>
          <w:szCs w:val="24"/>
        </w:rPr>
        <w:t xml:space="preserve"> whereas those of </w:t>
      </w:r>
      <w:r w:rsidR="00FB4951" w:rsidRPr="008F0C1A">
        <w:rPr>
          <w:rFonts w:ascii="Book Antiqua" w:eastAsiaTheme="minorHAnsi" w:hAnsi="Book Antiqua" w:cs="Times New Roman"/>
          <w:sz w:val="24"/>
          <w:szCs w:val="24"/>
        </w:rPr>
        <w:t xml:space="preserve">the </w:t>
      </w:r>
      <w:r w:rsidR="004D4655" w:rsidRPr="008F0C1A">
        <w:rPr>
          <w:rFonts w:ascii="Book Antiqua" w:eastAsiaTheme="minorHAnsi" w:hAnsi="Book Antiqua" w:cs="Times New Roman"/>
          <w:sz w:val="24"/>
          <w:szCs w:val="24"/>
        </w:rPr>
        <w:t xml:space="preserve">low risk </w:t>
      </w:r>
      <w:r w:rsidR="00994338" w:rsidRPr="008F0C1A">
        <w:rPr>
          <w:rFonts w:ascii="Book Antiqua" w:eastAsiaTheme="minorHAnsi" w:hAnsi="Book Antiqua" w:cs="Times New Roman"/>
          <w:sz w:val="24"/>
          <w:szCs w:val="24"/>
        </w:rPr>
        <w:t xml:space="preserve">of </w:t>
      </w:r>
      <w:proofErr w:type="spellStart"/>
      <w:r w:rsidR="006F679F" w:rsidRPr="008F0C1A">
        <w:rPr>
          <w:rFonts w:ascii="Book Antiqua" w:eastAsiaTheme="minorHAnsi" w:hAnsi="Book Antiqua" w:cs="Times New Roman"/>
          <w:sz w:val="24"/>
          <w:szCs w:val="24"/>
        </w:rPr>
        <w:t>rebleeding</w:t>
      </w:r>
      <w:proofErr w:type="spellEnd"/>
      <w:r w:rsidR="004D4655" w:rsidRPr="008F0C1A">
        <w:rPr>
          <w:rFonts w:ascii="Book Antiqua" w:eastAsiaTheme="minorHAnsi" w:hAnsi="Book Antiqua" w:cs="Times New Roman"/>
          <w:sz w:val="24"/>
          <w:szCs w:val="24"/>
        </w:rPr>
        <w:t xml:space="preserve"> group were located more in </w:t>
      </w:r>
      <w:r w:rsidR="00FB4951" w:rsidRPr="008F0C1A">
        <w:rPr>
          <w:rFonts w:ascii="Book Antiqua" w:eastAsiaTheme="minorHAnsi" w:hAnsi="Book Antiqua" w:cs="Times New Roman"/>
          <w:sz w:val="24"/>
          <w:szCs w:val="24"/>
        </w:rPr>
        <w:t xml:space="preserve">the </w:t>
      </w:r>
      <w:r w:rsidR="004D4655" w:rsidRPr="008F0C1A">
        <w:rPr>
          <w:rFonts w:ascii="Book Antiqua" w:eastAsiaTheme="minorHAnsi" w:hAnsi="Book Antiqua" w:cs="Times New Roman"/>
          <w:sz w:val="24"/>
          <w:szCs w:val="24"/>
        </w:rPr>
        <w:t>upper or lower third (</w:t>
      </w:r>
      <w:r w:rsidR="00EF6AB7" w:rsidRPr="008F0C1A">
        <w:rPr>
          <w:rFonts w:ascii="Book Antiqua" w:eastAsiaTheme="minorHAnsi" w:hAnsi="Book Antiqua" w:cs="Times New Roman"/>
          <w:i/>
          <w:sz w:val="24"/>
          <w:szCs w:val="24"/>
        </w:rPr>
        <w:t>P</w:t>
      </w:r>
      <w:r w:rsidR="004D4655" w:rsidRPr="008F0C1A">
        <w:rPr>
          <w:rFonts w:ascii="Book Antiqua" w:eastAsiaTheme="minorHAnsi" w:hAnsi="Book Antiqua" w:cs="Times New Roman"/>
          <w:sz w:val="24"/>
          <w:szCs w:val="24"/>
        </w:rPr>
        <w:t xml:space="preserve"> </w:t>
      </w:r>
      <w:r w:rsidR="004D4655" w:rsidRPr="008F0C1A">
        <w:rPr>
          <w:rFonts w:ascii="Book Antiqua" w:eastAsiaTheme="minorHAnsi" w:hAnsi="Book Antiqua" w:cs="Times New Roman"/>
          <w:i/>
          <w:sz w:val="24"/>
          <w:szCs w:val="24"/>
        </w:rPr>
        <w:t>=</w:t>
      </w:r>
      <w:r w:rsidR="007E7DE8" w:rsidRPr="008F0C1A">
        <w:rPr>
          <w:rFonts w:ascii="Book Antiqua" w:eastAsiaTheme="minorHAnsi" w:hAnsi="Book Antiqua" w:cs="Times New Roman"/>
          <w:sz w:val="24"/>
          <w:szCs w:val="24"/>
        </w:rPr>
        <w:t xml:space="preserve"> </w:t>
      </w:r>
      <w:r w:rsidR="004D4655" w:rsidRPr="008F0C1A">
        <w:rPr>
          <w:rFonts w:ascii="Book Antiqua" w:eastAsiaTheme="minorHAnsi" w:hAnsi="Book Antiqua" w:cs="Times New Roman"/>
          <w:sz w:val="24"/>
          <w:szCs w:val="24"/>
        </w:rPr>
        <w:t xml:space="preserve">0.004). As for lesion characteristics, </w:t>
      </w:r>
      <w:r w:rsidR="00FB4951" w:rsidRPr="008F0C1A">
        <w:rPr>
          <w:rFonts w:ascii="Book Antiqua" w:eastAsiaTheme="minorHAnsi" w:hAnsi="Book Antiqua" w:cs="Times New Roman"/>
          <w:sz w:val="24"/>
          <w:szCs w:val="24"/>
        </w:rPr>
        <w:t xml:space="preserve">the </w:t>
      </w:r>
      <w:r w:rsidR="004D4655" w:rsidRPr="008F0C1A">
        <w:rPr>
          <w:rFonts w:ascii="Book Antiqua" w:eastAsiaTheme="minorHAnsi" w:hAnsi="Book Antiqua" w:cs="Times New Roman"/>
          <w:sz w:val="24"/>
          <w:szCs w:val="24"/>
        </w:rPr>
        <w:t xml:space="preserve">high risk of </w:t>
      </w:r>
      <w:proofErr w:type="spellStart"/>
      <w:r w:rsidR="006F679F" w:rsidRPr="008F0C1A">
        <w:rPr>
          <w:rFonts w:ascii="Book Antiqua" w:eastAsiaTheme="minorHAnsi" w:hAnsi="Book Antiqua" w:cs="Times New Roman"/>
          <w:sz w:val="24"/>
          <w:szCs w:val="24"/>
        </w:rPr>
        <w:t>rebleeding</w:t>
      </w:r>
      <w:proofErr w:type="spellEnd"/>
      <w:r w:rsidR="004D4655" w:rsidRPr="008F0C1A">
        <w:rPr>
          <w:rFonts w:ascii="Book Antiqua" w:eastAsiaTheme="minorHAnsi" w:hAnsi="Book Antiqua" w:cs="Times New Roman"/>
          <w:sz w:val="24"/>
          <w:szCs w:val="24"/>
        </w:rPr>
        <w:t xml:space="preserve"> group </w:t>
      </w:r>
      <w:r w:rsidR="00FB4951" w:rsidRPr="008F0C1A">
        <w:rPr>
          <w:rFonts w:ascii="Book Antiqua" w:eastAsiaTheme="minorHAnsi" w:hAnsi="Book Antiqua" w:cs="Times New Roman"/>
          <w:sz w:val="24"/>
          <w:szCs w:val="24"/>
        </w:rPr>
        <w:t xml:space="preserve">had higher appearance of </w:t>
      </w:r>
      <w:r w:rsidR="004D4655" w:rsidRPr="008F0C1A">
        <w:rPr>
          <w:rFonts w:ascii="Book Antiqua" w:eastAsiaTheme="minorHAnsi" w:hAnsi="Book Antiqua" w:cs="Times New Roman"/>
          <w:sz w:val="24"/>
          <w:szCs w:val="24"/>
        </w:rPr>
        <w:t>flat or depressed shape</w:t>
      </w:r>
      <w:r w:rsidR="004D4655" w:rsidRPr="008F0C1A">
        <w:rPr>
          <w:rFonts w:ascii="Book Antiqua" w:eastAsiaTheme="minorHAnsi" w:hAnsi="Book Antiqua" w:cs="Times New Roman"/>
          <w:color w:val="FF0000"/>
          <w:sz w:val="24"/>
          <w:szCs w:val="24"/>
        </w:rPr>
        <w:t xml:space="preserve"> </w:t>
      </w:r>
      <w:r w:rsidR="004D4655" w:rsidRPr="008F0C1A">
        <w:rPr>
          <w:rFonts w:ascii="Book Antiqua" w:eastAsiaTheme="minorHAnsi" w:hAnsi="Book Antiqua" w:cs="Times New Roman"/>
          <w:sz w:val="24"/>
          <w:szCs w:val="24"/>
        </w:rPr>
        <w:t xml:space="preserve">than </w:t>
      </w:r>
      <w:r w:rsidR="00FB4951" w:rsidRPr="008F0C1A">
        <w:rPr>
          <w:rFonts w:ascii="Book Antiqua" w:eastAsiaTheme="minorHAnsi" w:hAnsi="Book Antiqua" w:cs="Times New Roman"/>
          <w:sz w:val="24"/>
          <w:szCs w:val="24"/>
        </w:rPr>
        <w:t xml:space="preserve">the </w:t>
      </w:r>
      <w:r w:rsidR="004D4655" w:rsidRPr="008F0C1A">
        <w:rPr>
          <w:rFonts w:ascii="Book Antiqua" w:eastAsiaTheme="minorHAnsi" w:hAnsi="Book Antiqua" w:cs="Times New Roman"/>
          <w:sz w:val="24"/>
          <w:szCs w:val="24"/>
        </w:rPr>
        <w:t>low risk group (</w:t>
      </w:r>
      <w:r w:rsidR="00EF6AB7" w:rsidRPr="008F0C1A">
        <w:rPr>
          <w:rFonts w:ascii="Book Antiqua" w:eastAsiaTheme="minorHAnsi" w:hAnsi="Book Antiqua" w:cs="Times New Roman"/>
          <w:i/>
          <w:sz w:val="24"/>
          <w:szCs w:val="24"/>
        </w:rPr>
        <w:t xml:space="preserve">P </w:t>
      </w:r>
      <w:r w:rsidR="004D4655" w:rsidRPr="008F0C1A">
        <w:rPr>
          <w:rFonts w:ascii="Book Antiqua" w:eastAsiaTheme="minorHAnsi" w:hAnsi="Book Antiqua" w:cs="Times New Roman"/>
          <w:i/>
          <w:sz w:val="24"/>
          <w:szCs w:val="24"/>
        </w:rPr>
        <w:t>=</w:t>
      </w:r>
      <w:r w:rsidR="007E7DE8" w:rsidRPr="008F0C1A">
        <w:rPr>
          <w:rFonts w:ascii="Book Antiqua" w:eastAsiaTheme="minorHAnsi" w:hAnsi="Book Antiqua" w:cs="Times New Roman"/>
          <w:sz w:val="24"/>
          <w:szCs w:val="24"/>
        </w:rPr>
        <w:t xml:space="preserve"> </w:t>
      </w:r>
      <w:r w:rsidR="004D4655" w:rsidRPr="008F0C1A">
        <w:rPr>
          <w:rFonts w:ascii="Book Antiqua" w:eastAsiaTheme="minorHAnsi" w:hAnsi="Book Antiqua" w:cs="Times New Roman"/>
          <w:sz w:val="24"/>
          <w:szCs w:val="24"/>
        </w:rPr>
        <w:t xml:space="preserve">0.006). </w:t>
      </w:r>
      <w:proofErr w:type="gramStart"/>
      <w:r w:rsidR="004D4655" w:rsidRPr="008F0C1A">
        <w:rPr>
          <w:rFonts w:ascii="Book Antiqua" w:eastAsiaTheme="minorHAnsi" w:hAnsi="Book Antiqua" w:cs="Times New Roman"/>
          <w:sz w:val="24"/>
          <w:szCs w:val="24"/>
        </w:rPr>
        <w:t xml:space="preserve">Delayed bleeding after SLE occurred on POD 5 in </w:t>
      </w:r>
      <w:r w:rsidR="00016A4C" w:rsidRPr="008F0C1A">
        <w:rPr>
          <w:rFonts w:ascii="Book Antiqua" w:eastAsiaTheme="minorHAnsi" w:hAnsi="Book Antiqua" w:cs="Times New Roman"/>
          <w:sz w:val="24"/>
          <w:szCs w:val="24"/>
        </w:rPr>
        <w:t xml:space="preserve">the </w:t>
      </w:r>
      <w:r w:rsidR="004D4655" w:rsidRPr="008F0C1A">
        <w:rPr>
          <w:rFonts w:ascii="Book Antiqua" w:eastAsiaTheme="minorHAnsi" w:hAnsi="Book Antiqua" w:cs="Times New Roman"/>
          <w:sz w:val="24"/>
          <w:szCs w:val="24"/>
        </w:rPr>
        <w:t xml:space="preserve">low risk of </w:t>
      </w:r>
      <w:proofErr w:type="spellStart"/>
      <w:r w:rsidR="006F679F" w:rsidRPr="008F0C1A">
        <w:rPr>
          <w:rFonts w:ascii="Book Antiqua" w:eastAsiaTheme="minorHAnsi" w:hAnsi="Book Antiqua" w:cs="Times New Roman"/>
          <w:sz w:val="24"/>
          <w:szCs w:val="24"/>
        </w:rPr>
        <w:t>rebleeding</w:t>
      </w:r>
      <w:proofErr w:type="spellEnd"/>
      <w:r w:rsidR="004D4655" w:rsidRPr="008F0C1A">
        <w:rPr>
          <w:rFonts w:ascii="Book Antiqua" w:eastAsiaTheme="minorHAnsi" w:hAnsi="Book Antiqua" w:cs="Times New Roman"/>
          <w:sz w:val="24"/>
          <w:szCs w:val="24"/>
        </w:rPr>
        <w:t xml:space="preserve"> group and on POD 23 in </w:t>
      </w:r>
      <w:r w:rsidR="00016A4C" w:rsidRPr="008F0C1A">
        <w:rPr>
          <w:rFonts w:ascii="Book Antiqua" w:eastAsiaTheme="minorHAnsi" w:hAnsi="Book Antiqua" w:cs="Times New Roman"/>
          <w:sz w:val="24"/>
          <w:szCs w:val="24"/>
        </w:rPr>
        <w:t xml:space="preserve">the </w:t>
      </w:r>
      <w:r w:rsidR="004D4655" w:rsidRPr="008F0C1A">
        <w:rPr>
          <w:rFonts w:ascii="Book Antiqua" w:eastAsiaTheme="minorHAnsi" w:hAnsi="Book Antiqua" w:cs="Times New Roman"/>
          <w:sz w:val="24"/>
          <w:szCs w:val="24"/>
        </w:rPr>
        <w:t xml:space="preserve">high risk of </w:t>
      </w:r>
      <w:proofErr w:type="spellStart"/>
      <w:r w:rsidR="006F679F" w:rsidRPr="008F0C1A">
        <w:rPr>
          <w:rFonts w:ascii="Book Antiqua" w:eastAsiaTheme="minorHAnsi" w:hAnsi="Book Antiqua" w:cs="Times New Roman"/>
          <w:sz w:val="24"/>
          <w:szCs w:val="24"/>
        </w:rPr>
        <w:t>rebleeding</w:t>
      </w:r>
      <w:proofErr w:type="spellEnd"/>
      <w:r w:rsidR="004D4655" w:rsidRPr="008F0C1A">
        <w:rPr>
          <w:rFonts w:ascii="Book Antiqua" w:eastAsiaTheme="minorHAnsi" w:hAnsi="Book Antiqua" w:cs="Times New Roman"/>
          <w:sz w:val="24"/>
          <w:szCs w:val="24"/>
        </w:rPr>
        <w:t xml:space="preserve"> group.</w:t>
      </w:r>
      <w:proofErr w:type="gramEnd"/>
      <w:r w:rsidR="004D4655" w:rsidRPr="008F0C1A">
        <w:rPr>
          <w:rFonts w:ascii="Book Antiqua" w:eastAsiaTheme="minorHAnsi" w:hAnsi="Book Antiqua" w:cs="Times New Roman"/>
          <w:sz w:val="24"/>
          <w:szCs w:val="24"/>
        </w:rPr>
        <w:t xml:space="preserve"> There </w:t>
      </w:r>
      <w:r w:rsidR="00016A4C" w:rsidRPr="008F0C1A">
        <w:rPr>
          <w:rFonts w:ascii="Book Antiqua" w:eastAsiaTheme="minorHAnsi" w:hAnsi="Book Antiqua" w:cs="Times New Roman"/>
          <w:sz w:val="24"/>
          <w:szCs w:val="24"/>
        </w:rPr>
        <w:t>were</w:t>
      </w:r>
      <w:r w:rsidR="004D4655" w:rsidRPr="008F0C1A">
        <w:rPr>
          <w:rFonts w:ascii="Book Antiqua" w:eastAsiaTheme="minorHAnsi" w:hAnsi="Book Antiqua" w:cs="Times New Roman"/>
          <w:sz w:val="24"/>
          <w:szCs w:val="24"/>
        </w:rPr>
        <w:t xml:space="preserve"> no significant difference</w:t>
      </w:r>
      <w:r w:rsidR="00016A4C" w:rsidRPr="008F0C1A">
        <w:rPr>
          <w:rFonts w:ascii="Book Antiqua" w:eastAsiaTheme="minorHAnsi" w:hAnsi="Book Antiqua" w:cs="Times New Roman"/>
          <w:sz w:val="24"/>
          <w:szCs w:val="24"/>
        </w:rPr>
        <w:t>s</w:t>
      </w:r>
      <w:r w:rsidR="004D4655" w:rsidRPr="008F0C1A">
        <w:rPr>
          <w:rFonts w:ascii="Book Antiqua" w:eastAsiaTheme="minorHAnsi" w:hAnsi="Book Antiqua" w:cs="Times New Roman"/>
          <w:sz w:val="24"/>
          <w:szCs w:val="24"/>
        </w:rPr>
        <w:t xml:space="preserve"> between the groups (</w:t>
      </w:r>
      <w:r w:rsidR="00EF6AB7" w:rsidRPr="008F0C1A">
        <w:rPr>
          <w:rFonts w:ascii="Book Antiqua" w:eastAsiaTheme="minorHAnsi" w:hAnsi="Book Antiqua" w:cs="Times New Roman"/>
          <w:i/>
          <w:sz w:val="24"/>
          <w:szCs w:val="24"/>
        </w:rPr>
        <w:t xml:space="preserve">P </w:t>
      </w:r>
      <w:r w:rsidR="004D4655" w:rsidRPr="008F0C1A">
        <w:rPr>
          <w:rFonts w:ascii="Book Antiqua" w:eastAsiaTheme="minorHAnsi" w:hAnsi="Book Antiqua" w:cs="Times New Roman"/>
          <w:i/>
          <w:sz w:val="24"/>
          <w:szCs w:val="24"/>
        </w:rPr>
        <w:t>=</w:t>
      </w:r>
      <w:r w:rsidR="007E7DE8" w:rsidRPr="008F0C1A">
        <w:rPr>
          <w:rFonts w:ascii="Book Antiqua" w:eastAsiaTheme="minorHAnsi" w:hAnsi="Book Antiqua" w:cs="Times New Roman"/>
          <w:sz w:val="24"/>
          <w:szCs w:val="24"/>
        </w:rPr>
        <w:t xml:space="preserve"> </w:t>
      </w:r>
      <w:r w:rsidR="004D4655" w:rsidRPr="008F0C1A">
        <w:rPr>
          <w:rFonts w:ascii="Book Antiqua" w:eastAsiaTheme="minorHAnsi" w:hAnsi="Book Antiqua" w:cs="Times New Roman"/>
          <w:sz w:val="24"/>
          <w:szCs w:val="24"/>
        </w:rPr>
        <w:t>0.38). The three patients with double lesions had low grade dysplasia of elevated shape, and were include</w:t>
      </w:r>
      <w:r w:rsidRPr="008F0C1A">
        <w:rPr>
          <w:rFonts w:ascii="Book Antiqua" w:eastAsiaTheme="minorHAnsi" w:hAnsi="Book Antiqua" w:cs="Times New Roman"/>
          <w:sz w:val="24"/>
          <w:szCs w:val="24"/>
        </w:rPr>
        <w:t>d</w:t>
      </w:r>
      <w:r w:rsidR="004D4655" w:rsidRPr="008F0C1A">
        <w:rPr>
          <w:rFonts w:ascii="Book Antiqua" w:eastAsiaTheme="minorHAnsi" w:hAnsi="Book Antiqua" w:cs="Times New Roman"/>
          <w:sz w:val="24"/>
          <w:szCs w:val="24"/>
        </w:rPr>
        <w:t xml:space="preserve"> in </w:t>
      </w:r>
      <w:r w:rsidR="00016A4C" w:rsidRPr="008F0C1A">
        <w:rPr>
          <w:rFonts w:ascii="Book Antiqua" w:eastAsiaTheme="minorHAnsi" w:hAnsi="Book Antiqua" w:cs="Times New Roman"/>
          <w:sz w:val="24"/>
          <w:szCs w:val="24"/>
        </w:rPr>
        <w:t xml:space="preserve">the </w:t>
      </w:r>
      <w:r w:rsidR="004D4655" w:rsidRPr="008F0C1A">
        <w:rPr>
          <w:rFonts w:ascii="Book Antiqua" w:eastAsiaTheme="minorHAnsi" w:hAnsi="Book Antiqua" w:cs="Times New Roman"/>
          <w:sz w:val="24"/>
          <w:szCs w:val="24"/>
        </w:rPr>
        <w:t xml:space="preserve">low risk of </w:t>
      </w:r>
      <w:proofErr w:type="spellStart"/>
      <w:r w:rsidR="006F679F" w:rsidRPr="008F0C1A">
        <w:rPr>
          <w:rFonts w:ascii="Book Antiqua" w:eastAsiaTheme="minorHAnsi" w:hAnsi="Book Antiqua" w:cs="Times New Roman"/>
          <w:sz w:val="24"/>
          <w:szCs w:val="24"/>
        </w:rPr>
        <w:t>rebleeding</w:t>
      </w:r>
      <w:proofErr w:type="spellEnd"/>
      <w:r w:rsidR="004D4655" w:rsidRPr="008F0C1A">
        <w:rPr>
          <w:rFonts w:ascii="Book Antiqua" w:eastAsiaTheme="minorHAnsi" w:hAnsi="Book Antiqua" w:cs="Times New Roman"/>
          <w:sz w:val="24"/>
          <w:szCs w:val="24"/>
        </w:rPr>
        <w:t xml:space="preserve"> group w</w:t>
      </w:r>
      <w:r w:rsidR="007D2029" w:rsidRPr="008F0C1A">
        <w:rPr>
          <w:rFonts w:ascii="Book Antiqua" w:eastAsiaTheme="minorHAnsi" w:hAnsi="Book Antiqua" w:cs="Times New Roman"/>
          <w:sz w:val="24"/>
          <w:szCs w:val="24"/>
        </w:rPr>
        <w:t>ithout delayed bleeding</w:t>
      </w:r>
      <w:r w:rsidR="004D4655" w:rsidRPr="008F0C1A">
        <w:rPr>
          <w:rFonts w:ascii="Book Antiqua" w:eastAsiaTheme="minorHAnsi" w:hAnsi="Book Antiqua" w:cs="Times New Roman"/>
          <w:sz w:val="24"/>
          <w:szCs w:val="24"/>
        </w:rPr>
        <w:t>.</w:t>
      </w:r>
    </w:p>
    <w:p w:rsidR="0022406F" w:rsidRPr="008F0C1A" w:rsidRDefault="0022406F" w:rsidP="00A771AE">
      <w:pPr>
        <w:wordWrap/>
        <w:adjustRightInd w:val="0"/>
        <w:snapToGrid w:val="0"/>
        <w:spacing w:after="0" w:line="360" w:lineRule="auto"/>
        <w:rPr>
          <w:rFonts w:ascii="Book Antiqua" w:eastAsiaTheme="minorHAnsi" w:hAnsi="Book Antiqua" w:cs="Times New Roman"/>
          <w:kern w:val="0"/>
          <w:sz w:val="24"/>
          <w:szCs w:val="24"/>
        </w:rPr>
      </w:pPr>
    </w:p>
    <w:p w:rsidR="004075DB" w:rsidRPr="00F917A1" w:rsidRDefault="004D4655" w:rsidP="00A771AE">
      <w:pPr>
        <w:wordWrap/>
        <w:adjustRightInd w:val="0"/>
        <w:snapToGrid w:val="0"/>
        <w:spacing w:after="0" w:line="360" w:lineRule="auto"/>
        <w:rPr>
          <w:rFonts w:ascii="Book Antiqua" w:eastAsia="宋体" w:hAnsi="Book Antiqua" w:cs="Times New Roman"/>
          <w:b/>
          <w:caps/>
          <w:kern w:val="0"/>
          <w:sz w:val="24"/>
          <w:szCs w:val="24"/>
          <w:lang w:eastAsia="zh-CN"/>
        </w:rPr>
      </w:pPr>
      <w:r w:rsidRPr="008F0C1A">
        <w:rPr>
          <w:rFonts w:ascii="Book Antiqua" w:eastAsiaTheme="minorHAnsi" w:hAnsi="Book Antiqua" w:cs="Times New Roman"/>
          <w:b/>
          <w:caps/>
          <w:kern w:val="0"/>
          <w:sz w:val="24"/>
          <w:szCs w:val="24"/>
        </w:rPr>
        <w:t>Discussion</w:t>
      </w:r>
    </w:p>
    <w:p w:rsidR="0022406F" w:rsidRPr="008F0C1A" w:rsidRDefault="00B12ED4" w:rsidP="00A771AE">
      <w:pPr>
        <w:wordWrap/>
        <w:adjustRightInd w:val="0"/>
        <w:snapToGrid w:val="0"/>
        <w:spacing w:after="0" w:line="360" w:lineRule="auto"/>
        <w:rPr>
          <w:rFonts w:ascii="Book Antiqua" w:eastAsiaTheme="minorHAnsi" w:hAnsi="Book Antiqua" w:cs="Times New Roman"/>
          <w:kern w:val="0"/>
          <w:sz w:val="24"/>
          <w:szCs w:val="24"/>
        </w:rPr>
      </w:pPr>
      <w:r w:rsidRPr="008F0C1A">
        <w:rPr>
          <w:rFonts w:ascii="Book Antiqua" w:eastAsiaTheme="minorHAnsi" w:hAnsi="Book Antiqua" w:cs="Times New Roman"/>
          <w:kern w:val="0"/>
          <w:sz w:val="24"/>
          <w:szCs w:val="24"/>
        </w:rPr>
        <w:t>Performance of a</w:t>
      </w:r>
      <w:r w:rsidR="004D4655" w:rsidRPr="008F0C1A">
        <w:rPr>
          <w:rFonts w:ascii="Book Antiqua" w:eastAsiaTheme="minorHAnsi" w:hAnsi="Book Antiqua" w:cs="Times New Roman"/>
          <w:kern w:val="0"/>
          <w:sz w:val="24"/>
          <w:szCs w:val="24"/>
        </w:rPr>
        <w:t xml:space="preserve"> routine SLE after gastric ESD was supported by several prospective, randomized trials owing to its efficacy after endoscopic hemostasis for peptic ulcer </w:t>
      </w:r>
      <w:proofErr w:type="gramStart"/>
      <w:r w:rsidR="004D4655" w:rsidRPr="008F0C1A">
        <w:rPr>
          <w:rFonts w:ascii="Book Antiqua" w:eastAsiaTheme="minorHAnsi" w:hAnsi="Book Antiqua" w:cs="Times New Roman"/>
          <w:kern w:val="0"/>
          <w:sz w:val="24"/>
          <w:szCs w:val="24"/>
        </w:rPr>
        <w:t>bleeding</w:t>
      </w:r>
      <w:r w:rsidR="00956CFC" w:rsidRPr="008F0C1A">
        <w:rPr>
          <w:rFonts w:ascii="Book Antiqua" w:eastAsiaTheme="minorHAnsi" w:hAnsi="Book Antiqua" w:cs="Times New Roman"/>
          <w:noProof/>
          <w:kern w:val="0"/>
          <w:sz w:val="24"/>
          <w:szCs w:val="24"/>
          <w:vertAlign w:val="superscript"/>
        </w:rPr>
        <w:t>[</w:t>
      </w:r>
      <w:proofErr w:type="gramEnd"/>
      <w:r w:rsidR="00956CFC" w:rsidRPr="008F0C1A">
        <w:rPr>
          <w:rFonts w:ascii="Book Antiqua" w:eastAsiaTheme="minorHAnsi" w:hAnsi="Book Antiqua" w:cs="Times New Roman"/>
          <w:noProof/>
          <w:kern w:val="0"/>
          <w:sz w:val="24"/>
          <w:szCs w:val="24"/>
          <w:vertAlign w:val="superscript"/>
        </w:rPr>
        <w:t>6-8]</w:t>
      </w:r>
      <w:r w:rsidR="00786590" w:rsidRPr="008F0C1A">
        <w:rPr>
          <w:rFonts w:ascii="Book Antiqua" w:eastAsiaTheme="minorHAnsi" w:hAnsi="Book Antiqua" w:cs="Times New Roman"/>
          <w:kern w:val="0"/>
          <w:sz w:val="24"/>
          <w:szCs w:val="24"/>
        </w:rPr>
        <w:t>.</w:t>
      </w:r>
      <w:r w:rsidR="004D4655" w:rsidRPr="008F0C1A">
        <w:rPr>
          <w:rFonts w:ascii="Book Antiqua" w:eastAsiaTheme="minorHAnsi" w:hAnsi="Book Antiqua" w:cs="Times New Roman"/>
          <w:kern w:val="0"/>
          <w:sz w:val="24"/>
          <w:szCs w:val="24"/>
        </w:rPr>
        <w:t xml:space="preserve"> However, there are fundamental pathophysiological differences </w:t>
      </w:r>
      <w:r w:rsidRPr="008F0C1A">
        <w:rPr>
          <w:rFonts w:ascii="Book Antiqua" w:eastAsiaTheme="minorHAnsi" w:hAnsi="Book Antiqua" w:cs="Times New Roman"/>
          <w:kern w:val="0"/>
          <w:sz w:val="24"/>
          <w:szCs w:val="24"/>
        </w:rPr>
        <w:t xml:space="preserve">in ulcer formation </w:t>
      </w:r>
      <w:r w:rsidR="004D4655" w:rsidRPr="008F0C1A">
        <w:rPr>
          <w:rFonts w:ascii="Book Antiqua" w:eastAsiaTheme="minorHAnsi" w:hAnsi="Book Antiqua" w:cs="Times New Roman"/>
          <w:kern w:val="0"/>
          <w:sz w:val="24"/>
          <w:szCs w:val="24"/>
        </w:rPr>
        <w:t>between peptic and post-ESD ulcer</w:t>
      </w:r>
      <w:r w:rsidRPr="008F0C1A">
        <w:rPr>
          <w:rFonts w:ascii="Book Antiqua" w:eastAsiaTheme="minorHAnsi" w:hAnsi="Book Antiqua" w:cs="Times New Roman"/>
          <w:kern w:val="0"/>
          <w:sz w:val="24"/>
          <w:szCs w:val="24"/>
        </w:rPr>
        <w:t>s.</w:t>
      </w:r>
      <w:r w:rsidR="004D4655" w:rsidRPr="008F0C1A">
        <w:rPr>
          <w:rFonts w:ascii="Book Antiqua" w:eastAsiaTheme="minorHAnsi" w:hAnsi="Book Antiqua" w:cs="Times New Roman"/>
          <w:kern w:val="0"/>
          <w:sz w:val="24"/>
          <w:szCs w:val="24"/>
        </w:rPr>
        <w:t xml:space="preserve"> </w:t>
      </w:r>
      <w:r w:rsidRPr="008F0C1A">
        <w:rPr>
          <w:rFonts w:ascii="Book Antiqua" w:eastAsiaTheme="minorHAnsi" w:hAnsi="Book Antiqua" w:cs="Times New Roman"/>
          <w:kern w:val="0"/>
          <w:sz w:val="24"/>
          <w:szCs w:val="24"/>
        </w:rPr>
        <w:t>Peptic</w:t>
      </w:r>
      <w:r w:rsidR="004D4655" w:rsidRPr="008F0C1A">
        <w:rPr>
          <w:rFonts w:ascii="Book Antiqua" w:eastAsiaTheme="minorHAnsi" w:hAnsi="Book Antiqua" w:cs="Times New Roman"/>
          <w:kern w:val="0"/>
          <w:sz w:val="24"/>
          <w:szCs w:val="24"/>
        </w:rPr>
        <w:t xml:space="preserve"> ulcer</w:t>
      </w:r>
      <w:r w:rsidRPr="008F0C1A">
        <w:rPr>
          <w:rFonts w:ascii="Book Antiqua" w:eastAsiaTheme="minorHAnsi" w:hAnsi="Book Antiqua" w:cs="Times New Roman"/>
          <w:kern w:val="0"/>
          <w:sz w:val="24"/>
          <w:szCs w:val="24"/>
        </w:rPr>
        <w:t>s</w:t>
      </w:r>
      <w:r w:rsidR="004D4655" w:rsidRPr="008F0C1A">
        <w:rPr>
          <w:rFonts w:ascii="Book Antiqua" w:eastAsiaTheme="minorHAnsi" w:hAnsi="Book Antiqua" w:cs="Times New Roman"/>
          <w:kern w:val="0"/>
          <w:sz w:val="24"/>
          <w:szCs w:val="24"/>
        </w:rPr>
        <w:t xml:space="preserve"> may occur </w:t>
      </w:r>
      <w:r w:rsidRPr="008F0C1A">
        <w:rPr>
          <w:rFonts w:ascii="Book Antiqua" w:eastAsiaTheme="minorHAnsi" w:hAnsi="Book Antiqua" w:cs="Times New Roman"/>
          <w:kern w:val="0"/>
          <w:sz w:val="24"/>
          <w:szCs w:val="24"/>
        </w:rPr>
        <w:t>due to</w:t>
      </w:r>
      <w:r w:rsidR="004D4655" w:rsidRPr="008F0C1A">
        <w:rPr>
          <w:rFonts w:ascii="Book Antiqua" w:eastAsiaTheme="minorHAnsi" w:hAnsi="Book Antiqua" w:cs="Times New Roman"/>
          <w:kern w:val="0"/>
          <w:sz w:val="24"/>
          <w:szCs w:val="24"/>
        </w:rPr>
        <w:t xml:space="preserve"> breakdown of </w:t>
      </w:r>
      <w:r w:rsidRPr="008F0C1A">
        <w:rPr>
          <w:rFonts w:ascii="Book Antiqua" w:eastAsiaTheme="minorHAnsi" w:hAnsi="Book Antiqua" w:cs="Times New Roman"/>
          <w:kern w:val="0"/>
          <w:sz w:val="24"/>
          <w:szCs w:val="24"/>
        </w:rPr>
        <w:t xml:space="preserve">the </w:t>
      </w:r>
      <w:r w:rsidR="004D4655" w:rsidRPr="008F0C1A">
        <w:rPr>
          <w:rFonts w:ascii="Book Antiqua" w:eastAsiaTheme="minorHAnsi" w:hAnsi="Book Antiqua" w:cs="Times New Roman"/>
          <w:kern w:val="0"/>
          <w:sz w:val="24"/>
          <w:szCs w:val="24"/>
        </w:rPr>
        <w:t xml:space="preserve">mucosal defense mechanism and </w:t>
      </w:r>
      <w:proofErr w:type="spellStart"/>
      <w:r w:rsidR="004D4655" w:rsidRPr="008F0C1A">
        <w:rPr>
          <w:rFonts w:ascii="Book Antiqua" w:eastAsiaTheme="minorHAnsi" w:hAnsi="Book Antiqua" w:cs="Times New Roman"/>
          <w:kern w:val="0"/>
          <w:sz w:val="24"/>
          <w:szCs w:val="24"/>
        </w:rPr>
        <w:t>hyperacidic</w:t>
      </w:r>
      <w:proofErr w:type="spellEnd"/>
      <w:r w:rsidR="004D4655" w:rsidRPr="008F0C1A">
        <w:rPr>
          <w:rFonts w:ascii="Book Antiqua" w:eastAsiaTheme="minorHAnsi" w:hAnsi="Book Antiqua" w:cs="Times New Roman"/>
          <w:kern w:val="0"/>
          <w:sz w:val="24"/>
          <w:szCs w:val="24"/>
        </w:rPr>
        <w:t xml:space="preserve"> environment. On the other hand, post-ESD ulcer</w:t>
      </w:r>
      <w:r w:rsidRPr="008F0C1A">
        <w:rPr>
          <w:rFonts w:ascii="Book Antiqua" w:eastAsiaTheme="minorHAnsi" w:hAnsi="Book Antiqua" w:cs="Times New Roman"/>
          <w:kern w:val="0"/>
          <w:sz w:val="24"/>
          <w:szCs w:val="24"/>
        </w:rPr>
        <w:t>s</w:t>
      </w:r>
      <w:r w:rsidR="004D4655" w:rsidRPr="008F0C1A">
        <w:rPr>
          <w:rFonts w:ascii="Book Antiqua" w:eastAsiaTheme="minorHAnsi" w:hAnsi="Book Antiqua" w:cs="Times New Roman"/>
          <w:kern w:val="0"/>
          <w:sz w:val="24"/>
          <w:szCs w:val="24"/>
        </w:rPr>
        <w:t xml:space="preserve"> occur </w:t>
      </w:r>
      <w:r w:rsidRPr="008F0C1A">
        <w:rPr>
          <w:rFonts w:ascii="Book Antiqua" w:eastAsiaTheme="minorHAnsi" w:hAnsi="Book Antiqua" w:cs="Times New Roman"/>
          <w:kern w:val="0"/>
          <w:sz w:val="24"/>
          <w:szCs w:val="24"/>
        </w:rPr>
        <w:t xml:space="preserve">in a </w:t>
      </w:r>
      <w:r w:rsidR="004D4655" w:rsidRPr="008F0C1A">
        <w:rPr>
          <w:rFonts w:ascii="Book Antiqua" w:eastAsiaTheme="minorHAnsi" w:hAnsi="Book Antiqua" w:cs="Times New Roman"/>
          <w:kern w:val="0"/>
          <w:sz w:val="24"/>
          <w:szCs w:val="24"/>
        </w:rPr>
        <w:t>relatively less acidic environment. Furthermore, post-ESD ulcer</w:t>
      </w:r>
      <w:r w:rsidRPr="008F0C1A">
        <w:rPr>
          <w:rFonts w:ascii="Book Antiqua" w:eastAsiaTheme="minorHAnsi" w:hAnsi="Book Antiqua" w:cs="Times New Roman"/>
          <w:kern w:val="0"/>
          <w:sz w:val="24"/>
          <w:szCs w:val="24"/>
        </w:rPr>
        <w:t>s</w:t>
      </w:r>
      <w:r w:rsidR="004D4655" w:rsidRPr="008F0C1A">
        <w:rPr>
          <w:rFonts w:ascii="Book Antiqua" w:eastAsiaTheme="minorHAnsi" w:hAnsi="Book Antiqua" w:cs="Times New Roman"/>
          <w:kern w:val="0"/>
          <w:sz w:val="24"/>
          <w:szCs w:val="24"/>
        </w:rPr>
        <w:t xml:space="preserve"> </w:t>
      </w:r>
      <w:r w:rsidRPr="008F0C1A">
        <w:rPr>
          <w:rFonts w:ascii="Book Antiqua" w:eastAsiaTheme="minorHAnsi" w:hAnsi="Book Antiqua" w:cs="Times New Roman"/>
          <w:kern w:val="0"/>
          <w:sz w:val="24"/>
          <w:szCs w:val="24"/>
        </w:rPr>
        <w:t>are</w:t>
      </w:r>
      <w:r w:rsidR="004D4655" w:rsidRPr="008F0C1A">
        <w:rPr>
          <w:rFonts w:ascii="Book Antiqua" w:eastAsiaTheme="minorHAnsi" w:hAnsi="Book Antiqua" w:cs="Times New Roman"/>
          <w:kern w:val="0"/>
          <w:sz w:val="24"/>
          <w:szCs w:val="24"/>
        </w:rPr>
        <w:t xml:space="preserve"> relatively shallow </w:t>
      </w:r>
      <w:r w:rsidRPr="008F0C1A">
        <w:rPr>
          <w:rFonts w:ascii="Book Antiqua" w:eastAsiaTheme="minorHAnsi" w:hAnsi="Book Antiqua" w:cs="Times New Roman"/>
          <w:kern w:val="0"/>
          <w:sz w:val="24"/>
          <w:szCs w:val="24"/>
        </w:rPr>
        <w:t>compared to</w:t>
      </w:r>
      <w:r w:rsidR="004D4655" w:rsidRPr="008F0C1A">
        <w:rPr>
          <w:rFonts w:ascii="Book Antiqua" w:eastAsiaTheme="minorHAnsi" w:hAnsi="Book Antiqua" w:cs="Times New Roman"/>
          <w:kern w:val="0"/>
          <w:sz w:val="24"/>
          <w:szCs w:val="24"/>
        </w:rPr>
        <w:t xml:space="preserve"> peptic ulcer</w:t>
      </w:r>
      <w:r w:rsidRPr="008F0C1A">
        <w:rPr>
          <w:rFonts w:ascii="Book Antiqua" w:eastAsiaTheme="minorHAnsi" w:hAnsi="Book Antiqua" w:cs="Times New Roman"/>
          <w:kern w:val="0"/>
          <w:sz w:val="24"/>
          <w:szCs w:val="24"/>
        </w:rPr>
        <w:t>s</w:t>
      </w:r>
      <w:r w:rsidR="00006F6C" w:rsidRPr="008F0C1A">
        <w:rPr>
          <w:rFonts w:ascii="Book Antiqua" w:eastAsiaTheme="minorHAnsi" w:hAnsi="Book Antiqua" w:cs="Times New Roman"/>
          <w:kern w:val="0"/>
          <w:sz w:val="24"/>
          <w:szCs w:val="24"/>
        </w:rPr>
        <w:t xml:space="preserve"> due to electively </w:t>
      </w:r>
      <w:r w:rsidR="004D4655" w:rsidRPr="008F0C1A">
        <w:rPr>
          <w:rFonts w:ascii="Book Antiqua" w:eastAsiaTheme="minorHAnsi" w:hAnsi="Book Antiqua" w:cs="Times New Roman"/>
          <w:kern w:val="0"/>
          <w:sz w:val="24"/>
          <w:szCs w:val="24"/>
        </w:rPr>
        <w:t xml:space="preserve">performed submucosal </w:t>
      </w:r>
      <w:proofErr w:type="gramStart"/>
      <w:r w:rsidR="004D4655" w:rsidRPr="008F0C1A">
        <w:rPr>
          <w:rFonts w:ascii="Book Antiqua" w:eastAsiaTheme="minorHAnsi" w:hAnsi="Book Antiqua" w:cs="Times New Roman"/>
          <w:kern w:val="0"/>
          <w:sz w:val="24"/>
          <w:szCs w:val="24"/>
        </w:rPr>
        <w:t>disse</w:t>
      </w:r>
      <w:r w:rsidRPr="008F0C1A">
        <w:rPr>
          <w:rFonts w:ascii="Book Antiqua" w:eastAsiaTheme="minorHAnsi" w:hAnsi="Book Antiqua" w:cs="Times New Roman"/>
          <w:kern w:val="0"/>
          <w:sz w:val="24"/>
          <w:szCs w:val="24"/>
        </w:rPr>
        <w:t>c</w:t>
      </w:r>
      <w:r w:rsidR="004D4655" w:rsidRPr="008F0C1A">
        <w:rPr>
          <w:rFonts w:ascii="Book Antiqua" w:eastAsiaTheme="minorHAnsi" w:hAnsi="Book Antiqua" w:cs="Times New Roman"/>
          <w:kern w:val="0"/>
          <w:sz w:val="24"/>
          <w:szCs w:val="24"/>
        </w:rPr>
        <w:t>tion</w:t>
      </w:r>
      <w:r w:rsidR="00956CFC" w:rsidRPr="008F0C1A">
        <w:rPr>
          <w:rFonts w:ascii="Book Antiqua" w:eastAsiaTheme="minorHAnsi" w:hAnsi="Book Antiqua" w:cs="Times New Roman"/>
          <w:noProof/>
          <w:kern w:val="0"/>
          <w:sz w:val="24"/>
          <w:szCs w:val="24"/>
          <w:vertAlign w:val="superscript"/>
        </w:rPr>
        <w:t>[</w:t>
      </w:r>
      <w:proofErr w:type="gramEnd"/>
      <w:r w:rsidR="00956CFC" w:rsidRPr="008F0C1A">
        <w:rPr>
          <w:rFonts w:ascii="Book Antiqua" w:eastAsiaTheme="minorHAnsi" w:hAnsi="Book Antiqua" w:cs="Times New Roman"/>
          <w:noProof/>
          <w:kern w:val="0"/>
          <w:sz w:val="24"/>
          <w:szCs w:val="24"/>
          <w:vertAlign w:val="superscript"/>
        </w:rPr>
        <w:t>4,9]</w:t>
      </w:r>
      <w:r w:rsidR="00786590" w:rsidRPr="008F0C1A">
        <w:rPr>
          <w:rFonts w:ascii="Book Antiqua" w:eastAsiaTheme="minorHAnsi" w:hAnsi="Book Antiqua" w:cs="Times New Roman"/>
          <w:kern w:val="0"/>
          <w:sz w:val="24"/>
          <w:szCs w:val="24"/>
        </w:rPr>
        <w:t>.</w:t>
      </w:r>
      <w:r w:rsidR="00006F6C" w:rsidRPr="008F0C1A">
        <w:rPr>
          <w:rFonts w:ascii="Book Antiqua" w:eastAsiaTheme="minorHAnsi" w:hAnsi="Book Antiqua" w:cs="Times New Roman"/>
          <w:kern w:val="0"/>
          <w:sz w:val="24"/>
          <w:szCs w:val="24"/>
        </w:rPr>
        <w:t xml:space="preserve"> </w:t>
      </w:r>
    </w:p>
    <w:p w:rsidR="0022406F" w:rsidRPr="008F0C1A" w:rsidRDefault="00B12ED4" w:rsidP="00A771AE">
      <w:pPr>
        <w:wordWrap/>
        <w:adjustRightInd w:val="0"/>
        <w:snapToGrid w:val="0"/>
        <w:spacing w:after="0" w:line="360" w:lineRule="auto"/>
        <w:ind w:firstLineChars="100" w:firstLine="240"/>
        <w:rPr>
          <w:rFonts w:ascii="Book Antiqua" w:eastAsiaTheme="minorHAnsi" w:hAnsi="Book Antiqua" w:cs="Times New Roman"/>
          <w:kern w:val="0"/>
          <w:sz w:val="24"/>
          <w:szCs w:val="24"/>
        </w:rPr>
      </w:pPr>
      <w:r w:rsidRPr="008F0C1A">
        <w:rPr>
          <w:rFonts w:ascii="Book Antiqua" w:eastAsiaTheme="minorHAnsi" w:hAnsi="Book Antiqua" w:cs="Times New Roman"/>
          <w:kern w:val="0"/>
          <w:sz w:val="24"/>
          <w:szCs w:val="24"/>
        </w:rPr>
        <w:t>S</w:t>
      </w:r>
      <w:r w:rsidR="004D4655" w:rsidRPr="008F0C1A">
        <w:rPr>
          <w:rFonts w:ascii="Book Antiqua" w:eastAsiaTheme="minorHAnsi" w:hAnsi="Book Antiqua" w:cs="Times New Roman"/>
          <w:kern w:val="0"/>
          <w:sz w:val="24"/>
          <w:szCs w:val="24"/>
        </w:rPr>
        <w:t xml:space="preserve">everal </w:t>
      </w:r>
      <w:r w:rsidRPr="008F0C1A">
        <w:rPr>
          <w:rFonts w:ascii="Book Antiqua" w:eastAsiaTheme="minorHAnsi" w:hAnsi="Book Antiqua" w:cs="Times New Roman"/>
          <w:kern w:val="0"/>
          <w:sz w:val="24"/>
          <w:szCs w:val="24"/>
        </w:rPr>
        <w:t xml:space="preserve">current </w:t>
      </w:r>
      <w:r w:rsidR="004D4655" w:rsidRPr="008F0C1A">
        <w:rPr>
          <w:rFonts w:ascii="Book Antiqua" w:eastAsiaTheme="minorHAnsi" w:hAnsi="Book Antiqua" w:cs="Times New Roman"/>
          <w:kern w:val="0"/>
          <w:sz w:val="24"/>
          <w:szCs w:val="24"/>
        </w:rPr>
        <w:t xml:space="preserve">randomized trials suggested that routine SLE had little or no influence on the prevention of delayed </w:t>
      </w:r>
      <w:proofErr w:type="gramStart"/>
      <w:r w:rsidR="004D4655" w:rsidRPr="008F0C1A">
        <w:rPr>
          <w:rFonts w:ascii="Book Antiqua" w:eastAsiaTheme="minorHAnsi" w:hAnsi="Book Antiqua" w:cs="Times New Roman"/>
          <w:kern w:val="0"/>
          <w:sz w:val="24"/>
          <w:szCs w:val="24"/>
        </w:rPr>
        <w:t>bleeding</w:t>
      </w:r>
      <w:r w:rsidR="00956CFC" w:rsidRPr="008F0C1A">
        <w:rPr>
          <w:rFonts w:ascii="Book Antiqua" w:eastAsiaTheme="minorHAnsi" w:hAnsi="Book Antiqua" w:cs="Times New Roman"/>
          <w:noProof/>
          <w:kern w:val="0"/>
          <w:sz w:val="24"/>
          <w:szCs w:val="24"/>
          <w:vertAlign w:val="superscript"/>
        </w:rPr>
        <w:t>[</w:t>
      </w:r>
      <w:proofErr w:type="gramEnd"/>
      <w:r w:rsidR="00956CFC" w:rsidRPr="008F0C1A">
        <w:rPr>
          <w:rFonts w:ascii="Book Antiqua" w:eastAsiaTheme="minorHAnsi" w:hAnsi="Book Antiqua" w:cs="Times New Roman"/>
          <w:noProof/>
          <w:kern w:val="0"/>
          <w:sz w:val="24"/>
          <w:szCs w:val="24"/>
          <w:vertAlign w:val="superscript"/>
        </w:rPr>
        <w:t>4,10]</w:t>
      </w:r>
      <w:r w:rsidR="00786590" w:rsidRPr="008F0C1A">
        <w:rPr>
          <w:rFonts w:ascii="Book Antiqua" w:eastAsiaTheme="minorHAnsi" w:hAnsi="Book Antiqua" w:cs="Times New Roman"/>
          <w:kern w:val="0"/>
          <w:sz w:val="24"/>
          <w:szCs w:val="24"/>
        </w:rPr>
        <w:t>.</w:t>
      </w:r>
      <w:r w:rsidR="004D4655" w:rsidRPr="008F0C1A">
        <w:rPr>
          <w:rFonts w:ascii="Book Antiqua" w:eastAsiaTheme="minorHAnsi" w:hAnsi="Book Antiqua" w:cs="Times New Roman"/>
          <w:kern w:val="0"/>
          <w:sz w:val="24"/>
          <w:szCs w:val="24"/>
        </w:rPr>
        <w:t xml:space="preserve"> However, most of them were limited to </w:t>
      </w:r>
      <w:r w:rsidRPr="008F0C1A">
        <w:rPr>
          <w:rFonts w:ascii="Book Antiqua" w:eastAsiaTheme="minorHAnsi" w:hAnsi="Book Antiqua" w:cs="Times New Roman"/>
          <w:kern w:val="0"/>
          <w:sz w:val="24"/>
          <w:szCs w:val="24"/>
        </w:rPr>
        <w:t>making</w:t>
      </w:r>
      <w:r w:rsidR="004D4655" w:rsidRPr="008F0C1A">
        <w:rPr>
          <w:rFonts w:ascii="Book Antiqua" w:eastAsiaTheme="minorHAnsi" w:hAnsi="Book Antiqua" w:cs="Times New Roman"/>
          <w:kern w:val="0"/>
          <w:sz w:val="24"/>
          <w:szCs w:val="24"/>
        </w:rPr>
        <w:t xml:space="preserve"> generaliz</w:t>
      </w:r>
      <w:r w:rsidRPr="008F0C1A">
        <w:rPr>
          <w:rFonts w:ascii="Book Antiqua" w:eastAsiaTheme="minorHAnsi" w:hAnsi="Book Antiqua" w:cs="Times New Roman"/>
          <w:kern w:val="0"/>
          <w:sz w:val="24"/>
          <w:szCs w:val="24"/>
        </w:rPr>
        <w:t>ations</w:t>
      </w:r>
      <w:r w:rsidR="004D4655" w:rsidRPr="008F0C1A">
        <w:rPr>
          <w:rFonts w:ascii="Book Antiqua" w:eastAsiaTheme="minorHAnsi" w:hAnsi="Book Antiqua" w:cs="Times New Roman"/>
          <w:kern w:val="0"/>
          <w:sz w:val="24"/>
          <w:szCs w:val="24"/>
        </w:rPr>
        <w:t xml:space="preserve"> because of </w:t>
      </w:r>
      <w:r w:rsidRPr="008F0C1A">
        <w:rPr>
          <w:rFonts w:ascii="Book Antiqua" w:eastAsiaTheme="minorHAnsi" w:hAnsi="Book Antiqua" w:cs="Times New Roman"/>
          <w:kern w:val="0"/>
          <w:sz w:val="24"/>
          <w:szCs w:val="24"/>
        </w:rPr>
        <w:t xml:space="preserve">the </w:t>
      </w:r>
      <w:r w:rsidR="004D4655" w:rsidRPr="008F0C1A">
        <w:rPr>
          <w:rFonts w:ascii="Book Antiqua" w:eastAsiaTheme="minorHAnsi" w:hAnsi="Book Antiqua" w:cs="Times New Roman"/>
          <w:kern w:val="0"/>
          <w:sz w:val="24"/>
          <w:szCs w:val="24"/>
        </w:rPr>
        <w:t xml:space="preserve">small scale, single center-based studies. In addition, recurrent bleeding is one of the most important risk factors for mortality, even though there </w:t>
      </w:r>
      <w:r w:rsidRPr="008F0C1A">
        <w:rPr>
          <w:rFonts w:ascii="Book Antiqua" w:eastAsiaTheme="minorHAnsi" w:hAnsi="Book Antiqua" w:cs="Times New Roman"/>
          <w:kern w:val="0"/>
          <w:sz w:val="24"/>
          <w:szCs w:val="24"/>
        </w:rPr>
        <w:t>are</w:t>
      </w:r>
      <w:r w:rsidR="004D4655" w:rsidRPr="008F0C1A">
        <w:rPr>
          <w:rFonts w:ascii="Book Antiqua" w:eastAsiaTheme="minorHAnsi" w:hAnsi="Book Antiqua" w:cs="Times New Roman"/>
          <w:kern w:val="0"/>
          <w:sz w:val="24"/>
          <w:szCs w:val="24"/>
        </w:rPr>
        <w:t xml:space="preserve"> fundamental difference in the pathophysiology of peptic ulcer</w:t>
      </w:r>
      <w:r w:rsidRPr="008F0C1A">
        <w:rPr>
          <w:rFonts w:ascii="Book Antiqua" w:eastAsiaTheme="minorHAnsi" w:hAnsi="Book Antiqua" w:cs="Times New Roman"/>
          <w:kern w:val="0"/>
          <w:sz w:val="24"/>
          <w:szCs w:val="24"/>
        </w:rPr>
        <w:t>s</w:t>
      </w:r>
      <w:r w:rsidR="004D4655" w:rsidRPr="008F0C1A">
        <w:rPr>
          <w:rFonts w:ascii="Book Antiqua" w:eastAsiaTheme="minorHAnsi" w:hAnsi="Book Antiqua" w:cs="Times New Roman"/>
          <w:kern w:val="0"/>
          <w:sz w:val="24"/>
          <w:szCs w:val="24"/>
        </w:rPr>
        <w:t xml:space="preserve"> and post-ESD </w:t>
      </w:r>
      <w:proofErr w:type="gramStart"/>
      <w:r w:rsidR="004D4655" w:rsidRPr="008F0C1A">
        <w:rPr>
          <w:rFonts w:ascii="Book Antiqua" w:eastAsiaTheme="minorHAnsi" w:hAnsi="Book Antiqua" w:cs="Times New Roman"/>
          <w:kern w:val="0"/>
          <w:sz w:val="24"/>
          <w:szCs w:val="24"/>
        </w:rPr>
        <w:t>ulcer</w:t>
      </w:r>
      <w:r w:rsidRPr="008F0C1A">
        <w:rPr>
          <w:rFonts w:ascii="Book Antiqua" w:eastAsiaTheme="minorHAnsi" w:hAnsi="Book Antiqua" w:cs="Times New Roman"/>
          <w:kern w:val="0"/>
          <w:sz w:val="24"/>
          <w:szCs w:val="24"/>
        </w:rPr>
        <w:t>s</w:t>
      </w:r>
      <w:r w:rsidR="00956CFC" w:rsidRPr="008F0C1A">
        <w:rPr>
          <w:rFonts w:ascii="Book Antiqua" w:eastAsiaTheme="minorHAnsi" w:hAnsi="Book Antiqua" w:cs="Times New Roman"/>
          <w:noProof/>
          <w:kern w:val="0"/>
          <w:sz w:val="24"/>
          <w:szCs w:val="24"/>
          <w:vertAlign w:val="superscript"/>
        </w:rPr>
        <w:t>[</w:t>
      </w:r>
      <w:proofErr w:type="gramEnd"/>
      <w:r w:rsidR="00956CFC" w:rsidRPr="008F0C1A">
        <w:rPr>
          <w:rFonts w:ascii="Book Antiqua" w:eastAsiaTheme="minorHAnsi" w:hAnsi="Book Antiqua" w:cs="Times New Roman"/>
          <w:noProof/>
          <w:kern w:val="0"/>
          <w:sz w:val="24"/>
          <w:szCs w:val="24"/>
          <w:vertAlign w:val="superscript"/>
        </w:rPr>
        <w:t>8]</w:t>
      </w:r>
      <w:r w:rsidR="00400F31" w:rsidRPr="008F0C1A">
        <w:rPr>
          <w:rFonts w:ascii="Book Antiqua" w:eastAsiaTheme="minorHAnsi" w:hAnsi="Book Antiqua" w:cs="Times New Roman"/>
          <w:kern w:val="0"/>
          <w:sz w:val="24"/>
          <w:szCs w:val="24"/>
        </w:rPr>
        <w:t>.</w:t>
      </w:r>
      <w:r w:rsidR="004D4655" w:rsidRPr="008F0C1A">
        <w:rPr>
          <w:rFonts w:ascii="Book Antiqua" w:eastAsiaTheme="minorHAnsi" w:hAnsi="Book Antiqua" w:cs="Times New Roman"/>
          <w:kern w:val="0"/>
          <w:sz w:val="24"/>
          <w:szCs w:val="24"/>
        </w:rPr>
        <w:t xml:space="preserve"> Therefore, the study of multiple aspects </w:t>
      </w:r>
      <w:r w:rsidR="00E37C81" w:rsidRPr="008F0C1A">
        <w:rPr>
          <w:rFonts w:ascii="Book Antiqua" w:eastAsiaTheme="minorHAnsi" w:hAnsi="Book Antiqua" w:cs="Times New Roman"/>
          <w:kern w:val="0"/>
          <w:sz w:val="24"/>
          <w:szCs w:val="24"/>
        </w:rPr>
        <w:t>for</w:t>
      </w:r>
      <w:r w:rsidR="004D4655" w:rsidRPr="008F0C1A">
        <w:rPr>
          <w:rFonts w:ascii="Book Antiqua" w:eastAsiaTheme="minorHAnsi" w:hAnsi="Book Antiqua" w:cs="Times New Roman"/>
          <w:kern w:val="0"/>
          <w:sz w:val="24"/>
          <w:szCs w:val="24"/>
        </w:rPr>
        <w:t xml:space="preserve"> </w:t>
      </w:r>
      <w:r w:rsidR="004D4655" w:rsidRPr="008F0C1A">
        <w:rPr>
          <w:rFonts w:ascii="Book Antiqua" w:eastAsiaTheme="minorHAnsi" w:hAnsi="Book Antiqua" w:cs="Times New Roman"/>
          <w:kern w:val="0"/>
          <w:sz w:val="24"/>
          <w:szCs w:val="24"/>
        </w:rPr>
        <w:lastRenderedPageBreak/>
        <w:t>predict</w:t>
      </w:r>
      <w:r w:rsidR="00E37C81" w:rsidRPr="008F0C1A">
        <w:rPr>
          <w:rFonts w:ascii="Book Antiqua" w:eastAsiaTheme="minorHAnsi" w:hAnsi="Book Antiqua" w:cs="Times New Roman"/>
          <w:kern w:val="0"/>
          <w:sz w:val="24"/>
          <w:szCs w:val="24"/>
        </w:rPr>
        <w:t>ing</w:t>
      </w:r>
      <w:r w:rsidR="004D4655" w:rsidRPr="008F0C1A">
        <w:rPr>
          <w:rFonts w:ascii="Book Antiqua" w:eastAsiaTheme="minorHAnsi" w:hAnsi="Book Antiqua" w:cs="Times New Roman"/>
          <w:kern w:val="0"/>
          <w:sz w:val="24"/>
          <w:szCs w:val="24"/>
        </w:rPr>
        <w:t xml:space="preserve"> the likelihood of post-ESD ulcer </w:t>
      </w:r>
      <w:proofErr w:type="spellStart"/>
      <w:r w:rsidR="004D4655" w:rsidRPr="008F0C1A">
        <w:rPr>
          <w:rFonts w:ascii="Book Antiqua" w:eastAsiaTheme="minorHAnsi" w:hAnsi="Book Antiqua" w:cs="Times New Roman"/>
          <w:kern w:val="0"/>
          <w:sz w:val="24"/>
          <w:szCs w:val="24"/>
        </w:rPr>
        <w:t>rebleeding</w:t>
      </w:r>
      <w:proofErr w:type="spellEnd"/>
      <w:r w:rsidR="004D4655" w:rsidRPr="008F0C1A">
        <w:rPr>
          <w:rFonts w:ascii="Book Antiqua" w:eastAsiaTheme="minorHAnsi" w:hAnsi="Book Antiqua" w:cs="Times New Roman"/>
          <w:kern w:val="0"/>
          <w:sz w:val="24"/>
          <w:szCs w:val="24"/>
        </w:rPr>
        <w:t xml:space="preserve"> is in progress. According to several studies, tumor location, tumor size, ulcerative findings, and long procedure time are suggested as risk factor for delayed bleeding</w:t>
      </w:r>
      <w:r w:rsidR="00956CFC" w:rsidRPr="008F0C1A">
        <w:rPr>
          <w:rFonts w:ascii="Book Antiqua" w:eastAsiaTheme="minorHAnsi" w:hAnsi="Book Antiqua" w:cs="Times New Roman"/>
          <w:noProof/>
          <w:kern w:val="0"/>
          <w:sz w:val="24"/>
          <w:szCs w:val="24"/>
          <w:vertAlign w:val="superscript"/>
        </w:rPr>
        <w:t>[4,11]</w:t>
      </w:r>
      <w:r w:rsidR="00400F31" w:rsidRPr="008F0C1A">
        <w:rPr>
          <w:rFonts w:ascii="Book Antiqua" w:eastAsiaTheme="minorHAnsi" w:hAnsi="Book Antiqua" w:cs="Times New Roman"/>
          <w:kern w:val="0"/>
          <w:sz w:val="24"/>
          <w:szCs w:val="24"/>
        </w:rPr>
        <w:t>.</w:t>
      </w:r>
      <w:r w:rsidR="004D4655" w:rsidRPr="008F0C1A">
        <w:rPr>
          <w:rFonts w:ascii="Book Antiqua" w:eastAsiaTheme="minorHAnsi" w:hAnsi="Book Antiqua" w:cs="Times New Roman"/>
          <w:kern w:val="0"/>
          <w:sz w:val="24"/>
          <w:szCs w:val="24"/>
        </w:rPr>
        <w:t xml:space="preserve"> However, these factors proved </w:t>
      </w:r>
      <w:r w:rsidR="00E37C81" w:rsidRPr="008F0C1A">
        <w:rPr>
          <w:rFonts w:ascii="Book Antiqua" w:eastAsiaTheme="minorHAnsi" w:hAnsi="Book Antiqua" w:cs="Times New Roman"/>
          <w:kern w:val="0"/>
          <w:sz w:val="24"/>
          <w:szCs w:val="24"/>
        </w:rPr>
        <w:t xml:space="preserve">not </w:t>
      </w:r>
      <w:r w:rsidR="004D4655" w:rsidRPr="008F0C1A">
        <w:rPr>
          <w:rFonts w:ascii="Book Antiqua" w:eastAsiaTheme="minorHAnsi" w:hAnsi="Book Antiqua" w:cs="Times New Roman"/>
          <w:kern w:val="0"/>
          <w:sz w:val="24"/>
          <w:szCs w:val="24"/>
        </w:rPr>
        <w:t xml:space="preserve">to be significant in this study. </w:t>
      </w:r>
      <w:r w:rsidR="008F3FD8" w:rsidRPr="008F0C1A">
        <w:rPr>
          <w:rFonts w:ascii="Book Antiqua" w:eastAsiaTheme="minorHAnsi" w:hAnsi="Book Antiqua" w:cs="Times New Roman"/>
          <w:kern w:val="0"/>
          <w:sz w:val="24"/>
          <w:szCs w:val="24"/>
        </w:rPr>
        <w:t xml:space="preserve">In this study, </w:t>
      </w:r>
      <w:r w:rsidR="00E37C81" w:rsidRPr="008F0C1A">
        <w:rPr>
          <w:rFonts w:ascii="Book Antiqua" w:eastAsiaTheme="minorHAnsi" w:hAnsi="Book Antiqua" w:cs="Times New Roman"/>
          <w:kern w:val="0"/>
          <w:sz w:val="24"/>
          <w:szCs w:val="24"/>
        </w:rPr>
        <w:t xml:space="preserve">the </w:t>
      </w:r>
      <w:r w:rsidR="008F3FD8" w:rsidRPr="008F0C1A">
        <w:rPr>
          <w:rFonts w:ascii="Book Antiqua" w:eastAsiaTheme="minorHAnsi" w:hAnsi="Book Antiqua" w:cs="Times New Roman"/>
          <w:kern w:val="0"/>
          <w:sz w:val="24"/>
          <w:szCs w:val="24"/>
        </w:rPr>
        <w:t>use of antiplatelet or anticoagulant agents, steroid</w:t>
      </w:r>
      <w:r w:rsidR="00E37C81" w:rsidRPr="008F0C1A">
        <w:rPr>
          <w:rFonts w:ascii="Book Antiqua" w:eastAsiaTheme="minorHAnsi" w:hAnsi="Book Antiqua" w:cs="Times New Roman"/>
          <w:kern w:val="0"/>
          <w:sz w:val="24"/>
          <w:szCs w:val="24"/>
        </w:rPr>
        <w:t>s</w:t>
      </w:r>
      <w:r w:rsidR="008F3FD8" w:rsidRPr="008F0C1A">
        <w:rPr>
          <w:rFonts w:ascii="Book Antiqua" w:eastAsiaTheme="minorHAnsi" w:hAnsi="Book Antiqua" w:cs="Times New Roman"/>
          <w:kern w:val="0"/>
          <w:sz w:val="24"/>
          <w:szCs w:val="24"/>
        </w:rPr>
        <w:t xml:space="preserve">, </w:t>
      </w:r>
      <w:r w:rsidR="00E37C81" w:rsidRPr="008F0C1A">
        <w:rPr>
          <w:rFonts w:ascii="Book Antiqua" w:eastAsiaTheme="minorHAnsi" w:hAnsi="Book Antiqua" w:cs="Times New Roman"/>
          <w:kern w:val="0"/>
          <w:sz w:val="24"/>
          <w:szCs w:val="24"/>
        </w:rPr>
        <w:t xml:space="preserve">and </w:t>
      </w:r>
      <w:r w:rsidR="008F3FD8" w:rsidRPr="008F0C1A">
        <w:rPr>
          <w:rFonts w:ascii="Book Antiqua" w:eastAsiaTheme="minorHAnsi" w:hAnsi="Book Antiqua" w:cs="Times New Roman"/>
          <w:kern w:val="0"/>
          <w:sz w:val="24"/>
          <w:szCs w:val="24"/>
        </w:rPr>
        <w:t>non</w:t>
      </w:r>
      <w:r w:rsidR="00400F31" w:rsidRPr="008F0C1A">
        <w:rPr>
          <w:rFonts w:ascii="Book Antiqua" w:eastAsiaTheme="minorHAnsi" w:hAnsi="Book Antiqua" w:cs="Times New Roman"/>
          <w:kern w:val="0"/>
          <w:sz w:val="24"/>
          <w:szCs w:val="24"/>
        </w:rPr>
        <w:t>-</w:t>
      </w:r>
      <w:r w:rsidR="008F3FD8" w:rsidRPr="008F0C1A">
        <w:rPr>
          <w:rFonts w:ascii="Book Antiqua" w:eastAsiaTheme="minorHAnsi" w:hAnsi="Book Antiqua" w:cs="Times New Roman"/>
          <w:kern w:val="0"/>
          <w:sz w:val="24"/>
          <w:szCs w:val="24"/>
        </w:rPr>
        <w:t xml:space="preserve">steroidal anti-inflammatory drugs (NSAIDs) </w:t>
      </w:r>
      <w:r w:rsidR="00E37C81" w:rsidRPr="008F0C1A">
        <w:rPr>
          <w:rFonts w:ascii="Book Antiqua" w:eastAsiaTheme="minorHAnsi" w:hAnsi="Book Antiqua" w:cs="Times New Roman"/>
          <w:kern w:val="0"/>
          <w:sz w:val="24"/>
          <w:szCs w:val="24"/>
        </w:rPr>
        <w:t>was</w:t>
      </w:r>
      <w:r w:rsidR="008F3FD8" w:rsidRPr="008F0C1A">
        <w:rPr>
          <w:rFonts w:ascii="Book Antiqua" w:eastAsiaTheme="minorHAnsi" w:hAnsi="Book Antiqua" w:cs="Times New Roman"/>
          <w:kern w:val="0"/>
          <w:sz w:val="24"/>
          <w:szCs w:val="24"/>
        </w:rPr>
        <w:t xml:space="preserve"> related with high risk of </w:t>
      </w:r>
      <w:proofErr w:type="spellStart"/>
      <w:r w:rsidR="006F679F" w:rsidRPr="008F0C1A">
        <w:rPr>
          <w:rFonts w:ascii="Book Antiqua" w:eastAsiaTheme="minorHAnsi" w:hAnsi="Book Antiqua" w:cs="Times New Roman"/>
          <w:kern w:val="0"/>
          <w:sz w:val="24"/>
          <w:szCs w:val="24"/>
        </w:rPr>
        <w:t>rebleeding</w:t>
      </w:r>
      <w:proofErr w:type="spellEnd"/>
      <w:r w:rsidR="008F3FD8" w:rsidRPr="008F0C1A">
        <w:rPr>
          <w:rFonts w:ascii="Book Antiqua" w:eastAsiaTheme="minorHAnsi" w:hAnsi="Book Antiqua" w:cs="Times New Roman"/>
          <w:kern w:val="0"/>
          <w:sz w:val="24"/>
          <w:szCs w:val="24"/>
        </w:rPr>
        <w:t xml:space="preserve"> after ESD. This result is consistent with previous studies on peptic ulcer </w:t>
      </w:r>
      <w:proofErr w:type="gramStart"/>
      <w:r w:rsidR="008F3FD8" w:rsidRPr="008F0C1A">
        <w:rPr>
          <w:rFonts w:ascii="Book Antiqua" w:eastAsiaTheme="minorHAnsi" w:hAnsi="Book Antiqua" w:cs="Times New Roman"/>
          <w:kern w:val="0"/>
          <w:sz w:val="24"/>
          <w:szCs w:val="24"/>
        </w:rPr>
        <w:t>bleeding</w:t>
      </w:r>
      <w:r w:rsidR="00956CFC" w:rsidRPr="008F0C1A">
        <w:rPr>
          <w:rFonts w:ascii="Book Antiqua" w:eastAsiaTheme="minorHAnsi" w:hAnsi="Book Antiqua" w:cs="Times New Roman"/>
          <w:noProof/>
          <w:kern w:val="0"/>
          <w:sz w:val="24"/>
          <w:szCs w:val="24"/>
          <w:vertAlign w:val="superscript"/>
        </w:rPr>
        <w:t>[</w:t>
      </w:r>
      <w:proofErr w:type="gramEnd"/>
      <w:r w:rsidR="00956CFC" w:rsidRPr="008F0C1A">
        <w:rPr>
          <w:rFonts w:ascii="Book Antiqua" w:eastAsiaTheme="minorHAnsi" w:hAnsi="Book Antiqua" w:cs="Times New Roman"/>
          <w:noProof/>
          <w:kern w:val="0"/>
          <w:sz w:val="24"/>
          <w:szCs w:val="24"/>
          <w:vertAlign w:val="superscript"/>
        </w:rPr>
        <w:t>12]</w:t>
      </w:r>
      <w:r w:rsidR="00400F31" w:rsidRPr="008F0C1A">
        <w:rPr>
          <w:rFonts w:ascii="Book Antiqua" w:eastAsiaTheme="minorHAnsi" w:hAnsi="Book Antiqua" w:cs="Times New Roman"/>
          <w:kern w:val="0"/>
          <w:sz w:val="24"/>
          <w:szCs w:val="24"/>
        </w:rPr>
        <w:t>.</w:t>
      </w:r>
    </w:p>
    <w:p w:rsidR="0022406F" w:rsidRPr="008F0C1A" w:rsidRDefault="00E37C81" w:rsidP="00A771AE">
      <w:pPr>
        <w:wordWrap/>
        <w:adjustRightInd w:val="0"/>
        <w:snapToGrid w:val="0"/>
        <w:spacing w:after="0" w:line="360" w:lineRule="auto"/>
        <w:ind w:firstLineChars="100" w:firstLine="240"/>
        <w:rPr>
          <w:rFonts w:ascii="Book Antiqua" w:eastAsiaTheme="minorHAnsi" w:hAnsi="Book Antiqua" w:cs="Times New Roman"/>
          <w:kern w:val="0"/>
          <w:sz w:val="24"/>
          <w:szCs w:val="24"/>
        </w:rPr>
      </w:pPr>
      <w:r w:rsidRPr="008F0C1A">
        <w:rPr>
          <w:rFonts w:ascii="Book Antiqua" w:eastAsiaTheme="minorHAnsi" w:hAnsi="Book Antiqua" w:cs="Times New Roman"/>
          <w:kern w:val="0"/>
          <w:sz w:val="24"/>
          <w:szCs w:val="24"/>
        </w:rPr>
        <w:t>T</w:t>
      </w:r>
      <w:r w:rsidR="004D4655" w:rsidRPr="008F0C1A">
        <w:rPr>
          <w:rFonts w:ascii="Book Antiqua" w:eastAsiaTheme="minorHAnsi" w:hAnsi="Book Antiqua" w:cs="Times New Roman"/>
          <w:kern w:val="0"/>
          <w:sz w:val="24"/>
          <w:szCs w:val="24"/>
        </w:rPr>
        <w:t xml:space="preserve">he presence of </w:t>
      </w:r>
      <w:r w:rsidR="004D4655" w:rsidRPr="008F0C1A">
        <w:rPr>
          <w:rFonts w:ascii="Book Antiqua" w:eastAsiaTheme="minorHAnsi" w:hAnsi="Book Antiqua" w:cs="Times New Roman"/>
          <w:i/>
          <w:kern w:val="0"/>
          <w:sz w:val="24"/>
          <w:szCs w:val="24"/>
        </w:rPr>
        <w:t>H. pylori</w:t>
      </w:r>
      <w:r w:rsidR="004D4655" w:rsidRPr="008F0C1A">
        <w:rPr>
          <w:rFonts w:ascii="Book Antiqua" w:eastAsiaTheme="minorHAnsi" w:hAnsi="Book Antiqua" w:cs="Times New Roman"/>
          <w:kern w:val="0"/>
          <w:sz w:val="24"/>
          <w:szCs w:val="24"/>
        </w:rPr>
        <w:t xml:space="preserve"> infection </w:t>
      </w:r>
      <w:r w:rsidRPr="008F0C1A">
        <w:rPr>
          <w:rFonts w:ascii="Book Antiqua" w:eastAsiaTheme="minorHAnsi" w:hAnsi="Book Antiqua" w:cs="Times New Roman"/>
          <w:kern w:val="0"/>
          <w:sz w:val="24"/>
          <w:szCs w:val="24"/>
        </w:rPr>
        <w:t xml:space="preserve">was confirmed </w:t>
      </w:r>
      <w:r w:rsidR="004D4655" w:rsidRPr="008F0C1A">
        <w:rPr>
          <w:rFonts w:ascii="Book Antiqua" w:eastAsiaTheme="minorHAnsi" w:hAnsi="Book Antiqua" w:cs="Times New Roman"/>
          <w:kern w:val="0"/>
          <w:sz w:val="24"/>
          <w:szCs w:val="24"/>
        </w:rPr>
        <w:t>using Giemsa staining or urea breath test</w:t>
      </w:r>
      <w:r w:rsidRPr="008F0C1A">
        <w:rPr>
          <w:rFonts w:ascii="Book Antiqua" w:eastAsiaTheme="minorHAnsi" w:hAnsi="Book Antiqua" w:cs="Times New Roman"/>
          <w:kern w:val="0"/>
          <w:sz w:val="24"/>
          <w:szCs w:val="24"/>
        </w:rPr>
        <w:t>,</w:t>
      </w:r>
      <w:r w:rsidR="004D4655" w:rsidRPr="008F0C1A">
        <w:rPr>
          <w:rFonts w:ascii="Book Antiqua" w:eastAsiaTheme="minorHAnsi" w:hAnsi="Book Antiqua" w:cs="Times New Roman"/>
          <w:kern w:val="0"/>
          <w:sz w:val="24"/>
          <w:szCs w:val="24"/>
        </w:rPr>
        <w:t xml:space="preserve"> because this bacterium disturbs the healing process of gastric ulcer</w:t>
      </w:r>
      <w:r w:rsidRPr="008F0C1A">
        <w:rPr>
          <w:rFonts w:ascii="Book Antiqua" w:eastAsiaTheme="minorHAnsi" w:hAnsi="Book Antiqua" w:cs="Times New Roman"/>
          <w:kern w:val="0"/>
          <w:sz w:val="24"/>
          <w:szCs w:val="24"/>
        </w:rPr>
        <w:t>s</w:t>
      </w:r>
      <w:r w:rsidR="00006F6C" w:rsidRPr="008F0C1A">
        <w:rPr>
          <w:rFonts w:ascii="Book Antiqua" w:eastAsiaTheme="minorHAnsi" w:hAnsi="Book Antiqua" w:cs="Times New Roman"/>
          <w:kern w:val="0"/>
          <w:sz w:val="24"/>
          <w:szCs w:val="24"/>
        </w:rPr>
        <w:t>.</w:t>
      </w:r>
    </w:p>
    <w:p w:rsidR="0022406F" w:rsidRPr="008F0C1A" w:rsidRDefault="004D4655" w:rsidP="00A771AE">
      <w:pPr>
        <w:wordWrap/>
        <w:adjustRightInd w:val="0"/>
        <w:snapToGrid w:val="0"/>
        <w:spacing w:after="0" w:line="360" w:lineRule="auto"/>
        <w:ind w:firstLineChars="100" w:firstLine="240"/>
        <w:rPr>
          <w:rFonts w:ascii="Book Antiqua" w:eastAsiaTheme="minorHAnsi" w:hAnsi="Book Antiqua" w:cs="Times New Roman"/>
          <w:kern w:val="0"/>
          <w:sz w:val="24"/>
          <w:szCs w:val="24"/>
        </w:rPr>
      </w:pPr>
      <w:r w:rsidRPr="008F0C1A">
        <w:rPr>
          <w:rFonts w:ascii="Book Antiqua" w:eastAsiaTheme="minorHAnsi" w:hAnsi="Book Antiqua" w:cs="Times New Roman"/>
          <w:kern w:val="0"/>
          <w:sz w:val="24"/>
          <w:szCs w:val="24"/>
        </w:rPr>
        <w:t>As a result, no significant difference</w:t>
      </w:r>
      <w:r w:rsidR="00E37C81" w:rsidRPr="008F0C1A">
        <w:rPr>
          <w:rFonts w:ascii="Book Antiqua" w:eastAsiaTheme="minorHAnsi" w:hAnsi="Book Antiqua" w:cs="Times New Roman"/>
          <w:kern w:val="0"/>
          <w:sz w:val="24"/>
          <w:szCs w:val="24"/>
        </w:rPr>
        <w:t>s were observed</w:t>
      </w:r>
      <w:r w:rsidRPr="008F0C1A">
        <w:rPr>
          <w:rFonts w:ascii="Book Antiqua" w:eastAsiaTheme="minorHAnsi" w:hAnsi="Book Antiqua" w:cs="Times New Roman"/>
          <w:kern w:val="0"/>
          <w:sz w:val="24"/>
          <w:szCs w:val="24"/>
        </w:rPr>
        <w:t xml:space="preserve"> between </w:t>
      </w:r>
      <w:r w:rsidR="00E37C81" w:rsidRPr="008F0C1A">
        <w:rPr>
          <w:rFonts w:ascii="Book Antiqua" w:eastAsiaTheme="minorHAnsi" w:hAnsi="Book Antiqua" w:cs="Times New Roman"/>
          <w:kern w:val="0"/>
          <w:sz w:val="24"/>
          <w:szCs w:val="24"/>
        </w:rPr>
        <w:t xml:space="preserve">the </w:t>
      </w:r>
      <w:r w:rsidRPr="008F0C1A">
        <w:rPr>
          <w:rFonts w:ascii="Book Antiqua" w:eastAsiaTheme="minorHAnsi" w:hAnsi="Book Antiqua" w:cs="Times New Roman"/>
          <w:kern w:val="0"/>
          <w:sz w:val="24"/>
          <w:szCs w:val="24"/>
        </w:rPr>
        <w:t>two groups (</w:t>
      </w:r>
      <w:r w:rsidR="00EF6AB7" w:rsidRPr="008F0C1A">
        <w:rPr>
          <w:rFonts w:ascii="Book Antiqua" w:eastAsiaTheme="minorHAnsi" w:hAnsi="Book Antiqua" w:cs="Times New Roman"/>
          <w:i/>
          <w:sz w:val="24"/>
          <w:szCs w:val="24"/>
        </w:rPr>
        <w:t>P</w:t>
      </w:r>
      <w:r w:rsidR="00EF6AB7" w:rsidRPr="008F0C1A">
        <w:rPr>
          <w:rFonts w:ascii="Book Antiqua" w:eastAsiaTheme="minorHAnsi" w:hAnsi="Book Antiqua" w:cs="Times New Roman"/>
          <w:i/>
          <w:kern w:val="0"/>
          <w:sz w:val="24"/>
          <w:szCs w:val="24"/>
        </w:rPr>
        <w:t xml:space="preserve"> </w:t>
      </w:r>
      <w:r w:rsidRPr="008F0C1A">
        <w:rPr>
          <w:rFonts w:ascii="Book Antiqua" w:eastAsiaTheme="minorHAnsi" w:hAnsi="Book Antiqua" w:cs="Times New Roman"/>
          <w:i/>
          <w:kern w:val="0"/>
          <w:sz w:val="24"/>
          <w:szCs w:val="24"/>
        </w:rPr>
        <w:t>=</w:t>
      </w:r>
      <w:r w:rsidRPr="008F0C1A">
        <w:rPr>
          <w:rFonts w:ascii="Book Antiqua" w:eastAsiaTheme="minorHAnsi" w:hAnsi="Book Antiqua" w:cs="Times New Roman"/>
          <w:kern w:val="0"/>
          <w:sz w:val="24"/>
          <w:szCs w:val="24"/>
        </w:rPr>
        <w:t xml:space="preserve"> 0.88)</w:t>
      </w:r>
      <w:r w:rsidR="00400F31" w:rsidRPr="008F0C1A">
        <w:rPr>
          <w:rFonts w:ascii="Book Antiqua" w:eastAsiaTheme="minorHAnsi" w:hAnsi="Book Antiqua" w:cs="Times New Roman"/>
          <w:kern w:val="0"/>
          <w:sz w:val="24"/>
          <w:szCs w:val="24"/>
        </w:rPr>
        <w:t>.</w:t>
      </w:r>
    </w:p>
    <w:p w:rsidR="0022406F" w:rsidRPr="008F0C1A" w:rsidRDefault="00464F98" w:rsidP="00A771AE">
      <w:pPr>
        <w:wordWrap/>
        <w:adjustRightInd w:val="0"/>
        <w:snapToGrid w:val="0"/>
        <w:spacing w:after="0" w:line="360" w:lineRule="auto"/>
        <w:ind w:firstLineChars="100" w:firstLine="240"/>
        <w:rPr>
          <w:rFonts w:ascii="Book Antiqua" w:eastAsiaTheme="minorHAnsi" w:hAnsi="Book Antiqua" w:cs="Times New Roman"/>
          <w:kern w:val="0"/>
          <w:sz w:val="24"/>
          <w:szCs w:val="24"/>
        </w:rPr>
      </w:pPr>
      <w:r w:rsidRPr="008F0C1A">
        <w:rPr>
          <w:rFonts w:ascii="Book Antiqua" w:eastAsiaTheme="minorHAnsi" w:hAnsi="Book Antiqua" w:cs="Times New Roman"/>
          <w:kern w:val="0"/>
          <w:sz w:val="24"/>
          <w:szCs w:val="24"/>
        </w:rPr>
        <w:t>In this study, t</w:t>
      </w:r>
      <w:r w:rsidR="00E37C81" w:rsidRPr="008F0C1A">
        <w:rPr>
          <w:rFonts w:ascii="Book Antiqua" w:eastAsiaTheme="minorHAnsi" w:hAnsi="Book Antiqua" w:cs="Times New Roman"/>
          <w:kern w:val="0"/>
          <w:sz w:val="24"/>
          <w:szCs w:val="24"/>
        </w:rPr>
        <w:t>he</w:t>
      </w:r>
      <w:r w:rsidR="004D4655" w:rsidRPr="008F0C1A">
        <w:rPr>
          <w:rFonts w:ascii="Book Antiqua" w:eastAsiaTheme="minorHAnsi" w:hAnsi="Book Antiqua" w:cs="Times New Roman"/>
          <w:kern w:val="0"/>
          <w:sz w:val="24"/>
          <w:szCs w:val="24"/>
        </w:rPr>
        <w:t xml:space="preserve"> post-ESD lesions </w:t>
      </w:r>
      <w:r w:rsidR="00E37C81" w:rsidRPr="008F0C1A">
        <w:rPr>
          <w:rFonts w:ascii="Book Antiqua" w:eastAsiaTheme="minorHAnsi" w:hAnsi="Book Antiqua" w:cs="Times New Roman"/>
          <w:kern w:val="0"/>
          <w:sz w:val="24"/>
          <w:szCs w:val="24"/>
        </w:rPr>
        <w:t xml:space="preserve">were classified </w:t>
      </w:r>
      <w:r w:rsidR="004D4655" w:rsidRPr="008F0C1A">
        <w:rPr>
          <w:rFonts w:ascii="Book Antiqua" w:eastAsiaTheme="minorHAnsi" w:hAnsi="Book Antiqua" w:cs="Times New Roman"/>
          <w:kern w:val="0"/>
          <w:sz w:val="24"/>
          <w:szCs w:val="24"/>
        </w:rPr>
        <w:t xml:space="preserve">according to Forrest classification. Forrest classification </w:t>
      </w:r>
      <w:r w:rsidR="00E37C81" w:rsidRPr="008F0C1A">
        <w:rPr>
          <w:rFonts w:ascii="Book Antiqua" w:eastAsiaTheme="minorHAnsi" w:hAnsi="Book Antiqua" w:cs="Times New Roman"/>
          <w:kern w:val="0"/>
          <w:sz w:val="24"/>
          <w:szCs w:val="24"/>
        </w:rPr>
        <w:t>is known to be</w:t>
      </w:r>
      <w:r w:rsidR="004D4655" w:rsidRPr="008F0C1A">
        <w:rPr>
          <w:rFonts w:ascii="Book Antiqua" w:eastAsiaTheme="minorHAnsi" w:hAnsi="Book Antiqua" w:cs="Times New Roman"/>
          <w:kern w:val="0"/>
          <w:sz w:val="24"/>
          <w:szCs w:val="24"/>
        </w:rPr>
        <w:t xml:space="preserve"> the most important factor among various predictive variables for gastroduodenal ulcer </w:t>
      </w:r>
      <w:proofErr w:type="spellStart"/>
      <w:proofErr w:type="gramStart"/>
      <w:r w:rsidR="004D4655" w:rsidRPr="008F0C1A">
        <w:rPr>
          <w:rFonts w:ascii="Book Antiqua" w:eastAsiaTheme="minorHAnsi" w:hAnsi="Book Antiqua" w:cs="Times New Roman"/>
          <w:kern w:val="0"/>
          <w:sz w:val="24"/>
          <w:szCs w:val="24"/>
        </w:rPr>
        <w:t>rebleeding</w:t>
      </w:r>
      <w:proofErr w:type="spellEnd"/>
      <w:r w:rsidR="00956CFC" w:rsidRPr="008F0C1A">
        <w:rPr>
          <w:rFonts w:ascii="Book Antiqua" w:eastAsiaTheme="minorHAnsi" w:hAnsi="Book Antiqua" w:cs="Times New Roman"/>
          <w:noProof/>
          <w:kern w:val="0"/>
          <w:sz w:val="24"/>
          <w:szCs w:val="24"/>
          <w:vertAlign w:val="superscript"/>
        </w:rPr>
        <w:t>[</w:t>
      </w:r>
      <w:proofErr w:type="gramEnd"/>
      <w:r w:rsidR="00956CFC" w:rsidRPr="008F0C1A">
        <w:rPr>
          <w:rFonts w:ascii="Book Antiqua" w:eastAsiaTheme="minorHAnsi" w:hAnsi="Book Antiqua" w:cs="Times New Roman"/>
          <w:noProof/>
          <w:kern w:val="0"/>
          <w:sz w:val="24"/>
          <w:szCs w:val="24"/>
          <w:vertAlign w:val="superscript"/>
        </w:rPr>
        <w:t>13,14]</w:t>
      </w:r>
      <w:r w:rsidR="00400F31" w:rsidRPr="008F0C1A">
        <w:rPr>
          <w:rFonts w:ascii="Book Antiqua" w:eastAsiaTheme="minorHAnsi" w:hAnsi="Book Antiqua" w:cs="Times New Roman"/>
          <w:kern w:val="0"/>
          <w:sz w:val="24"/>
          <w:szCs w:val="24"/>
        </w:rPr>
        <w:t>.</w:t>
      </w:r>
      <w:r w:rsidR="004D4655" w:rsidRPr="008F0C1A">
        <w:rPr>
          <w:rFonts w:ascii="Book Antiqua" w:eastAsiaTheme="minorHAnsi" w:hAnsi="Book Antiqua" w:cs="Times New Roman"/>
          <w:kern w:val="0"/>
          <w:sz w:val="24"/>
          <w:szCs w:val="24"/>
        </w:rPr>
        <w:t xml:space="preserve"> There is no doubt that higher Forrest classification has more bleeding risk than lower Forrest classification. In addition, Takizawa</w:t>
      </w:r>
      <w:r w:rsidR="007E7DE8" w:rsidRPr="008F0C1A">
        <w:rPr>
          <w:rFonts w:ascii="Book Antiqua" w:eastAsiaTheme="minorHAnsi" w:hAnsi="Book Antiqua" w:cs="Times New Roman"/>
          <w:kern w:val="0"/>
          <w:sz w:val="24"/>
          <w:szCs w:val="24"/>
        </w:rPr>
        <w:t xml:space="preserve"> </w:t>
      </w:r>
      <w:r w:rsidR="004D4655" w:rsidRPr="008F0C1A">
        <w:rPr>
          <w:rFonts w:ascii="Book Antiqua" w:eastAsiaTheme="minorHAnsi" w:hAnsi="Book Antiqua" w:cs="Times New Roman"/>
          <w:kern w:val="0"/>
          <w:sz w:val="24"/>
          <w:szCs w:val="24"/>
        </w:rPr>
        <w:t xml:space="preserve">et al. suggested that preventive coagulation of visible vessels in the resection area after ESD may lead to a lower bleeding </w:t>
      </w:r>
      <w:proofErr w:type="gramStart"/>
      <w:r w:rsidR="004D4655" w:rsidRPr="008F0C1A">
        <w:rPr>
          <w:rFonts w:ascii="Book Antiqua" w:eastAsiaTheme="minorHAnsi" w:hAnsi="Book Antiqua" w:cs="Times New Roman"/>
          <w:kern w:val="0"/>
          <w:sz w:val="24"/>
          <w:szCs w:val="24"/>
        </w:rPr>
        <w:t>rate</w:t>
      </w:r>
      <w:r w:rsidR="00956CFC" w:rsidRPr="008F0C1A">
        <w:rPr>
          <w:rFonts w:ascii="Book Antiqua" w:eastAsiaTheme="minorHAnsi" w:hAnsi="Book Antiqua" w:cs="Times New Roman"/>
          <w:noProof/>
          <w:kern w:val="0"/>
          <w:sz w:val="24"/>
          <w:szCs w:val="24"/>
          <w:vertAlign w:val="superscript"/>
        </w:rPr>
        <w:t>[</w:t>
      </w:r>
      <w:proofErr w:type="gramEnd"/>
      <w:r w:rsidR="00956CFC" w:rsidRPr="008F0C1A">
        <w:rPr>
          <w:rFonts w:ascii="Book Antiqua" w:eastAsiaTheme="minorHAnsi" w:hAnsi="Book Antiqua" w:cs="Times New Roman"/>
          <w:noProof/>
          <w:kern w:val="0"/>
          <w:sz w:val="24"/>
          <w:szCs w:val="24"/>
          <w:vertAlign w:val="superscript"/>
        </w:rPr>
        <w:t>15]</w:t>
      </w:r>
      <w:r w:rsidR="00400F31" w:rsidRPr="008F0C1A">
        <w:rPr>
          <w:rFonts w:ascii="Book Antiqua" w:eastAsiaTheme="minorHAnsi" w:hAnsi="Book Antiqua" w:cs="Times New Roman"/>
          <w:kern w:val="0"/>
          <w:sz w:val="24"/>
          <w:szCs w:val="24"/>
        </w:rPr>
        <w:t>.</w:t>
      </w:r>
      <w:r w:rsidR="004D4655" w:rsidRPr="008F0C1A">
        <w:rPr>
          <w:rFonts w:ascii="Book Antiqua" w:eastAsiaTheme="minorHAnsi" w:hAnsi="Book Antiqua" w:cs="Times New Roman"/>
          <w:kern w:val="0"/>
          <w:sz w:val="24"/>
          <w:szCs w:val="24"/>
        </w:rPr>
        <w:t xml:space="preserve"> In </w:t>
      </w:r>
      <w:r w:rsidR="00400F31" w:rsidRPr="008F0C1A">
        <w:rPr>
          <w:rFonts w:ascii="Book Antiqua" w:eastAsiaTheme="minorHAnsi" w:hAnsi="Book Antiqua" w:cs="Times New Roman"/>
          <w:kern w:val="0"/>
          <w:sz w:val="24"/>
          <w:szCs w:val="24"/>
        </w:rPr>
        <w:t xml:space="preserve">this </w:t>
      </w:r>
      <w:r w:rsidR="004D4655" w:rsidRPr="008F0C1A">
        <w:rPr>
          <w:rFonts w:ascii="Book Antiqua" w:eastAsiaTheme="minorHAnsi" w:hAnsi="Book Antiqua" w:cs="Times New Roman"/>
          <w:kern w:val="0"/>
          <w:sz w:val="24"/>
          <w:szCs w:val="24"/>
        </w:rPr>
        <w:t xml:space="preserve">study, pre-emptive prophylactic </w:t>
      </w:r>
      <w:r w:rsidR="00400F31" w:rsidRPr="008F0C1A">
        <w:rPr>
          <w:rFonts w:ascii="Book Antiqua" w:eastAsiaTheme="minorHAnsi" w:hAnsi="Book Antiqua" w:cs="Times New Roman"/>
          <w:kern w:val="0"/>
          <w:sz w:val="24"/>
          <w:szCs w:val="24"/>
        </w:rPr>
        <w:t xml:space="preserve">endoscopic </w:t>
      </w:r>
      <w:r w:rsidR="004D4655" w:rsidRPr="008F0C1A">
        <w:rPr>
          <w:rFonts w:ascii="Book Antiqua" w:eastAsiaTheme="minorHAnsi" w:hAnsi="Book Antiqua" w:cs="Times New Roman"/>
          <w:kern w:val="0"/>
          <w:sz w:val="24"/>
          <w:szCs w:val="24"/>
        </w:rPr>
        <w:t xml:space="preserve">treatment for </w:t>
      </w:r>
      <w:r w:rsidR="00E37C81" w:rsidRPr="008F0C1A">
        <w:rPr>
          <w:rFonts w:ascii="Book Antiqua" w:eastAsiaTheme="minorHAnsi" w:hAnsi="Book Antiqua" w:cs="Times New Roman"/>
          <w:kern w:val="0"/>
          <w:sz w:val="24"/>
          <w:szCs w:val="24"/>
        </w:rPr>
        <w:t xml:space="preserve">the </w:t>
      </w:r>
      <w:r w:rsidR="004D4655" w:rsidRPr="008F0C1A">
        <w:rPr>
          <w:rFonts w:ascii="Book Antiqua" w:eastAsiaTheme="minorHAnsi" w:hAnsi="Book Antiqua" w:cs="Times New Roman"/>
          <w:kern w:val="0"/>
          <w:sz w:val="24"/>
          <w:szCs w:val="24"/>
        </w:rPr>
        <w:t xml:space="preserve">high risk of </w:t>
      </w:r>
      <w:proofErr w:type="spellStart"/>
      <w:r w:rsidR="006F679F" w:rsidRPr="008F0C1A">
        <w:rPr>
          <w:rFonts w:ascii="Book Antiqua" w:eastAsiaTheme="minorHAnsi" w:hAnsi="Book Antiqua" w:cs="Times New Roman"/>
          <w:kern w:val="0"/>
          <w:sz w:val="24"/>
          <w:szCs w:val="24"/>
        </w:rPr>
        <w:t>rebleeding</w:t>
      </w:r>
      <w:proofErr w:type="spellEnd"/>
      <w:r w:rsidR="004D4655" w:rsidRPr="008F0C1A">
        <w:rPr>
          <w:rFonts w:ascii="Book Antiqua" w:eastAsiaTheme="minorHAnsi" w:hAnsi="Book Antiqua" w:cs="Times New Roman"/>
          <w:kern w:val="0"/>
          <w:sz w:val="24"/>
          <w:szCs w:val="24"/>
        </w:rPr>
        <w:t xml:space="preserve"> group </w:t>
      </w:r>
      <w:r w:rsidR="00400F31" w:rsidRPr="008F0C1A">
        <w:rPr>
          <w:rFonts w:ascii="Book Antiqua" w:eastAsiaTheme="minorHAnsi" w:hAnsi="Book Antiqua" w:cs="Times New Roman"/>
          <w:kern w:val="0"/>
          <w:sz w:val="24"/>
          <w:szCs w:val="24"/>
        </w:rPr>
        <w:t xml:space="preserve">during </w:t>
      </w:r>
      <w:r w:rsidR="004D4655" w:rsidRPr="008F0C1A">
        <w:rPr>
          <w:rFonts w:ascii="Book Antiqua" w:eastAsiaTheme="minorHAnsi" w:hAnsi="Book Antiqua" w:cs="Times New Roman"/>
          <w:kern w:val="0"/>
          <w:sz w:val="24"/>
          <w:szCs w:val="24"/>
        </w:rPr>
        <w:t xml:space="preserve">SLE </w:t>
      </w:r>
      <w:r w:rsidR="00E37C81" w:rsidRPr="008F0C1A">
        <w:rPr>
          <w:rFonts w:ascii="Book Antiqua" w:eastAsiaTheme="minorHAnsi" w:hAnsi="Book Antiqua" w:cs="Times New Roman"/>
          <w:kern w:val="0"/>
          <w:sz w:val="24"/>
          <w:szCs w:val="24"/>
        </w:rPr>
        <w:t>was found to</w:t>
      </w:r>
      <w:r w:rsidR="00400F31" w:rsidRPr="008F0C1A">
        <w:rPr>
          <w:rFonts w:ascii="Book Antiqua" w:eastAsiaTheme="minorHAnsi" w:hAnsi="Book Antiqua" w:cs="Times New Roman"/>
          <w:kern w:val="0"/>
          <w:sz w:val="24"/>
          <w:szCs w:val="24"/>
        </w:rPr>
        <w:t xml:space="preserve"> </w:t>
      </w:r>
      <w:r w:rsidR="004D4655" w:rsidRPr="008F0C1A">
        <w:rPr>
          <w:rFonts w:ascii="Book Antiqua" w:eastAsiaTheme="minorHAnsi" w:hAnsi="Book Antiqua" w:cs="Times New Roman"/>
          <w:kern w:val="0"/>
          <w:sz w:val="24"/>
          <w:szCs w:val="24"/>
        </w:rPr>
        <w:t>reduce delayed bleeding</w:t>
      </w:r>
      <w:r w:rsidR="00E37C81" w:rsidRPr="008F0C1A">
        <w:rPr>
          <w:rFonts w:ascii="Book Antiqua" w:eastAsiaTheme="minorHAnsi" w:hAnsi="Book Antiqua" w:cs="Times New Roman"/>
          <w:kern w:val="0"/>
          <w:sz w:val="24"/>
          <w:szCs w:val="24"/>
        </w:rPr>
        <w:t>,</w:t>
      </w:r>
      <w:r w:rsidR="004D4655" w:rsidRPr="008F0C1A">
        <w:rPr>
          <w:rFonts w:ascii="Book Antiqua" w:eastAsiaTheme="minorHAnsi" w:hAnsi="Book Antiqua" w:cs="Times New Roman"/>
          <w:kern w:val="0"/>
          <w:sz w:val="24"/>
          <w:szCs w:val="24"/>
        </w:rPr>
        <w:t xml:space="preserve"> as </w:t>
      </w:r>
      <w:r w:rsidR="00E37C81" w:rsidRPr="008F0C1A">
        <w:rPr>
          <w:rFonts w:ascii="Book Antiqua" w:eastAsiaTheme="minorHAnsi" w:hAnsi="Book Antiqua" w:cs="Times New Roman"/>
          <w:kern w:val="0"/>
          <w:sz w:val="24"/>
          <w:szCs w:val="24"/>
        </w:rPr>
        <w:t xml:space="preserve">much as the </w:t>
      </w:r>
      <w:r w:rsidR="004D4655" w:rsidRPr="008F0C1A">
        <w:rPr>
          <w:rFonts w:ascii="Book Antiqua" w:eastAsiaTheme="minorHAnsi" w:hAnsi="Book Antiqua" w:cs="Times New Roman"/>
          <w:kern w:val="0"/>
          <w:sz w:val="24"/>
          <w:szCs w:val="24"/>
        </w:rPr>
        <w:t>low risk group. Although SLE did not prevent all the delayed bleeding, early detection of delayed bleeding may preven</w:t>
      </w:r>
      <w:r w:rsidR="00006F6C" w:rsidRPr="008F0C1A">
        <w:rPr>
          <w:rFonts w:ascii="Book Antiqua" w:eastAsiaTheme="minorHAnsi" w:hAnsi="Book Antiqua" w:cs="Times New Roman"/>
          <w:kern w:val="0"/>
          <w:sz w:val="24"/>
          <w:szCs w:val="24"/>
        </w:rPr>
        <w:t>t cardiovascular complications.</w:t>
      </w:r>
    </w:p>
    <w:p w:rsidR="0022406F" w:rsidRPr="008F0C1A" w:rsidRDefault="004D4655" w:rsidP="00A771AE">
      <w:pPr>
        <w:wordWrap/>
        <w:adjustRightInd w:val="0"/>
        <w:snapToGrid w:val="0"/>
        <w:spacing w:after="0" w:line="360" w:lineRule="auto"/>
        <w:ind w:firstLineChars="100" w:firstLine="240"/>
        <w:rPr>
          <w:rFonts w:ascii="Book Antiqua" w:eastAsiaTheme="minorHAnsi" w:hAnsi="Book Antiqua" w:cs="Times New Roman"/>
          <w:color w:val="FF0000"/>
          <w:kern w:val="0"/>
          <w:sz w:val="24"/>
          <w:szCs w:val="24"/>
        </w:rPr>
      </w:pPr>
      <w:r w:rsidRPr="008F0C1A">
        <w:rPr>
          <w:rFonts w:ascii="Book Antiqua" w:eastAsiaTheme="minorHAnsi" w:hAnsi="Book Antiqua" w:cs="Times New Roman"/>
          <w:kern w:val="0"/>
          <w:sz w:val="24"/>
          <w:szCs w:val="24"/>
        </w:rPr>
        <w:t xml:space="preserve">From the viewpoint of probability, </w:t>
      </w:r>
      <w:r w:rsidR="005D12C5" w:rsidRPr="008F0C1A">
        <w:rPr>
          <w:rFonts w:ascii="Book Antiqua" w:eastAsiaTheme="minorHAnsi" w:hAnsi="Book Antiqua" w:cs="Times New Roman"/>
          <w:kern w:val="0"/>
          <w:sz w:val="24"/>
          <w:szCs w:val="24"/>
        </w:rPr>
        <w:t xml:space="preserve">the </w:t>
      </w:r>
      <w:r w:rsidRPr="008F0C1A">
        <w:rPr>
          <w:rFonts w:ascii="Book Antiqua" w:eastAsiaTheme="minorHAnsi" w:hAnsi="Book Antiqua" w:cs="Times New Roman"/>
          <w:kern w:val="0"/>
          <w:sz w:val="24"/>
          <w:szCs w:val="24"/>
        </w:rPr>
        <w:t xml:space="preserve">high risk of </w:t>
      </w:r>
      <w:proofErr w:type="spellStart"/>
      <w:r w:rsidR="006F679F" w:rsidRPr="008F0C1A">
        <w:rPr>
          <w:rFonts w:ascii="Book Antiqua" w:eastAsiaTheme="minorHAnsi" w:hAnsi="Book Antiqua" w:cs="Times New Roman"/>
          <w:kern w:val="0"/>
          <w:sz w:val="24"/>
          <w:szCs w:val="24"/>
        </w:rPr>
        <w:t>rebleeding</w:t>
      </w:r>
      <w:proofErr w:type="spellEnd"/>
      <w:r w:rsidRPr="008F0C1A">
        <w:rPr>
          <w:rFonts w:ascii="Book Antiqua" w:eastAsiaTheme="minorHAnsi" w:hAnsi="Book Antiqua" w:cs="Times New Roman"/>
          <w:kern w:val="0"/>
          <w:sz w:val="24"/>
          <w:szCs w:val="24"/>
        </w:rPr>
        <w:t xml:space="preserve"> group can be recognized as a group </w:t>
      </w:r>
      <w:r w:rsidR="005D12C5" w:rsidRPr="008F0C1A">
        <w:rPr>
          <w:rFonts w:ascii="Book Antiqua" w:eastAsiaTheme="minorHAnsi" w:hAnsi="Book Antiqua" w:cs="Times New Roman"/>
          <w:kern w:val="0"/>
          <w:sz w:val="24"/>
          <w:szCs w:val="24"/>
        </w:rPr>
        <w:t>with</w:t>
      </w:r>
      <w:r w:rsidRPr="008F0C1A">
        <w:rPr>
          <w:rFonts w:ascii="Book Antiqua" w:eastAsiaTheme="minorHAnsi" w:hAnsi="Book Antiqua" w:cs="Times New Roman"/>
          <w:kern w:val="0"/>
          <w:sz w:val="24"/>
          <w:szCs w:val="24"/>
        </w:rPr>
        <w:t xml:space="preserve"> potential </w:t>
      </w:r>
      <w:r w:rsidR="005D12C5" w:rsidRPr="008F0C1A">
        <w:rPr>
          <w:rFonts w:ascii="Book Antiqua" w:eastAsiaTheme="minorHAnsi" w:hAnsi="Book Antiqua" w:cs="Times New Roman"/>
          <w:kern w:val="0"/>
          <w:sz w:val="24"/>
          <w:szCs w:val="24"/>
        </w:rPr>
        <w:t xml:space="preserve">for </w:t>
      </w:r>
      <w:r w:rsidRPr="008F0C1A">
        <w:rPr>
          <w:rFonts w:ascii="Book Antiqua" w:eastAsiaTheme="minorHAnsi" w:hAnsi="Book Antiqua" w:cs="Times New Roman"/>
          <w:kern w:val="0"/>
          <w:sz w:val="24"/>
          <w:szCs w:val="24"/>
        </w:rPr>
        <w:t>bleeding</w:t>
      </w:r>
      <w:r w:rsidR="005D12C5" w:rsidRPr="008F0C1A">
        <w:rPr>
          <w:rFonts w:ascii="Book Antiqua" w:eastAsiaTheme="minorHAnsi" w:hAnsi="Book Antiqua" w:cs="Times New Roman"/>
          <w:kern w:val="0"/>
          <w:sz w:val="24"/>
          <w:szCs w:val="24"/>
        </w:rPr>
        <w:t>.</w:t>
      </w:r>
      <w:r w:rsidRPr="008F0C1A">
        <w:rPr>
          <w:rFonts w:ascii="Book Antiqua" w:eastAsiaTheme="minorHAnsi" w:hAnsi="Book Antiqua" w:cs="Times New Roman"/>
          <w:kern w:val="0"/>
          <w:sz w:val="24"/>
          <w:szCs w:val="24"/>
        </w:rPr>
        <w:t xml:space="preserve"> </w:t>
      </w:r>
      <w:r w:rsidR="005D12C5" w:rsidRPr="008F0C1A">
        <w:rPr>
          <w:rFonts w:ascii="Book Antiqua" w:eastAsiaTheme="minorHAnsi" w:hAnsi="Book Antiqua" w:cs="Times New Roman"/>
          <w:kern w:val="0"/>
          <w:sz w:val="24"/>
          <w:szCs w:val="24"/>
        </w:rPr>
        <w:t>In fact</w:t>
      </w:r>
      <w:r w:rsidRPr="008F0C1A">
        <w:rPr>
          <w:rFonts w:ascii="Book Antiqua" w:eastAsiaTheme="minorHAnsi" w:hAnsi="Book Antiqua" w:cs="Times New Roman"/>
          <w:kern w:val="0"/>
          <w:sz w:val="24"/>
          <w:szCs w:val="24"/>
        </w:rPr>
        <w:t xml:space="preserve">, </w:t>
      </w:r>
      <w:r w:rsidR="003718B2" w:rsidRPr="008F0C1A">
        <w:rPr>
          <w:rFonts w:ascii="Book Antiqua" w:eastAsiaTheme="minorHAnsi" w:hAnsi="Book Antiqua" w:cs="Times New Roman"/>
          <w:kern w:val="0"/>
          <w:sz w:val="24"/>
          <w:szCs w:val="24"/>
        </w:rPr>
        <w:t xml:space="preserve">cases with </w:t>
      </w:r>
      <w:r w:rsidRPr="008F0C1A">
        <w:rPr>
          <w:rFonts w:ascii="Book Antiqua" w:eastAsiaTheme="minorHAnsi" w:hAnsi="Book Antiqua" w:cs="Times New Roman"/>
          <w:kern w:val="0"/>
          <w:sz w:val="24"/>
          <w:szCs w:val="24"/>
        </w:rPr>
        <w:t xml:space="preserve">active arterial bleeding (Forrest class </w:t>
      </w:r>
      <w:proofErr w:type="spellStart"/>
      <w:proofErr w:type="gramStart"/>
      <w:r w:rsidRPr="008F0C1A">
        <w:rPr>
          <w:rFonts w:ascii="Book Antiqua" w:eastAsiaTheme="minorHAnsi" w:hAnsi="Book Antiqua" w:cs="Times New Roman"/>
          <w:kern w:val="0"/>
          <w:sz w:val="24"/>
          <w:szCs w:val="24"/>
        </w:rPr>
        <w:t>Ia</w:t>
      </w:r>
      <w:proofErr w:type="spellEnd"/>
      <w:proofErr w:type="gramEnd"/>
      <w:r w:rsidRPr="008F0C1A">
        <w:rPr>
          <w:rFonts w:ascii="Book Antiqua" w:eastAsiaTheme="minorHAnsi" w:hAnsi="Book Antiqua" w:cs="Times New Roman"/>
          <w:kern w:val="0"/>
          <w:sz w:val="24"/>
          <w:szCs w:val="24"/>
        </w:rPr>
        <w:t xml:space="preserve"> and </w:t>
      </w:r>
      <w:proofErr w:type="spellStart"/>
      <w:r w:rsidRPr="008F0C1A">
        <w:rPr>
          <w:rFonts w:ascii="Book Antiqua" w:eastAsiaTheme="minorHAnsi" w:hAnsi="Book Antiqua" w:cs="Times New Roman"/>
          <w:kern w:val="0"/>
          <w:sz w:val="24"/>
          <w:szCs w:val="24"/>
        </w:rPr>
        <w:t>Ib</w:t>
      </w:r>
      <w:proofErr w:type="spellEnd"/>
      <w:r w:rsidRPr="008F0C1A">
        <w:rPr>
          <w:rFonts w:ascii="Book Antiqua" w:eastAsiaTheme="minorHAnsi" w:hAnsi="Book Antiqua" w:cs="Times New Roman"/>
          <w:kern w:val="0"/>
          <w:sz w:val="24"/>
          <w:szCs w:val="24"/>
        </w:rPr>
        <w:t>) ha</w:t>
      </w:r>
      <w:r w:rsidR="003718B2" w:rsidRPr="008F0C1A">
        <w:rPr>
          <w:rFonts w:ascii="Book Antiqua" w:eastAsiaTheme="minorHAnsi" w:hAnsi="Book Antiqua" w:cs="Times New Roman"/>
          <w:kern w:val="0"/>
          <w:sz w:val="24"/>
          <w:szCs w:val="24"/>
        </w:rPr>
        <w:t>ve</w:t>
      </w:r>
      <w:r w:rsidRPr="008F0C1A">
        <w:rPr>
          <w:rFonts w:ascii="Book Antiqua" w:eastAsiaTheme="minorHAnsi" w:hAnsi="Book Antiqua" w:cs="Times New Roman"/>
          <w:kern w:val="0"/>
          <w:sz w:val="24"/>
          <w:szCs w:val="24"/>
        </w:rPr>
        <w:t xml:space="preserve"> a 90% risk of </w:t>
      </w:r>
      <w:proofErr w:type="spellStart"/>
      <w:r w:rsidRPr="008F0C1A">
        <w:rPr>
          <w:rFonts w:ascii="Book Antiqua" w:eastAsiaTheme="minorHAnsi" w:hAnsi="Book Antiqua" w:cs="Times New Roman"/>
          <w:kern w:val="0"/>
          <w:sz w:val="24"/>
          <w:szCs w:val="24"/>
        </w:rPr>
        <w:t>rebleeding</w:t>
      </w:r>
      <w:proofErr w:type="spellEnd"/>
      <w:r w:rsidRPr="008F0C1A">
        <w:rPr>
          <w:rFonts w:ascii="Book Antiqua" w:eastAsiaTheme="minorHAnsi" w:hAnsi="Book Antiqua" w:cs="Times New Roman"/>
          <w:kern w:val="0"/>
          <w:sz w:val="24"/>
          <w:szCs w:val="24"/>
        </w:rPr>
        <w:t>. Furthermore, non-bleeding visible vessel</w:t>
      </w:r>
      <w:r w:rsidR="003718B2" w:rsidRPr="008F0C1A">
        <w:rPr>
          <w:rFonts w:ascii="Book Antiqua" w:eastAsiaTheme="minorHAnsi" w:hAnsi="Book Antiqua" w:cs="Times New Roman"/>
          <w:kern w:val="0"/>
          <w:sz w:val="24"/>
          <w:szCs w:val="24"/>
        </w:rPr>
        <w:t>s</w:t>
      </w:r>
      <w:r w:rsidRPr="008F0C1A">
        <w:rPr>
          <w:rFonts w:ascii="Book Antiqua" w:eastAsiaTheme="minorHAnsi" w:hAnsi="Book Antiqua" w:cs="Times New Roman"/>
          <w:kern w:val="0"/>
          <w:sz w:val="24"/>
          <w:szCs w:val="24"/>
        </w:rPr>
        <w:t xml:space="preserve"> (Forrest class </w:t>
      </w:r>
      <w:proofErr w:type="spellStart"/>
      <w:r w:rsidRPr="008F0C1A">
        <w:rPr>
          <w:rFonts w:ascii="Book Antiqua" w:eastAsiaTheme="minorHAnsi" w:hAnsi="Book Antiqua" w:cs="Times New Roman"/>
          <w:kern w:val="0"/>
          <w:sz w:val="24"/>
          <w:szCs w:val="24"/>
        </w:rPr>
        <w:t>IIa</w:t>
      </w:r>
      <w:proofErr w:type="spellEnd"/>
      <w:r w:rsidRPr="008F0C1A">
        <w:rPr>
          <w:rFonts w:ascii="Book Antiqua" w:eastAsiaTheme="minorHAnsi" w:hAnsi="Book Antiqua" w:cs="Times New Roman"/>
          <w:kern w:val="0"/>
          <w:sz w:val="24"/>
          <w:szCs w:val="24"/>
        </w:rPr>
        <w:t>) ha</w:t>
      </w:r>
      <w:r w:rsidR="003718B2" w:rsidRPr="008F0C1A">
        <w:rPr>
          <w:rFonts w:ascii="Book Antiqua" w:eastAsiaTheme="minorHAnsi" w:hAnsi="Book Antiqua" w:cs="Times New Roman"/>
          <w:kern w:val="0"/>
          <w:sz w:val="24"/>
          <w:szCs w:val="24"/>
        </w:rPr>
        <w:t>ve</w:t>
      </w:r>
      <w:r w:rsidRPr="008F0C1A">
        <w:rPr>
          <w:rFonts w:ascii="Book Antiqua" w:eastAsiaTheme="minorHAnsi" w:hAnsi="Book Antiqua" w:cs="Times New Roman"/>
          <w:kern w:val="0"/>
          <w:sz w:val="24"/>
          <w:szCs w:val="24"/>
        </w:rPr>
        <w:t xml:space="preserve"> a 50% risk of </w:t>
      </w:r>
      <w:proofErr w:type="spellStart"/>
      <w:r w:rsidRPr="008F0C1A">
        <w:rPr>
          <w:rFonts w:ascii="Book Antiqua" w:eastAsiaTheme="minorHAnsi" w:hAnsi="Book Antiqua" w:cs="Times New Roman"/>
          <w:kern w:val="0"/>
          <w:sz w:val="24"/>
          <w:szCs w:val="24"/>
        </w:rPr>
        <w:t>rebleeding</w:t>
      </w:r>
      <w:proofErr w:type="spellEnd"/>
      <w:r w:rsidRPr="008F0C1A">
        <w:rPr>
          <w:rFonts w:ascii="Book Antiqua" w:eastAsiaTheme="minorHAnsi" w:hAnsi="Book Antiqua" w:cs="Times New Roman"/>
          <w:kern w:val="0"/>
          <w:sz w:val="24"/>
          <w:szCs w:val="24"/>
        </w:rPr>
        <w:t xml:space="preserve"> in spite of proper initial medical management. </w:t>
      </w:r>
      <w:proofErr w:type="gramStart"/>
      <w:r w:rsidRPr="008F0C1A">
        <w:rPr>
          <w:rFonts w:ascii="Book Antiqua" w:eastAsiaTheme="minorHAnsi" w:hAnsi="Book Antiqua" w:cs="Times New Roman"/>
          <w:kern w:val="0"/>
          <w:sz w:val="24"/>
          <w:szCs w:val="24"/>
        </w:rPr>
        <w:t xml:space="preserve">As for the potential bleeding, </w:t>
      </w:r>
      <w:r w:rsidR="003718B2" w:rsidRPr="008F0C1A">
        <w:rPr>
          <w:rFonts w:ascii="Book Antiqua" w:eastAsiaTheme="minorHAnsi" w:hAnsi="Book Antiqua" w:cs="Times New Roman"/>
          <w:kern w:val="0"/>
          <w:sz w:val="24"/>
          <w:szCs w:val="24"/>
        </w:rPr>
        <w:t xml:space="preserve">theoretically, </w:t>
      </w:r>
      <w:r w:rsidRPr="008F0C1A">
        <w:rPr>
          <w:rFonts w:ascii="Book Antiqua" w:eastAsiaTheme="minorHAnsi" w:hAnsi="Book Antiqua" w:cs="Times New Roman"/>
          <w:kern w:val="0"/>
          <w:sz w:val="24"/>
          <w:szCs w:val="24"/>
        </w:rPr>
        <w:t xml:space="preserve">at least 50% of </w:t>
      </w:r>
      <w:r w:rsidR="003718B2" w:rsidRPr="008F0C1A">
        <w:rPr>
          <w:rFonts w:ascii="Book Antiqua" w:eastAsiaTheme="minorHAnsi" w:hAnsi="Book Antiqua" w:cs="Times New Roman"/>
          <w:kern w:val="0"/>
          <w:sz w:val="24"/>
          <w:szCs w:val="24"/>
        </w:rPr>
        <w:t xml:space="preserve">the </w:t>
      </w:r>
      <w:r w:rsidRPr="008F0C1A">
        <w:rPr>
          <w:rFonts w:ascii="Book Antiqua" w:eastAsiaTheme="minorHAnsi" w:hAnsi="Book Antiqua" w:cs="Times New Roman"/>
          <w:kern w:val="0"/>
          <w:sz w:val="24"/>
          <w:szCs w:val="24"/>
        </w:rPr>
        <w:t xml:space="preserve">high risk of </w:t>
      </w:r>
      <w:proofErr w:type="spellStart"/>
      <w:r w:rsidR="006F679F" w:rsidRPr="008F0C1A">
        <w:rPr>
          <w:rFonts w:ascii="Book Antiqua" w:eastAsiaTheme="minorHAnsi" w:hAnsi="Book Antiqua" w:cs="Times New Roman"/>
          <w:kern w:val="0"/>
          <w:sz w:val="24"/>
          <w:szCs w:val="24"/>
        </w:rPr>
        <w:t>rebleeding</w:t>
      </w:r>
      <w:proofErr w:type="spellEnd"/>
      <w:r w:rsidRPr="008F0C1A">
        <w:rPr>
          <w:rFonts w:ascii="Book Antiqua" w:eastAsiaTheme="minorHAnsi" w:hAnsi="Book Antiqua" w:cs="Times New Roman"/>
          <w:kern w:val="0"/>
          <w:sz w:val="24"/>
          <w:szCs w:val="24"/>
        </w:rPr>
        <w:t xml:space="preserve"> group </w:t>
      </w:r>
      <w:r w:rsidR="00400F31" w:rsidRPr="008F0C1A">
        <w:rPr>
          <w:rFonts w:ascii="Book Antiqua" w:eastAsiaTheme="minorHAnsi" w:hAnsi="Book Antiqua" w:cs="Times New Roman"/>
          <w:kern w:val="0"/>
          <w:sz w:val="24"/>
          <w:szCs w:val="24"/>
        </w:rPr>
        <w:t xml:space="preserve">in this study </w:t>
      </w:r>
      <w:r w:rsidRPr="008F0C1A">
        <w:rPr>
          <w:rFonts w:ascii="Book Antiqua" w:eastAsiaTheme="minorHAnsi" w:hAnsi="Book Antiqua" w:cs="Times New Roman"/>
          <w:kern w:val="0"/>
          <w:sz w:val="24"/>
          <w:szCs w:val="24"/>
        </w:rPr>
        <w:t>ha</w:t>
      </w:r>
      <w:r w:rsidR="003718B2" w:rsidRPr="008F0C1A">
        <w:rPr>
          <w:rFonts w:ascii="Book Antiqua" w:eastAsiaTheme="minorHAnsi" w:hAnsi="Book Antiqua" w:cs="Times New Roman"/>
          <w:kern w:val="0"/>
          <w:sz w:val="24"/>
          <w:szCs w:val="24"/>
        </w:rPr>
        <w:t>d</w:t>
      </w:r>
      <w:r w:rsidRPr="008F0C1A">
        <w:rPr>
          <w:rFonts w:ascii="Book Antiqua" w:eastAsiaTheme="minorHAnsi" w:hAnsi="Book Antiqua" w:cs="Times New Roman"/>
          <w:kern w:val="0"/>
          <w:sz w:val="24"/>
          <w:szCs w:val="24"/>
        </w:rPr>
        <w:t xml:space="preserve"> </w:t>
      </w:r>
      <w:r w:rsidR="003718B2" w:rsidRPr="008F0C1A">
        <w:rPr>
          <w:rFonts w:ascii="Book Antiqua" w:eastAsiaTheme="minorHAnsi" w:hAnsi="Book Antiqua" w:cs="Times New Roman"/>
          <w:kern w:val="0"/>
          <w:sz w:val="24"/>
          <w:szCs w:val="24"/>
        </w:rPr>
        <w:t xml:space="preserve">the </w:t>
      </w:r>
      <w:r w:rsidRPr="008F0C1A">
        <w:rPr>
          <w:rFonts w:ascii="Book Antiqua" w:eastAsiaTheme="minorHAnsi" w:hAnsi="Book Antiqua" w:cs="Times New Roman"/>
          <w:kern w:val="0"/>
          <w:sz w:val="24"/>
          <w:szCs w:val="24"/>
        </w:rPr>
        <w:t xml:space="preserve">chance </w:t>
      </w:r>
      <w:r w:rsidR="003718B2" w:rsidRPr="008F0C1A">
        <w:rPr>
          <w:rFonts w:ascii="Book Antiqua" w:eastAsiaTheme="minorHAnsi" w:hAnsi="Book Antiqua" w:cs="Times New Roman"/>
          <w:kern w:val="0"/>
          <w:sz w:val="24"/>
          <w:szCs w:val="24"/>
        </w:rPr>
        <w:t>of</w:t>
      </w:r>
      <w:r w:rsidRPr="008F0C1A">
        <w:rPr>
          <w:rFonts w:ascii="Book Antiqua" w:eastAsiaTheme="minorHAnsi" w:hAnsi="Book Antiqua" w:cs="Times New Roman"/>
          <w:kern w:val="0"/>
          <w:sz w:val="24"/>
          <w:szCs w:val="24"/>
        </w:rPr>
        <w:t xml:space="preserve"> experienc</w:t>
      </w:r>
      <w:r w:rsidR="003718B2" w:rsidRPr="008F0C1A">
        <w:rPr>
          <w:rFonts w:ascii="Book Antiqua" w:eastAsiaTheme="minorHAnsi" w:hAnsi="Book Antiqua" w:cs="Times New Roman"/>
          <w:kern w:val="0"/>
          <w:sz w:val="24"/>
          <w:szCs w:val="24"/>
        </w:rPr>
        <w:t>ing</w:t>
      </w:r>
      <w:r w:rsidRPr="008F0C1A">
        <w:rPr>
          <w:rFonts w:ascii="Book Antiqua" w:eastAsiaTheme="minorHAnsi" w:hAnsi="Book Antiqua" w:cs="Times New Roman"/>
          <w:kern w:val="0"/>
          <w:sz w:val="24"/>
          <w:szCs w:val="24"/>
        </w:rPr>
        <w:t xml:space="preserve"> bleeding</w:t>
      </w:r>
      <w:r w:rsidR="003718B2" w:rsidRPr="008F0C1A">
        <w:rPr>
          <w:rFonts w:ascii="Book Antiqua" w:eastAsiaTheme="minorHAnsi" w:hAnsi="Book Antiqua" w:cs="Times New Roman"/>
          <w:kern w:val="0"/>
          <w:sz w:val="24"/>
          <w:szCs w:val="24"/>
        </w:rPr>
        <w:t>.</w:t>
      </w:r>
      <w:proofErr w:type="gramEnd"/>
      <w:r w:rsidRPr="008F0C1A">
        <w:rPr>
          <w:rFonts w:ascii="Book Antiqua" w:eastAsiaTheme="minorHAnsi" w:hAnsi="Book Antiqua" w:cs="Times New Roman"/>
          <w:kern w:val="0"/>
          <w:sz w:val="24"/>
          <w:szCs w:val="24"/>
        </w:rPr>
        <w:t xml:space="preserve"> This estimation is by no means </w:t>
      </w:r>
      <w:r w:rsidR="003718B2" w:rsidRPr="008F0C1A">
        <w:rPr>
          <w:rFonts w:ascii="Book Antiqua" w:eastAsiaTheme="minorHAnsi" w:hAnsi="Book Antiqua" w:cs="Times New Roman"/>
          <w:kern w:val="0"/>
          <w:sz w:val="24"/>
          <w:szCs w:val="24"/>
        </w:rPr>
        <w:t xml:space="preserve">a </w:t>
      </w:r>
      <w:r w:rsidRPr="008F0C1A">
        <w:rPr>
          <w:rFonts w:ascii="Book Antiqua" w:eastAsiaTheme="minorHAnsi" w:hAnsi="Book Antiqua" w:cs="Times New Roman"/>
          <w:kern w:val="0"/>
          <w:sz w:val="24"/>
          <w:szCs w:val="24"/>
        </w:rPr>
        <w:t>negligible level in post-ESD care. In this study, the incidence of complication</w:t>
      </w:r>
      <w:r w:rsidR="003718B2" w:rsidRPr="008F0C1A">
        <w:rPr>
          <w:rFonts w:ascii="Book Antiqua" w:eastAsiaTheme="minorHAnsi" w:hAnsi="Book Antiqua" w:cs="Times New Roman"/>
          <w:kern w:val="0"/>
          <w:sz w:val="24"/>
          <w:szCs w:val="24"/>
        </w:rPr>
        <w:t>s</w:t>
      </w:r>
      <w:r w:rsidRPr="008F0C1A">
        <w:rPr>
          <w:rFonts w:ascii="Book Antiqua" w:eastAsiaTheme="minorHAnsi" w:hAnsi="Book Antiqua" w:cs="Times New Roman"/>
          <w:kern w:val="0"/>
          <w:sz w:val="24"/>
          <w:szCs w:val="24"/>
        </w:rPr>
        <w:t xml:space="preserve"> after ESD, such as perforation or </w:t>
      </w:r>
      <w:r w:rsidRPr="008F0C1A">
        <w:rPr>
          <w:rFonts w:ascii="Book Antiqua" w:eastAsiaTheme="minorHAnsi" w:hAnsi="Book Antiqua" w:cs="Times New Roman"/>
          <w:kern w:val="0"/>
          <w:sz w:val="24"/>
          <w:szCs w:val="24"/>
        </w:rPr>
        <w:lastRenderedPageBreak/>
        <w:t>delayed bleeding</w:t>
      </w:r>
      <w:r w:rsidR="003718B2" w:rsidRPr="008F0C1A">
        <w:rPr>
          <w:rFonts w:ascii="Book Antiqua" w:eastAsiaTheme="minorHAnsi" w:hAnsi="Book Antiqua" w:cs="Times New Roman"/>
          <w:kern w:val="0"/>
          <w:sz w:val="24"/>
          <w:szCs w:val="24"/>
        </w:rPr>
        <w:t>,</w:t>
      </w:r>
      <w:r w:rsidRPr="008F0C1A">
        <w:rPr>
          <w:rFonts w:ascii="Book Antiqua" w:eastAsiaTheme="minorHAnsi" w:hAnsi="Book Antiqua" w:cs="Times New Roman"/>
          <w:kern w:val="0"/>
          <w:sz w:val="24"/>
          <w:szCs w:val="24"/>
        </w:rPr>
        <w:t xml:space="preserve"> w</w:t>
      </w:r>
      <w:r w:rsidR="003718B2" w:rsidRPr="008F0C1A">
        <w:rPr>
          <w:rFonts w:ascii="Book Antiqua" w:eastAsiaTheme="minorHAnsi" w:hAnsi="Book Antiqua" w:cs="Times New Roman"/>
          <w:kern w:val="0"/>
          <w:sz w:val="24"/>
          <w:szCs w:val="24"/>
        </w:rPr>
        <w:t>as</w:t>
      </w:r>
      <w:r w:rsidRPr="008F0C1A">
        <w:rPr>
          <w:rFonts w:ascii="Book Antiqua" w:eastAsiaTheme="minorHAnsi" w:hAnsi="Book Antiqua" w:cs="Times New Roman"/>
          <w:kern w:val="0"/>
          <w:sz w:val="24"/>
          <w:szCs w:val="24"/>
        </w:rPr>
        <w:t xml:space="preserve"> much lower than </w:t>
      </w:r>
      <w:r w:rsidR="003718B2" w:rsidRPr="008F0C1A">
        <w:rPr>
          <w:rFonts w:ascii="Book Antiqua" w:eastAsiaTheme="minorHAnsi" w:hAnsi="Book Antiqua" w:cs="Times New Roman"/>
          <w:kern w:val="0"/>
          <w:sz w:val="24"/>
          <w:szCs w:val="24"/>
        </w:rPr>
        <w:t xml:space="preserve">reported in </w:t>
      </w:r>
      <w:r w:rsidRPr="008F0C1A">
        <w:rPr>
          <w:rFonts w:ascii="Book Antiqua" w:eastAsiaTheme="minorHAnsi" w:hAnsi="Book Antiqua" w:cs="Times New Roman"/>
          <w:kern w:val="0"/>
          <w:sz w:val="24"/>
          <w:szCs w:val="24"/>
        </w:rPr>
        <w:t xml:space="preserve">previous </w:t>
      </w:r>
      <w:proofErr w:type="gramStart"/>
      <w:r w:rsidRPr="008F0C1A">
        <w:rPr>
          <w:rFonts w:ascii="Book Antiqua" w:eastAsiaTheme="minorHAnsi" w:hAnsi="Book Antiqua" w:cs="Times New Roman"/>
          <w:kern w:val="0"/>
          <w:sz w:val="24"/>
          <w:szCs w:val="24"/>
        </w:rPr>
        <w:t>studies</w:t>
      </w:r>
      <w:r w:rsidR="00956CFC" w:rsidRPr="008F0C1A">
        <w:rPr>
          <w:rFonts w:ascii="Book Antiqua" w:eastAsiaTheme="minorHAnsi" w:hAnsi="Book Antiqua" w:cs="Times New Roman"/>
          <w:noProof/>
          <w:kern w:val="0"/>
          <w:sz w:val="24"/>
          <w:szCs w:val="24"/>
          <w:vertAlign w:val="superscript"/>
        </w:rPr>
        <w:t>[</w:t>
      </w:r>
      <w:proofErr w:type="gramEnd"/>
      <w:r w:rsidR="00956CFC" w:rsidRPr="008F0C1A">
        <w:rPr>
          <w:rFonts w:ascii="Book Antiqua" w:eastAsiaTheme="minorHAnsi" w:hAnsi="Book Antiqua" w:cs="Times New Roman"/>
          <w:noProof/>
          <w:kern w:val="0"/>
          <w:sz w:val="24"/>
          <w:szCs w:val="24"/>
          <w:vertAlign w:val="superscript"/>
        </w:rPr>
        <w:t>4,9,16]</w:t>
      </w:r>
      <w:r w:rsidR="00400F31" w:rsidRPr="008F0C1A">
        <w:rPr>
          <w:rFonts w:ascii="Book Antiqua" w:eastAsiaTheme="minorHAnsi" w:hAnsi="Book Antiqua" w:cs="Times New Roman"/>
          <w:kern w:val="0"/>
          <w:sz w:val="24"/>
          <w:szCs w:val="24"/>
        </w:rPr>
        <w:t>.</w:t>
      </w:r>
      <w:r w:rsidRPr="008F0C1A">
        <w:rPr>
          <w:rFonts w:ascii="Book Antiqua" w:eastAsiaTheme="minorHAnsi" w:hAnsi="Book Antiqua" w:cs="Times New Roman"/>
          <w:kern w:val="0"/>
          <w:sz w:val="24"/>
          <w:szCs w:val="24"/>
        </w:rPr>
        <w:t xml:space="preserve"> </w:t>
      </w:r>
      <w:proofErr w:type="spellStart"/>
      <w:r w:rsidR="00400F31" w:rsidRPr="00F917A1">
        <w:rPr>
          <w:rFonts w:ascii="Book Antiqua" w:eastAsiaTheme="minorHAnsi" w:hAnsi="Book Antiqua" w:cs="Times New Roman"/>
          <w:i/>
          <w:kern w:val="0"/>
          <w:sz w:val="24"/>
          <w:szCs w:val="24"/>
        </w:rPr>
        <w:t>En</w:t>
      </w:r>
      <w:proofErr w:type="spellEnd"/>
      <w:r w:rsidR="00400F31" w:rsidRPr="00F917A1">
        <w:rPr>
          <w:rFonts w:ascii="Book Antiqua" w:eastAsiaTheme="minorHAnsi" w:hAnsi="Book Antiqua" w:cs="Times New Roman"/>
          <w:i/>
          <w:kern w:val="0"/>
          <w:sz w:val="24"/>
          <w:szCs w:val="24"/>
        </w:rPr>
        <w:t xml:space="preserve"> bloc </w:t>
      </w:r>
      <w:r w:rsidR="00400F31" w:rsidRPr="008F0C1A">
        <w:rPr>
          <w:rFonts w:ascii="Book Antiqua" w:eastAsiaTheme="minorHAnsi" w:hAnsi="Book Antiqua" w:cs="Times New Roman"/>
          <w:kern w:val="0"/>
          <w:sz w:val="24"/>
          <w:szCs w:val="24"/>
        </w:rPr>
        <w:t xml:space="preserve">resection rate was 100% (314/314), and curative resection rate was 99.0% (311/314) in </w:t>
      </w:r>
      <w:r w:rsidR="003718B2" w:rsidRPr="008F0C1A">
        <w:rPr>
          <w:rFonts w:ascii="Book Antiqua" w:eastAsiaTheme="minorHAnsi" w:hAnsi="Book Antiqua" w:cs="Times New Roman"/>
          <w:kern w:val="0"/>
          <w:sz w:val="24"/>
          <w:szCs w:val="24"/>
        </w:rPr>
        <w:t>the present</w:t>
      </w:r>
      <w:r w:rsidR="00400F31" w:rsidRPr="008F0C1A">
        <w:rPr>
          <w:rFonts w:ascii="Book Antiqua" w:eastAsiaTheme="minorHAnsi" w:hAnsi="Book Antiqua" w:cs="Times New Roman"/>
          <w:kern w:val="0"/>
          <w:sz w:val="24"/>
          <w:szCs w:val="24"/>
        </w:rPr>
        <w:t xml:space="preserve"> study. </w:t>
      </w:r>
      <w:r w:rsidRPr="008F0C1A">
        <w:rPr>
          <w:rFonts w:ascii="Book Antiqua" w:eastAsiaTheme="minorHAnsi" w:hAnsi="Book Antiqua" w:cs="Times New Roman"/>
          <w:kern w:val="0"/>
          <w:sz w:val="24"/>
          <w:szCs w:val="24"/>
        </w:rPr>
        <w:t xml:space="preserve">This result </w:t>
      </w:r>
      <w:r w:rsidR="003718B2" w:rsidRPr="008F0C1A">
        <w:rPr>
          <w:rFonts w:ascii="Book Antiqua" w:eastAsiaTheme="minorHAnsi" w:hAnsi="Book Antiqua" w:cs="Times New Roman"/>
          <w:kern w:val="0"/>
          <w:sz w:val="24"/>
          <w:szCs w:val="24"/>
        </w:rPr>
        <w:t>may</w:t>
      </w:r>
      <w:r w:rsidRPr="008F0C1A">
        <w:rPr>
          <w:rFonts w:ascii="Book Antiqua" w:eastAsiaTheme="minorHAnsi" w:hAnsi="Book Antiqua" w:cs="Times New Roman"/>
          <w:kern w:val="0"/>
          <w:sz w:val="24"/>
          <w:szCs w:val="24"/>
        </w:rPr>
        <w:t xml:space="preserve"> be derived from excellent outcomes owing to improvement in </w:t>
      </w:r>
      <w:r w:rsidR="003718B2" w:rsidRPr="008F0C1A">
        <w:rPr>
          <w:rFonts w:ascii="Book Antiqua" w:eastAsiaTheme="minorHAnsi" w:hAnsi="Book Antiqua" w:cs="Times New Roman"/>
          <w:kern w:val="0"/>
          <w:sz w:val="24"/>
          <w:szCs w:val="24"/>
        </w:rPr>
        <w:t xml:space="preserve">the </w:t>
      </w:r>
      <w:r w:rsidRPr="008F0C1A">
        <w:rPr>
          <w:rFonts w:ascii="Book Antiqua" w:eastAsiaTheme="minorHAnsi" w:hAnsi="Book Antiqua" w:cs="Times New Roman"/>
          <w:kern w:val="0"/>
          <w:sz w:val="24"/>
          <w:szCs w:val="24"/>
        </w:rPr>
        <w:t xml:space="preserve">techniques and therapeutic modalities. In </w:t>
      </w:r>
      <w:r w:rsidR="003718B2" w:rsidRPr="008F0C1A">
        <w:rPr>
          <w:rFonts w:ascii="Book Antiqua" w:eastAsiaTheme="minorHAnsi" w:hAnsi="Book Antiqua" w:cs="Times New Roman"/>
          <w:kern w:val="0"/>
          <w:sz w:val="24"/>
          <w:szCs w:val="24"/>
        </w:rPr>
        <w:t xml:space="preserve">a </w:t>
      </w:r>
      <w:r w:rsidRPr="008F0C1A">
        <w:rPr>
          <w:rFonts w:ascii="Book Antiqua" w:eastAsiaTheme="minorHAnsi" w:hAnsi="Book Antiqua" w:cs="Times New Roman"/>
          <w:kern w:val="0"/>
          <w:sz w:val="24"/>
          <w:szCs w:val="24"/>
        </w:rPr>
        <w:t xml:space="preserve">previous study, positive/indeterminate lateral margin was suggested as </w:t>
      </w:r>
      <w:r w:rsidR="003718B2" w:rsidRPr="008F0C1A">
        <w:rPr>
          <w:rFonts w:ascii="Book Antiqua" w:eastAsiaTheme="minorHAnsi" w:hAnsi="Book Antiqua" w:cs="Times New Roman"/>
          <w:kern w:val="0"/>
          <w:sz w:val="24"/>
          <w:szCs w:val="24"/>
        </w:rPr>
        <w:t xml:space="preserve">a </w:t>
      </w:r>
      <w:r w:rsidRPr="008F0C1A">
        <w:rPr>
          <w:rFonts w:ascii="Book Antiqua" w:eastAsiaTheme="minorHAnsi" w:hAnsi="Book Antiqua" w:cs="Times New Roman"/>
          <w:kern w:val="0"/>
          <w:sz w:val="24"/>
          <w:szCs w:val="24"/>
        </w:rPr>
        <w:t xml:space="preserve">significant risk factor for delayed bleeding from </w:t>
      </w:r>
      <w:proofErr w:type="gramStart"/>
      <w:r w:rsidRPr="008F0C1A">
        <w:rPr>
          <w:rFonts w:ascii="Book Antiqua" w:eastAsiaTheme="minorHAnsi" w:hAnsi="Book Antiqua" w:cs="Times New Roman"/>
          <w:kern w:val="0"/>
          <w:sz w:val="24"/>
          <w:szCs w:val="24"/>
        </w:rPr>
        <w:t>ESD</w:t>
      </w:r>
      <w:r w:rsidR="00956CFC" w:rsidRPr="008F0C1A">
        <w:rPr>
          <w:rFonts w:ascii="Book Antiqua" w:eastAsiaTheme="minorHAnsi" w:hAnsi="Book Antiqua" w:cs="Times New Roman"/>
          <w:noProof/>
          <w:kern w:val="0"/>
          <w:sz w:val="24"/>
          <w:szCs w:val="24"/>
          <w:vertAlign w:val="superscript"/>
        </w:rPr>
        <w:t>[</w:t>
      </w:r>
      <w:proofErr w:type="gramEnd"/>
      <w:r w:rsidR="00956CFC" w:rsidRPr="008F0C1A">
        <w:rPr>
          <w:rFonts w:ascii="Book Antiqua" w:eastAsiaTheme="minorHAnsi" w:hAnsi="Book Antiqua" w:cs="Times New Roman"/>
          <w:noProof/>
          <w:kern w:val="0"/>
          <w:sz w:val="24"/>
          <w:szCs w:val="24"/>
          <w:vertAlign w:val="superscript"/>
        </w:rPr>
        <w:t>17]</w:t>
      </w:r>
      <w:r w:rsidR="00400F31" w:rsidRPr="008F0C1A">
        <w:rPr>
          <w:rFonts w:ascii="Book Antiqua" w:eastAsiaTheme="minorHAnsi" w:hAnsi="Book Antiqua" w:cs="Times New Roman"/>
          <w:kern w:val="0"/>
          <w:sz w:val="24"/>
          <w:szCs w:val="24"/>
        </w:rPr>
        <w:t>.</w:t>
      </w:r>
      <w:r w:rsidR="008F3FD8" w:rsidRPr="008F0C1A">
        <w:rPr>
          <w:rFonts w:ascii="Book Antiqua" w:eastAsiaTheme="minorHAnsi" w:hAnsi="Book Antiqua" w:cs="Times New Roman"/>
          <w:kern w:val="0"/>
          <w:sz w:val="24"/>
          <w:szCs w:val="24"/>
        </w:rPr>
        <w:t xml:space="preserve"> </w:t>
      </w:r>
      <w:r w:rsidR="00FD3D35" w:rsidRPr="008F0C1A">
        <w:rPr>
          <w:rFonts w:ascii="Book Antiqua" w:eastAsiaTheme="minorHAnsi" w:hAnsi="Book Antiqua" w:cs="Times New Roman"/>
          <w:kern w:val="0"/>
          <w:sz w:val="24"/>
          <w:szCs w:val="24"/>
        </w:rPr>
        <w:t>Interestingly</w:t>
      </w:r>
      <w:r w:rsidRPr="008F0C1A">
        <w:rPr>
          <w:rFonts w:ascii="Book Antiqua" w:eastAsiaTheme="minorHAnsi" w:hAnsi="Book Antiqua" w:cs="Times New Roman"/>
          <w:kern w:val="0"/>
          <w:sz w:val="24"/>
          <w:szCs w:val="24"/>
        </w:rPr>
        <w:t xml:space="preserve">, </w:t>
      </w:r>
      <w:r w:rsidR="003718B2" w:rsidRPr="008F0C1A">
        <w:rPr>
          <w:rFonts w:ascii="Book Antiqua" w:eastAsiaTheme="minorHAnsi" w:hAnsi="Book Antiqua" w:cs="Times New Roman"/>
          <w:kern w:val="0"/>
          <w:sz w:val="24"/>
          <w:szCs w:val="24"/>
        </w:rPr>
        <w:t xml:space="preserve">the </w:t>
      </w:r>
      <w:r w:rsidRPr="008F0C1A">
        <w:rPr>
          <w:rFonts w:ascii="Book Antiqua" w:eastAsiaTheme="minorHAnsi" w:hAnsi="Book Antiqua" w:cs="Times New Roman"/>
          <w:kern w:val="0"/>
          <w:sz w:val="24"/>
          <w:szCs w:val="24"/>
        </w:rPr>
        <w:t xml:space="preserve">low risk of </w:t>
      </w:r>
      <w:proofErr w:type="spellStart"/>
      <w:r w:rsidR="006F679F" w:rsidRPr="008F0C1A">
        <w:rPr>
          <w:rFonts w:ascii="Book Antiqua" w:eastAsiaTheme="minorHAnsi" w:hAnsi="Book Antiqua" w:cs="Times New Roman"/>
          <w:kern w:val="0"/>
          <w:sz w:val="24"/>
          <w:szCs w:val="24"/>
        </w:rPr>
        <w:t>rebleeding</w:t>
      </w:r>
      <w:proofErr w:type="spellEnd"/>
      <w:r w:rsidRPr="008F0C1A">
        <w:rPr>
          <w:rFonts w:ascii="Book Antiqua" w:eastAsiaTheme="minorHAnsi" w:hAnsi="Book Antiqua" w:cs="Times New Roman"/>
          <w:kern w:val="0"/>
          <w:sz w:val="24"/>
          <w:szCs w:val="24"/>
        </w:rPr>
        <w:t xml:space="preserve"> group </w:t>
      </w:r>
      <w:r w:rsidR="003718B2" w:rsidRPr="008F0C1A">
        <w:rPr>
          <w:rFonts w:ascii="Book Antiqua" w:eastAsiaTheme="minorHAnsi" w:hAnsi="Book Antiqua" w:cs="Times New Roman"/>
          <w:kern w:val="0"/>
          <w:sz w:val="24"/>
          <w:szCs w:val="24"/>
        </w:rPr>
        <w:t>w</w:t>
      </w:r>
      <w:r w:rsidRPr="008F0C1A">
        <w:rPr>
          <w:rFonts w:ascii="Book Antiqua" w:eastAsiaTheme="minorHAnsi" w:hAnsi="Book Antiqua" w:cs="Times New Roman"/>
          <w:kern w:val="0"/>
          <w:sz w:val="24"/>
          <w:szCs w:val="24"/>
        </w:rPr>
        <w:t xml:space="preserve">as taking more medication with bleeding tendency compared with </w:t>
      </w:r>
      <w:r w:rsidR="003718B2" w:rsidRPr="008F0C1A">
        <w:rPr>
          <w:rFonts w:ascii="Book Antiqua" w:eastAsiaTheme="minorHAnsi" w:hAnsi="Book Antiqua" w:cs="Times New Roman"/>
          <w:kern w:val="0"/>
          <w:sz w:val="24"/>
          <w:szCs w:val="24"/>
        </w:rPr>
        <w:t xml:space="preserve">the </w:t>
      </w:r>
      <w:r w:rsidRPr="008F0C1A">
        <w:rPr>
          <w:rFonts w:ascii="Book Antiqua" w:eastAsiaTheme="minorHAnsi" w:hAnsi="Book Antiqua" w:cs="Times New Roman"/>
          <w:kern w:val="0"/>
          <w:sz w:val="24"/>
          <w:szCs w:val="24"/>
        </w:rPr>
        <w:t xml:space="preserve">high risk of </w:t>
      </w:r>
      <w:proofErr w:type="spellStart"/>
      <w:r w:rsidR="006F679F" w:rsidRPr="008F0C1A">
        <w:rPr>
          <w:rFonts w:ascii="Book Antiqua" w:eastAsiaTheme="minorHAnsi" w:hAnsi="Book Antiqua" w:cs="Times New Roman"/>
          <w:kern w:val="0"/>
          <w:sz w:val="24"/>
          <w:szCs w:val="24"/>
        </w:rPr>
        <w:t>rebleeding</w:t>
      </w:r>
      <w:proofErr w:type="spellEnd"/>
      <w:r w:rsidRPr="008F0C1A">
        <w:rPr>
          <w:rFonts w:ascii="Book Antiqua" w:eastAsiaTheme="minorHAnsi" w:hAnsi="Book Antiqua" w:cs="Times New Roman"/>
          <w:kern w:val="0"/>
          <w:sz w:val="24"/>
          <w:szCs w:val="24"/>
        </w:rPr>
        <w:t xml:space="preserve"> group. Exposure to such drugs is well known to </w:t>
      </w:r>
      <w:r w:rsidR="003718B2" w:rsidRPr="008F0C1A">
        <w:rPr>
          <w:rFonts w:ascii="Book Antiqua" w:eastAsiaTheme="minorHAnsi" w:hAnsi="Book Antiqua" w:cs="Times New Roman"/>
          <w:kern w:val="0"/>
          <w:sz w:val="24"/>
          <w:szCs w:val="24"/>
        </w:rPr>
        <w:t xml:space="preserve">substantially </w:t>
      </w:r>
      <w:r w:rsidRPr="008F0C1A">
        <w:rPr>
          <w:rFonts w:ascii="Book Antiqua" w:eastAsiaTheme="minorHAnsi" w:hAnsi="Book Antiqua" w:cs="Times New Roman"/>
          <w:kern w:val="0"/>
          <w:sz w:val="24"/>
          <w:szCs w:val="24"/>
        </w:rPr>
        <w:t xml:space="preserve">increase </w:t>
      </w:r>
      <w:r w:rsidR="003718B2" w:rsidRPr="008F0C1A">
        <w:rPr>
          <w:rFonts w:ascii="Book Antiqua" w:eastAsiaTheme="minorHAnsi" w:hAnsi="Book Antiqua" w:cs="Times New Roman"/>
          <w:kern w:val="0"/>
          <w:sz w:val="24"/>
          <w:szCs w:val="24"/>
        </w:rPr>
        <w:t>the</w:t>
      </w:r>
      <w:r w:rsidRPr="008F0C1A">
        <w:rPr>
          <w:rFonts w:ascii="Book Antiqua" w:eastAsiaTheme="minorHAnsi" w:hAnsi="Book Antiqua" w:cs="Times New Roman"/>
          <w:kern w:val="0"/>
          <w:sz w:val="24"/>
          <w:szCs w:val="24"/>
        </w:rPr>
        <w:t xml:space="preserve"> bleeding risk of peptic </w:t>
      </w:r>
      <w:proofErr w:type="gramStart"/>
      <w:r w:rsidRPr="008F0C1A">
        <w:rPr>
          <w:rFonts w:ascii="Book Antiqua" w:eastAsiaTheme="minorHAnsi" w:hAnsi="Book Antiqua" w:cs="Times New Roman"/>
          <w:kern w:val="0"/>
          <w:sz w:val="24"/>
          <w:szCs w:val="24"/>
        </w:rPr>
        <w:t>ulcer</w:t>
      </w:r>
      <w:r w:rsidR="003718B2" w:rsidRPr="008F0C1A">
        <w:rPr>
          <w:rFonts w:ascii="Book Antiqua" w:eastAsiaTheme="minorHAnsi" w:hAnsi="Book Antiqua" w:cs="Times New Roman"/>
          <w:kern w:val="0"/>
          <w:sz w:val="24"/>
          <w:szCs w:val="24"/>
        </w:rPr>
        <w:t>s</w:t>
      </w:r>
      <w:r w:rsidR="00956CFC" w:rsidRPr="008F0C1A">
        <w:rPr>
          <w:rFonts w:ascii="Book Antiqua" w:eastAsiaTheme="minorHAnsi" w:hAnsi="Book Antiqua" w:cs="Times New Roman"/>
          <w:noProof/>
          <w:kern w:val="0"/>
          <w:sz w:val="24"/>
          <w:szCs w:val="24"/>
          <w:vertAlign w:val="superscript"/>
        </w:rPr>
        <w:t>[</w:t>
      </w:r>
      <w:proofErr w:type="gramEnd"/>
      <w:r w:rsidR="00956CFC" w:rsidRPr="008F0C1A">
        <w:rPr>
          <w:rFonts w:ascii="Book Antiqua" w:eastAsiaTheme="minorHAnsi" w:hAnsi="Book Antiqua" w:cs="Times New Roman"/>
          <w:noProof/>
          <w:kern w:val="0"/>
          <w:sz w:val="24"/>
          <w:szCs w:val="24"/>
          <w:vertAlign w:val="superscript"/>
        </w:rPr>
        <w:t>13,18,19]</w:t>
      </w:r>
      <w:r w:rsidR="001018D2" w:rsidRPr="008F0C1A">
        <w:rPr>
          <w:rFonts w:ascii="Book Antiqua" w:eastAsiaTheme="minorHAnsi" w:hAnsi="Book Antiqua" w:cs="Times New Roman"/>
          <w:kern w:val="0"/>
          <w:sz w:val="24"/>
          <w:szCs w:val="24"/>
        </w:rPr>
        <w:t>.</w:t>
      </w:r>
      <w:r w:rsidRPr="008F0C1A">
        <w:rPr>
          <w:rFonts w:ascii="Book Antiqua" w:eastAsiaTheme="minorHAnsi" w:hAnsi="Book Antiqua" w:cs="Times New Roman"/>
          <w:kern w:val="0"/>
          <w:sz w:val="24"/>
          <w:szCs w:val="24"/>
        </w:rPr>
        <w:t xml:space="preserve"> </w:t>
      </w:r>
      <w:r w:rsidR="003718B2" w:rsidRPr="008F0C1A">
        <w:rPr>
          <w:rFonts w:ascii="Book Antiqua" w:eastAsiaTheme="minorHAnsi" w:hAnsi="Book Antiqua" w:cs="Times New Roman"/>
          <w:kern w:val="0"/>
          <w:sz w:val="24"/>
          <w:szCs w:val="24"/>
        </w:rPr>
        <w:t>In particular</w:t>
      </w:r>
      <w:r w:rsidRPr="008F0C1A">
        <w:rPr>
          <w:rFonts w:ascii="Book Antiqua" w:eastAsiaTheme="minorHAnsi" w:hAnsi="Book Antiqua" w:cs="Times New Roman"/>
          <w:kern w:val="0"/>
          <w:sz w:val="24"/>
          <w:szCs w:val="24"/>
        </w:rPr>
        <w:t xml:space="preserve">, </w:t>
      </w:r>
      <w:r w:rsidR="003718B2" w:rsidRPr="008F0C1A">
        <w:rPr>
          <w:rFonts w:ascii="Book Antiqua" w:eastAsiaTheme="minorHAnsi" w:hAnsi="Book Antiqua" w:cs="Times New Roman"/>
          <w:kern w:val="0"/>
          <w:sz w:val="24"/>
          <w:szCs w:val="24"/>
        </w:rPr>
        <w:t xml:space="preserve">the </w:t>
      </w:r>
      <w:r w:rsidRPr="008F0C1A">
        <w:rPr>
          <w:rFonts w:ascii="Book Antiqua" w:eastAsiaTheme="minorHAnsi" w:hAnsi="Book Antiqua" w:cs="Times New Roman"/>
          <w:kern w:val="0"/>
          <w:sz w:val="24"/>
          <w:szCs w:val="24"/>
        </w:rPr>
        <w:t xml:space="preserve">low risk of bleeding group in this study included a significant number of patients with relatively </w:t>
      </w:r>
      <w:r w:rsidR="003718B2" w:rsidRPr="008F0C1A">
        <w:rPr>
          <w:rFonts w:ascii="Book Antiqua" w:eastAsiaTheme="minorHAnsi" w:hAnsi="Book Antiqua" w:cs="Times New Roman"/>
          <w:kern w:val="0"/>
          <w:sz w:val="24"/>
          <w:szCs w:val="24"/>
        </w:rPr>
        <w:t xml:space="preserve">higher </w:t>
      </w:r>
      <w:r w:rsidRPr="008F0C1A">
        <w:rPr>
          <w:rFonts w:ascii="Book Antiqua" w:eastAsiaTheme="minorHAnsi" w:hAnsi="Book Antiqua" w:cs="Times New Roman"/>
          <w:kern w:val="0"/>
          <w:sz w:val="24"/>
          <w:szCs w:val="24"/>
        </w:rPr>
        <w:t>potential bleeding risk. Thus, th</w:t>
      </w:r>
      <w:r w:rsidR="003718B2" w:rsidRPr="008F0C1A">
        <w:rPr>
          <w:rFonts w:ascii="Book Antiqua" w:eastAsiaTheme="minorHAnsi" w:hAnsi="Book Antiqua" w:cs="Times New Roman"/>
          <w:kern w:val="0"/>
          <w:sz w:val="24"/>
          <w:szCs w:val="24"/>
        </w:rPr>
        <w:t>e</w:t>
      </w:r>
      <w:r w:rsidRPr="008F0C1A">
        <w:rPr>
          <w:rFonts w:ascii="Book Antiqua" w:eastAsiaTheme="minorHAnsi" w:hAnsi="Book Antiqua" w:cs="Times New Roman"/>
          <w:kern w:val="0"/>
          <w:sz w:val="24"/>
          <w:szCs w:val="24"/>
        </w:rPr>
        <w:t xml:space="preserve"> imperfect </w:t>
      </w:r>
      <w:r w:rsidR="00774C49" w:rsidRPr="008F0C1A">
        <w:rPr>
          <w:rFonts w:ascii="Book Antiqua" w:eastAsiaTheme="minorHAnsi" w:hAnsi="Book Antiqua" w:cs="Times New Roman"/>
          <w:kern w:val="0"/>
          <w:sz w:val="24"/>
          <w:szCs w:val="24"/>
        </w:rPr>
        <w:t>organization</w:t>
      </w:r>
      <w:r w:rsidR="003718B2" w:rsidRPr="008F0C1A">
        <w:rPr>
          <w:rFonts w:ascii="Book Antiqua" w:eastAsiaTheme="minorHAnsi" w:hAnsi="Book Antiqua" w:cs="Times New Roman"/>
          <w:kern w:val="0"/>
          <w:sz w:val="24"/>
          <w:szCs w:val="24"/>
        </w:rPr>
        <w:t xml:space="preserve"> of the </w:t>
      </w:r>
      <w:r w:rsidRPr="008F0C1A">
        <w:rPr>
          <w:rFonts w:ascii="Book Antiqua" w:eastAsiaTheme="minorHAnsi" w:hAnsi="Book Antiqua" w:cs="Times New Roman"/>
          <w:kern w:val="0"/>
          <w:sz w:val="24"/>
          <w:szCs w:val="24"/>
        </w:rPr>
        <w:t xml:space="preserve">low risk of </w:t>
      </w:r>
      <w:proofErr w:type="spellStart"/>
      <w:r w:rsidR="006F679F" w:rsidRPr="008F0C1A">
        <w:rPr>
          <w:rFonts w:ascii="Book Antiqua" w:eastAsiaTheme="minorHAnsi" w:hAnsi="Book Antiqua" w:cs="Times New Roman"/>
          <w:kern w:val="0"/>
          <w:sz w:val="24"/>
          <w:szCs w:val="24"/>
        </w:rPr>
        <w:t>rebleeding</w:t>
      </w:r>
      <w:proofErr w:type="spellEnd"/>
      <w:r w:rsidRPr="008F0C1A">
        <w:rPr>
          <w:rFonts w:ascii="Book Antiqua" w:eastAsiaTheme="minorHAnsi" w:hAnsi="Book Antiqua" w:cs="Times New Roman"/>
          <w:kern w:val="0"/>
          <w:sz w:val="24"/>
          <w:szCs w:val="24"/>
        </w:rPr>
        <w:t xml:space="preserve"> group might </w:t>
      </w:r>
      <w:r w:rsidR="003718B2" w:rsidRPr="008F0C1A">
        <w:rPr>
          <w:rFonts w:ascii="Book Antiqua" w:eastAsiaTheme="minorHAnsi" w:hAnsi="Book Antiqua" w:cs="Times New Roman"/>
          <w:kern w:val="0"/>
          <w:sz w:val="24"/>
          <w:szCs w:val="24"/>
        </w:rPr>
        <w:t xml:space="preserve">have </w:t>
      </w:r>
      <w:r w:rsidRPr="008F0C1A">
        <w:rPr>
          <w:rFonts w:ascii="Book Antiqua" w:eastAsiaTheme="minorHAnsi" w:hAnsi="Book Antiqua" w:cs="Times New Roman"/>
          <w:kern w:val="0"/>
          <w:sz w:val="24"/>
          <w:szCs w:val="24"/>
        </w:rPr>
        <w:t>led to misinterpretation. Even though the possibility of bleeding after gastric ESD is low, SLE should never be ignored.</w:t>
      </w:r>
    </w:p>
    <w:p w:rsidR="0022406F" w:rsidRPr="008F0C1A" w:rsidRDefault="004D4655" w:rsidP="00A771AE">
      <w:pPr>
        <w:wordWrap/>
        <w:adjustRightInd w:val="0"/>
        <w:snapToGrid w:val="0"/>
        <w:spacing w:after="0" w:line="360" w:lineRule="auto"/>
        <w:ind w:firstLineChars="100" w:firstLine="240"/>
        <w:rPr>
          <w:rFonts w:ascii="Book Antiqua" w:eastAsiaTheme="minorHAnsi" w:hAnsi="Book Antiqua" w:cs="Times New Roman"/>
          <w:kern w:val="0"/>
          <w:sz w:val="24"/>
          <w:szCs w:val="24"/>
        </w:rPr>
      </w:pPr>
      <w:r w:rsidRPr="008F0C1A">
        <w:rPr>
          <w:rFonts w:ascii="Book Antiqua" w:eastAsiaTheme="minorHAnsi" w:hAnsi="Book Antiqua" w:cs="Times New Roman"/>
          <w:kern w:val="0"/>
          <w:sz w:val="24"/>
          <w:szCs w:val="24"/>
        </w:rPr>
        <w:t xml:space="preserve">In conclusion, based on our retrospective analysis, SLE with pre-emptive prophylactic </w:t>
      </w:r>
      <w:r w:rsidR="001018D2" w:rsidRPr="008F0C1A">
        <w:rPr>
          <w:rFonts w:ascii="Book Antiqua" w:eastAsiaTheme="minorHAnsi" w:hAnsi="Book Antiqua" w:cs="Times New Roman"/>
          <w:kern w:val="0"/>
          <w:sz w:val="24"/>
          <w:szCs w:val="24"/>
        </w:rPr>
        <w:t xml:space="preserve">endoscopic </w:t>
      </w:r>
      <w:r w:rsidRPr="008F0C1A">
        <w:rPr>
          <w:rFonts w:ascii="Book Antiqua" w:eastAsiaTheme="minorHAnsi" w:hAnsi="Book Antiqua" w:cs="Times New Roman"/>
          <w:kern w:val="0"/>
          <w:sz w:val="24"/>
          <w:szCs w:val="24"/>
        </w:rPr>
        <w:t xml:space="preserve">treatment </w:t>
      </w:r>
      <w:r w:rsidR="00774C49" w:rsidRPr="008F0C1A">
        <w:rPr>
          <w:rFonts w:ascii="Book Antiqua" w:eastAsiaTheme="minorHAnsi" w:hAnsi="Book Antiqua" w:cs="Times New Roman"/>
          <w:kern w:val="0"/>
          <w:sz w:val="24"/>
          <w:szCs w:val="24"/>
        </w:rPr>
        <w:t xml:space="preserve">is </w:t>
      </w:r>
      <w:r w:rsidR="001018D2" w:rsidRPr="008F0C1A">
        <w:rPr>
          <w:rFonts w:ascii="Book Antiqua" w:eastAsiaTheme="minorHAnsi" w:hAnsi="Book Antiqua" w:cs="Times New Roman"/>
          <w:kern w:val="0"/>
          <w:sz w:val="24"/>
          <w:szCs w:val="24"/>
        </w:rPr>
        <w:t xml:space="preserve">still </w:t>
      </w:r>
      <w:r w:rsidR="00E92596" w:rsidRPr="008F0C1A">
        <w:rPr>
          <w:rFonts w:ascii="Book Antiqua" w:eastAsiaTheme="minorHAnsi" w:hAnsi="Book Antiqua" w:cs="Times New Roman"/>
          <w:kern w:val="0"/>
          <w:sz w:val="24"/>
          <w:szCs w:val="24"/>
        </w:rPr>
        <w:t>effective</w:t>
      </w:r>
      <w:r w:rsidRPr="008F0C1A">
        <w:rPr>
          <w:rFonts w:ascii="Book Antiqua" w:eastAsiaTheme="minorHAnsi" w:hAnsi="Book Antiqua" w:cs="Times New Roman"/>
          <w:kern w:val="0"/>
          <w:sz w:val="24"/>
          <w:szCs w:val="24"/>
        </w:rPr>
        <w:t xml:space="preserve"> in preventing delayed bleeding</w:t>
      </w:r>
      <w:r w:rsidR="001018D2" w:rsidRPr="008F0C1A">
        <w:rPr>
          <w:rFonts w:ascii="Book Antiqua" w:eastAsiaTheme="minorHAnsi" w:hAnsi="Book Antiqua" w:cs="Times New Roman"/>
          <w:kern w:val="0"/>
          <w:sz w:val="24"/>
          <w:szCs w:val="24"/>
        </w:rPr>
        <w:t xml:space="preserve"> after ESD</w:t>
      </w:r>
      <w:r w:rsidRPr="008F0C1A">
        <w:rPr>
          <w:rFonts w:ascii="Book Antiqua" w:eastAsiaTheme="minorHAnsi" w:hAnsi="Book Antiqua" w:cs="Times New Roman"/>
          <w:kern w:val="0"/>
          <w:sz w:val="24"/>
          <w:szCs w:val="24"/>
        </w:rPr>
        <w:t>, especially when the lesion is located in upper location</w:t>
      </w:r>
      <w:r w:rsidR="003718B2" w:rsidRPr="008F0C1A">
        <w:rPr>
          <w:rFonts w:ascii="Book Antiqua" w:eastAsiaTheme="minorHAnsi" w:hAnsi="Book Antiqua" w:cs="Times New Roman"/>
          <w:kern w:val="0"/>
          <w:sz w:val="24"/>
          <w:szCs w:val="24"/>
        </w:rPr>
        <w:t>s</w:t>
      </w:r>
      <w:r w:rsidRPr="008F0C1A">
        <w:rPr>
          <w:rFonts w:ascii="Book Antiqua" w:eastAsiaTheme="minorHAnsi" w:hAnsi="Book Antiqua" w:cs="Times New Roman"/>
          <w:kern w:val="0"/>
          <w:sz w:val="24"/>
          <w:szCs w:val="24"/>
        </w:rPr>
        <w:t xml:space="preserve"> and </w:t>
      </w:r>
      <w:r w:rsidR="003718B2" w:rsidRPr="008F0C1A">
        <w:rPr>
          <w:rFonts w:ascii="Book Antiqua" w:eastAsiaTheme="minorHAnsi" w:hAnsi="Book Antiqua" w:cs="Times New Roman"/>
          <w:kern w:val="0"/>
          <w:sz w:val="24"/>
          <w:szCs w:val="24"/>
        </w:rPr>
        <w:t xml:space="preserve">is </w:t>
      </w:r>
      <w:r w:rsidRPr="008F0C1A">
        <w:rPr>
          <w:rFonts w:ascii="Book Antiqua" w:eastAsiaTheme="minorHAnsi" w:hAnsi="Book Antiqua" w:cs="Times New Roman"/>
          <w:kern w:val="0"/>
          <w:sz w:val="24"/>
          <w:szCs w:val="24"/>
        </w:rPr>
        <w:t xml:space="preserve">flat or depressed </w:t>
      </w:r>
      <w:r w:rsidR="003718B2" w:rsidRPr="008F0C1A">
        <w:rPr>
          <w:rFonts w:ascii="Book Antiqua" w:eastAsiaTheme="minorHAnsi" w:hAnsi="Book Antiqua" w:cs="Times New Roman"/>
          <w:kern w:val="0"/>
          <w:sz w:val="24"/>
          <w:szCs w:val="24"/>
        </w:rPr>
        <w:t xml:space="preserve">in </w:t>
      </w:r>
      <w:r w:rsidRPr="008F0C1A">
        <w:rPr>
          <w:rFonts w:ascii="Book Antiqua" w:eastAsiaTheme="minorHAnsi" w:hAnsi="Book Antiqua" w:cs="Times New Roman"/>
          <w:kern w:val="0"/>
          <w:sz w:val="24"/>
          <w:szCs w:val="24"/>
        </w:rPr>
        <w:t>shape. In the future, large randomized controlled trials will be war</w:t>
      </w:r>
      <w:r w:rsidR="00E92596" w:rsidRPr="008F0C1A">
        <w:rPr>
          <w:rFonts w:ascii="Book Antiqua" w:eastAsiaTheme="minorHAnsi" w:hAnsi="Book Antiqua" w:cs="Times New Roman"/>
          <w:kern w:val="0"/>
          <w:sz w:val="24"/>
          <w:szCs w:val="24"/>
        </w:rPr>
        <w:t>ranted to elucidate the effectiveness</w:t>
      </w:r>
      <w:r w:rsidR="00006F6C" w:rsidRPr="008F0C1A">
        <w:rPr>
          <w:rFonts w:ascii="Book Antiqua" w:eastAsiaTheme="minorHAnsi" w:hAnsi="Book Antiqua" w:cs="Times New Roman"/>
          <w:kern w:val="0"/>
          <w:sz w:val="24"/>
          <w:szCs w:val="24"/>
        </w:rPr>
        <w:t xml:space="preserve"> of SLE after ESD.</w:t>
      </w:r>
    </w:p>
    <w:p w:rsidR="003B292D" w:rsidRPr="00F917A1" w:rsidRDefault="003B292D" w:rsidP="00A771AE">
      <w:pPr>
        <w:widowControl/>
        <w:wordWrap/>
        <w:autoSpaceDE/>
        <w:autoSpaceDN/>
        <w:adjustRightInd w:val="0"/>
        <w:snapToGrid w:val="0"/>
        <w:spacing w:after="0" w:line="360" w:lineRule="auto"/>
        <w:rPr>
          <w:rFonts w:ascii="Book Antiqua" w:eastAsia="宋体" w:hAnsi="Book Antiqua" w:cs="Times New Roman"/>
          <w:sz w:val="24"/>
          <w:szCs w:val="24"/>
          <w:lang w:eastAsia="zh-CN"/>
        </w:rPr>
      </w:pPr>
    </w:p>
    <w:p w:rsidR="000A34F7" w:rsidRPr="00F917A1" w:rsidRDefault="00477088" w:rsidP="00A771AE">
      <w:pPr>
        <w:wordWrap/>
        <w:adjustRightInd w:val="0"/>
        <w:snapToGrid w:val="0"/>
        <w:spacing w:after="0" w:line="360" w:lineRule="auto"/>
        <w:rPr>
          <w:rFonts w:ascii="Book Antiqua" w:eastAsia="宋体" w:hAnsi="Book Antiqua" w:cs="Book Antiqua"/>
          <w:b/>
          <w:kern w:val="0"/>
          <w:sz w:val="24"/>
          <w:szCs w:val="24"/>
          <w:lang w:eastAsia="zh-CN"/>
        </w:rPr>
      </w:pPr>
      <w:r w:rsidRPr="008F0C1A">
        <w:rPr>
          <w:rFonts w:ascii="Book Antiqua" w:hAnsi="Book Antiqua" w:cs="Book Antiqua"/>
          <w:b/>
          <w:kern w:val="0"/>
          <w:sz w:val="24"/>
          <w:szCs w:val="24"/>
        </w:rPr>
        <w:t>COMMENTS</w:t>
      </w:r>
    </w:p>
    <w:p w:rsidR="00477088" w:rsidRPr="008F0C1A" w:rsidRDefault="00477088" w:rsidP="00A771AE">
      <w:pPr>
        <w:wordWrap/>
        <w:adjustRightInd w:val="0"/>
        <w:snapToGrid w:val="0"/>
        <w:spacing w:after="0" w:line="360" w:lineRule="auto"/>
        <w:rPr>
          <w:rFonts w:ascii="Book Antiqua" w:hAnsi="Book Antiqua" w:cs="Book Antiqua"/>
          <w:b/>
          <w:i/>
          <w:iCs/>
          <w:kern w:val="0"/>
          <w:sz w:val="24"/>
          <w:szCs w:val="24"/>
        </w:rPr>
      </w:pPr>
      <w:r w:rsidRPr="008F0C1A">
        <w:rPr>
          <w:rFonts w:ascii="Book Antiqua" w:hAnsi="Book Antiqua" w:cs="Book Antiqua"/>
          <w:b/>
          <w:i/>
          <w:iCs/>
          <w:kern w:val="0"/>
          <w:sz w:val="24"/>
          <w:szCs w:val="24"/>
        </w:rPr>
        <w:t>Background</w:t>
      </w:r>
    </w:p>
    <w:p w:rsidR="00477088" w:rsidRPr="008F0C1A" w:rsidRDefault="00DA0992" w:rsidP="00A771AE">
      <w:pPr>
        <w:wordWrap/>
        <w:adjustRightInd w:val="0"/>
        <w:snapToGrid w:val="0"/>
        <w:spacing w:after="0" w:line="360" w:lineRule="auto"/>
        <w:rPr>
          <w:rFonts w:ascii="Book Antiqua" w:hAnsi="Book Antiqua" w:cs="Book Antiqua"/>
          <w:kern w:val="0"/>
          <w:sz w:val="24"/>
          <w:szCs w:val="24"/>
        </w:rPr>
      </w:pPr>
      <w:r w:rsidRPr="008F0C1A">
        <w:rPr>
          <w:rFonts w:ascii="Book Antiqua" w:hAnsi="Book Antiqua" w:cs="Book Antiqua"/>
          <w:kern w:val="0"/>
          <w:sz w:val="24"/>
          <w:szCs w:val="24"/>
        </w:rPr>
        <w:t>Owing to r</w:t>
      </w:r>
      <w:r w:rsidR="000A34F7" w:rsidRPr="008F0C1A">
        <w:rPr>
          <w:rFonts w:ascii="Book Antiqua" w:hAnsi="Book Antiqua" w:cs="Book Antiqua"/>
          <w:kern w:val="0"/>
          <w:sz w:val="24"/>
          <w:szCs w:val="24"/>
        </w:rPr>
        <w:t>ecent advances in endoscopic equipment enables</w:t>
      </w:r>
      <w:r w:rsidRPr="008F0C1A">
        <w:rPr>
          <w:rFonts w:ascii="Book Antiqua" w:hAnsi="Book Antiqua" w:cs="Book Antiqua"/>
          <w:kern w:val="0"/>
          <w:sz w:val="24"/>
          <w:szCs w:val="24"/>
        </w:rPr>
        <w:t xml:space="preserve">, </w:t>
      </w:r>
      <w:r w:rsidR="000A34F7" w:rsidRPr="008F0C1A">
        <w:rPr>
          <w:rFonts w:ascii="Book Antiqua" w:hAnsi="Book Antiqua" w:cs="Book Antiqua"/>
          <w:kern w:val="0"/>
          <w:sz w:val="24"/>
          <w:szCs w:val="24"/>
        </w:rPr>
        <w:t xml:space="preserve">endoscopic submucosal dissection (ESD) for node-negative early gastric cancer </w:t>
      </w:r>
      <w:r w:rsidRPr="008F0C1A">
        <w:rPr>
          <w:rFonts w:ascii="Book Antiqua" w:hAnsi="Book Antiqua" w:cs="Book Antiqua"/>
          <w:kern w:val="0"/>
          <w:sz w:val="24"/>
          <w:szCs w:val="24"/>
        </w:rPr>
        <w:t>has been</w:t>
      </w:r>
      <w:r w:rsidR="000A34F7" w:rsidRPr="008F0C1A">
        <w:rPr>
          <w:rFonts w:ascii="Book Antiqua" w:hAnsi="Book Antiqua" w:cs="Book Antiqua"/>
          <w:kern w:val="0"/>
          <w:sz w:val="24"/>
          <w:szCs w:val="24"/>
        </w:rPr>
        <w:t xml:space="preserve"> recognized as an alternative modality of surgery. However, bleeding from artificial ulcers after gastric ESD has remained a major complication.</w:t>
      </w:r>
      <w:r w:rsidRPr="008F0C1A">
        <w:rPr>
          <w:rFonts w:ascii="Book Antiqua" w:hAnsi="Book Antiqua" w:cs="Book Antiqua"/>
          <w:kern w:val="0"/>
          <w:sz w:val="24"/>
          <w:szCs w:val="24"/>
        </w:rPr>
        <w:t xml:space="preserve"> </w:t>
      </w:r>
      <w:r w:rsidR="000A34F7" w:rsidRPr="008F0C1A">
        <w:rPr>
          <w:rFonts w:ascii="Book Antiqua" w:hAnsi="Book Antiqua" w:cs="Book Antiqua"/>
          <w:kern w:val="0"/>
          <w:sz w:val="24"/>
          <w:szCs w:val="24"/>
        </w:rPr>
        <w:t>Although the bleeding rate is relatively low after gastric ESD, uncontrolled ble</w:t>
      </w:r>
      <w:r w:rsidRPr="008F0C1A">
        <w:rPr>
          <w:rFonts w:ascii="Book Antiqua" w:hAnsi="Book Antiqua" w:cs="Book Antiqua"/>
          <w:kern w:val="0"/>
          <w:sz w:val="24"/>
          <w:szCs w:val="24"/>
        </w:rPr>
        <w:t>eding is related to mortality</w:t>
      </w:r>
      <w:r w:rsidR="000A34F7" w:rsidRPr="008F0C1A">
        <w:rPr>
          <w:rFonts w:ascii="Book Antiqua" w:hAnsi="Book Antiqua" w:cs="Book Antiqua"/>
          <w:kern w:val="0"/>
          <w:sz w:val="24"/>
          <w:szCs w:val="24"/>
        </w:rPr>
        <w:t xml:space="preserve">. In most cases of bleeding, endoscopic hemostasis effectively stops bleeding when properly performed during emergency endoscopy. For this reason, the clinical value of </w:t>
      </w:r>
      <w:r w:rsidRPr="008F0C1A">
        <w:rPr>
          <w:rFonts w:ascii="Book Antiqua" w:hAnsi="Book Antiqua" w:cs="Book Antiqua"/>
          <w:kern w:val="0"/>
          <w:sz w:val="24"/>
          <w:szCs w:val="24"/>
        </w:rPr>
        <w:t>second look endoscopy (</w:t>
      </w:r>
      <w:r w:rsidR="000A34F7" w:rsidRPr="008F0C1A">
        <w:rPr>
          <w:rFonts w:ascii="Book Antiqua" w:hAnsi="Book Antiqua" w:cs="Book Antiqua"/>
          <w:kern w:val="0"/>
          <w:sz w:val="24"/>
          <w:szCs w:val="24"/>
        </w:rPr>
        <w:t>SLE</w:t>
      </w:r>
      <w:r w:rsidRPr="008F0C1A">
        <w:rPr>
          <w:rFonts w:ascii="Book Antiqua" w:hAnsi="Book Antiqua" w:cs="Book Antiqua"/>
          <w:kern w:val="0"/>
          <w:sz w:val="24"/>
          <w:szCs w:val="24"/>
        </w:rPr>
        <w:t>)</w:t>
      </w:r>
      <w:r w:rsidR="000A34F7" w:rsidRPr="008F0C1A">
        <w:rPr>
          <w:rFonts w:ascii="Book Antiqua" w:hAnsi="Book Antiqua" w:cs="Book Antiqua"/>
          <w:kern w:val="0"/>
          <w:sz w:val="24"/>
          <w:szCs w:val="24"/>
        </w:rPr>
        <w:t xml:space="preserve"> is continuously under debate. </w:t>
      </w:r>
      <w:r w:rsidRPr="008F0C1A">
        <w:rPr>
          <w:rFonts w:ascii="Book Antiqua" w:hAnsi="Book Antiqua" w:cs="Book Antiqua"/>
          <w:kern w:val="0"/>
          <w:sz w:val="24"/>
          <w:szCs w:val="24"/>
        </w:rPr>
        <w:t xml:space="preserve">Therefore, </w:t>
      </w:r>
      <w:r w:rsidR="000A34F7" w:rsidRPr="008F0C1A">
        <w:rPr>
          <w:rFonts w:ascii="Book Antiqua" w:hAnsi="Book Antiqua" w:cs="Book Antiqua"/>
          <w:kern w:val="0"/>
          <w:sz w:val="24"/>
          <w:szCs w:val="24"/>
        </w:rPr>
        <w:t xml:space="preserve">this study </w:t>
      </w:r>
      <w:r w:rsidRPr="008F0C1A">
        <w:rPr>
          <w:rFonts w:ascii="Book Antiqua" w:hAnsi="Book Antiqua" w:cs="Book Antiqua"/>
          <w:kern w:val="0"/>
          <w:sz w:val="24"/>
          <w:szCs w:val="24"/>
        </w:rPr>
        <w:lastRenderedPageBreak/>
        <w:t>evaluated</w:t>
      </w:r>
      <w:r w:rsidR="000A34F7" w:rsidRPr="008F0C1A">
        <w:rPr>
          <w:rFonts w:ascii="Book Antiqua" w:hAnsi="Book Antiqua" w:cs="Book Antiqua"/>
          <w:kern w:val="0"/>
          <w:sz w:val="24"/>
          <w:szCs w:val="24"/>
        </w:rPr>
        <w:t xml:space="preserve"> the clinical </w:t>
      </w:r>
      <w:r w:rsidRPr="008F0C1A">
        <w:rPr>
          <w:rFonts w:ascii="Book Antiqua" w:hAnsi="Book Antiqua" w:cs="Book Antiqua"/>
          <w:kern w:val="0"/>
          <w:sz w:val="24"/>
          <w:szCs w:val="24"/>
        </w:rPr>
        <w:t>efficacy</w:t>
      </w:r>
      <w:r w:rsidR="000A34F7" w:rsidRPr="008F0C1A">
        <w:rPr>
          <w:rFonts w:ascii="Book Antiqua" w:hAnsi="Book Antiqua" w:cs="Book Antiqua"/>
          <w:kern w:val="0"/>
          <w:sz w:val="24"/>
          <w:szCs w:val="24"/>
        </w:rPr>
        <w:t xml:space="preserve"> of routine SLE after ESD based on the delayed bleeding estimated by Forrest classification, and to confirm whether SLE with prophylactic hemostasis is useful for the prevention of delayed bleeding after gastric ESD.</w:t>
      </w:r>
    </w:p>
    <w:p w:rsidR="00DA0992" w:rsidRPr="008F0C1A" w:rsidRDefault="00DA0992" w:rsidP="00A771AE">
      <w:pPr>
        <w:wordWrap/>
        <w:adjustRightInd w:val="0"/>
        <w:snapToGrid w:val="0"/>
        <w:spacing w:after="0" w:line="360" w:lineRule="auto"/>
        <w:rPr>
          <w:rFonts w:ascii="Book Antiqua" w:hAnsi="Book Antiqua" w:cs="Book Antiqua"/>
          <w:color w:val="FF0000"/>
          <w:kern w:val="0"/>
          <w:sz w:val="24"/>
          <w:szCs w:val="24"/>
        </w:rPr>
      </w:pPr>
    </w:p>
    <w:p w:rsidR="00477088" w:rsidRPr="008F0C1A" w:rsidRDefault="00477088" w:rsidP="00A771AE">
      <w:pPr>
        <w:wordWrap/>
        <w:adjustRightInd w:val="0"/>
        <w:snapToGrid w:val="0"/>
        <w:spacing w:after="0" w:line="360" w:lineRule="auto"/>
        <w:rPr>
          <w:rFonts w:ascii="Book Antiqua" w:hAnsi="Book Antiqua" w:cs="Book Antiqua"/>
          <w:b/>
          <w:i/>
          <w:iCs/>
          <w:kern w:val="0"/>
          <w:sz w:val="24"/>
          <w:szCs w:val="24"/>
        </w:rPr>
      </w:pPr>
      <w:r w:rsidRPr="008F0C1A">
        <w:rPr>
          <w:rFonts w:ascii="Book Antiqua" w:hAnsi="Book Antiqua" w:cs="Book Antiqua"/>
          <w:b/>
          <w:i/>
          <w:iCs/>
          <w:kern w:val="0"/>
          <w:sz w:val="24"/>
          <w:szCs w:val="24"/>
        </w:rPr>
        <w:t>Research frontiers</w:t>
      </w:r>
    </w:p>
    <w:p w:rsidR="00477088" w:rsidRPr="008F0C1A" w:rsidRDefault="00DA0992" w:rsidP="00A771AE">
      <w:pPr>
        <w:wordWrap/>
        <w:adjustRightInd w:val="0"/>
        <w:snapToGrid w:val="0"/>
        <w:spacing w:after="0" w:line="360" w:lineRule="auto"/>
        <w:rPr>
          <w:rFonts w:ascii="Book Antiqua" w:hAnsi="Book Antiqua" w:cs="Book Antiqua"/>
          <w:kern w:val="0"/>
          <w:sz w:val="24"/>
          <w:szCs w:val="24"/>
        </w:rPr>
      </w:pPr>
      <w:r w:rsidRPr="008F0C1A">
        <w:rPr>
          <w:rFonts w:ascii="Book Antiqua" w:hAnsi="Book Antiqua" w:cs="Book Antiqua"/>
          <w:kern w:val="0"/>
          <w:sz w:val="24"/>
          <w:szCs w:val="24"/>
        </w:rPr>
        <w:t>Second look endoscopy is important for preventing delayed bleeding after gastric ESD</w:t>
      </w:r>
      <w:r w:rsidR="00EE2038" w:rsidRPr="008F0C1A">
        <w:rPr>
          <w:rFonts w:ascii="Book Antiqua" w:hAnsi="Book Antiqua" w:cs="Book Antiqua"/>
          <w:kern w:val="0"/>
          <w:sz w:val="24"/>
          <w:szCs w:val="24"/>
        </w:rPr>
        <w:t xml:space="preserve">. </w:t>
      </w:r>
      <w:r w:rsidR="00477088" w:rsidRPr="008F0C1A">
        <w:rPr>
          <w:rFonts w:ascii="Book Antiqua" w:hAnsi="Book Antiqua" w:cs="Book Antiqua"/>
          <w:kern w:val="0"/>
          <w:sz w:val="24"/>
          <w:szCs w:val="24"/>
        </w:rPr>
        <w:t>The results of this</w:t>
      </w:r>
      <w:r w:rsidR="00EE2038" w:rsidRPr="008F0C1A">
        <w:rPr>
          <w:rFonts w:ascii="Book Antiqua" w:hAnsi="Book Antiqua" w:cs="Book Antiqua"/>
          <w:kern w:val="0"/>
          <w:sz w:val="24"/>
          <w:szCs w:val="24"/>
        </w:rPr>
        <w:t xml:space="preserve"> </w:t>
      </w:r>
      <w:r w:rsidR="00477088" w:rsidRPr="008F0C1A">
        <w:rPr>
          <w:rFonts w:ascii="Book Antiqua" w:hAnsi="Book Antiqua" w:cs="Book Antiqua"/>
          <w:kern w:val="0"/>
          <w:sz w:val="24"/>
          <w:szCs w:val="24"/>
        </w:rPr>
        <w:t xml:space="preserve">study contribute to clarifying the </w:t>
      </w:r>
      <w:r w:rsidR="0070074D" w:rsidRPr="008F0C1A">
        <w:rPr>
          <w:rFonts w:ascii="Book Antiqua" w:hAnsi="Book Antiqua" w:cs="Book Antiqua"/>
          <w:kern w:val="0"/>
          <w:sz w:val="24"/>
          <w:szCs w:val="24"/>
        </w:rPr>
        <w:t xml:space="preserve">clinical </w:t>
      </w:r>
      <w:r w:rsidR="000A34F7" w:rsidRPr="008F0C1A">
        <w:rPr>
          <w:rFonts w:ascii="Book Antiqua" w:hAnsi="Book Antiqua" w:cs="Book Antiqua"/>
          <w:kern w:val="0"/>
          <w:sz w:val="24"/>
          <w:szCs w:val="24"/>
        </w:rPr>
        <w:t>efficacy</w:t>
      </w:r>
      <w:r w:rsidR="0070074D" w:rsidRPr="008F0C1A">
        <w:rPr>
          <w:rFonts w:ascii="Book Antiqua" w:hAnsi="Book Antiqua" w:cs="Book Antiqua"/>
          <w:kern w:val="0"/>
          <w:sz w:val="24"/>
          <w:szCs w:val="24"/>
        </w:rPr>
        <w:t xml:space="preserve"> </w:t>
      </w:r>
      <w:r w:rsidR="00477088" w:rsidRPr="008F0C1A">
        <w:rPr>
          <w:rFonts w:ascii="Book Antiqua" w:hAnsi="Book Antiqua" w:cs="Book Antiqua"/>
          <w:kern w:val="0"/>
          <w:sz w:val="24"/>
          <w:szCs w:val="24"/>
        </w:rPr>
        <w:t xml:space="preserve">of </w:t>
      </w:r>
      <w:r w:rsidR="0070074D" w:rsidRPr="008F0C1A">
        <w:rPr>
          <w:rFonts w:ascii="Book Antiqua" w:hAnsi="Book Antiqua" w:cs="Book Antiqua"/>
          <w:kern w:val="0"/>
          <w:sz w:val="24"/>
          <w:szCs w:val="24"/>
        </w:rPr>
        <w:t>second look endoscopy with prophylactic hemostasis</w:t>
      </w:r>
      <w:r w:rsidR="00477088" w:rsidRPr="008F0C1A">
        <w:rPr>
          <w:rFonts w:ascii="Book Antiqua" w:hAnsi="Book Antiqua" w:cs="Book Antiqua"/>
          <w:kern w:val="0"/>
          <w:sz w:val="24"/>
          <w:szCs w:val="24"/>
        </w:rPr>
        <w:t>.</w:t>
      </w:r>
    </w:p>
    <w:p w:rsidR="00477088" w:rsidRPr="008F0C1A" w:rsidRDefault="00477088" w:rsidP="00A771AE">
      <w:pPr>
        <w:wordWrap/>
        <w:adjustRightInd w:val="0"/>
        <w:snapToGrid w:val="0"/>
        <w:spacing w:after="0" w:line="360" w:lineRule="auto"/>
        <w:rPr>
          <w:rFonts w:ascii="Book Antiqua" w:hAnsi="Book Antiqua" w:cs="Book Antiqua"/>
          <w:color w:val="FF0000"/>
          <w:kern w:val="0"/>
          <w:sz w:val="24"/>
          <w:szCs w:val="24"/>
        </w:rPr>
      </w:pPr>
    </w:p>
    <w:p w:rsidR="00477088" w:rsidRPr="008F0C1A" w:rsidRDefault="00477088" w:rsidP="00A771AE">
      <w:pPr>
        <w:wordWrap/>
        <w:adjustRightInd w:val="0"/>
        <w:snapToGrid w:val="0"/>
        <w:spacing w:after="0" w:line="360" w:lineRule="auto"/>
        <w:rPr>
          <w:rFonts w:ascii="Book Antiqua" w:hAnsi="Book Antiqua" w:cs="Book Antiqua"/>
          <w:b/>
          <w:i/>
          <w:iCs/>
          <w:kern w:val="0"/>
          <w:sz w:val="24"/>
          <w:szCs w:val="24"/>
        </w:rPr>
      </w:pPr>
      <w:r w:rsidRPr="008F0C1A">
        <w:rPr>
          <w:rFonts w:ascii="Book Antiqua" w:hAnsi="Book Antiqua" w:cs="Book Antiqua"/>
          <w:b/>
          <w:i/>
          <w:iCs/>
          <w:kern w:val="0"/>
          <w:sz w:val="24"/>
          <w:szCs w:val="24"/>
        </w:rPr>
        <w:t>Innovations and breakthroughs</w:t>
      </w:r>
    </w:p>
    <w:p w:rsidR="005556B8" w:rsidRPr="008F0C1A" w:rsidRDefault="00477088" w:rsidP="00A771AE">
      <w:pPr>
        <w:wordWrap/>
        <w:adjustRightInd w:val="0"/>
        <w:snapToGrid w:val="0"/>
        <w:spacing w:after="0" w:line="360" w:lineRule="auto"/>
        <w:rPr>
          <w:rFonts w:ascii="Book Antiqua" w:hAnsi="Book Antiqua" w:cs="Book Antiqua"/>
          <w:kern w:val="0"/>
          <w:sz w:val="24"/>
          <w:szCs w:val="24"/>
        </w:rPr>
      </w:pPr>
      <w:r w:rsidRPr="008F0C1A">
        <w:rPr>
          <w:rFonts w:ascii="Book Antiqua" w:hAnsi="Book Antiqua" w:cs="Book Antiqua"/>
          <w:kern w:val="0"/>
          <w:sz w:val="24"/>
          <w:szCs w:val="24"/>
        </w:rPr>
        <w:t xml:space="preserve">In this study, </w:t>
      </w:r>
      <w:r w:rsidR="00A60F80" w:rsidRPr="008F0C1A">
        <w:rPr>
          <w:rFonts w:ascii="Book Antiqua" w:hAnsi="Book Antiqua" w:cs="Book Antiqua"/>
          <w:kern w:val="0"/>
          <w:sz w:val="24"/>
          <w:szCs w:val="24"/>
        </w:rPr>
        <w:t xml:space="preserve">second look endoscopy with pre-emptive endoscopic </w:t>
      </w:r>
      <w:r w:rsidR="009650B5" w:rsidRPr="008F0C1A">
        <w:rPr>
          <w:rFonts w:ascii="Book Antiqua" w:hAnsi="Book Antiqua" w:cs="Book Antiqua"/>
          <w:kern w:val="0"/>
          <w:sz w:val="24"/>
          <w:szCs w:val="24"/>
        </w:rPr>
        <w:t>treatment</w:t>
      </w:r>
      <w:r w:rsidR="00A60F80" w:rsidRPr="008F0C1A">
        <w:rPr>
          <w:rFonts w:ascii="Book Antiqua" w:hAnsi="Book Antiqua" w:cs="Book Antiqua"/>
          <w:kern w:val="0"/>
          <w:sz w:val="24"/>
          <w:szCs w:val="24"/>
        </w:rPr>
        <w:t xml:space="preserve"> was still useful tool for preventing delayed bleeding after ESD. Especially, </w:t>
      </w:r>
      <w:r w:rsidR="00926419" w:rsidRPr="008F0C1A">
        <w:rPr>
          <w:rFonts w:ascii="Book Antiqua" w:hAnsi="Book Antiqua" w:cs="Book Antiqua"/>
          <w:kern w:val="0"/>
          <w:sz w:val="24"/>
          <w:szCs w:val="24"/>
        </w:rPr>
        <w:t xml:space="preserve">estimation of </w:t>
      </w:r>
      <w:proofErr w:type="spellStart"/>
      <w:r w:rsidR="00926419" w:rsidRPr="008F0C1A">
        <w:rPr>
          <w:rFonts w:ascii="Book Antiqua" w:hAnsi="Book Antiqua" w:cs="Book Antiqua"/>
          <w:kern w:val="0"/>
          <w:sz w:val="24"/>
          <w:szCs w:val="24"/>
        </w:rPr>
        <w:t>rebleeding</w:t>
      </w:r>
      <w:proofErr w:type="spellEnd"/>
      <w:r w:rsidR="00926419" w:rsidRPr="008F0C1A">
        <w:rPr>
          <w:rFonts w:ascii="Book Antiqua" w:hAnsi="Book Antiqua" w:cs="Book Antiqua"/>
          <w:kern w:val="0"/>
          <w:sz w:val="24"/>
          <w:szCs w:val="24"/>
        </w:rPr>
        <w:t xml:space="preserve"> risk based on the </w:t>
      </w:r>
      <w:r w:rsidR="00564EFD" w:rsidRPr="008F0C1A">
        <w:rPr>
          <w:rFonts w:ascii="Book Antiqua" w:hAnsi="Book Antiqua" w:cs="Book Antiqua"/>
          <w:kern w:val="0"/>
          <w:sz w:val="24"/>
          <w:szCs w:val="24"/>
        </w:rPr>
        <w:t>Forres</w:t>
      </w:r>
      <w:r w:rsidR="009650B5" w:rsidRPr="008F0C1A">
        <w:rPr>
          <w:rFonts w:ascii="Book Antiqua" w:hAnsi="Book Antiqua" w:cs="Book Antiqua"/>
          <w:kern w:val="0"/>
          <w:sz w:val="24"/>
          <w:szCs w:val="24"/>
        </w:rPr>
        <w:t xml:space="preserve">t classification </w:t>
      </w:r>
      <w:r w:rsidR="00564EFD" w:rsidRPr="008F0C1A">
        <w:rPr>
          <w:rFonts w:ascii="Book Antiqua" w:hAnsi="Book Antiqua" w:cs="Book Antiqua"/>
          <w:kern w:val="0"/>
          <w:sz w:val="24"/>
          <w:szCs w:val="24"/>
        </w:rPr>
        <w:t>is also applicable to post-procedural bleeding risk assessment as well as peptic ulcer bleeding.</w:t>
      </w:r>
    </w:p>
    <w:p w:rsidR="00477088" w:rsidRPr="008F0C1A" w:rsidRDefault="00477088" w:rsidP="00A771AE">
      <w:pPr>
        <w:wordWrap/>
        <w:adjustRightInd w:val="0"/>
        <w:snapToGrid w:val="0"/>
        <w:spacing w:after="0" w:line="360" w:lineRule="auto"/>
        <w:rPr>
          <w:rFonts w:ascii="Book Antiqua" w:hAnsi="Book Antiqua" w:cs="Book Antiqua"/>
          <w:color w:val="FF0000"/>
          <w:kern w:val="0"/>
          <w:sz w:val="24"/>
          <w:szCs w:val="24"/>
        </w:rPr>
      </w:pPr>
    </w:p>
    <w:p w:rsidR="00477088" w:rsidRPr="008F0C1A" w:rsidRDefault="00477088" w:rsidP="00A771AE">
      <w:pPr>
        <w:wordWrap/>
        <w:adjustRightInd w:val="0"/>
        <w:snapToGrid w:val="0"/>
        <w:spacing w:after="0" w:line="360" w:lineRule="auto"/>
        <w:rPr>
          <w:rFonts w:ascii="Book Antiqua" w:hAnsi="Book Antiqua" w:cs="Book Antiqua"/>
          <w:b/>
          <w:i/>
          <w:iCs/>
          <w:kern w:val="0"/>
          <w:sz w:val="24"/>
          <w:szCs w:val="24"/>
        </w:rPr>
      </w:pPr>
      <w:r w:rsidRPr="008F0C1A">
        <w:rPr>
          <w:rFonts w:ascii="Book Antiqua" w:hAnsi="Book Antiqua" w:cs="Book Antiqua"/>
          <w:b/>
          <w:i/>
          <w:iCs/>
          <w:kern w:val="0"/>
          <w:sz w:val="24"/>
          <w:szCs w:val="24"/>
        </w:rPr>
        <w:t>Applications</w:t>
      </w:r>
    </w:p>
    <w:p w:rsidR="00926419" w:rsidRPr="008F0C1A" w:rsidRDefault="00477088" w:rsidP="00A771AE">
      <w:pPr>
        <w:wordWrap/>
        <w:adjustRightInd w:val="0"/>
        <w:snapToGrid w:val="0"/>
        <w:spacing w:after="0" w:line="360" w:lineRule="auto"/>
        <w:rPr>
          <w:rFonts w:ascii="Book Antiqua" w:hAnsi="Book Antiqua" w:cs="Book Antiqua"/>
          <w:kern w:val="0"/>
          <w:sz w:val="24"/>
          <w:szCs w:val="24"/>
        </w:rPr>
      </w:pPr>
      <w:r w:rsidRPr="008F0C1A">
        <w:rPr>
          <w:rFonts w:ascii="Book Antiqua" w:hAnsi="Book Antiqua" w:cs="Book Antiqua"/>
          <w:kern w:val="0"/>
          <w:sz w:val="24"/>
          <w:szCs w:val="24"/>
        </w:rPr>
        <w:t xml:space="preserve">This study suggests that </w:t>
      </w:r>
      <w:r w:rsidR="00DA0992" w:rsidRPr="008F0C1A">
        <w:rPr>
          <w:rFonts w:ascii="Book Antiqua" w:hAnsi="Book Antiqua" w:cs="Book Antiqua"/>
          <w:kern w:val="0"/>
          <w:sz w:val="24"/>
          <w:szCs w:val="24"/>
        </w:rPr>
        <w:t>second look endoscopy with prophylactic hemostasis</w:t>
      </w:r>
      <w:r w:rsidRPr="008F0C1A">
        <w:rPr>
          <w:rFonts w:ascii="Book Antiqua" w:hAnsi="Book Antiqua" w:cs="Book Antiqua"/>
          <w:kern w:val="0"/>
          <w:sz w:val="24"/>
          <w:szCs w:val="24"/>
        </w:rPr>
        <w:t xml:space="preserve"> is </w:t>
      </w:r>
      <w:r w:rsidR="00DA0992" w:rsidRPr="008F0C1A">
        <w:rPr>
          <w:rFonts w:ascii="Book Antiqua" w:hAnsi="Book Antiqua" w:cs="Book Antiqua"/>
          <w:kern w:val="0"/>
          <w:sz w:val="24"/>
          <w:szCs w:val="24"/>
        </w:rPr>
        <w:t>still effective</w:t>
      </w:r>
      <w:r w:rsidRPr="008F0C1A">
        <w:rPr>
          <w:rFonts w:ascii="Book Antiqua" w:hAnsi="Book Antiqua" w:cs="Book Antiqua"/>
          <w:kern w:val="0"/>
          <w:sz w:val="24"/>
          <w:szCs w:val="24"/>
        </w:rPr>
        <w:t xml:space="preserve"> for </w:t>
      </w:r>
      <w:r w:rsidR="00DA0992" w:rsidRPr="008F0C1A">
        <w:rPr>
          <w:rFonts w:ascii="Book Antiqua" w:hAnsi="Book Antiqua" w:cs="Book Antiqua"/>
          <w:kern w:val="0"/>
          <w:sz w:val="24"/>
          <w:szCs w:val="24"/>
        </w:rPr>
        <w:t>preventing delayed bleeding after gastric ESD</w:t>
      </w:r>
      <w:r w:rsidRPr="008F0C1A">
        <w:rPr>
          <w:rFonts w:ascii="Book Antiqua" w:hAnsi="Book Antiqua" w:cs="Book Antiqua"/>
          <w:kern w:val="0"/>
          <w:sz w:val="24"/>
          <w:szCs w:val="24"/>
        </w:rPr>
        <w:t xml:space="preserve">. </w:t>
      </w:r>
      <w:r w:rsidR="00926419" w:rsidRPr="008F0C1A">
        <w:rPr>
          <w:rFonts w:ascii="Book Antiqua" w:hAnsi="Book Antiqua" w:cs="Book Antiqua"/>
          <w:kern w:val="0"/>
          <w:sz w:val="24"/>
          <w:szCs w:val="24"/>
        </w:rPr>
        <w:t xml:space="preserve">Especially, high risk of </w:t>
      </w:r>
      <w:proofErr w:type="spellStart"/>
      <w:r w:rsidR="00926419" w:rsidRPr="008F0C1A">
        <w:rPr>
          <w:rFonts w:ascii="Book Antiqua" w:hAnsi="Book Antiqua" w:cs="Book Antiqua"/>
          <w:kern w:val="0"/>
          <w:sz w:val="24"/>
          <w:szCs w:val="24"/>
        </w:rPr>
        <w:t>rebleeding</w:t>
      </w:r>
      <w:proofErr w:type="spellEnd"/>
      <w:r w:rsidR="00926419" w:rsidRPr="008F0C1A">
        <w:rPr>
          <w:rFonts w:ascii="Book Antiqua" w:hAnsi="Book Antiqua" w:cs="Book Antiqua"/>
          <w:kern w:val="0"/>
          <w:sz w:val="24"/>
          <w:szCs w:val="24"/>
        </w:rPr>
        <w:t xml:space="preserve"> represented by high grade of </w:t>
      </w:r>
      <w:proofErr w:type="spellStart"/>
      <w:r w:rsidR="00926419" w:rsidRPr="008F0C1A">
        <w:rPr>
          <w:rFonts w:ascii="Book Antiqua" w:hAnsi="Book Antiqua" w:cs="Book Antiqua"/>
          <w:kern w:val="0"/>
          <w:sz w:val="24"/>
          <w:szCs w:val="24"/>
        </w:rPr>
        <w:t>Forreset</w:t>
      </w:r>
      <w:proofErr w:type="spellEnd"/>
      <w:r w:rsidR="00926419" w:rsidRPr="008F0C1A">
        <w:rPr>
          <w:rFonts w:ascii="Book Antiqua" w:hAnsi="Book Antiqua" w:cs="Book Antiqua"/>
          <w:kern w:val="0"/>
          <w:sz w:val="24"/>
          <w:szCs w:val="24"/>
        </w:rPr>
        <w:t xml:space="preserve"> classification (</w:t>
      </w:r>
      <w:proofErr w:type="spellStart"/>
      <w:proofErr w:type="gramStart"/>
      <w:r w:rsidR="00926419" w:rsidRPr="008F0C1A">
        <w:rPr>
          <w:rFonts w:ascii="Book Antiqua" w:hAnsi="Book Antiqua" w:cs="Book Antiqua"/>
          <w:kern w:val="0"/>
          <w:sz w:val="24"/>
          <w:szCs w:val="24"/>
        </w:rPr>
        <w:t>Ia</w:t>
      </w:r>
      <w:proofErr w:type="spellEnd"/>
      <w:proofErr w:type="gramEnd"/>
      <w:r w:rsidR="00926419" w:rsidRPr="008F0C1A">
        <w:rPr>
          <w:rFonts w:ascii="Book Antiqua" w:hAnsi="Book Antiqua" w:cs="Book Antiqua"/>
          <w:kern w:val="0"/>
          <w:sz w:val="24"/>
          <w:szCs w:val="24"/>
        </w:rPr>
        <w:t xml:space="preserve">, </w:t>
      </w:r>
      <w:proofErr w:type="spellStart"/>
      <w:r w:rsidR="00926419" w:rsidRPr="008F0C1A">
        <w:rPr>
          <w:rFonts w:ascii="Book Antiqua" w:hAnsi="Book Antiqua" w:cs="Book Antiqua"/>
          <w:kern w:val="0"/>
          <w:sz w:val="24"/>
          <w:szCs w:val="24"/>
        </w:rPr>
        <w:t>Ib</w:t>
      </w:r>
      <w:proofErr w:type="spellEnd"/>
      <w:r w:rsidR="00926419" w:rsidRPr="008F0C1A">
        <w:rPr>
          <w:rFonts w:ascii="Book Antiqua" w:hAnsi="Book Antiqua" w:cs="Book Antiqua"/>
          <w:kern w:val="0"/>
          <w:sz w:val="24"/>
          <w:szCs w:val="24"/>
        </w:rPr>
        <w:t xml:space="preserve">, and </w:t>
      </w:r>
      <w:proofErr w:type="spellStart"/>
      <w:r w:rsidR="00926419" w:rsidRPr="008F0C1A">
        <w:rPr>
          <w:rFonts w:ascii="Book Antiqua" w:hAnsi="Book Antiqua" w:cs="Book Antiqua"/>
          <w:kern w:val="0"/>
          <w:sz w:val="24"/>
          <w:szCs w:val="24"/>
        </w:rPr>
        <w:t>IIa</w:t>
      </w:r>
      <w:proofErr w:type="spellEnd"/>
      <w:r w:rsidR="00926419" w:rsidRPr="008F0C1A">
        <w:rPr>
          <w:rFonts w:ascii="Book Antiqua" w:hAnsi="Book Antiqua" w:cs="Book Antiqua"/>
          <w:kern w:val="0"/>
          <w:sz w:val="24"/>
          <w:szCs w:val="24"/>
        </w:rPr>
        <w:t xml:space="preserve">) should be managed on the second look endoscopy. </w:t>
      </w:r>
    </w:p>
    <w:p w:rsidR="00477088" w:rsidRPr="008F0C1A" w:rsidRDefault="00477088" w:rsidP="00A771AE">
      <w:pPr>
        <w:wordWrap/>
        <w:adjustRightInd w:val="0"/>
        <w:snapToGrid w:val="0"/>
        <w:spacing w:after="0" w:line="360" w:lineRule="auto"/>
        <w:rPr>
          <w:rFonts w:ascii="Book Antiqua" w:hAnsi="Book Antiqua" w:cs="Book Antiqua"/>
          <w:color w:val="FF0000"/>
          <w:kern w:val="0"/>
          <w:sz w:val="24"/>
          <w:szCs w:val="24"/>
        </w:rPr>
      </w:pPr>
    </w:p>
    <w:p w:rsidR="00477088" w:rsidRPr="008F0C1A" w:rsidRDefault="00477088" w:rsidP="00A771AE">
      <w:pPr>
        <w:wordWrap/>
        <w:adjustRightInd w:val="0"/>
        <w:snapToGrid w:val="0"/>
        <w:spacing w:after="0" w:line="360" w:lineRule="auto"/>
        <w:rPr>
          <w:rFonts w:ascii="Book Antiqua" w:hAnsi="Book Antiqua" w:cs="Book Antiqua"/>
          <w:b/>
          <w:i/>
          <w:iCs/>
          <w:kern w:val="0"/>
          <w:sz w:val="24"/>
          <w:szCs w:val="24"/>
        </w:rPr>
      </w:pPr>
      <w:r w:rsidRPr="008F0C1A">
        <w:rPr>
          <w:rFonts w:ascii="Book Antiqua" w:hAnsi="Book Antiqua" w:cs="Book Antiqua"/>
          <w:b/>
          <w:i/>
          <w:iCs/>
          <w:kern w:val="0"/>
          <w:sz w:val="24"/>
          <w:szCs w:val="24"/>
        </w:rPr>
        <w:t>Terminology</w:t>
      </w:r>
    </w:p>
    <w:p w:rsidR="00A9646A" w:rsidRPr="008F0C1A" w:rsidRDefault="0070074D" w:rsidP="00A771AE">
      <w:pPr>
        <w:wordWrap/>
        <w:adjustRightInd w:val="0"/>
        <w:snapToGrid w:val="0"/>
        <w:spacing w:after="0" w:line="360" w:lineRule="auto"/>
        <w:rPr>
          <w:rFonts w:ascii="Book Antiqua" w:hAnsi="Book Antiqua" w:cs="Book Antiqua"/>
          <w:kern w:val="0"/>
          <w:sz w:val="24"/>
          <w:szCs w:val="24"/>
        </w:rPr>
      </w:pPr>
      <w:r w:rsidRPr="008F0C1A">
        <w:rPr>
          <w:rFonts w:ascii="Book Antiqua" w:hAnsi="Book Antiqua" w:cs="Book Antiqua"/>
          <w:kern w:val="0"/>
          <w:sz w:val="24"/>
          <w:szCs w:val="24"/>
        </w:rPr>
        <w:t>ESD</w:t>
      </w:r>
      <w:r w:rsidR="00477088" w:rsidRPr="008F0C1A">
        <w:rPr>
          <w:rFonts w:ascii="Book Antiqua" w:hAnsi="Book Antiqua" w:cs="Book Antiqua"/>
          <w:kern w:val="0"/>
          <w:sz w:val="24"/>
          <w:szCs w:val="24"/>
        </w:rPr>
        <w:t>: An endoscopic procedure</w:t>
      </w:r>
      <w:r w:rsidR="00564EFD" w:rsidRPr="008F0C1A">
        <w:rPr>
          <w:rFonts w:ascii="Book Antiqua" w:hAnsi="Book Antiqua" w:cs="Book Antiqua"/>
          <w:kern w:val="0"/>
          <w:sz w:val="24"/>
          <w:szCs w:val="24"/>
        </w:rPr>
        <w:t xml:space="preserve"> </w:t>
      </w:r>
      <w:r w:rsidR="00477088" w:rsidRPr="008F0C1A">
        <w:rPr>
          <w:rFonts w:ascii="Book Antiqua" w:hAnsi="Book Antiqua" w:cs="Book Antiqua"/>
          <w:kern w:val="0"/>
          <w:sz w:val="24"/>
          <w:szCs w:val="24"/>
        </w:rPr>
        <w:t>that</w:t>
      </w:r>
      <w:r w:rsidR="00A9646A" w:rsidRPr="008F0C1A">
        <w:rPr>
          <w:rFonts w:ascii="Book Antiqua" w:hAnsi="Book Antiqua" w:cs="Book Antiqua"/>
          <w:kern w:val="0"/>
          <w:sz w:val="24"/>
          <w:szCs w:val="24"/>
        </w:rPr>
        <w:t xml:space="preserve"> resect gastrointestinal neoplasm in </w:t>
      </w:r>
      <w:proofErr w:type="spellStart"/>
      <w:r w:rsidR="00A9646A" w:rsidRPr="008F0C1A">
        <w:rPr>
          <w:rFonts w:ascii="Book Antiqua" w:hAnsi="Book Antiqua" w:cs="Book Antiqua"/>
          <w:kern w:val="0"/>
          <w:sz w:val="24"/>
          <w:szCs w:val="24"/>
        </w:rPr>
        <w:t>en</w:t>
      </w:r>
      <w:proofErr w:type="spellEnd"/>
      <w:r w:rsidR="00A9646A" w:rsidRPr="008F0C1A">
        <w:rPr>
          <w:rFonts w:ascii="Book Antiqua" w:hAnsi="Book Antiqua" w:cs="Book Antiqua"/>
          <w:kern w:val="0"/>
          <w:sz w:val="24"/>
          <w:szCs w:val="24"/>
        </w:rPr>
        <w:t xml:space="preserve"> bloc fashion with circumferential mucosal incision and submucosal dissection.</w:t>
      </w:r>
    </w:p>
    <w:p w:rsidR="00A9646A" w:rsidRPr="008F0C1A" w:rsidRDefault="0070074D" w:rsidP="00A771AE">
      <w:pPr>
        <w:wordWrap/>
        <w:adjustRightInd w:val="0"/>
        <w:snapToGrid w:val="0"/>
        <w:spacing w:after="0" w:line="360" w:lineRule="auto"/>
        <w:rPr>
          <w:rFonts w:ascii="Book Antiqua" w:hAnsi="Book Antiqua" w:cs="Book Antiqua"/>
          <w:kern w:val="0"/>
          <w:sz w:val="24"/>
          <w:szCs w:val="24"/>
        </w:rPr>
      </w:pPr>
      <w:r w:rsidRPr="008F0C1A">
        <w:rPr>
          <w:rFonts w:ascii="Book Antiqua" w:hAnsi="Book Antiqua" w:cs="Book Antiqua"/>
          <w:kern w:val="0"/>
          <w:sz w:val="24"/>
          <w:szCs w:val="24"/>
        </w:rPr>
        <w:t>SLE</w:t>
      </w:r>
      <w:r w:rsidR="00A9646A" w:rsidRPr="008F0C1A">
        <w:rPr>
          <w:rFonts w:ascii="Book Antiqua" w:hAnsi="Book Antiqua" w:cs="Book Antiqua"/>
          <w:kern w:val="0"/>
          <w:sz w:val="24"/>
          <w:szCs w:val="24"/>
        </w:rPr>
        <w:t xml:space="preserve">: An endoscopic technique that confirm recurred or residual bleeding </w:t>
      </w:r>
      <w:r w:rsidR="001075B0" w:rsidRPr="008F0C1A">
        <w:rPr>
          <w:rFonts w:ascii="Book Antiqua" w:hAnsi="Book Antiqua" w:cs="Book Antiqua"/>
          <w:kern w:val="0"/>
          <w:sz w:val="24"/>
          <w:szCs w:val="24"/>
        </w:rPr>
        <w:t xml:space="preserve">from the gastrointestinal tract </w:t>
      </w:r>
      <w:r w:rsidR="00A9646A" w:rsidRPr="008F0C1A">
        <w:rPr>
          <w:rFonts w:ascii="Book Antiqua" w:hAnsi="Book Antiqua" w:cs="Book Antiqua"/>
          <w:kern w:val="0"/>
          <w:sz w:val="24"/>
          <w:szCs w:val="24"/>
        </w:rPr>
        <w:t>after endoscopic procedure</w:t>
      </w:r>
      <w:r w:rsidR="001075B0" w:rsidRPr="008F0C1A">
        <w:rPr>
          <w:rFonts w:ascii="Book Antiqua" w:hAnsi="Book Antiqua" w:cs="Book Antiqua"/>
          <w:kern w:val="0"/>
          <w:sz w:val="24"/>
          <w:szCs w:val="24"/>
        </w:rPr>
        <w:t>.</w:t>
      </w:r>
    </w:p>
    <w:p w:rsidR="0070074D" w:rsidRPr="008F0C1A" w:rsidRDefault="0070074D" w:rsidP="00A771AE">
      <w:pPr>
        <w:wordWrap/>
        <w:adjustRightInd w:val="0"/>
        <w:snapToGrid w:val="0"/>
        <w:spacing w:after="0" w:line="360" w:lineRule="auto"/>
        <w:rPr>
          <w:rFonts w:ascii="Book Antiqua" w:hAnsi="Book Antiqua" w:cs="Book Antiqua"/>
          <w:color w:val="FF0000"/>
          <w:kern w:val="0"/>
          <w:sz w:val="24"/>
          <w:szCs w:val="24"/>
        </w:rPr>
      </w:pPr>
    </w:p>
    <w:p w:rsidR="00477088" w:rsidRPr="008F0C1A" w:rsidRDefault="00477088" w:rsidP="00A771AE">
      <w:pPr>
        <w:wordWrap/>
        <w:adjustRightInd w:val="0"/>
        <w:snapToGrid w:val="0"/>
        <w:spacing w:after="0" w:line="360" w:lineRule="auto"/>
        <w:rPr>
          <w:rFonts w:ascii="Book Antiqua" w:hAnsi="Book Antiqua" w:cs="Book Antiqua"/>
          <w:b/>
          <w:i/>
          <w:iCs/>
          <w:kern w:val="0"/>
          <w:sz w:val="24"/>
          <w:szCs w:val="24"/>
        </w:rPr>
      </w:pPr>
      <w:r w:rsidRPr="008F0C1A">
        <w:rPr>
          <w:rFonts w:ascii="Book Antiqua" w:hAnsi="Book Antiqua" w:cs="Book Antiqua"/>
          <w:b/>
          <w:i/>
          <w:iCs/>
          <w:kern w:val="0"/>
          <w:sz w:val="24"/>
          <w:szCs w:val="24"/>
        </w:rPr>
        <w:t>Peer-review</w:t>
      </w:r>
    </w:p>
    <w:p w:rsidR="0070074D" w:rsidRPr="008F0C1A" w:rsidRDefault="00477088" w:rsidP="00A771AE">
      <w:pPr>
        <w:wordWrap/>
        <w:adjustRightInd w:val="0"/>
        <w:snapToGrid w:val="0"/>
        <w:spacing w:after="0" w:line="360" w:lineRule="auto"/>
        <w:rPr>
          <w:rFonts w:ascii="Book Antiqua" w:hAnsi="Book Antiqua" w:cs="Book Antiqua"/>
          <w:kern w:val="0"/>
          <w:sz w:val="24"/>
          <w:szCs w:val="24"/>
        </w:rPr>
      </w:pPr>
      <w:r w:rsidRPr="008F0C1A">
        <w:rPr>
          <w:rFonts w:ascii="Book Antiqua" w:hAnsi="Book Antiqua" w:cs="Book Antiqua"/>
          <w:kern w:val="0"/>
          <w:sz w:val="24"/>
          <w:szCs w:val="24"/>
        </w:rPr>
        <w:lastRenderedPageBreak/>
        <w:t xml:space="preserve">The author of this paper evaluated the efficacy of </w:t>
      </w:r>
      <w:r w:rsidR="0070074D" w:rsidRPr="008F0C1A">
        <w:rPr>
          <w:rFonts w:ascii="Book Antiqua" w:hAnsi="Book Antiqua" w:cs="Book Antiqua"/>
          <w:kern w:val="0"/>
          <w:sz w:val="24"/>
          <w:szCs w:val="24"/>
        </w:rPr>
        <w:t xml:space="preserve">second look endoscopy with prophylactic hemostasis based on the Forrest classification </w:t>
      </w:r>
      <w:r w:rsidRPr="008F0C1A">
        <w:rPr>
          <w:rFonts w:ascii="Book Antiqua" w:hAnsi="Book Antiqua" w:cs="Book Antiqua"/>
          <w:kern w:val="0"/>
          <w:sz w:val="24"/>
          <w:szCs w:val="24"/>
        </w:rPr>
        <w:t xml:space="preserve">and compared the results </w:t>
      </w:r>
      <w:r w:rsidR="0070074D" w:rsidRPr="008F0C1A">
        <w:rPr>
          <w:rFonts w:ascii="Book Antiqua" w:hAnsi="Book Antiqua" w:cs="Book Antiqua"/>
          <w:kern w:val="0"/>
          <w:sz w:val="24"/>
          <w:szCs w:val="24"/>
        </w:rPr>
        <w:t xml:space="preserve">of the high risk of </w:t>
      </w:r>
      <w:proofErr w:type="spellStart"/>
      <w:r w:rsidR="0070074D" w:rsidRPr="008F0C1A">
        <w:rPr>
          <w:rFonts w:ascii="Book Antiqua" w:hAnsi="Book Antiqua" w:cs="Book Antiqua"/>
          <w:kern w:val="0"/>
          <w:sz w:val="24"/>
          <w:szCs w:val="24"/>
        </w:rPr>
        <w:t>rebleeding</w:t>
      </w:r>
      <w:proofErr w:type="spellEnd"/>
      <w:r w:rsidR="0070074D" w:rsidRPr="008F0C1A">
        <w:rPr>
          <w:rFonts w:ascii="Book Antiqua" w:hAnsi="Book Antiqua" w:cs="Book Antiqua"/>
          <w:kern w:val="0"/>
          <w:sz w:val="24"/>
          <w:szCs w:val="24"/>
        </w:rPr>
        <w:t xml:space="preserve"> group with the low risk of </w:t>
      </w:r>
      <w:proofErr w:type="spellStart"/>
      <w:r w:rsidR="0070074D" w:rsidRPr="008F0C1A">
        <w:rPr>
          <w:rFonts w:ascii="Book Antiqua" w:hAnsi="Book Antiqua" w:cs="Book Antiqua"/>
          <w:kern w:val="0"/>
          <w:sz w:val="24"/>
          <w:szCs w:val="24"/>
        </w:rPr>
        <w:t>rebleeding</w:t>
      </w:r>
      <w:proofErr w:type="spellEnd"/>
      <w:r w:rsidR="0070074D" w:rsidRPr="008F0C1A">
        <w:rPr>
          <w:rFonts w:ascii="Book Antiqua" w:hAnsi="Book Antiqua" w:cs="Book Antiqua"/>
          <w:kern w:val="0"/>
          <w:sz w:val="24"/>
          <w:szCs w:val="24"/>
        </w:rPr>
        <w:t xml:space="preserve"> group. As a result, the high risk of </w:t>
      </w:r>
      <w:proofErr w:type="spellStart"/>
      <w:r w:rsidR="0070074D" w:rsidRPr="008F0C1A">
        <w:rPr>
          <w:rFonts w:ascii="Book Antiqua" w:hAnsi="Book Antiqua" w:cs="Book Antiqua"/>
          <w:kern w:val="0"/>
          <w:sz w:val="24"/>
          <w:szCs w:val="24"/>
        </w:rPr>
        <w:t>rebleeding</w:t>
      </w:r>
      <w:proofErr w:type="spellEnd"/>
      <w:r w:rsidR="0070074D" w:rsidRPr="008F0C1A">
        <w:rPr>
          <w:rFonts w:ascii="Book Antiqua" w:hAnsi="Book Antiqua" w:cs="Book Antiqua"/>
          <w:kern w:val="0"/>
          <w:sz w:val="24"/>
          <w:szCs w:val="24"/>
        </w:rPr>
        <w:t xml:space="preserve"> group tended to be located more often in the mid-third and had higher appearance of flat or depressed shape than the low risk group. </w:t>
      </w:r>
    </w:p>
    <w:p w:rsidR="0070074D" w:rsidRPr="008F0C1A" w:rsidRDefault="0070074D" w:rsidP="00A771AE">
      <w:pPr>
        <w:wordWrap/>
        <w:adjustRightInd w:val="0"/>
        <w:snapToGrid w:val="0"/>
        <w:spacing w:after="0" w:line="360" w:lineRule="auto"/>
        <w:rPr>
          <w:rFonts w:ascii="Book Antiqua" w:hAnsi="Book Antiqua" w:cs="Book Antiqua"/>
          <w:kern w:val="0"/>
          <w:sz w:val="24"/>
          <w:szCs w:val="24"/>
        </w:rPr>
      </w:pPr>
      <w:r w:rsidRPr="008F0C1A">
        <w:rPr>
          <w:rFonts w:ascii="Book Antiqua" w:hAnsi="Book Antiqua" w:cs="Book Antiqua"/>
          <w:kern w:val="0"/>
          <w:sz w:val="24"/>
          <w:szCs w:val="24"/>
        </w:rPr>
        <w:t>In conclusion, SLE with pre-emptive prophylactic endoscopic treatment is still effective in preventing delayed bleeding after ESD.</w:t>
      </w:r>
    </w:p>
    <w:p w:rsidR="000329D6" w:rsidRPr="008F0C1A" w:rsidRDefault="000329D6" w:rsidP="00A771AE">
      <w:pPr>
        <w:widowControl/>
        <w:wordWrap/>
        <w:autoSpaceDE/>
        <w:autoSpaceDN/>
        <w:adjustRightInd w:val="0"/>
        <w:snapToGrid w:val="0"/>
        <w:spacing w:after="0" w:line="360" w:lineRule="auto"/>
        <w:rPr>
          <w:rFonts w:ascii="Book Antiqua" w:eastAsiaTheme="minorHAnsi" w:hAnsi="Book Antiqua" w:cs="Times New Roman"/>
          <w:b/>
          <w:color w:val="FF0000"/>
          <w:sz w:val="24"/>
          <w:szCs w:val="24"/>
        </w:rPr>
      </w:pPr>
      <w:r w:rsidRPr="008F0C1A">
        <w:rPr>
          <w:rFonts w:ascii="Book Antiqua" w:eastAsiaTheme="minorHAnsi" w:hAnsi="Book Antiqua" w:cs="Times New Roman"/>
          <w:b/>
          <w:color w:val="FF0000"/>
          <w:sz w:val="24"/>
          <w:szCs w:val="24"/>
        </w:rPr>
        <w:br w:type="page"/>
      </w:r>
    </w:p>
    <w:p w:rsidR="003F56F7" w:rsidRDefault="003F56F7" w:rsidP="00A771AE">
      <w:pPr>
        <w:widowControl/>
        <w:wordWrap/>
        <w:autoSpaceDE/>
        <w:autoSpaceDN/>
        <w:adjustRightInd w:val="0"/>
        <w:snapToGrid w:val="0"/>
        <w:spacing w:after="0" w:line="360" w:lineRule="auto"/>
        <w:rPr>
          <w:rFonts w:ascii="Book Antiqua" w:eastAsia="宋体" w:hAnsi="Book Antiqua" w:cs="Times New Roman"/>
          <w:b/>
          <w:caps/>
          <w:sz w:val="24"/>
          <w:szCs w:val="24"/>
          <w:lang w:eastAsia="zh-CN"/>
        </w:rPr>
      </w:pPr>
      <w:r w:rsidRPr="008F0C1A">
        <w:rPr>
          <w:rFonts w:ascii="Book Antiqua" w:eastAsiaTheme="minorHAnsi" w:hAnsi="Book Antiqua" w:cs="Times New Roman"/>
          <w:b/>
          <w:caps/>
          <w:sz w:val="24"/>
          <w:szCs w:val="24"/>
        </w:rPr>
        <w:lastRenderedPageBreak/>
        <w:t>Reference</w:t>
      </w:r>
      <w:r w:rsidR="00F917A1">
        <w:rPr>
          <w:rFonts w:ascii="Book Antiqua" w:eastAsiaTheme="minorHAnsi" w:hAnsi="Book Antiqua" w:cs="Times New Roman"/>
          <w:b/>
          <w:caps/>
          <w:sz w:val="24"/>
          <w:szCs w:val="24"/>
        </w:rPr>
        <w:t>s</w:t>
      </w:r>
    </w:p>
    <w:p w:rsidR="000603AD" w:rsidRPr="00244D43" w:rsidRDefault="000603AD" w:rsidP="00A771AE">
      <w:pPr>
        <w:widowControl/>
        <w:wordWrap/>
        <w:adjustRightInd w:val="0"/>
        <w:snapToGrid w:val="0"/>
        <w:spacing w:after="0" w:line="360" w:lineRule="auto"/>
        <w:rPr>
          <w:rFonts w:ascii="Book Antiqua" w:eastAsia="宋体" w:hAnsi="Book Antiqua" w:cs="宋体"/>
          <w:color w:val="000000"/>
          <w:kern w:val="0"/>
          <w:sz w:val="24"/>
          <w:szCs w:val="24"/>
        </w:rPr>
      </w:pPr>
      <w:r w:rsidRPr="00244D43">
        <w:rPr>
          <w:rFonts w:ascii="Book Antiqua" w:eastAsia="宋体" w:hAnsi="Book Antiqua" w:cs="宋体"/>
          <w:color w:val="000000"/>
          <w:kern w:val="0"/>
          <w:sz w:val="24"/>
          <w:szCs w:val="24"/>
        </w:rPr>
        <w:t>1 </w:t>
      </w:r>
      <w:r w:rsidRPr="00244D43">
        <w:rPr>
          <w:rFonts w:ascii="Book Antiqua" w:eastAsia="宋体" w:hAnsi="Book Antiqua" w:cs="宋体"/>
          <w:b/>
          <w:bCs/>
          <w:color w:val="000000"/>
          <w:kern w:val="0"/>
          <w:sz w:val="24"/>
          <w:szCs w:val="24"/>
        </w:rPr>
        <w:t xml:space="preserve">Jung </w:t>
      </w:r>
      <w:proofErr w:type="gramStart"/>
      <w:r w:rsidRPr="00244D43">
        <w:rPr>
          <w:rFonts w:ascii="Book Antiqua" w:eastAsia="宋体" w:hAnsi="Book Antiqua" w:cs="宋体"/>
          <w:b/>
          <w:bCs/>
          <w:color w:val="000000"/>
          <w:kern w:val="0"/>
          <w:sz w:val="24"/>
          <w:szCs w:val="24"/>
        </w:rPr>
        <w:t>KW</w:t>
      </w:r>
      <w:r w:rsidRPr="00244D43">
        <w:rPr>
          <w:rFonts w:ascii="Book Antiqua" w:eastAsia="宋体" w:hAnsi="Book Antiqua" w:cs="宋体"/>
          <w:color w:val="000000"/>
          <w:kern w:val="0"/>
          <w:sz w:val="24"/>
          <w:szCs w:val="24"/>
        </w:rPr>
        <w:t>,</w:t>
      </w:r>
      <w:proofErr w:type="gramEnd"/>
      <w:r w:rsidRPr="00244D43">
        <w:rPr>
          <w:rFonts w:ascii="Book Antiqua" w:eastAsia="宋体" w:hAnsi="Book Antiqua" w:cs="宋体"/>
          <w:color w:val="000000"/>
          <w:kern w:val="0"/>
          <w:sz w:val="24"/>
          <w:szCs w:val="24"/>
        </w:rPr>
        <w:t xml:space="preserve"> Won YJ, Kong HJ, Oh CM, </w:t>
      </w:r>
      <w:proofErr w:type="spellStart"/>
      <w:r w:rsidRPr="00244D43">
        <w:rPr>
          <w:rFonts w:ascii="Book Antiqua" w:eastAsia="宋体" w:hAnsi="Book Antiqua" w:cs="宋体"/>
          <w:color w:val="000000"/>
          <w:kern w:val="0"/>
          <w:sz w:val="24"/>
          <w:szCs w:val="24"/>
        </w:rPr>
        <w:t>Seo</w:t>
      </w:r>
      <w:proofErr w:type="spellEnd"/>
      <w:r w:rsidRPr="00244D43">
        <w:rPr>
          <w:rFonts w:ascii="Book Antiqua" w:eastAsia="宋体" w:hAnsi="Book Antiqua" w:cs="宋体"/>
          <w:color w:val="000000"/>
          <w:kern w:val="0"/>
          <w:sz w:val="24"/>
          <w:szCs w:val="24"/>
        </w:rPr>
        <w:t xml:space="preserve"> HG, Lee JS. Cancer statistics in Korea: incidence, mortality, survival and prevalence in 2010. </w:t>
      </w:r>
      <w:r w:rsidRPr="00244D43">
        <w:rPr>
          <w:rFonts w:ascii="Book Antiqua" w:eastAsia="宋体" w:hAnsi="Book Antiqua" w:cs="宋体"/>
          <w:i/>
          <w:iCs/>
          <w:color w:val="000000"/>
          <w:kern w:val="0"/>
          <w:sz w:val="24"/>
          <w:szCs w:val="24"/>
        </w:rPr>
        <w:t>Cancer Res Treat</w:t>
      </w:r>
      <w:r w:rsidRPr="00244D43">
        <w:rPr>
          <w:rFonts w:ascii="Book Antiqua" w:eastAsia="宋体" w:hAnsi="Book Antiqua" w:cs="宋体"/>
          <w:color w:val="000000"/>
          <w:kern w:val="0"/>
          <w:sz w:val="24"/>
          <w:szCs w:val="24"/>
        </w:rPr>
        <w:t> 2013; </w:t>
      </w:r>
      <w:r w:rsidRPr="00244D43">
        <w:rPr>
          <w:rFonts w:ascii="Book Antiqua" w:eastAsia="宋体" w:hAnsi="Book Antiqua" w:cs="宋体"/>
          <w:b/>
          <w:bCs/>
          <w:color w:val="000000"/>
          <w:kern w:val="0"/>
          <w:sz w:val="24"/>
          <w:szCs w:val="24"/>
        </w:rPr>
        <w:t>45</w:t>
      </w:r>
      <w:r w:rsidRPr="00244D43">
        <w:rPr>
          <w:rFonts w:ascii="Book Antiqua" w:eastAsia="宋体" w:hAnsi="Book Antiqua" w:cs="宋体"/>
          <w:color w:val="000000"/>
          <w:kern w:val="0"/>
          <w:sz w:val="24"/>
          <w:szCs w:val="24"/>
        </w:rPr>
        <w:t>: 1-14 [PMID: 23613665 DOI: 10.4143/crt.2013.45.1.1]</w:t>
      </w:r>
    </w:p>
    <w:p w:rsidR="000603AD" w:rsidRPr="00244D43" w:rsidRDefault="000603AD" w:rsidP="00A771AE">
      <w:pPr>
        <w:widowControl/>
        <w:wordWrap/>
        <w:adjustRightInd w:val="0"/>
        <w:snapToGrid w:val="0"/>
        <w:spacing w:after="0" w:line="360" w:lineRule="auto"/>
        <w:rPr>
          <w:rFonts w:ascii="Book Antiqua" w:eastAsia="宋体" w:hAnsi="Book Antiqua" w:cs="宋体"/>
          <w:color w:val="000000"/>
          <w:kern w:val="0"/>
          <w:sz w:val="24"/>
          <w:szCs w:val="24"/>
        </w:rPr>
      </w:pPr>
      <w:r w:rsidRPr="00244D43">
        <w:rPr>
          <w:rFonts w:ascii="Book Antiqua" w:eastAsia="宋体" w:hAnsi="Book Antiqua" w:cs="宋体"/>
          <w:color w:val="000000"/>
          <w:kern w:val="0"/>
          <w:sz w:val="24"/>
          <w:szCs w:val="24"/>
        </w:rPr>
        <w:t>2 </w:t>
      </w:r>
      <w:proofErr w:type="spellStart"/>
      <w:r w:rsidRPr="00244D43">
        <w:rPr>
          <w:rFonts w:ascii="Book Antiqua" w:eastAsia="宋体" w:hAnsi="Book Antiqua" w:cs="宋体"/>
          <w:b/>
          <w:bCs/>
          <w:color w:val="000000"/>
          <w:kern w:val="0"/>
          <w:sz w:val="24"/>
          <w:szCs w:val="24"/>
        </w:rPr>
        <w:t>Isomoto</w:t>
      </w:r>
      <w:proofErr w:type="spellEnd"/>
      <w:r w:rsidRPr="00244D43">
        <w:rPr>
          <w:rFonts w:ascii="Book Antiqua" w:eastAsia="宋体" w:hAnsi="Book Antiqua" w:cs="宋体"/>
          <w:b/>
          <w:bCs/>
          <w:color w:val="000000"/>
          <w:kern w:val="0"/>
          <w:sz w:val="24"/>
          <w:szCs w:val="24"/>
        </w:rPr>
        <w:t xml:space="preserve"> H</w:t>
      </w:r>
      <w:r w:rsidRPr="00244D43">
        <w:rPr>
          <w:rFonts w:ascii="Book Antiqua" w:eastAsia="宋体" w:hAnsi="Book Antiqua" w:cs="宋体"/>
          <w:color w:val="000000"/>
          <w:kern w:val="0"/>
          <w:sz w:val="24"/>
          <w:szCs w:val="24"/>
        </w:rPr>
        <w:t xml:space="preserve">, </w:t>
      </w:r>
      <w:proofErr w:type="spellStart"/>
      <w:r w:rsidRPr="00244D43">
        <w:rPr>
          <w:rFonts w:ascii="Book Antiqua" w:eastAsia="宋体" w:hAnsi="Book Antiqua" w:cs="宋体"/>
          <w:color w:val="000000"/>
          <w:kern w:val="0"/>
          <w:sz w:val="24"/>
          <w:szCs w:val="24"/>
        </w:rPr>
        <w:t>Shikuwa</w:t>
      </w:r>
      <w:proofErr w:type="spellEnd"/>
      <w:r w:rsidRPr="00244D43">
        <w:rPr>
          <w:rFonts w:ascii="Book Antiqua" w:eastAsia="宋体" w:hAnsi="Book Antiqua" w:cs="宋体"/>
          <w:color w:val="000000"/>
          <w:kern w:val="0"/>
          <w:sz w:val="24"/>
          <w:szCs w:val="24"/>
        </w:rPr>
        <w:t xml:space="preserve"> S, Yamaguchi N, Fukuda E, Ikeda K, </w:t>
      </w:r>
      <w:proofErr w:type="spellStart"/>
      <w:r w:rsidRPr="00244D43">
        <w:rPr>
          <w:rFonts w:ascii="Book Antiqua" w:eastAsia="宋体" w:hAnsi="Book Antiqua" w:cs="宋体"/>
          <w:color w:val="000000"/>
          <w:kern w:val="0"/>
          <w:sz w:val="24"/>
          <w:szCs w:val="24"/>
        </w:rPr>
        <w:t>Nishiyama</w:t>
      </w:r>
      <w:proofErr w:type="spellEnd"/>
      <w:r w:rsidRPr="00244D43">
        <w:rPr>
          <w:rFonts w:ascii="Book Antiqua" w:eastAsia="宋体" w:hAnsi="Book Antiqua" w:cs="宋体"/>
          <w:color w:val="000000"/>
          <w:kern w:val="0"/>
          <w:sz w:val="24"/>
          <w:szCs w:val="24"/>
        </w:rPr>
        <w:t xml:space="preserve"> H, </w:t>
      </w:r>
      <w:proofErr w:type="spellStart"/>
      <w:r w:rsidRPr="00244D43">
        <w:rPr>
          <w:rFonts w:ascii="Book Antiqua" w:eastAsia="宋体" w:hAnsi="Book Antiqua" w:cs="宋体"/>
          <w:color w:val="000000"/>
          <w:kern w:val="0"/>
          <w:sz w:val="24"/>
          <w:szCs w:val="24"/>
        </w:rPr>
        <w:t>Ohnita</w:t>
      </w:r>
      <w:proofErr w:type="spellEnd"/>
      <w:r w:rsidRPr="00244D43">
        <w:rPr>
          <w:rFonts w:ascii="Book Antiqua" w:eastAsia="宋体" w:hAnsi="Book Antiqua" w:cs="宋体"/>
          <w:color w:val="000000"/>
          <w:kern w:val="0"/>
          <w:sz w:val="24"/>
          <w:szCs w:val="24"/>
        </w:rPr>
        <w:t xml:space="preserve"> K, Mizuta Y, </w:t>
      </w:r>
      <w:proofErr w:type="spellStart"/>
      <w:r w:rsidRPr="00244D43">
        <w:rPr>
          <w:rFonts w:ascii="Book Antiqua" w:eastAsia="宋体" w:hAnsi="Book Antiqua" w:cs="宋体"/>
          <w:color w:val="000000"/>
          <w:kern w:val="0"/>
          <w:sz w:val="24"/>
          <w:szCs w:val="24"/>
        </w:rPr>
        <w:t>Shiozawa</w:t>
      </w:r>
      <w:proofErr w:type="spellEnd"/>
      <w:r w:rsidRPr="00244D43">
        <w:rPr>
          <w:rFonts w:ascii="Book Antiqua" w:eastAsia="宋体" w:hAnsi="Book Antiqua" w:cs="宋体"/>
          <w:color w:val="000000"/>
          <w:kern w:val="0"/>
          <w:sz w:val="24"/>
          <w:szCs w:val="24"/>
        </w:rPr>
        <w:t xml:space="preserve"> J, Kohno S. Endoscopic submucosal dissection for early gastric cancer: a large-scale feasibility study. </w:t>
      </w:r>
      <w:r w:rsidRPr="00244D43">
        <w:rPr>
          <w:rFonts w:ascii="Book Antiqua" w:eastAsia="宋体" w:hAnsi="Book Antiqua" w:cs="宋体"/>
          <w:i/>
          <w:iCs/>
          <w:color w:val="000000"/>
          <w:kern w:val="0"/>
          <w:sz w:val="24"/>
          <w:szCs w:val="24"/>
        </w:rPr>
        <w:t>Gut</w:t>
      </w:r>
      <w:r w:rsidRPr="00244D43">
        <w:rPr>
          <w:rFonts w:ascii="Book Antiqua" w:eastAsia="宋体" w:hAnsi="Book Antiqua" w:cs="宋体"/>
          <w:color w:val="000000"/>
          <w:kern w:val="0"/>
          <w:sz w:val="24"/>
          <w:szCs w:val="24"/>
        </w:rPr>
        <w:t> 2009; </w:t>
      </w:r>
      <w:r w:rsidRPr="00244D43">
        <w:rPr>
          <w:rFonts w:ascii="Book Antiqua" w:eastAsia="宋体" w:hAnsi="Book Antiqua" w:cs="宋体"/>
          <w:b/>
          <w:bCs/>
          <w:color w:val="000000"/>
          <w:kern w:val="0"/>
          <w:sz w:val="24"/>
          <w:szCs w:val="24"/>
        </w:rPr>
        <w:t>58</w:t>
      </w:r>
      <w:r w:rsidRPr="00244D43">
        <w:rPr>
          <w:rFonts w:ascii="Book Antiqua" w:eastAsia="宋体" w:hAnsi="Book Antiqua" w:cs="宋体"/>
          <w:color w:val="000000"/>
          <w:kern w:val="0"/>
          <w:sz w:val="24"/>
          <w:szCs w:val="24"/>
        </w:rPr>
        <w:t>: 331-336 [PMID: 19001058 DOI: 10.1136/gut.2008.165381]</w:t>
      </w:r>
    </w:p>
    <w:p w:rsidR="000603AD" w:rsidRPr="00244D43" w:rsidRDefault="000603AD" w:rsidP="00A771AE">
      <w:pPr>
        <w:widowControl/>
        <w:wordWrap/>
        <w:adjustRightInd w:val="0"/>
        <w:snapToGrid w:val="0"/>
        <w:spacing w:after="0" w:line="360" w:lineRule="auto"/>
        <w:rPr>
          <w:rFonts w:ascii="Book Antiqua" w:eastAsia="宋体" w:hAnsi="Book Antiqua" w:cs="宋体"/>
          <w:color w:val="000000"/>
          <w:kern w:val="0"/>
          <w:sz w:val="24"/>
          <w:szCs w:val="24"/>
        </w:rPr>
      </w:pPr>
      <w:r w:rsidRPr="00244D43">
        <w:rPr>
          <w:rFonts w:ascii="Book Antiqua" w:eastAsia="宋体" w:hAnsi="Book Antiqua" w:cs="宋体"/>
          <w:color w:val="000000"/>
          <w:kern w:val="0"/>
          <w:sz w:val="24"/>
          <w:szCs w:val="24"/>
        </w:rPr>
        <w:t>3 </w:t>
      </w:r>
      <w:r w:rsidRPr="00244D43">
        <w:rPr>
          <w:rFonts w:ascii="Book Antiqua" w:eastAsia="宋体" w:hAnsi="Book Antiqua" w:cs="宋体"/>
          <w:b/>
          <w:bCs/>
          <w:color w:val="000000"/>
          <w:kern w:val="0"/>
          <w:sz w:val="24"/>
          <w:szCs w:val="24"/>
        </w:rPr>
        <w:t>Tsuji Y</w:t>
      </w:r>
      <w:r w:rsidRPr="00244D43">
        <w:rPr>
          <w:rFonts w:ascii="Book Antiqua" w:eastAsia="宋体" w:hAnsi="Book Antiqua" w:cs="宋体"/>
          <w:color w:val="000000"/>
          <w:kern w:val="0"/>
          <w:sz w:val="24"/>
          <w:szCs w:val="24"/>
        </w:rPr>
        <w:t xml:space="preserve">, </w:t>
      </w:r>
      <w:proofErr w:type="spellStart"/>
      <w:r w:rsidRPr="00244D43">
        <w:rPr>
          <w:rFonts w:ascii="Book Antiqua" w:eastAsia="宋体" w:hAnsi="Book Antiqua" w:cs="宋体"/>
          <w:color w:val="000000"/>
          <w:kern w:val="0"/>
          <w:sz w:val="24"/>
          <w:szCs w:val="24"/>
        </w:rPr>
        <w:t>Ohata</w:t>
      </w:r>
      <w:proofErr w:type="spellEnd"/>
      <w:r w:rsidRPr="00244D43">
        <w:rPr>
          <w:rFonts w:ascii="Book Antiqua" w:eastAsia="宋体" w:hAnsi="Book Antiqua" w:cs="宋体"/>
          <w:color w:val="000000"/>
          <w:kern w:val="0"/>
          <w:sz w:val="24"/>
          <w:szCs w:val="24"/>
        </w:rPr>
        <w:t xml:space="preserve"> K, Ito T, Chiba H, </w:t>
      </w:r>
      <w:proofErr w:type="spellStart"/>
      <w:r w:rsidRPr="00244D43">
        <w:rPr>
          <w:rFonts w:ascii="Book Antiqua" w:eastAsia="宋体" w:hAnsi="Book Antiqua" w:cs="宋体"/>
          <w:color w:val="000000"/>
          <w:kern w:val="0"/>
          <w:sz w:val="24"/>
          <w:szCs w:val="24"/>
        </w:rPr>
        <w:t>Ohya</w:t>
      </w:r>
      <w:proofErr w:type="spellEnd"/>
      <w:r w:rsidRPr="00244D43">
        <w:rPr>
          <w:rFonts w:ascii="Book Antiqua" w:eastAsia="宋体" w:hAnsi="Book Antiqua" w:cs="宋体"/>
          <w:color w:val="000000"/>
          <w:kern w:val="0"/>
          <w:sz w:val="24"/>
          <w:szCs w:val="24"/>
        </w:rPr>
        <w:t xml:space="preserve"> T, </w:t>
      </w:r>
      <w:proofErr w:type="spellStart"/>
      <w:r w:rsidRPr="00244D43">
        <w:rPr>
          <w:rFonts w:ascii="Book Antiqua" w:eastAsia="宋体" w:hAnsi="Book Antiqua" w:cs="宋体"/>
          <w:color w:val="000000"/>
          <w:kern w:val="0"/>
          <w:sz w:val="24"/>
          <w:szCs w:val="24"/>
        </w:rPr>
        <w:t>Gunji</w:t>
      </w:r>
      <w:proofErr w:type="spellEnd"/>
      <w:r w:rsidRPr="00244D43">
        <w:rPr>
          <w:rFonts w:ascii="Book Antiqua" w:eastAsia="宋体" w:hAnsi="Book Antiqua" w:cs="宋体"/>
          <w:color w:val="000000"/>
          <w:kern w:val="0"/>
          <w:sz w:val="24"/>
          <w:szCs w:val="24"/>
        </w:rPr>
        <w:t xml:space="preserve"> T, </w:t>
      </w:r>
      <w:proofErr w:type="spellStart"/>
      <w:r w:rsidRPr="00244D43">
        <w:rPr>
          <w:rFonts w:ascii="Book Antiqua" w:eastAsia="宋体" w:hAnsi="Book Antiqua" w:cs="宋体"/>
          <w:color w:val="000000"/>
          <w:kern w:val="0"/>
          <w:sz w:val="24"/>
          <w:szCs w:val="24"/>
        </w:rPr>
        <w:t>Matsuhashi</w:t>
      </w:r>
      <w:proofErr w:type="spellEnd"/>
      <w:r w:rsidRPr="00244D43">
        <w:rPr>
          <w:rFonts w:ascii="Book Antiqua" w:eastAsia="宋体" w:hAnsi="Book Antiqua" w:cs="宋体"/>
          <w:color w:val="000000"/>
          <w:kern w:val="0"/>
          <w:sz w:val="24"/>
          <w:szCs w:val="24"/>
        </w:rPr>
        <w:t xml:space="preserve"> N. Risk factors for bleeding after endoscopic submucosal dissection for gastric lesions. </w:t>
      </w:r>
      <w:r w:rsidRPr="00244D43">
        <w:rPr>
          <w:rFonts w:ascii="Book Antiqua" w:eastAsia="宋体" w:hAnsi="Book Antiqua" w:cs="宋体"/>
          <w:i/>
          <w:iCs/>
          <w:color w:val="000000"/>
          <w:kern w:val="0"/>
          <w:sz w:val="24"/>
          <w:szCs w:val="24"/>
        </w:rPr>
        <w:t xml:space="preserve">World J </w:t>
      </w:r>
      <w:proofErr w:type="spellStart"/>
      <w:r w:rsidRPr="00244D43">
        <w:rPr>
          <w:rFonts w:ascii="Book Antiqua" w:eastAsia="宋体" w:hAnsi="Book Antiqua" w:cs="宋体"/>
          <w:i/>
          <w:iCs/>
          <w:color w:val="000000"/>
          <w:kern w:val="0"/>
          <w:sz w:val="24"/>
          <w:szCs w:val="24"/>
        </w:rPr>
        <w:t>Gastroenterol</w:t>
      </w:r>
      <w:proofErr w:type="spellEnd"/>
      <w:r w:rsidRPr="00244D43">
        <w:rPr>
          <w:rFonts w:ascii="Book Antiqua" w:eastAsia="宋体" w:hAnsi="Book Antiqua" w:cs="宋体"/>
          <w:color w:val="000000"/>
          <w:kern w:val="0"/>
          <w:sz w:val="24"/>
          <w:szCs w:val="24"/>
        </w:rPr>
        <w:t> 2010; </w:t>
      </w:r>
      <w:r w:rsidRPr="00244D43">
        <w:rPr>
          <w:rFonts w:ascii="Book Antiqua" w:eastAsia="宋体" w:hAnsi="Book Antiqua" w:cs="宋体"/>
          <w:b/>
          <w:bCs/>
          <w:color w:val="000000"/>
          <w:kern w:val="0"/>
          <w:sz w:val="24"/>
          <w:szCs w:val="24"/>
        </w:rPr>
        <w:t>16</w:t>
      </w:r>
      <w:r w:rsidRPr="00244D43">
        <w:rPr>
          <w:rFonts w:ascii="Book Antiqua" w:eastAsia="宋体" w:hAnsi="Book Antiqua" w:cs="宋体"/>
          <w:color w:val="000000"/>
          <w:kern w:val="0"/>
          <w:sz w:val="24"/>
          <w:szCs w:val="24"/>
        </w:rPr>
        <w:t>: 2913-2917 [PMID: 20556838 DOI: 10.3748/wjg.v20.i7.1839]</w:t>
      </w:r>
    </w:p>
    <w:p w:rsidR="000603AD" w:rsidRPr="00244D43" w:rsidRDefault="000603AD" w:rsidP="00A771AE">
      <w:pPr>
        <w:widowControl/>
        <w:wordWrap/>
        <w:adjustRightInd w:val="0"/>
        <w:snapToGrid w:val="0"/>
        <w:spacing w:after="0" w:line="360" w:lineRule="auto"/>
        <w:rPr>
          <w:rFonts w:ascii="Book Antiqua" w:eastAsia="宋体" w:hAnsi="Book Antiqua" w:cs="宋体"/>
          <w:color w:val="000000"/>
          <w:kern w:val="0"/>
          <w:sz w:val="24"/>
          <w:szCs w:val="24"/>
        </w:rPr>
      </w:pPr>
      <w:r w:rsidRPr="00244D43">
        <w:rPr>
          <w:rFonts w:ascii="Book Antiqua" w:eastAsia="宋体" w:hAnsi="Book Antiqua" w:cs="宋体"/>
          <w:color w:val="000000"/>
          <w:kern w:val="0"/>
          <w:sz w:val="24"/>
          <w:szCs w:val="24"/>
        </w:rPr>
        <w:t>4 </w:t>
      </w:r>
      <w:proofErr w:type="spellStart"/>
      <w:r w:rsidRPr="00244D43">
        <w:rPr>
          <w:rFonts w:ascii="Book Antiqua" w:eastAsia="宋体" w:hAnsi="Book Antiqua" w:cs="宋体"/>
          <w:b/>
          <w:bCs/>
          <w:color w:val="000000"/>
          <w:kern w:val="0"/>
          <w:sz w:val="24"/>
          <w:szCs w:val="24"/>
        </w:rPr>
        <w:t>Goto</w:t>
      </w:r>
      <w:proofErr w:type="spellEnd"/>
      <w:r w:rsidRPr="00244D43">
        <w:rPr>
          <w:rFonts w:ascii="Book Antiqua" w:eastAsia="宋体" w:hAnsi="Book Antiqua" w:cs="宋体"/>
          <w:b/>
          <w:bCs/>
          <w:color w:val="000000"/>
          <w:kern w:val="0"/>
          <w:sz w:val="24"/>
          <w:szCs w:val="24"/>
        </w:rPr>
        <w:t xml:space="preserve"> O</w:t>
      </w:r>
      <w:r w:rsidRPr="00244D43">
        <w:rPr>
          <w:rFonts w:ascii="Book Antiqua" w:eastAsia="宋体" w:hAnsi="Book Antiqua" w:cs="宋体"/>
          <w:color w:val="000000"/>
          <w:kern w:val="0"/>
          <w:sz w:val="24"/>
          <w:szCs w:val="24"/>
        </w:rPr>
        <w:t xml:space="preserve">, </w:t>
      </w:r>
      <w:proofErr w:type="spellStart"/>
      <w:r w:rsidRPr="00244D43">
        <w:rPr>
          <w:rFonts w:ascii="Book Antiqua" w:eastAsia="宋体" w:hAnsi="Book Antiqua" w:cs="宋体"/>
          <w:color w:val="000000"/>
          <w:kern w:val="0"/>
          <w:sz w:val="24"/>
          <w:szCs w:val="24"/>
        </w:rPr>
        <w:t>Fujishiro</w:t>
      </w:r>
      <w:proofErr w:type="spellEnd"/>
      <w:r w:rsidRPr="00244D43">
        <w:rPr>
          <w:rFonts w:ascii="Book Antiqua" w:eastAsia="宋体" w:hAnsi="Book Antiqua" w:cs="宋体"/>
          <w:color w:val="000000"/>
          <w:kern w:val="0"/>
          <w:sz w:val="24"/>
          <w:szCs w:val="24"/>
        </w:rPr>
        <w:t xml:space="preserve"> M, </w:t>
      </w:r>
      <w:proofErr w:type="spellStart"/>
      <w:r w:rsidRPr="00244D43">
        <w:rPr>
          <w:rFonts w:ascii="Book Antiqua" w:eastAsia="宋体" w:hAnsi="Book Antiqua" w:cs="宋体"/>
          <w:color w:val="000000"/>
          <w:kern w:val="0"/>
          <w:sz w:val="24"/>
          <w:szCs w:val="24"/>
        </w:rPr>
        <w:t>Kodashima</w:t>
      </w:r>
      <w:proofErr w:type="spellEnd"/>
      <w:r w:rsidRPr="00244D43">
        <w:rPr>
          <w:rFonts w:ascii="Book Antiqua" w:eastAsia="宋体" w:hAnsi="Book Antiqua" w:cs="宋体"/>
          <w:color w:val="000000"/>
          <w:kern w:val="0"/>
          <w:sz w:val="24"/>
          <w:szCs w:val="24"/>
        </w:rPr>
        <w:t xml:space="preserve"> S, Ono S, </w:t>
      </w:r>
      <w:proofErr w:type="spellStart"/>
      <w:r w:rsidRPr="00244D43">
        <w:rPr>
          <w:rFonts w:ascii="Book Antiqua" w:eastAsia="宋体" w:hAnsi="Book Antiqua" w:cs="宋体"/>
          <w:color w:val="000000"/>
          <w:kern w:val="0"/>
          <w:sz w:val="24"/>
          <w:szCs w:val="24"/>
        </w:rPr>
        <w:t>Niimi</w:t>
      </w:r>
      <w:proofErr w:type="spellEnd"/>
      <w:r w:rsidRPr="00244D43">
        <w:rPr>
          <w:rFonts w:ascii="Book Antiqua" w:eastAsia="宋体" w:hAnsi="Book Antiqua" w:cs="宋体"/>
          <w:color w:val="000000"/>
          <w:kern w:val="0"/>
          <w:sz w:val="24"/>
          <w:szCs w:val="24"/>
        </w:rPr>
        <w:t xml:space="preserve"> K, Hirano K, </w:t>
      </w:r>
      <w:proofErr w:type="spellStart"/>
      <w:r w:rsidRPr="00244D43">
        <w:rPr>
          <w:rFonts w:ascii="Book Antiqua" w:eastAsia="宋体" w:hAnsi="Book Antiqua" w:cs="宋体"/>
          <w:color w:val="000000"/>
          <w:kern w:val="0"/>
          <w:sz w:val="24"/>
          <w:szCs w:val="24"/>
        </w:rPr>
        <w:t>Yamamichi</w:t>
      </w:r>
      <w:proofErr w:type="spellEnd"/>
      <w:r w:rsidRPr="00244D43">
        <w:rPr>
          <w:rFonts w:ascii="Book Antiqua" w:eastAsia="宋体" w:hAnsi="Book Antiqua" w:cs="宋体"/>
          <w:color w:val="000000"/>
          <w:kern w:val="0"/>
          <w:sz w:val="24"/>
          <w:szCs w:val="24"/>
        </w:rPr>
        <w:t xml:space="preserve"> N, Koike K. A second-look endoscopy after endoscopic submucosal dissection for gastric epithelial neoplasm may be unnecessary: a retrospective analysis of </w:t>
      </w:r>
      <w:proofErr w:type="spellStart"/>
      <w:r w:rsidRPr="00244D43">
        <w:rPr>
          <w:rFonts w:ascii="Book Antiqua" w:eastAsia="宋体" w:hAnsi="Book Antiqua" w:cs="宋体"/>
          <w:color w:val="000000"/>
          <w:kern w:val="0"/>
          <w:sz w:val="24"/>
          <w:szCs w:val="24"/>
        </w:rPr>
        <w:t>postendoscopic</w:t>
      </w:r>
      <w:proofErr w:type="spellEnd"/>
      <w:r w:rsidRPr="00244D43">
        <w:rPr>
          <w:rFonts w:ascii="Book Antiqua" w:eastAsia="宋体" w:hAnsi="Book Antiqua" w:cs="宋体"/>
          <w:color w:val="000000"/>
          <w:kern w:val="0"/>
          <w:sz w:val="24"/>
          <w:szCs w:val="24"/>
        </w:rPr>
        <w:t xml:space="preserve"> submucosal dissection bleeding. </w:t>
      </w:r>
      <w:proofErr w:type="spellStart"/>
      <w:r w:rsidRPr="00244D43">
        <w:rPr>
          <w:rFonts w:ascii="Book Antiqua" w:eastAsia="宋体" w:hAnsi="Book Antiqua" w:cs="宋体"/>
          <w:i/>
          <w:iCs/>
          <w:color w:val="000000"/>
          <w:kern w:val="0"/>
          <w:sz w:val="24"/>
          <w:szCs w:val="24"/>
        </w:rPr>
        <w:t>Gastrointest</w:t>
      </w:r>
      <w:proofErr w:type="spellEnd"/>
      <w:r w:rsidRPr="00244D43">
        <w:rPr>
          <w:rFonts w:ascii="Book Antiqua" w:eastAsia="宋体" w:hAnsi="Book Antiqua" w:cs="宋体"/>
          <w:i/>
          <w:iCs/>
          <w:color w:val="000000"/>
          <w:kern w:val="0"/>
          <w:sz w:val="24"/>
          <w:szCs w:val="24"/>
        </w:rPr>
        <w:t xml:space="preserve"> </w:t>
      </w:r>
      <w:proofErr w:type="spellStart"/>
      <w:r w:rsidRPr="00244D43">
        <w:rPr>
          <w:rFonts w:ascii="Book Antiqua" w:eastAsia="宋体" w:hAnsi="Book Antiqua" w:cs="宋体"/>
          <w:i/>
          <w:iCs/>
          <w:color w:val="000000"/>
          <w:kern w:val="0"/>
          <w:sz w:val="24"/>
          <w:szCs w:val="24"/>
        </w:rPr>
        <w:t>Endosc</w:t>
      </w:r>
      <w:proofErr w:type="spellEnd"/>
      <w:r w:rsidRPr="00244D43">
        <w:rPr>
          <w:rFonts w:ascii="Book Antiqua" w:eastAsia="宋体" w:hAnsi="Book Antiqua" w:cs="宋体"/>
          <w:color w:val="000000"/>
          <w:kern w:val="0"/>
          <w:sz w:val="24"/>
          <w:szCs w:val="24"/>
        </w:rPr>
        <w:t> 2010; </w:t>
      </w:r>
      <w:r w:rsidRPr="00244D43">
        <w:rPr>
          <w:rFonts w:ascii="Book Antiqua" w:eastAsia="宋体" w:hAnsi="Book Antiqua" w:cs="宋体"/>
          <w:b/>
          <w:bCs/>
          <w:color w:val="000000"/>
          <w:kern w:val="0"/>
          <w:sz w:val="24"/>
          <w:szCs w:val="24"/>
        </w:rPr>
        <w:t>71</w:t>
      </w:r>
      <w:r w:rsidRPr="00244D43">
        <w:rPr>
          <w:rFonts w:ascii="Book Antiqua" w:eastAsia="宋体" w:hAnsi="Book Antiqua" w:cs="宋体"/>
          <w:color w:val="000000"/>
          <w:kern w:val="0"/>
          <w:sz w:val="24"/>
          <w:szCs w:val="24"/>
        </w:rPr>
        <w:t>: 241-248 [PMID: 19922919 DOI: 10.1016/j.gie.2009.08.030]</w:t>
      </w:r>
    </w:p>
    <w:p w:rsidR="000603AD" w:rsidRPr="00244D43" w:rsidRDefault="000603AD" w:rsidP="00A771AE">
      <w:pPr>
        <w:widowControl/>
        <w:wordWrap/>
        <w:adjustRightInd w:val="0"/>
        <w:snapToGrid w:val="0"/>
        <w:spacing w:after="0" w:line="360" w:lineRule="auto"/>
        <w:rPr>
          <w:rFonts w:ascii="Book Antiqua" w:eastAsia="宋体" w:hAnsi="Book Antiqua" w:cs="宋体"/>
          <w:color w:val="000000"/>
          <w:kern w:val="0"/>
          <w:sz w:val="24"/>
          <w:szCs w:val="24"/>
        </w:rPr>
      </w:pPr>
      <w:r w:rsidRPr="00244D43">
        <w:rPr>
          <w:rFonts w:ascii="Book Antiqua" w:eastAsia="宋体" w:hAnsi="Book Antiqua" w:cs="宋体"/>
          <w:color w:val="000000"/>
          <w:kern w:val="0"/>
          <w:sz w:val="24"/>
          <w:szCs w:val="24"/>
        </w:rPr>
        <w:t>5 </w:t>
      </w:r>
      <w:r w:rsidRPr="00244D43">
        <w:rPr>
          <w:rFonts w:ascii="Book Antiqua" w:eastAsia="宋体" w:hAnsi="Book Antiqua" w:cs="宋体"/>
          <w:b/>
          <w:bCs/>
          <w:color w:val="000000"/>
          <w:kern w:val="0"/>
          <w:sz w:val="24"/>
          <w:szCs w:val="24"/>
        </w:rPr>
        <w:t>Takahashi F</w:t>
      </w:r>
      <w:r w:rsidRPr="00244D43">
        <w:rPr>
          <w:rFonts w:ascii="Book Antiqua" w:eastAsia="宋体" w:hAnsi="Book Antiqua" w:cs="宋体"/>
          <w:color w:val="000000"/>
          <w:kern w:val="0"/>
          <w:sz w:val="24"/>
          <w:szCs w:val="24"/>
        </w:rPr>
        <w:t xml:space="preserve">, </w:t>
      </w:r>
      <w:proofErr w:type="spellStart"/>
      <w:r w:rsidRPr="00244D43">
        <w:rPr>
          <w:rFonts w:ascii="Book Antiqua" w:eastAsia="宋体" w:hAnsi="Book Antiqua" w:cs="宋体"/>
          <w:color w:val="000000"/>
          <w:kern w:val="0"/>
          <w:sz w:val="24"/>
          <w:szCs w:val="24"/>
        </w:rPr>
        <w:t>Yoshitake</w:t>
      </w:r>
      <w:proofErr w:type="spellEnd"/>
      <w:r w:rsidRPr="00244D43">
        <w:rPr>
          <w:rFonts w:ascii="Book Antiqua" w:eastAsia="宋体" w:hAnsi="Book Antiqua" w:cs="宋体"/>
          <w:color w:val="000000"/>
          <w:kern w:val="0"/>
          <w:sz w:val="24"/>
          <w:szCs w:val="24"/>
        </w:rPr>
        <w:t xml:space="preserve"> N, </w:t>
      </w:r>
      <w:proofErr w:type="spellStart"/>
      <w:r w:rsidRPr="00244D43">
        <w:rPr>
          <w:rFonts w:ascii="Book Antiqua" w:eastAsia="宋体" w:hAnsi="Book Antiqua" w:cs="宋体"/>
          <w:color w:val="000000"/>
          <w:kern w:val="0"/>
          <w:sz w:val="24"/>
          <w:szCs w:val="24"/>
        </w:rPr>
        <w:t>Akima</w:t>
      </w:r>
      <w:proofErr w:type="spellEnd"/>
      <w:r w:rsidRPr="00244D43">
        <w:rPr>
          <w:rFonts w:ascii="Book Antiqua" w:eastAsia="宋体" w:hAnsi="Book Antiqua" w:cs="宋体"/>
          <w:color w:val="000000"/>
          <w:kern w:val="0"/>
          <w:sz w:val="24"/>
          <w:szCs w:val="24"/>
        </w:rPr>
        <w:t xml:space="preserve"> T, Kino H, Nakano M, </w:t>
      </w:r>
      <w:proofErr w:type="spellStart"/>
      <w:r w:rsidRPr="00244D43">
        <w:rPr>
          <w:rFonts w:ascii="Book Antiqua" w:eastAsia="宋体" w:hAnsi="Book Antiqua" w:cs="宋体"/>
          <w:color w:val="000000"/>
          <w:kern w:val="0"/>
          <w:sz w:val="24"/>
          <w:szCs w:val="24"/>
        </w:rPr>
        <w:t>Tsuchida</w:t>
      </w:r>
      <w:proofErr w:type="spellEnd"/>
      <w:r w:rsidRPr="00244D43">
        <w:rPr>
          <w:rFonts w:ascii="Book Antiqua" w:eastAsia="宋体" w:hAnsi="Book Antiqua" w:cs="宋体"/>
          <w:color w:val="000000"/>
          <w:kern w:val="0"/>
          <w:sz w:val="24"/>
          <w:szCs w:val="24"/>
        </w:rPr>
        <w:t xml:space="preserve"> C, </w:t>
      </w:r>
      <w:proofErr w:type="spellStart"/>
      <w:r w:rsidRPr="00244D43">
        <w:rPr>
          <w:rFonts w:ascii="Book Antiqua" w:eastAsia="宋体" w:hAnsi="Book Antiqua" w:cs="宋体"/>
          <w:color w:val="000000"/>
          <w:kern w:val="0"/>
          <w:sz w:val="24"/>
          <w:szCs w:val="24"/>
        </w:rPr>
        <w:t>Tsuchida</w:t>
      </w:r>
      <w:proofErr w:type="spellEnd"/>
      <w:r w:rsidRPr="00244D43">
        <w:rPr>
          <w:rFonts w:ascii="Book Antiqua" w:eastAsia="宋体" w:hAnsi="Book Antiqua" w:cs="宋体"/>
          <w:color w:val="000000"/>
          <w:kern w:val="0"/>
          <w:sz w:val="24"/>
          <w:szCs w:val="24"/>
        </w:rPr>
        <w:t xml:space="preserve"> K, </w:t>
      </w:r>
      <w:proofErr w:type="spellStart"/>
      <w:r w:rsidRPr="00244D43">
        <w:rPr>
          <w:rFonts w:ascii="Book Antiqua" w:eastAsia="宋体" w:hAnsi="Book Antiqua" w:cs="宋体"/>
          <w:color w:val="000000"/>
          <w:kern w:val="0"/>
          <w:sz w:val="24"/>
          <w:szCs w:val="24"/>
        </w:rPr>
        <w:t>Tominaga</w:t>
      </w:r>
      <w:proofErr w:type="spellEnd"/>
      <w:r w:rsidRPr="00244D43">
        <w:rPr>
          <w:rFonts w:ascii="Book Antiqua" w:eastAsia="宋体" w:hAnsi="Book Antiqua" w:cs="宋体"/>
          <w:color w:val="000000"/>
          <w:kern w:val="0"/>
          <w:sz w:val="24"/>
          <w:szCs w:val="24"/>
        </w:rPr>
        <w:t xml:space="preserve"> K, </w:t>
      </w:r>
      <w:proofErr w:type="spellStart"/>
      <w:r w:rsidRPr="00244D43">
        <w:rPr>
          <w:rFonts w:ascii="Book Antiqua" w:eastAsia="宋体" w:hAnsi="Book Antiqua" w:cs="宋体"/>
          <w:color w:val="000000"/>
          <w:kern w:val="0"/>
          <w:sz w:val="24"/>
          <w:szCs w:val="24"/>
        </w:rPr>
        <w:t>Sasai</w:t>
      </w:r>
      <w:proofErr w:type="spellEnd"/>
      <w:r w:rsidRPr="00244D43">
        <w:rPr>
          <w:rFonts w:ascii="Book Antiqua" w:eastAsia="宋体" w:hAnsi="Book Antiqua" w:cs="宋体"/>
          <w:color w:val="000000"/>
          <w:kern w:val="0"/>
          <w:sz w:val="24"/>
          <w:szCs w:val="24"/>
        </w:rPr>
        <w:t xml:space="preserve"> T, </w:t>
      </w:r>
      <w:proofErr w:type="spellStart"/>
      <w:r w:rsidRPr="00244D43">
        <w:rPr>
          <w:rFonts w:ascii="Book Antiqua" w:eastAsia="宋体" w:hAnsi="Book Antiqua" w:cs="宋体"/>
          <w:color w:val="000000"/>
          <w:kern w:val="0"/>
          <w:sz w:val="24"/>
          <w:szCs w:val="24"/>
        </w:rPr>
        <w:t>Masuyama</w:t>
      </w:r>
      <w:proofErr w:type="spellEnd"/>
      <w:r w:rsidRPr="00244D43">
        <w:rPr>
          <w:rFonts w:ascii="Book Antiqua" w:eastAsia="宋体" w:hAnsi="Book Antiqua" w:cs="宋体"/>
          <w:color w:val="000000"/>
          <w:kern w:val="0"/>
          <w:sz w:val="24"/>
          <w:szCs w:val="24"/>
        </w:rPr>
        <w:t xml:space="preserve"> H, </w:t>
      </w:r>
      <w:proofErr w:type="spellStart"/>
      <w:r w:rsidRPr="00244D43">
        <w:rPr>
          <w:rFonts w:ascii="Book Antiqua" w:eastAsia="宋体" w:hAnsi="Book Antiqua" w:cs="宋体"/>
          <w:color w:val="000000"/>
          <w:kern w:val="0"/>
          <w:sz w:val="24"/>
          <w:szCs w:val="24"/>
        </w:rPr>
        <w:t>Hiraishi</w:t>
      </w:r>
      <w:proofErr w:type="spellEnd"/>
      <w:r w:rsidRPr="00244D43">
        <w:rPr>
          <w:rFonts w:ascii="Book Antiqua" w:eastAsia="宋体" w:hAnsi="Book Antiqua" w:cs="宋体"/>
          <w:color w:val="000000"/>
          <w:kern w:val="0"/>
          <w:sz w:val="24"/>
          <w:szCs w:val="24"/>
        </w:rPr>
        <w:t xml:space="preserve"> H. A second-look endoscopy may not reduce the bleeding after endoscopic submucosal dissection for gastric epithelial neoplasm. </w:t>
      </w:r>
      <w:r w:rsidRPr="00244D43">
        <w:rPr>
          <w:rFonts w:ascii="Book Antiqua" w:eastAsia="宋体" w:hAnsi="Book Antiqua" w:cs="宋体"/>
          <w:i/>
          <w:iCs/>
          <w:color w:val="000000"/>
          <w:kern w:val="0"/>
          <w:sz w:val="24"/>
          <w:szCs w:val="24"/>
        </w:rPr>
        <w:t xml:space="preserve">BMC </w:t>
      </w:r>
      <w:proofErr w:type="spellStart"/>
      <w:r w:rsidRPr="00244D43">
        <w:rPr>
          <w:rFonts w:ascii="Book Antiqua" w:eastAsia="宋体" w:hAnsi="Book Antiqua" w:cs="宋体"/>
          <w:i/>
          <w:iCs/>
          <w:color w:val="000000"/>
          <w:kern w:val="0"/>
          <w:sz w:val="24"/>
          <w:szCs w:val="24"/>
        </w:rPr>
        <w:t>Gastroenterol</w:t>
      </w:r>
      <w:proofErr w:type="spellEnd"/>
      <w:r w:rsidRPr="00244D43">
        <w:rPr>
          <w:rFonts w:ascii="Book Antiqua" w:eastAsia="宋体" w:hAnsi="Book Antiqua" w:cs="宋体"/>
          <w:color w:val="000000"/>
          <w:kern w:val="0"/>
          <w:sz w:val="24"/>
          <w:szCs w:val="24"/>
        </w:rPr>
        <w:t> 2014; </w:t>
      </w:r>
      <w:r w:rsidRPr="00244D43">
        <w:rPr>
          <w:rFonts w:ascii="Book Antiqua" w:eastAsia="宋体" w:hAnsi="Book Antiqua" w:cs="宋体"/>
          <w:b/>
          <w:bCs/>
          <w:color w:val="000000"/>
          <w:kern w:val="0"/>
          <w:sz w:val="24"/>
          <w:szCs w:val="24"/>
        </w:rPr>
        <w:t>14</w:t>
      </w:r>
      <w:r w:rsidRPr="00244D43">
        <w:rPr>
          <w:rFonts w:ascii="Book Antiqua" w:eastAsia="宋体" w:hAnsi="Book Antiqua" w:cs="宋体"/>
          <w:color w:val="000000"/>
          <w:kern w:val="0"/>
          <w:sz w:val="24"/>
          <w:szCs w:val="24"/>
        </w:rPr>
        <w:t>: 152 [PMID: 25148855 DOI: 10.1186/1471-230X-14-152]</w:t>
      </w:r>
    </w:p>
    <w:p w:rsidR="000603AD" w:rsidRPr="00244D43" w:rsidRDefault="000603AD" w:rsidP="00A771AE">
      <w:pPr>
        <w:widowControl/>
        <w:wordWrap/>
        <w:adjustRightInd w:val="0"/>
        <w:snapToGrid w:val="0"/>
        <w:spacing w:after="0" w:line="360" w:lineRule="auto"/>
        <w:rPr>
          <w:rFonts w:ascii="Book Antiqua" w:eastAsia="宋体" w:hAnsi="Book Antiqua" w:cs="宋体"/>
          <w:color w:val="000000"/>
          <w:kern w:val="0"/>
          <w:sz w:val="24"/>
          <w:szCs w:val="24"/>
        </w:rPr>
      </w:pPr>
      <w:r w:rsidRPr="00244D43">
        <w:rPr>
          <w:rFonts w:ascii="Book Antiqua" w:eastAsia="宋体" w:hAnsi="Book Antiqua" w:cs="宋体"/>
          <w:color w:val="000000"/>
          <w:kern w:val="0"/>
          <w:sz w:val="24"/>
          <w:szCs w:val="24"/>
        </w:rPr>
        <w:t>6 </w:t>
      </w:r>
      <w:r w:rsidRPr="00244D43">
        <w:rPr>
          <w:rFonts w:ascii="Book Antiqua" w:eastAsia="宋体" w:hAnsi="Book Antiqua" w:cs="宋体"/>
          <w:b/>
          <w:bCs/>
          <w:color w:val="000000"/>
          <w:kern w:val="0"/>
          <w:sz w:val="24"/>
          <w:szCs w:val="24"/>
        </w:rPr>
        <w:t>Villanueva C</w:t>
      </w:r>
      <w:r w:rsidRPr="00244D43">
        <w:rPr>
          <w:rFonts w:ascii="Book Antiqua" w:eastAsia="宋体" w:hAnsi="Book Antiqua" w:cs="宋体"/>
          <w:color w:val="000000"/>
          <w:kern w:val="0"/>
          <w:sz w:val="24"/>
          <w:szCs w:val="24"/>
        </w:rPr>
        <w:t xml:space="preserve">, </w:t>
      </w:r>
      <w:proofErr w:type="spellStart"/>
      <w:r w:rsidRPr="00244D43">
        <w:rPr>
          <w:rFonts w:ascii="Book Antiqua" w:eastAsia="宋体" w:hAnsi="Book Antiqua" w:cs="宋体"/>
          <w:color w:val="000000"/>
          <w:kern w:val="0"/>
          <w:sz w:val="24"/>
          <w:szCs w:val="24"/>
        </w:rPr>
        <w:t>Balanzó</w:t>
      </w:r>
      <w:proofErr w:type="spellEnd"/>
      <w:r w:rsidRPr="00244D43">
        <w:rPr>
          <w:rFonts w:ascii="Book Antiqua" w:eastAsia="宋体" w:hAnsi="Book Antiqua" w:cs="宋体"/>
          <w:color w:val="000000"/>
          <w:kern w:val="0"/>
          <w:sz w:val="24"/>
          <w:szCs w:val="24"/>
        </w:rPr>
        <w:t xml:space="preserve"> J, </w:t>
      </w:r>
      <w:proofErr w:type="spellStart"/>
      <w:r w:rsidRPr="00244D43">
        <w:rPr>
          <w:rFonts w:ascii="Book Antiqua" w:eastAsia="宋体" w:hAnsi="Book Antiqua" w:cs="宋体"/>
          <w:color w:val="000000"/>
          <w:kern w:val="0"/>
          <w:sz w:val="24"/>
          <w:szCs w:val="24"/>
        </w:rPr>
        <w:t>Torras</w:t>
      </w:r>
      <w:proofErr w:type="spellEnd"/>
      <w:r w:rsidRPr="00244D43">
        <w:rPr>
          <w:rFonts w:ascii="Book Antiqua" w:eastAsia="宋体" w:hAnsi="Book Antiqua" w:cs="宋体"/>
          <w:color w:val="000000"/>
          <w:kern w:val="0"/>
          <w:sz w:val="24"/>
          <w:szCs w:val="24"/>
        </w:rPr>
        <w:t xml:space="preserve"> X, Soriano G, </w:t>
      </w:r>
      <w:proofErr w:type="spellStart"/>
      <w:r w:rsidRPr="00244D43">
        <w:rPr>
          <w:rFonts w:ascii="Book Antiqua" w:eastAsia="宋体" w:hAnsi="Book Antiqua" w:cs="宋体"/>
          <w:color w:val="000000"/>
          <w:kern w:val="0"/>
          <w:sz w:val="24"/>
          <w:szCs w:val="24"/>
        </w:rPr>
        <w:t>Sáinz</w:t>
      </w:r>
      <w:proofErr w:type="spellEnd"/>
      <w:r w:rsidRPr="00244D43">
        <w:rPr>
          <w:rFonts w:ascii="Book Antiqua" w:eastAsia="宋体" w:hAnsi="Book Antiqua" w:cs="宋体"/>
          <w:color w:val="000000"/>
          <w:kern w:val="0"/>
          <w:sz w:val="24"/>
          <w:szCs w:val="24"/>
        </w:rPr>
        <w:t xml:space="preserve"> S, </w:t>
      </w:r>
      <w:proofErr w:type="spellStart"/>
      <w:r w:rsidRPr="00244D43">
        <w:rPr>
          <w:rFonts w:ascii="Book Antiqua" w:eastAsia="宋体" w:hAnsi="Book Antiqua" w:cs="宋体"/>
          <w:color w:val="000000"/>
          <w:kern w:val="0"/>
          <w:sz w:val="24"/>
          <w:szCs w:val="24"/>
        </w:rPr>
        <w:t>Vilardell</w:t>
      </w:r>
      <w:proofErr w:type="spellEnd"/>
      <w:r w:rsidRPr="00244D43">
        <w:rPr>
          <w:rFonts w:ascii="Book Antiqua" w:eastAsia="宋体" w:hAnsi="Book Antiqua" w:cs="宋体"/>
          <w:color w:val="000000"/>
          <w:kern w:val="0"/>
          <w:sz w:val="24"/>
          <w:szCs w:val="24"/>
        </w:rPr>
        <w:t xml:space="preserve"> F. Value of second-look endoscopy after injection therapy for bleeding peptic ulcer: a prospective and randomized trial. </w:t>
      </w:r>
      <w:proofErr w:type="spellStart"/>
      <w:r w:rsidRPr="00244D43">
        <w:rPr>
          <w:rFonts w:ascii="Book Antiqua" w:eastAsia="宋体" w:hAnsi="Book Antiqua" w:cs="宋体"/>
          <w:i/>
          <w:iCs/>
          <w:color w:val="000000"/>
          <w:kern w:val="0"/>
          <w:sz w:val="24"/>
          <w:szCs w:val="24"/>
        </w:rPr>
        <w:t>Gastrointest</w:t>
      </w:r>
      <w:proofErr w:type="spellEnd"/>
      <w:r w:rsidRPr="00244D43">
        <w:rPr>
          <w:rFonts w:ascii="Book Antiqua" w:eastAsia="宋体" w:hAnsi="Book Antiqua" w:cs="宋体"/>
          <w:i/>
          <w:iCs/>
          <w:color w:val="000000"/>
          <w:kern w:val="0"/>
          <w:sz w:val="24"/>
          <w:szCs w:val="24"/>
        </w:rPr>
        <w:t xml:space="preserve"> </w:t>
      </w:r>
      <w:proofErr w:type="spellStart"/>
      <w:r w:rsidRPr="00244D43">
        <w:rPr>
          <w:rFonts w:ascii="Book Antiqua" w:eastAsia="宋体" w:hAnsi="Book Antiqua" w:cs="宋体"/>
          <w:i/>
          <w:iCs/>
          <w:color w:val="000000"/>
          <w:kern w:val="0"/>
          <w:sz w:val="24"/>
          <w:szCs w:val="24"/>
        </w:rPr>
        <w:t>Endosc</w:t>
      </w:r>
      <w:proofErr w:type="spellEnd"/>
      <w:r w:rsidRPr="00244D43">
        <w:rPr>
          <w:rFonts w:ascii="Book Antiqua" w:eastAsia="宋体" w:hAnsi="Book Antiqua" w:cs="宋体"/>
          <w:color w:val="000000"/>
          <w:kern w:val="0"/>
          <w:sz w:val="24"/>
          <w:szCs w:val="24"/>
        </w:rPr>
        <w:t> 1994; </w:t>
      </w:r>
      <w:r w:rsidRPr="00244D43">
        <w:rPr>
          <w:rFonts w:ascii="Book Antiqua" w:eastAsia="宋体" w:hAnsi="Book Antiqua" w:cs="宋体"/>
          <w:b/>
          <w:bCs/>
          <w:color w:val="000000"/>
          <w:kern w:val="0"/>
          <w:sz w:val="24"/>
          <w:szCs w:val="24"/>
        </w:rPr>
        <w:t>40</w:t>
      </w:r>
      <w:r w:rsidRPr="00244D43">
        <w:rPr>
          <w:rFonts w:ascii="Book Antiqua" w:eastAsia="宋体" w:hAnsi="Book Antiqua" w:cs="宋体"/>
          <w:color w:val="000000"/>
          <w:kern w:val="0"/>
          <w:sz w:val="24"/>
          <w:szCs w:val="24"/>
        </w:rPr>
        <w:t>: 34-39 [PMID: 8163132 DOI: 10.1016/S0016-5107(94)70006-0]</w:t>
      </w:r>
    </w:p>
    <w:p w:rsidR="000603AD" w:rsidRPr="00244D43" w:rsidRDefault="000603AD" w:rsidP="00A771AE">
      <w:pPr>
        <w:widowControl/>
        <w:wordWrap/>
        <w:adjustRightInd w:val="0"/>
        <w:snapToGrid w:val="0"/>
        <w:spacing w:after="0" w:line="360" w:lineRule="auto"/>
        <w:rPr>
          <w:rFonts w:ascii="Book Antiqua" w:eastAsia="宋体" w:hAnsi="Book Antiqua" w:cs="宋体"/>
          <w:color w:val="000000"/>
          <w:kern w:val="0"/>
          <w:sz w:val="24"/>
          <w:szCs w:val="24"/>
        </w:rPr>
      </w:pPr>
      <w:r w:rsidRPr="00244D43">
        <w:rPr>
          <w:rFonts w:ascii="Book Antiqua" w:eastAsia="宋体" w:hAnsi="Book Antiqua" w:cs="宋体"/>
          <w:color w:val="000000"/>
          <w:kern w:val="0"/>
          <w:sz w:val="24"/>
          <w:szCs w:val="24"/>
        </w:rPr>
        <w:t>7 </w:t>
      </w:r>
      <w:r w:rsidRPr="00244D43">
        <w:rPr>
          <w:rFonts w:ascii="Book Antiqua" w:eastAsia="宋体" w:hAnsi="Book Antiqua" w:cs="宋体"/>
          <w:b/>
          <w:bCs/>
          <w:color w:val="000000"/>
          <w:kern w:val="0"/>
          <w:sz w:val="24"/>
          <w:szCs w:val="24"/>
        </w:rPr>
        <w:t>Saeed ZA</w:t>
      </w:r>
      <w:r w:rsidRPr="00244D43">
        <w:rPr>
          <w:rFonts w:ascii="Book Antiqua" w:eastAsia="宋体" w:hAnsi="Book Antiqua" w:cs="宋体"/>
          <w:color w:val="000000"/>
          <w:kern w:val="0"/>
          <w:sz w:val="24"/>
          <w:szCs w:val="24"/>
        </w:rPr>
        <w:t xml:space="preserve">, Cole RA, Ramirez FC, Schneider FE, </w:t>
      </w:r>
      <w:proofErr w:type="spellStart"/>
      <w:r w:rsidRPr="00244D43">
        <w:rPr>
          <w:rFonts w:ascii="Book Antiqua" w:eastAsia="宋体" w:hAnsi="Book Antiqua" w:cs="宋体"/>
          <w:color w:val="000000"/>
          <w:kern w:val="0"/>
          <w:sz w:val="24"/>
          <w:szCs w:val="24"/>
        </w:rPr>
        <w:t>Hepps</w:t>
      </w:r>
      <w:proofErr w:type="spellEnd"/>
      <w:r w:rsidRPr="00244D43">
        <w:rPr>
          <w:rFonts w:ascii="Book Antiqua" w:eastAsia="宋体" w:hAnsi="Book Antiqua" w:cs="宋体"/>
          <w:color w:val="000000"/>
          <w:kern w:val="0"/>
          <w:sz w:val="24"/>
          <w:szCs w:val="24"/>
        </w:rPr>
        <w:t xml:space="preserve"> KS, Graham DY. Endoscopic retreatment after successful initial hemostasis prevents ulcer </w:t>
      </w:r>
      <w:proofErr w:type="spellStart"/>
      <w:r w:rsidRPr="00244D43">
        <w:rPr>
          <w:rFonts w:ascii="Book Antiqua" w:eastAsia="宋体" w:hAnsi="Book Antiqua" w:cs="宋体"/>
          <w:color w:val="000000"/>
          <w:kern w:val="0"/>
          <w:sz w:val="24"/>
          <w:szCs w:val="24"/>
        </w:rPr>
        <w:t>rebleeding</w:t>
      </w:r>
      <w:proofErr w:type="spellEnd"/>
      <w:r w:rsidRPr="00244D43">
        <w:rPr>
          <w:rFonts w:ascii="Book Antiqua" w:eastAsia="宋体" w:hAnsi="Book Antiqua" w:cs="宋体"/>
          <w:color w:val="000000"/>
          <w:kern w:val="0"/>
          <w:sz w:val="24"/>
          <w:szCs w:val="24"/>
        </w:rPr>
        <w:t>: a prospective randomized trial. </w:t>
      </w:r>
      <w:r w:rsidRPr="00244D43">
        <w:rPr>
          <w:rFonts w:ascii="Book Antiqua" w:eastAsia="宋体" w:hAnsi="Book Antiqua" w:cs="宋体"/>
          <w:i/>
          <w:iCs/>
          <w:color w:val="000000"/>
          <w:kern w:val="0"/>
          <w:sz w:val="24"/>
          <w:szCs w:val="24"/>
        </w:rPr>
        <w:t>Endoscopy</w:t>
      </w:r>
      <w:r w:rsidRPr="00244D43">
        <w:rPr>
          <w:rFonts w:ascii="Book Antiqua" w:eastAsia="宋体" w:hAnsi="Book Antiqua" w:cs="宋体"/>
          <w:color w:val="000000"/>
          <w:kern w:val="0"/>
          <w:sz w:val="24"/>
          <w:szCs w:val="24"/>
        </w:rPr>
        <w:t> 1996; </w:t>
      </w:r>
      <w:r w:rsidRPr="00244D43">
        <w:rPr>
          <w:rFonts w:ascii="Book Antiqua" w:eastAsia="宋体" w:hAnsi="Book Antiqua" w:cs="宋体"/>
          <w:b/>
          <w:bCs/>
          <w:color w:val="000000"/>
          <w:kern w:val="0"/>
          <w:sz w:val="24"/>
          <w:szCs w:val="24"/>
        </w:rPr>
        <w:t>28</w:t>
      </w:r>
      <w:r w:rsidRPr="00244D43">
        <w:rPr>
          <w:rFonts w:ascii="Book Antiqua" w:eastAsia="宋体" w:hAnsi="Book Antiqua" w:cs="宋体"/>
          <w:color w:val="000000"/>
          <w:kern w:val="0"/>
          <w:sz w:val="24"/>
          <w:szCs w:val="24"/>
        </w:rPr>
        <w:t>: 288-294 [PMID: 8781792 DOI: 10.1055/s-2007-1005455]</w:t>
      </w:r>
    </w:p>
    <w:p w:rsidR="000603AD" w:rsidRPr="00244D43" w:rsidRDefault="000603AD" w:rsidP="00A771AE">
      <w:pPr>
        <w:widowControl/>
        <w:wordWrap/>
        <w:adjustRightInd w:val="0"/>
        <w:snapToGrid w:val="0"/>
        <w:spacing w:after="0" w:line="360" w:lineRule="auto"/>
        <w:rPr>
          <w:rFonts w:ascii="Book Antiqua" w:eastAsia="宋体" w:hAnsi="Book Antiqua" w:cs="宋体"/>
          <w:color w:val="000000"/>
          <w:kern w:val="0"/>
          <w:sz w:val="24"/>
          <w:szCs w:val="24"/>
        </w:rPr>
      </w:pPr>
      <w:r w:rsidRPr="00244D43">
        <w:rPr>
          <w:rFonts w:ascii="Book Antiqua" w:eastAsia="宋体" w:hAnsi="Book Antiqua" w:cs="宋体"/>
          <w:color w:val="000000"/>
          <w:kern w:val="0"/>
          <w:sz w:val="24"/>
          <w:szCs w:val="24"/>
        </w:rPr>
        <w:lastRenderedPageBreak/>
        <w:t>8 </w:t>
      </w:r>
      <w:r w:rsidRPr="00244D43">
        <w:rPr>
          <w:rFonts w:ascii="Book Antiqua" w:eastAsia="宋体" w:hAnsi="Book Antiqua" w:cs="宋体"/>
          <w:b/>
          <w:bCs/>
          <w:color w:val="000000"/>
          <w:kern w:val="0"/>
          <w:sz w:val="24"/>
          <w:szCs w:val="24"/>
        </w:rPr>
        <w:t>Chiu PW</w:t>
      </w:r>
      <w:r w:rsidRPr="00244D43">
        <w:rPr>
          <w:rFonts w:ascii="Book Antiqua" w:eastAsia="宋体" w:hAnsi="Book Antiqua" w:cs="宋体"/>
          <w:color w:val="000000"/>
          <w:kern w:val="0"/>
          <w:sz w:val="24"/>
          <w:szCs w:val="24"/>
        </w:rPr>
        <w:t xml:space="preserve">, Lam CY, Lee SW, </w:t>
      </w:r>
      <w:proofErr w:type="spellStart"/>
      <w:r w:rsidRPr="00244D43">
        <w:rPr>
          <w:rFonts w:ascii="Book Antiqua" w:eastAsia="宋体" w:hAnsi="Book Antiqua" w:cs="宋体"/>
          <w:color w:val="000000"/>
          <w:kern w:val="0"/>
          <w:sz w:val="24"/>
          <w:szCs w:val="24"/>
        </w:rPr>
        <w:t>Kwong</w:t>
      </w:r>
      <w:proofErr w:type="spellEnd"/>
      <w:r w:rsidRPr="00244D43">
        <w:rPr>
          <w:rFonts w:ascii="Book Antiqua" w:eastAsia="宋体" w:hAnsi="Book Antiqua" w:cs="宋体"/>
          <w:color w:val="000000"/>
          <w:kern w:val="0"/>
          <w:sz w:val="24"/>
          <w:szCs w:val="24"/>
        </w:rPr>
        <w:t xml:space="preserve"> KH, Lam SH, Lee DT, Kwok SP. Effect of scheduled second therapeutic endoscopy on peptic ulcer </w:t>
      </w:r>
      <w:proofErr w:type="spellStart"/>
      <w:r w:rsidRPr="00244D43">
        <w:rPr>
          <w:rFonts w:ascii="Book Antiqua" w:eastAsia="宋体" w:hAnsi="Book Antiqua" w:cs="宋体"/>
          <w:color w:val="000000"/>
          <w:kern w:val="0"/>
          <w:sz w:val="24"/>
          <w:szCs w:val="24"/>
        </w:rPr>
        <w:t>rebleeding</w:t>
      </w:r>
      <w:proofErr w:type="spellEnd"/>
      <w:r w:rsidRPr="00244D43">
        <w:rPr>
          <w:rFonts w:ascii="Book Antiqua" w:eastAsia="宋体" w:hAnsi="Book Antiqua" w:cs="宋体"/>
          <w:color w:val="000000"/>
          <w:kern w:val="0"/>
          <w:sz w:val="24"/>
          <w:szCs w:val="24"/>
        </w:rPr>
        <w:t xml:space="preserve">: a prospective </w:t>
      </w:r>
      <w:proofErr w:type="spellStart"/>
      <w:r w:rsidRPr="00244D43">
        <w:rPr>
          <w:rFonts w:ascii="Book Antiqua" w:eastAsia="宋体" w:hAnsi="Book Antiqua" w:cs="宋体"/>
          <w:color w:val="000000"/>
          <w:kern w:val="0"/>
          <w:sz w:val="24"/>
          <w:szCs w:val="24"/>
        </w:rPr>
        <w:t>randomised</w:t>
      </w:r>
      <w:proofErr w:type="spellEnd"/>
      <w:r w:rsidRPr="00244D43">
        <w:rPr>
          <w:rFonts w:ascii="Book Antiqua" w:eastAsia="宋体" w:hAnsi="Book Antiqua" w:cs="宋体"/>
          <w:color w:val="000000"/>
          <w:kern w:val="0"/>
          <w:sz w:val="24"/>
          <w:szCs w:val="24"/>
        </w:rPr>
        <w:t xml:space="preserve"> trial. </w:t>
      </w:r>
      <w:r w:rsidRPr="00244D43">
        <w:rPr>
          <w:rFonts w:ascii="Book Antiqua" w:eastAsia="宋体" w:hAnsi="Book Antiqua" w:cs="宋体"/>
          <w:i/>
          <w:iCs/>
          <w:color w:val="000000"/>
          <w:kern w:val="0"/>
          <w:sz w:val="24"/>
          <w:szCs w:val="24"/>
        </w:rPr>
        <w:t>Gut</w:t>
      </w:r>
      <w:r w:rsidRPr="00244D43">
        <w:rPr>
          <w:rFonts w:ascii="Book Antiqua" w:eastAsia="宋体" w:hAnsi="Book Antiqua" w:cs="宋体"/>
          <w:color w:val="000000"/>
          <w:kern w:val="0"/>
          <w:sz w:val="24"/>
          <w:szCs w:val="24"/>
        </w:rPr>
        <w:t> 2003; </w:t>
      </w:r>
      <w:r w:rsidRPr="00244D43">
        <w:rPr>
          <w:rFonts w:ascii="Book Antiqua" w:eastAsia="宋体" w:hAnsi="Book Antiqua" w:cs="宋体"/>
          <w:b/>
          <w:bCs/>
          <w:color w:val="000000"/>
          <w:kern w:val="0"/>
          <w:sz w:val="24"/>
          <w:szCs w:val="24"/>
        </w:rPr>
        <w:t>52</w:t>
      </w:r>
      <w:r w:rsidRPr="00244D43">
        <w:rPr>
          <w:rFonts w:ascii="Book Antiqua" w:eastAsia="宋体" w:hAnsi="Book Antiqua" w:cs="宋体"/>
          <w:color w:val="000000"/>
          <w:kern w:val="0"/>
          <w:sz w:val="24"/>
          <w:szCs w:val="24"/>
        </w:rPr>
        <w:t>: 1403-1407 [PMID: 12970130 DOI: 10.1136/gut.52.10.1403]</w:t>
      </w:r>
    </w:p>
    <w:p w:rsidR="000603AD" w:rsidRPr="00244D43" w:rsidRDefault="000603AD" w:rsidP="00A771AE">
      <w:pPr>
        <w:widowControl/>
        <w:wordWrap/>
        <w:adjustRightInd w:val="0"/>
        <w:snapToGrid w:val="0"/>
        <w:spacing w:after="0" w:line="360" w:lineRule="auto"/>
        <w:rPr>
          <w:rFonts w:ascii="Book Antiqua" w:eastAsia="宋体" w:hAnsi="Book Antiqua" w:cs="宋体"/>
          <w:color w:val="000000"/>
          <w:kern w:val="0"/>
          <w:sz w:val="24"/>
          <w:szCs w:val="24"/>
        </w:rPr>
      </w:pPr>
      <w:r w:rsidRPr="00244D43">
        <w:rPr>
          <w:rFonts w:ascii="Book Antiqua" w:eastAsia="宋体" w:hAnsi="Book Antiqua" w:cs="宋体"/>
          <w:color w:val="000000"/>
          <w:kern w:val="0"/>
          <w:sz w:val="24"/>
          <w:szCs w:val="24"/>
        </w:rPr>
        <w:t>9 </w:t>
      </w:r>
      <w:proofErr w:type="spellStart"/>
      <w:r w:rsidRPr="00244D43">
        <w:rPr>
          <w:rFonts w:ascii="Book Antiqua" w:eastAsia="宋体" w:hAnsi="Book Antiqua" w:cs="宋体"/>
          <w:b/>
          <w:bCs/>
          <w:color w:val="000000"/>
          <w:kern w:val="0"/>
          <w:sz w:val="24"/>
          <w:szCs w:val="24"/>
        </w:rPr>
        <w:t>Ryu</w:t>
      </w:r>
      <w:proofErr w:type="spellEnd"/>
      <w:r w:rsidRPr="00244D43">
        <w:rPr>
          <w:rFonts w:ascii="Book Antiqua" w:eastAsia="宋体" w:hAnsi="Book Antiqua" w:cs="宋体"/>
          <w:b/>
          <w:bCs/>
          <w:color w:val="000000"/>
          <w:kern w:val="0"/>
          <w:sz w:val="24"/>
          <w:szCs w:val="24"/>
        </w:rPr>
        <w:t xml:space="preserve"> HY</w:t>
      </w:r>
      <w:r w:rsidRPr="00244D43">
        <w:rPr>
          <w:rFonts w:ascii="Book Antiqua" w:eastAsia="宋体" w:hAnsi="Book Antiqua" w:cs="宋体"/>
          <w:color w:val="000000"/>
          <w:kern w:val="0"/>
          <w:sz w:val="24"/>
          <w:szCs w:val="24"/>
        </w:rPr>
        <w:t>, Kim JW, Kim HS, Park HJ, Jeon HK, Park SY, Kim BR, Lang CC, Won SH. Second-look endoscopy is not associated with better clinical outcomes after gastric endoscopic submucosal dissection: a prospective, randomized, clinical trial analyzed on an as-treated basis. </w:t>
      </w:r>
      <w:proofErr w:type="spellStart"/>
      <w:r w:rsidRPr="00244D43">
        <w:rPr>
          <w:rFonts w:ascii="Book Antiqua" w:eastAsia="宋体" w:hAnsi="Book Antiqua" w:cs="宋体"/>
          <w:i/>
          <w:iCs/>
          <w:color w:val="000000"/>
          <w:kern w:val="0"/>
          <w:sz w:val="24"/>
          <w:szCs w:val="24"/>
        </w:rPr>
        <w:t>Gastrointest</w:t>
      </w:r>
      <w:proofErr w:type="spellEnd"/>
      <w:r w:rsidRPr="00244D43">
        <w:rPr>
          <w:rFonts w:ascii="Book Antiqua" w:eastAsia="宋体" w:hAnsi="Book Antiqua" w:cs="宋体"/>
          <w:i/>
          <w:iCs/>
          <w:color w:val="000000"/>
          <w:kern w:val="0"/>
          <w:sz w:val="24"/>
          <w:szCs w:val="24"/>
        </w:rPr>
        <w:t xml:space="preserve"> </w:t>
      </w:r>
      <w:proofErr w:type="spellStart"/>
      <w:r w:rsidRPr="00244D43">
        <w:rPr>
          <w:rFonts w:ascii="Book Antiqua" w:eastAsia="宋体" w:hAnsi="Book Antiqua" w:cs="宋体"/>
          <w:i/>
          <w:iCs/>
          <w:color w:val="000000"/>
          <w:kern w:val="0"/>
          <w:sz w:val="24"/>
          <w:szCs w:val="24"/>
        </w:rPr>
        <w:t>Endosc</w:t>
      </w:r>
      <w:proofErr w:type="spellEnd"/>
      <w:r w:rsidRPr="00244D43">
        <w:rPr>
          <w:rFonts w:ascii="Book Antiqua" w:eastAsia="宋体" w:hAnsi="Book Antiqua" w:cs="宋体"/>
          <w:color w:val="000000"/>
          <w:kern w:val="0"/>
          <w:sz w:val="24"/>
          <w:szCs w:val="24"/>
        </w:rPr>
        <w:t> 2013; </w:t>
      </w:r>
      <w:r w:rsidRPr="00244D43">
        <w:rPr>
          <w:rFonts w:ascii="Book Antiqua" w:eastAsia="宋体" w:hAnsi="Book Antiqua" w:cs="宋体"/>
          <w:b/>
          <w:bCs/>
          <w:color w:val="000000"/>
          <w:kern w:val="0"/>
          <w:sz w:val="24"/>
          <w:szCs w:val="24"/>
        </w:rPr>
        <w:t>78</w:t>
      </w:r>
      <w:r w:rsidRPr="00244D43">
        <w:rPr>
          <w:rFonts w:ascii="Book Antiqua" w:eastAsia="宋体" w:hAnsi="Book Antiqua" w:cs="宋体"/>
          <w:color w:val="000000"/>
          <w:kern w:val="0"/>
          <w:sz w:val="24"/>
          <w:szCs w:val="24"/>
        </w:rPr>
        <w:t>: 285-294 [PMID: 23531425 DOI: 10.1016/j.gie.2013.02.008]</w:t>
      </w:r>
    </w:p>
    <w:p w:rsidR="000603AD" w:rsidRPr="00244D43" w:rsidRDefault="000603AD" w:rsidP="00A771AE">
      <w:pPr>
        <w:widowControl/>
        <w:wordWrap/>
        <w:adjustRightInd w:val="0"/>
        <w:snapToGrid w:val="0"/>
        <w:spacing w:after="0" w:line="360" w:lineRule="auto"/>
        <w:rPr>
          <w:rFonts w:ascii="Book Antiqua" w:eastAsia="宋体" w:hAnsi="Book Antiqua" w:cs="宋体"/>
          <w:color w:val="000000"/>
          <w:kern w:val="0"/>
          <w:sz w:val="24"/>
          <w:szCs w:val="24"/>
        </w:rPr>
      </w:pPr>
      <w:proofErr w:type="gramStart"/>
      <w:r w:rsidRPr="00244D43">
        <w:rPr>
          <w:rFonts w:ascii="Book Antiqua" w:eastAsia="宋体" w:hAnsi="Book Antiqua" w:cs="宋体"/>
          <w:color w:val="000000"/>
          <w:kern w:val="0"/>
          <w:sz w:val="24"/>
          <w:szCs w:val="24"/>
        </w:rPr>
        <w:t>10 </w:t>
      </w:r>
      <w:r w:rsidRPr="00244D43">
        <w:rPr>
          <w:rFonts w:ascii="Book Antiqua" w:eastAsia="宋体" w:hAnsi="Book Antiqua" w:cs="宋体"/>
          <w:b/>
          <w:bCs/>
          <w:color w:val="000000"/>
          <w:kern w:val="0"/>
          <w:sz w:val="24"/>
          <w:szCs w:val="24"/>
        </w:rPr>
        <w:t>Kim JS</w:t>
      </w:r>
      <w:r w:rsidRPr="00244D43">
        <w:rPr>
          <w:rFonts w:ascii="Book Antiqua" w:eastAsia="宋体" w:hAnsi="Book Antiqua" w:cs="宋体"/>
          <w:color w:val="000000"/>
          <w:kern w:val="0"/>
          <w:sz w:val="24"/>
          <w:szCs w:val="24"/>
        </w:rPr>
        <w:t xml:space="preserve">, Chung MW, Chung CY, Park HC, </w:t>
      </w:r>
      <w:proofErr w:type="spellStart"/>
      <w:r w:rsidRPr="00244D43">
        <w:rPr>
          <w:rFonts w:ascii="Book Antiqua" w:eastAsia="宋体" w:hAnsi="Book Antiqua" w:cs="宋体"/>
          <w:color w:val="000000"/>
          <w:kern w:val="0"/>
          <w:sz w:val="24"/>
          <w:szCs w:val="24"/>
        </w:rPr>
        <w:t>Ryang</w:t>
      </w:r>
      <w:proofErr w:type="spellEnd"/>
      <w:r w:rsidRPr="00244D43">
        <w:rPr>
          <w:rFonts w:ascii="Book Antiqua" w:eastAsia="宋体" w:hAnsi="Book Antiqua" w:cs="宋体"/>
          <w:color w:val="000000"/>
          <w:kern w:val="0"/>
          <w:sz w:val="24"/>
          <w:szCs w:val="24"/>
        </w:rPr>
        <w:t xml:space="preserve"> DY, Myung DS, Cho SB, Lee WS, </w:t>
      </w:r>
      <w:proofErr w:type="spellStart"/>
      <w:r w:rsidRPr="00244D43">
        <w:rPr>
          <w:rFonts w:ascii="Book Antiqua" w:eastAsia="宋体" w:hAnsi="Book Antiqua" w:cs="宋体"/>
          <w:color w:val="000000"/>
          <w:kern w:val="0"/>
          <w:sz w:val="24"/>
          <w:szCs w:val="24"/>
        </w:rPr>
        <w:t>Joo</w:t>
      </w:r>
      <w:proofErr w:type="spellEnd"/>
      <w:r w:rsidRPr="00244D43">
        <w:rPr>
          <w:rFonts w:ascii="Book Antiqua" w:eastAsia="宋体" w:hAnsi="Book Antiqua" w:cs="宋体"/>
          <w:color w:val="000000"/>
          <w:kern w:val="0"/>
          <w:sz w:val="24"/>
          <w:szCs w:val="24"/>
        </w:rPr>
        <w:t xml:space="preserve"> YE.</w:t>
      </w:r>
      <w:proofErr w:type="gramEnd"/>
      <w:r w:rsidRPr="00244D43">
        <w:rPr>
          <w:rFonts w:ascii="Book Antiqua" w:eastAsia="宋体" w:hAnsi="Book Antiqua" w:cs="宋体"/>
          <w:color w:val="000000"/>
          <w:kern w:val="0"/>
          <w:sz w:val="24"/>
          <w:szCs w:val="24"/>
        </w:rPr>
        <w:t xml:space="preserve"> The need for second-look endoscopy to prevent delayed bleeding after endoscopic submucosal dissection for gastric neoplasms: a prospective randomized trial. </w:t>
      </w:r>
      <w:r w:rsidRPr="00244D43">
        <w:rPr>
          <w:rFonts w:ascii="Book Antiqua" w:eastAsia="宋体" w:hAnsi="Book Antiqua" w:cs="宋体"/>
          <w:i/>
          <w:iCs/>
          <w:color w:val="000000"/>
          <w:kern w:val="0"/>
          <w:sz w:val="24"/>
          <w:szCs w:val="24"/>
        </w:rPr>
        <w:t>Gut Liver</w:t>
      </w:r>
      <w:r w:rsidRPr="00244D43">
        <w:rPr>
          <w:rFonts w:ascii="Book Antiqua" w:eastAsia="宋体" w:hAnsi="Book Antiqua" w:cs="宋体"/>
          <w:color w:val="000000"/>
          <w:kern w:val="0"/>
          <w:sz w:val="24"/>
          <w:szCs w:val="24"/>
        </w:rPr>
        <w:t> 2014; </w:t>
      </w:r>
      <w:r w:rsidRPr="00244D43">
        <w:rPr>
          <w:rFonts w:ascii="Book Antiqua" w:eastAsia="宋体" w:hAnsi="Book Antiqua" w:cs="宋体"/>
          <w:b/>
          <w:bCs/>
          <w:color w:val="000000"/>
          <w:kern w:val="0"/>
          <w:sz w:val="24"/>
          <w:szCs w:val="24"/>
        </w:rPr>
        <w:t>8</w:t>
      </w:r>
      <w:r w:rsidRPr="00244D43">
        <w:rPr>
          <w:rFonts w:ascii="Book Antiqua" w:eastAsia="宋体" w:hAnsi="Book Antiqua" w:cs="宋体"/>
          <w:color w:val="000000"/>
          <w:kern w:val="0"/>
          <w:sz w:val="24"/>
          <w:szCs w:val="24"/>
        </w:rPr>
        <w:t>: 480-486 [PMID: 25228971 DOI: 10.5009/gnl13226]</w:t>
      </w:r>
    </w:p>
    <w:p w:rsidR="000603AD" w:rsidRPr="00244D43" w:rsidRDefault="000603AD" w:rsidP="00A771AE">
      <w:pPr>
        <w:widowControl/>
        <w:wordWrap/>
        <w:adjustRightInd w:val="0"/>
        <w:snapToGrid w:val="0"/>
        <w:spacing w:after="0" w:line="360" w:lineRule="auto"/>
        <w:rPr>
          <w:rFonts w:ascii="Book Antiqua" w:eastAsia="宋体" w:hAnsi="Book Antiqua" w:cs="宋体"/>
          <w:color w:val="000000"/>
          <w:kern w:val="0"/>
          <w:sz w:val="24"/>
          <w:szCs w:val="24"/>
        </w:rPr>
      </w:pPr>
      <w:r w:rsidRPr="00244D43">
        <w:rPr>
          <w:rFonts w:ascii="Book Antiqua" w:eastAsia="宋体" w:hAnsi="Book Antiqua" w:cs="宋体"/>
          <w:color w:val="000000"/>
          <w:kern w:val="0"/>
          <w:sz w:val="24"/>
          <w:szCs w:val="24"/>
        </w:rPr>
        <w:t>11 </w:t>
      </w:r>
      <w:r w:rsidRPr="00244D43">
        <w:rPr>
          <w:rFonts w:ascii="Book Antiqua" w:eastAsia="宋体" w:hAnsi="Book Antiqua" w:cs="宋体"/>
          <w:b/>
          <w:bCs/>
          <w:color w:val="000000"/>
          <w:kern w:val="0"/>
          <w:sz w:val="24"/>
          <w:szCs w:val="24"/>
        </w:rPr>
        <w:t>Kim HH</w:t>
      </w:r>
      <w:r w:rsidRPr="00244D43">
        <w:rPr>
          <w:rFonts w:ascii="Book Antiqua" w:eastAsia="宋体" w:hAnsi="Book Antiqua" w:cs="宋体"/>
          <w:color w:val="000000"/>
          <w:kern w:val="0"/>
          <w:sz w:val="24"/>
          <w:szCs w:val="24"/>
        </w:rPr>
        <w:t>, Park SJ, Park MI, Moon W. Clinical impact of second-look endoscopy after endoscopic submucosal dissection of gastric neoplasms. </w:t>
      </w:r>
      <w:r w:rsidRPr="00244D43">
        <w:rPr>
          <w:rFonts w:ascii="Book Antiqua" w:eastAsia="宋体" w:hAnsi="Book Antiqua" w:cs="宋体"/>
          <w:i/>
          <w:iCs/>
          <w:color w:val="000000"/>
          <w:kern w:val="0"/>
          <w:sz w:val="24"/>
          <w:szCs w:val="24"/>
        </w:rPr>
        <w:t>Gut Liver</w:t>
      </w:r>
      <w:r w:rsidRPr="00244D43">
        <w:rPr>
          <w:rFonts w:ascii="Book Antiqua" w:eastAsia="宋体" w:hAnsi="Book Antiqua" w:cs="宋体"/>
          <w:color w:val="000000"/>
          <w:kern w:val="0"/>
          <w:sz w:val="24"/>
          <w:szCs w:val="24"/>
        </w:rPr>
        <w:t> 2012; </w:t>
      </w:r>
      <w:r w:rsidRPr="00244D43">
        <w:rPr>
          <w:rFonts w:ascii="Book Antiqua" w:eastAsia="宋体" w:hAnsi="Book Antiqua" w:cs="宋体"/>
          <w:b/>
          <w:bCs/>
          <w:color w:val="000000"/>
          <w:kern w:val="0"/>
          <w:sz w:val="24"/>
          <w:szCs w:val="24"/>
        </w:rPr>
        <w:t>6</w:t>
      </w:r>
      <w:r w:rsidRPr="00244D43">
        <w:rPr>
          <w:rFonts w:ascii="Book Antiqua" w:eastAsia="宋体" w:hAnsi="Book Antiqua" w:cs="宋体"/>
          <w:color w:val="000000"/>
          <w:kern w:val="0"/>
          <w:sz w:val="24"/>
          <w:szCs w:val="24"/>
        </w:rPr>
        <w:t>: 316-320 [PMID: 22844558 DOI: 10.5009/gnl.2012.6.3.316]</w:t>
      </w:r>
    </w:p>
    <w:p w:rsidR="000603AD" w:rsidRPr="00244D43" w:rsidRDefault="000603AD" w:rsidP="00A771AE">
      <w:pPr>
        <w:widowControl/>
        <w:wordWrap/>
        <w:adjustRightInd w:val="0"/>
        <w:snapToGrid w:val="0"/>
        <w:spacing w:after="0" w:line="360" w:lineRule="auto"/>
        <w:rPr>
          <w:rFonts w:ascii="Book Antiqua" w:eastAsia="宋体" w:hAnsi="Book Antiqua" w:cs="宋体"/>
          <w:color w:val="000000"/>
          <w:kern w:val="0"/>
          <w:sz w:val="24"/>
          <w:szCs w:val="24"/>
        </w:rPr>
      </w:pPr>
      <w:r w:rsidRPr="00244D43">
        <w:rPr>
          <w:rFonts w:ascii="Book Antiqua" w:eastAsia="宋体" w:hAnsi="Book Antiqua" w:cs="宋体"/>
          <w:color w:val="000000"/>
          <w:kern w:val="0"/>
          <w:sz w:val="24"/>
          <w:szCs w:val="24"/>
        </w:rPr>
        <w:t>12 </w:t>
      </w:r>
      <w:r w:rsidRPr="00244D43">
        <w:rPr>
          <w:rFonts w:ascii="Book Antiqua" w:eastAsia="宋体" w:hAnsi="Book Antiqua" w:cs="宋体"/>
          <w:b/>
          <w:bCs/>
          <w:color w:val="000000"/>
          <w:kern w:val="0"/>
          <w:sz w:val="24"/>
          <w:szCs w:val="24"/>
        </w:rPr>
        <w:t>Graham DY</w:t>
      </w:r>
      <w:r w:rsidRPr="00244D43">
        <w:rPr>
          <w:rFonts w:ascii="Book Antiqua" w:eastAsia="宋体" w:hAnsi="Book Antiqua" w:cs="宋体"/>
          <w:color w:val="000000"/>
          <w:kern w:val="0"/>
          <w:sz w:val="24"/>
          <w:szCs w:val="24"/>
        </w:rPr>
        <w:t xml:space="preserve">, Lew GM, Klein PD, Evans DG, Evans DJ, Saeed ZA, </w:t>
      </w:r>
      <w:proofErr w:type="spellStart"/>
      <w:r w:rsidRPr="00244D43">
        <w:rPr>
          <w:rFonts w:ascii="Book Antiqua" w:eastAsia="宋体" w:hAnsi="Book Antiqua" w:cs="宋体"/>
          <w:color w:val="000000"/>
          <w:kern w:val="0"/>
          <w:sz w:val="24"/>
          <w:szCs w:val="24"/>
        </w:rPr>
        <w:t>Malaty</w:t>
      </w:r>
      <w:proofErr w:type="spellEnd"/>
      <w:r w:rsidRPr="00244D43">
        <w:rPr>
          <w:rFonts w:ascii="Book Antiqua" w:eastAsia="宋体" w:hAnsi="Book Antiqua" w:cs="宋体"/>
          <w:color w:val="000000"/>
          <w:kern w:val="0"/>
          <w:sz w:val="24"/>
          <w:szCs w:val="24"/>
        </w:rPr>
        <w:t xml:space="preserve"> HM. Effect of treatment of Helicobacter pylori infection on the long-term recurrence of gastric or duodenal ulcer. </w:t>
      </w:r>
      <w:proofErr w:type="gramStart"/>
      <w:r w:rsidRPr="00244D43">
        <w:rPr>
          <w:rFonts w:ascii="Book Antiqua" w:eastAsia="宋体" w:hAnsi="Book Antiqua" w:cs="宋体"/>
          <w:color w:val="000000"/>
          <w:kern w:val="0"/>
          <w:sz w:val="24"/>
          <w:szCs w:val="24"/>
        </w:rPr>
        <w:t>A randomized, controlled study.</w:t>
      </w:r>
      <w:proofErr w:type="gramEnd"/>
      <w:r w:rsidRPr="00244D43">
        <w:rPr>
          <w:rFonts w:ascii="Book Antiqua" w:eastAsia="宋体" w:hAnsi="Book Antiqua" w:cs="宋体"/>
          <w:color w:val="000000"/>
          <w:kern w:val="0"/>
          <w:sz w:val="24"/>
          <w:szCs w:val="24"/>
        </w:rPr>
        <w:t> </w:t>
      </w:r>
      <w:r w:rsidRPr="00244D43">
        <w:rPr>
          <w:rFonts w:ascii="Book Antiqua" w:eastAsia="宋体" w:hAnsi="Book Antiqua" w:cs="宋体"/>
          <w:i/>
          <w:iCs/>
          <w:color w:val="000000"/>
          <w:kern w:val="0"/>
          <w:sz w:val="24"/>
          <w:szCs w:val="24"/>
        </w:rPr>
        <w:t>Ann Intern Med</w:t>
      </w:r>
      <w:r w:rsidRPr="00244D43">
        <w:rPr>
          <w:rFonts w:ascii="Book Antiqua" w:eastAsia="宋体" w:hAnsi="Book Antiqua" w:cs="宋体"/>
          <w:color w:val="000000"/>
          <w:kern w:val="0"/>
          <w:sz w:val="24"/>
          <w:szCs w:val="24"/>
        </w:rPr>
        <w:t> 1992; </w:t>
      </w:r>
      <w:r w:rsidRPr="00244D43">
        <w:rPr>
          <w:rFonts w:ascii="Book Antiqua" w:eastAsia="宋体" w:hAnsi="Book Antiqua" w:cs="宋体"/>
          <w:b/>
          <w:bCs/>
          <w:color w:val="000000"/>
          <w:kern w:val="0"/>
          <w:sz w:val="24"/>
          <w:szCs w:val="24"/>
        </w:rPr>
        <w:t>116</w:t>
      </w:r>
      <w:r w:rsidRPr="00244D43">
        <w:rPr>
          <w:rFonts w:ascii="Book Antiqua" w:eastAsia="宋体" w:hAnsi="Book Antiqua" w:cs="宋体"/>
          <w:color w:val="000000"/>
          <w:kern w:val="0"/>
          <w:sz w:val="24"/>
          <w:szCs w:val="24"/>
        </w:rPr>
        <w:t>: 705-708 [PMID: 1558340 DOI: 10.7326/0003-4819-116-9-705]</w:t>
      </w:r>
    </w:p>
    <w:p w:rsidR="000603AD" w:rsidRPr="00244D43" w:rsidRDefault="000603AD" w:rsidP="00A771AE">
      <w:pPr>
        <w:widowControl/>
        <w:wordWrap/>
        <w:adjustRightInd w:val="0"/>
        <w:snapToGrid w:val="0"/>
        <w:spacing w:after="0" w:line="360" w:lineRule="auto"/>
        <w:rPr>
          <w:rFonts w:ascii="Book Antiqua" w:eastAsia="宋体" w:hAnsi="Book Antiqua" w:cs="宋体"/>
          <w:color w:val="000000"/>
          <w:kern w:val="0"/>
          <w:sz w:val="24"/>
          <w:szCs w:val="24"/>
        </w:rPr>
      </w:pPr>
      <w:r w:rsidRPr="00244D43">
        <w:rPr>
          <w:rFonts w:ascii="Book Antiqua" w:eastAsia="宋体" w:hAnsi="Book Antiqua" w:cs="宋体"/>
          <w:color w:val="000000"/>
          <w:kern w:val="0"/>
          <w:sz w:val="24"/>
          <w:szCs w:val="24"/>
        </w:rPr>
        <w:t>13 </w:t>
      </w:r>
      <w:proofErr w:type="spellStart"/>
      <w:r w:rsidRPr="00244D43">
        <w:rPr>
          <w:rFonts w:ascii="Book Antiqua" w:eastAsia="宋体" w:hAnsi="Book Antiqua" w:cs="宋体"/>
          <w:b/>
          <w:bCs/>
          <w:color w:val="000000"/>
          <w:kern w:val="0"/>
          <w:sz w:val="24"/>
          <w:szCs w:val="24"/>
        </w:rPr>
        <w:t>Guglielmi</w:t>
      </w:r>
      <w:proofErr w:type="spellEnd"/>
      <w:r w:rsidRPr="00244D43">
        <w:rPr>
          <w:rFonts w:ascii="Book Antiqua" w:eastAsia="宋体" w:hAnsi="Book Antiqua" w:cs="宋体"/>
          <w:b/>
          <w:bCs/>
          <w:color w:val="000000"/>
          <w:kern w:val="0"/>
          <w:sz w:val="24"/>
          <w:szCs w:val="24"/>
        </w:rPr>
        <w:t xml:space="preserve"> A</w:t>
      </w:r>
      <w:r w:rsidRPr="00244D43">
        <w:rPr>
          <w:rFonts w:ascii="Book Antiqua" w:eastAsia="宋体" w:hAnsi="Book Antiqua" w:cs="宋体"/>
          <w:color w:val="000000"/>
          <w:kern w:val="0"/>
          <w:sz w:val="24"/>
          <w:szCs w:val="24"/>
        </w:rPr>
        <w:t xml:space="preserve">, </w:t>
      </w:r>
      <w:proofErr w:type="spellStart"/>
      <w:r w:rsidRPr="00244D43">
        <w:rPr>
          <w:rFonts w:ascii="Book Antiqua" w:eastAsia="宋体" w:hAnsi="Book Antiqua" w:cs="宋体"/>
          <w:color w:val="000000"/>
          <w:kern w:val="0"/>
          <w:sz w:val="24"/>
          <w:szCs w:val="24"/>
        </w:rPr>
        <w:t>Ruzzenente</w:t>
      </w:r>
      <w:proofErr w:type="spellEnd"/>
      <w:r w:rsidRPr="00244D43">
        <w:rPr>
          <w:rFonts w:ascii="Book Antiqua" w:eastAsia="宋体" w:hAnsi="Book Antiqua" w:cs="宋体"/>
          <w:color w:val="000000"/>
          <w:kern w:val="0"/>
          <w:sz w:val="24"/>
          <w:szCs w:val="24"/>
        </w:rPr>
        <w:t xml:space="preserve"> A, Sandri M, Kind R, Lombardo F, Rodella L, Catalano F, de Manzoni G, </w:t>
      </w:r>
      <w:proofErr w:type="spellStart"/>
      <w:r w:rsidRPr="00244D43">
        <w:rPr>
          <w:rFonts w:ascii="Book Antiqua" w:eastAsia="宋体" w:hAnsi="Book Antiqua" w:cs="宋体"/>
          <w:color w:val="000000"/>
          <w:kern w:val="0"/>
          <w:sz w:val="24"/>
          <w:szCs w:val="24"/>
        </w:rPr>
        <w:t>Cordiano</w:t>
      </w:r>
      <w:proofErr w:type="spellEnd"/>
      <w:r w:rsidRPr="00244D43">
        <w:rPr>
          <w:rFonts w:ascii="Book Antiqua" w:eastAsia="宋体" w:hAnsi="Book Antiqua" w:cs="宋体"/>
          <w:color w:val="000000"/>
          <w:kern w:val="0"/>
          <w:sz w:val="24"/>
          <w:szCs w:val="24"/>
        </w:rPr>
        <w:t xml:space="preserve"> C. Risk assessment and prediction of </w:t>
      </w:r>
      <w:proofErr w:type="spellStart"/>
      <w:r w:rsidRPr="00244D43">
        <w:rPr>
          <w:rFonts w:ascii="Book Antiqua" w:eastAsia="宋体" w:hAnsi="Book Antiqua" w:cs="宋体"/>
          <w:color w:val="000000"/>
          <w:kern w:val="0"/>
          <w:sz w:val="24"/>
          <w:szCs w:val="24"/>
        </w:rPr>
        <w:t>rebleeding</w:t>
      </w:r>
      <w:proofErr w:type="spellEnd"/>
      <w:r w:rsidRPr="00244D43">
        <w:rPr>
          <w:rFonts w:ascii="Book Antiqua" w:eastAsia="宋体" w:hAnsi="Book Antiqua" w:cs="宋体"/>
          <w:color w:val="000000"/>
          <w:kern w:val="0"/>
          <w:sz w:val="24"/>
          <w:szCs w:val="24"/>
        </w:rPr>
        <w:t xml:space="preserve"> in bleeding gastroduodenal ulcer. </w:t>
      </w:r>
      <w:r w:rsidRPr="00244D43">
        <w:rPr>
          <w:rFonts w:ascii="Book Antiqua" w:eastAsia="宋体" w:hAnsi="Book Antiqua" w:cs="宋体"/>
          <w:i/>
          <w:iCs/>
          <w:color w:val="000000"/>
          <w:kern w:val="0"/>
          <w:sz w:val="24"/>
          <w:szCs w:val="24"/>
        </w:rPr>
        <w:t>Endoscopy</w:t>
      </w:r>
      <w:r w:rsidRPr="00244D43">
        <w:rPr>
          <w:rFonts w:ascii="Book Antiqua" w:eastAsia="宋体" w:hAnsi="Book Antiqua" w:cs="宋体"/>
          <w:color w:val="000000"/>
          <w:kern w:val="0"/>
          <w:sz w:val="24"/>
          <w:szCs w:val="24"/>
        </w:rPr>
        <w:t> 2002; </w:t>
      </w:r>
      <w:r w:rsidRPr="00244D43">
        <w:rPr>
          <w:rFonts w:ascii="Book Antiqua" w:eastAsia="宋体" w:hAnsi="Book Antiqua" w:cs="宋体"/>
          <w:b/>
          <w:bCs/>
          <w:color w:val="000000"/>
          <w:kern w:val="0"/>
          <w:sz w:val="24"/>
          <w:szCs w:val="24"/>
        </w:rPr>
        <w:t>34</w:t>
      </w:r>
      <w:r w:rsidRPr="00244D43">
        <w:rPr>
          <w:rFonts w:ascii="Book Antiqua" w:eastAsia="宋体" w:hAnsi="Book Antiqua" w:cs="宋体"/>
          <w:color w:val="000000"/>
          <w:kern w:val="0"/>
          <w:sz w:val="24"/>
          <w:szCs w:val="24"/>
        </w:rPr>
        <w:t>: 778-786 [PMID: 12244498 DOI: 10.1055/s-2002-34261]</w:t>
      </w:r>
    </w:p>
    <w:p w:rsidR="000603AD" w:rsidRPr="00244D43" w:rsidRDefault="000603AD" w:rsidP="00A771AE">
      <w:pPr>
        <w:widowControl/>
        <w:wordWrap/>
        <w:adjustRightInd w:val="0"/>
        <w:snapToGrid w:val="0"/>
        <w:spacing w:after="0" w:line="360" w:lineRule="auto"/>
        <w:rPr>
          <w:rFonts w:ascii="Book Antiqua" w:eastAsia="宋体" w:hAnsi="Book Antiqua" w:cs="宋体"/>
          <w:color w:val="000000"/>
          <w:kern w:val="0"/>
          <w:sz w:val="24"/>
          <w:szCs w:val="24"/>
        </w:rPr>
      </w:pPr>
      <w:r w:rsidRPr="00244D43">
        <w:rPr>
          <w:rFonts w:ascii="Book Antiqua" w:eastAsia="宋体" w:hAnsi="Book Antiqua" w:cs="宋体"/>
          <w:color w:val="000000"/>
          <w:kern w:val="0"/>
          <w:sz w:val="24"/>
          <w:szCs w:val="24"/>
        </w:rPr>
        <w:t>14 </w:t>
      </w:r>
      <w:r w:rsidRPr="00244D43">
        <w:rPr>
          <w:rFonts w:ascii="Book Antiqua" w:eastAsia="宋体" w:hAnsi="Book Antiqua" w:cs="宋体"/>
          <w:b/>
          <w:bCs/>
          <w:color w:val="000000"/>
          <w:kern w:val="0"/>
          <w:sz w:val="24"/>
          <w:szCs w:val="24"/>
        </w:rPr>
        <w:t>Kim BJ</w:t>
      </w:r>
      <w:r w:rsidRPr="00244D43">
        <w:rPr>
          <w:rFonts w:ascii="Book Antiqua" w:eastAsia="宋体" w:hAnsi="Book Antiqua" w:cs="宋体"/>
          <w:color w:val="000000"/>
          <w:kern w:val="0"/>
          <w:sz w:val="24"/>
          <w:szCs w:val="24"/>
        </w:rPr>
        <w:t xml:space="preserve">, Park MK, Kim SJ, Kim ER, Min BH, Son HJ, Rhee PL, Kim JJ, Rhee JC, Lee JH. Comparison of scoring systems for the prediction of outcomes in patients with </w:t>
      </w:r>
      <w:proofErr w:type="spellStart"/>
      <w:r w:rsidRPr="00244D43">
        <w:rPr>
          <w:rFonts w:ascii="Book Antiqua" w:eastAsia="宋体" w:hAnsi="Book Antiqua" w:cs="宋体"/>
          <w:color w:val="000000"/>
          <w:kern w:val="0"/>
          <w:sz w:val="24"/>
          <w:szCs w:val="24"/>
        </w:rPr>
        <w:t>nonvariceal</w:t>
      </w:r>
      <w:proofErr w:type="spellEnd"/>
      <w:r w:rsidRPr="00244D43">
        <w:rPr>
          <w:rFonts w:ascii="Book Antiqua" w:eastAsia="宋体" w:hAnsi="Book Antiqua" w:cs="宋体"/>
          <w:color w:val="000000"/>
          <w:kern w:val="0"/>
          <w:sz w:val="24"/>
          <w:szCs w:val="24"/>
        </w:rPr>
        <w:t xml:space="preserve"> upper gastrointestinal bleeding: a prospective study. </w:t>
      </w:r>
      <w:r w:rsidRPr="00244D43">
        <w:rPr>
          <w:rFonts w:ascii="Book Antiqua" w:eastAsia="宋体" w:hAnsi="Book Antiqua" w:cs="宋体"/>
          <w:i/>
          <w:iCs/>
          <w:color w:val="000000"/>
          <w:kern w:val="0"/>
          <w:sz w:val="24"/>
          <w:szCs w:val="24"/>
        </w:rPr>
        <w:t xml:space="preserve">Dig Dis </w:t>
      </w:r>
      <w:proofErr w:type="spellStart"/>
      <w:r w:rsidRPr="00244D43">
        <w:rPr>
          <w:rFonts w:ascii="Book Antiqua" w:eastAsia="宋体" w:hAnsi="Book Antiqua" w:cs="宋体"/>
          <w:i/>
          <w:iCs/>
          <w:color w:val="000000"/>
          <w:kern w:val="0"/>
          <w:sz w:val="24"/>
          <w:szCs w:val="24"/>
        </w:rPr>
        <w:t>Sci</w:t>
      </w:r>
      <w:proofErr w:type="spellEnd"/>
      <w:r w:rsidRPr="00244D43">
        <w:rPr>
          <w:rFonts w:ascii="Book Antiqua" w:eastAsia="宋体" w:hAnsi="Book Antiqua" w:cs="宋体"/>
          <w:color w:val="000000"/>
          <w:kern w:val="0"/>
          <w:sz w:val="24"/>
          <w:szCs w:val="24"/>
        </w:rPr>
        <w:t> 2009; </w:t>
      </w:r>
      <w:r w:rsidRPr="00244D43">
        <w:rPr>
          <w:rFonts w:ascii="Book Antiqua" w:eastAsia="宋体" w:hAnsi="Book Antiqua" w:cs="宋体"/>
          <w:b/>
          <w:bCs/>
          <w:color w:val="000000"/>
          <w:kern w:val="0"/>
          <w:sz w:val="24"/>
          <w:szCs w:val="24"/>
        </w:rPr>
        <w:t>54</w:t>
      </w:r>
      <w:r w:rsidRPr="00244D43">
        <w:rPr>
          <w:rFonts w:ascii="Book Antiqua" w:eastAsia="宋体" w:hAnsi="Book Antiqua" w:cs="宋体"/>
          <w:color w:val="000000"/>
          <w:kern w:val="0"/>
          <w:sz w:val="24"/>
          <w:szCs w:val="24"/>
        </w:rPr>
        <w:t>: 2523-2529 [PMID: 19104934 DOI: 10.1007/s10620-008-0654-7]</w:t>
      </w:r>
    </w:p>
    <w:p w:rsidR="000603AD" w:rsidRPr="00244D43" w:rsidRDefault="000603AD" w:rsidP="00A771AE">
      <w:pPr>
        <w:widowControl/>
        <w:wordWrap/>
        <w:adjustRightInd w:val="0"/>
        <w:snapToGrid w:val="0"/>
        <w:spacing w:after="0" w:line="360" w:lineRule="auto"/>
        <w:rPr>
          <w:rFonts w:ascii="Book Antiqua" w:eastAsia="宋体" w:hAnsi="Book Antiqua" w:cs="宋体"/>
          <w:color w:val="000000"/>
          <w:kern w:val="0"/>
          <w:sz w:val="24"/>
          <w:szCs w:val="24"/>
        </w:rPr>
      </w:pPr>
      <w:r w:rsidRPr="00244D43">
        <w:rPr>
          <w:rFonts w:ascii="Book Antiqua" w:eastAsia="宋体" w:hAnsi="Book Antiqua" w:cs="宋体"/>
          <w:color w:val="000000"/>
          <w:kern w:val="0"/>
          <w:sz w:val="24"/>
          <w:szCs w:val="24"/>
        </w:rPr>
        <w:lastRenderedPageBreak/>
        <w:t>15 </w:t>
      </w:r>
      <w:r w:rsidRPr="00244D43">
        <w:rPr>
          <w:rFonts w:ascii="Book Antiqua" w:eastAsia="宋体" w:hAnsi="Book Antiqua" w:cs="宋体"/>
          <w:b/>
          <w:bCs/>
          <w:color w:val="000000"/>
          <w:kern w:val="0"/>
          <w:sz w:val="24"/>
          <w:szCs w:val="24"/>
        </w:rPr>
        <w:t>Takizawa K</w:t>
      </w:r>
      <w:r w:rsidRPr="00244D43">
        <w:rPr>
          <w:rFonts w:ascii="Book Antiqua" w:eastAsia="宋体" w:hAnsi="Book Antiqua" w:cs="宋体"/>
          <w:color w:val="000000"/>
          <w:kern w:val="0"/>
          <w:sz w:val="24"/>
          <w:szCs w:val="24"/>
        </w:rPr>
        <w:t xml:space="preserve">, Oda I, </w:t>
      </w:r>
      <w:proofErr w:type="spellStart"/>
      <w:r w:rsidRPr="00244D43">
        <w:rPr>
          <w:rFonts w:ascii="Book Antiqua" w:eastAsia="宋体" w:hAnsi="Book Antiqua" w:cs="宋体"/>
          <w:color w:val="000000"/>
          <w:kern w:val="0"/>
          <w:sz w:val="24"/>
          <w:szCs w:val="24"/>
        </w:rPr>
        <w:t>Gotoda</w:t>
      </w:r>
      <w:proofErr w:type="spellEnd"/>
      <w:r w:rsidRPr="00244D43">
        <w:rPr>
          <w:rFonts w:ascii="Book Antiqua" w:eastAsia="宋体" w:hAnsi="Book Antiqua" w:cs="宋体"/>
          <w:color w:val="000000"/>
          <w:kern w:val="0"/>
          <w:sz w:val="24"/>
          <w:szCs w:val="24"/>
        </w:rPr>
        <w:t xml:space="preserve"> T, Yokoi C, Matsuda T, Saito Y, Saito D, Ono H. Routine coagulation of visible vessels may prevent delayed bleeding after endoscopic submucosal dissection--an analysis of risk factors. </w:t>
      </w:r>
      <w:r w:rsidRPr="00244D43">
        <w:rPr>
          <w:rFonts w:ascii="Book Antiqua" w:eastAsia="宋体" w:hAnsi="Book Antiqua" w:cs="宋体"/>
          <w:i/>
          <w:iCs/>
          <w:color w:val="000000"/>
          <w:kern w:val="0"/>
          <w:sz w:val="24"/>
          <w:szCs w:val="24"/>
        </w:rPr>
        <w:t>Endoscopy</w:t>
      </w:r>
      <w:r w:rsidRPr="00244D43">
        <w:rPr>
          <w:rFonts w:ascii="Book Antiqua" w:eastAsia="宋体" w:hAnsi="Book Antiqua" w:cs="宋体"/>
          <w:color w:val="000000"/>
          <w:kern w:val="0"/>
          <w:sz w:val="24"/>
          <w:szCs w:val="24"/>
        </w:rPr>
        <w:t> 2008; </w:t>
      </w:r>
      <w:r w:rsidRPr="00244D43">
        <w:rPr>
          <w:rFonts w:ascii="Book Antiqua" w:eastAsia="宋体" w:hAnsi="Book Antiqua" w:cs="宋体"/>
          <w:b/>
          <w:bCs/>
          <w:color w:val="000000"/>
          <w:kern w:val="0"/>
          <w:sz w:val="24"/>
          <w:szCs w:val="24"/>
        </w:rPr>
        <w:t>40</w:t>
      </w:r>
      <w:r w:rsidRPr="00244D43">
        <w:rPr>
          <w:rFonts w:ascii="Book Antiqua" w:eastAsia="宋体" w:hAnsi="Book Antiqua" w:cs="宋体"/>
          <w:color w:val="000000"/>
          <w:kern w:val="0"/>
          <w:sz w:val="24"/>
          <w:szCs w:val="24"/>
        </w:rPr>
        <w:t>: 179-183 [PMID: 18322872 DOI: 10.1055/s-2007-995530]</w:t>
      </w:r>
    </w:p>
    <w:p w:rsidR="000603AD" w:rsidRPr="00244D43" w:rsidRDefault="000603AD" w:rsidP="00A771AE">
      <w:pPr>
        <w:widowControl/>
        <w:wordWrap/>
        <w:adjustRightInd w:val="0"/>
        <w:snapToGrid w:val="0"/>
        <w:spacing w:after="0" w:line="360" w:lineRule="auto"/>
        <w:rPr>
          <w:rFonts w:ascii="Book Antiqua" w:eastAsia="宋体" w:hAnsi="Book Antiqua" w:cs="宋体"/>
          <w:color w:val="000000"/>
          <w:kern w:val="0"/>
          <w:sz w:val="24"/>
          <w:szCs w:val="24"/>
        </w:rPr>
      </w:pPr>
      <w:r w:rsidRPr="00244D43">
        <w:rPr>
          <w:rFonts w:ascii="Book Antiqua" w:eastAsia="宋体" w:hAnsi="Book Antiqua" w:cs="宋体"/>
          <w:color w:val="000000"/>
          <w:kern w:val="0"/>
          <w:sz w:val="24"/>
          <w:szCs w:val="24"/>
        </w:rPr>
        <w:t>16 </w:t>
      </w:r>
      <w:proofErr w:type="spellStart"/>
      <w:r w:rsidRPr="00244D43">
        <w:rPr>
          <w:rFonts w:ascii="Book Antiqua" w:eastAsia="宋体" w:hAnsi="Book Antiqua" w:cs="宋体"/>
          <w:b/>
          <w:bCs/>
          <w:color w:val="000000"/>
          <w:kern w:val="0"/>
          <w:sz w:val="24"/>
          <w:szCs w:val="24"/>
        </w:rPr>
        <w:t>Goto</w:t>
      </w:r>
      <w:proofErr w:type="spellEnd"/>
      <w:r w:rsidRPr="00244D43">
        <w:rPr>
          <w:rFonts w:ascii="Book Antiqua" w:eastAsia="宋体" w:hAnsi="Book Antiqua" w:cs="宋体"/>
          <w:b/>
          <w:bCs/>
          <w:color w:val="000000"/>
          <w:kern w:val="0"/>
          <w:sz w:val="24"/>
          <w:szCs w:val="24"/>
        </w:rPr>
        <w:t xml:space="preserve"> O</w:t>
      </w:r>
      <w:r w:rsidRPr="00244D43">
        <w:rPr>
          <w:rFonts w:ascii="Book Antiqua" w:eastAsia="宋体" w:hAnsi="Book Antiqua" w:cs="宋体"/>
          <w:color w:val="000000"/>
          <w:kern w:val="0"/>
          <w:sz w:val="24"/>
          <w:szCs w:val="24"/>
        </w:rPr>
        <w:t xml:space="preserve">, </w:t>
      </w:r>
      <w:proofErr w:type="spellStart"/>
      <w:r w:rsidRPr="00244D43">
        <w:rPr>
          <w:rFonts w:ascii="Book Antiqua" w:eastAsia="宋体" w:hAnsi="Book Antiqua" w:cs="宋体"/>
          <w:color w:val="000000"/>
          <w:kern w:val="0"/>
          <w:sz w:val="24"/>
          <w:szCs w:val="24"/>
        </w:rPr>
        <w:t>Fujishiro</w:t>
      </w:r>
      <w:proofErr w:type="spellEnd"/>
      <w:r w:rsidRPr="00244D43">
        <w:rPr>
          <w:rFonts w:ascii="Book Antiqua" w:eastAsia="宋体" w:hAnsi="Book Antiqua" w:cs="宋体"/>
          <w:color w:val="000000"/>
          <w:kern w:val="0"/>
          <w:sz w:val="24"/>
          <w:szCs w:val="24"/>
        </w:rPr>
        <w:t xml:space="preserve"> M, Oda I, </w:t>
      </w:r>
      <w:proofErr w:type="spellStart"/>
      <w:r w:rsidRPr="00244D43">
        <w:rPr>
          <w:rFonts w:ascii="Book Antiqua" w:eastAsia="宋体" w:hAnsi="Book Antiqua" w:cs="宋体"/>
          <w:color w:val="000000"/>
          <w:kern w:val="0"/>
          <w:sz w:val="24"/>
          <w:szCs w:val="24"/>
        </w:rPr>
        <w:t>Kakushima</w:t>
      </w:r>
      <w:proofErr w:type="spellEnd"/>
      <w:r w:rsidRPr="00244D43">
        <w:rPr>
          <w:rFonts w:ascii="Book Antiqua" w:eastAsia="宋体" w:hAnsi="Book Antiqua" w:cs="宋体"/>
          <w:color w:val="000000"/>
          <w:kern w:val="0"/>
          <w:sz w:val="24"/>
          <w:szCs w:val="24"/>
        </w:rPr>
        <w:t xml:space="preserve"> N, Yamamoto Y, Tsuji Y, </w:t>
      </w:r>
      <w:proofErr w:type="spellStart"/>
      <w:r w:rsidRPr="00244D43">
        <w:rPr>
          <w:rFonts w:ascii="Book Antiqua" w:eastAsia="宋体" w:hAnsi="Book Antiqua" w:cs="宋体"/>
          <w:color w:val="000000"/>
          <w:kern w:val="0"/>
          <w:sz w:val="24"/>
          <w:szCs w:val="24"/>
        </w:rPr>
        <w:t>Ohata</w:t>
      </w:r>
      <w:proofErr w:type="spellEnd"/>
      <w:r w:rsidRPr="00244D43">
        <w:rPr>
          <w:rFonts w:ascii="Book Antiqua" w:eastAsia="宋体" w:hAnsi="Book Antiqua" w:cs="宋体"/>
          <w:color w:val="000000"/>
          <w:kern w:val="0"/>
          <w:sz w:val="24"/>
          <w:szCs w:val="24"/>
        </w:rPr>
        <w:t xml:space="preserve"> K, Fujiwara T, Fujiwara J, Ishii N, Yokoi C, Miyamoto S, Itoh T, </w:t>
      </w:r>
      <w:proofErr w:type="spellStart"/>
      <w:r w:rsidRPr="00244D43">
        <w:rPr>
          <w:rFonts w:ascii="Book Antiqua" w:eastAsia="宋体" w:hAnsi="Book Antiqua" w:cs="宋体"/>
          <w:color w:val="000000"/>
          <w:kern w:val="0"/>
          <w:sz w:val="24"/>
          <w:szCs w:val="24"/>
        </w:rPr>
        <w:t>Morishita</w:t>
      </w:r>
      <w:proofErr w:type="spellEnd"/>
      <w:r w:rsidRPr="00244D43">
        <w:rPr>
          <w:rFonts w:ascii="Book Antiqua" w:eastAsia="宋体" w:hAnsi="Book Antiqua" w:cs="宋体"/>
          <w:color w:val="000000"/>
          <w:kern w:val="0"/>
          <w:sz w:val="24"/>
          <w:szCs w:val="24"/>
        </w:rPr>
        <w:t xml:space="preserve"> S, </w:t>
      </w:r>
      <w:proofErr w:type="spellStart"/>
      <w:r w:rsidRPr="00244D43">
        <w:rPr>
          <w:rFonts w:ascii="Book Antiqua" w:eastAsia="宋体" w:hAnsi="Book Antiqua" w:cs="宋体"/>
          <w:color w:val="000000"/>
          <w:kern w:val="0"/>
          <w:sz w:val="24"/>
          <w:szCs w:val="24"/>
        </w:rPr>
        <w:t>Gotoda</w:t>
      </w:r>
      <w:proofErr w:type="spellEnd"/>
      <w:r w:rsidRPr="00244D43">
        <w:rPr>
          <w:rFonts w:ascii="Book Antiqua" w:eastAsia="宋体" w:hAnsi="Book Antiqua" w:cs="宋体"/>
          <w:color w:val="000000"/>
          <w:kern w:val="0"/>
          <w:sz w:val="24"/>
          <w:szCs w:val="24"/>
        </w:rPr>
        <w:t xml:space="preserve"> T, Koike K. A multicenter survey of the management after gastric endoscopic submucosal dissection related to postoperative bleeding. </w:t>
      </w:r>
      <w:r w:rsidRPr="00244D43">
        <w:rPr>
          <w:rFonts w:ascii="Book Antiqua" w:eastAsia="宋体" w:hAnsi="Book Antiqua" w:cs="宋体"/>
          <w:i/>
          <w:iCs/>
          <w:color w:val="000000"/>
          <w:kern w:val="0"/>
          <w:sz w:val="24"/>
          <w:szCs w:val="24"/>
        </w:rPr>
        <w:t xml:space="preserve">Dig Dis </w:t>
      </w:r>
      <w:proofErr w:type="spellStart"/>
      <w:r w:rsidRPr="00244D43">
        <w:rPr>
          <w:rFonts w:ascii="Book Antiqua" w:eastAsia="宋体" w:hAnsi="Book Antiqua" w:cs="宋体"/>
          <w:i/>
          <w:iCs/>
          <w:color w:val="000000"/>
          <w:kern w:val="0"/>
          <w:sz w:val="24"/>
          <w:szCs w:val="24"/>
        </w:rPr>
        <w:t>Sci</w:t>
      </w:r>
      <w:proofErr w:type="spellEnd"/>
      <w:r w:rsidRPr="00244D43">
        <w:rPr>
          <w:rFonts w:ascii="Book Antiqua" w:eastAsia="宋体" w:hAnsi="Book Antiqua" w:cs="宋体"/>
          <w:color w:val="000000"/>
          <w:kern w:val="0"/>
          <w:sz w:val="24"/>
          <w:szCs w:val="24"/>
        </w:rPr>
        <w:t> 2012; </w:t>
      </w:r>
      <w:r w:rsidRPr="00244D43">
        <w:rPr>
          <w:rFonts w:ascii="Book Antiqua" w:eastAsia="宋体" w:hAnsi="Book Antiqua" w:cs="宋体"/>
          <w:b/>
          <w:bCs/>
          <w:color w:val="000000"/>
          <w:kern w:val="0"/>
          <w:sz w:val="24"/>
          <w:szCs w:val="24"/>
        </w:rPr>
        <w:t>57</w:t>
      </w:r>
      <w:r w:rsidRPr="00244D43">
        <w:rPr>
          <w:rFonts w:ascii="Book Antiqua" w:eastAsia="宋体" w:hAnsi="Book Antiqua" w:cs="宋体"/>
          <w:color w:val="000000"/>
          <w:kern w:val="0"/>
          <w:sz w:val="24"/>
          <w:szCs w:val="24"/>
        </w:rPr>
        <w:t>: 435-439 [PMID: 21901257 DOI: 10.1007/s10620-011-1886-5]</w:t>
      </w:r>
    </w:p>
    <w:p w:rsidR="000603AD" w:rsidRPr="00244D43" w:rsidRDefault="000603AD" w:rsidP="00A771AE">
      <w:pPr>
        <w:widowControl/>
        <w:wordWrap/>
        <w:adjustRightInd w:val="0"/>
        <w:snapToGrid w:val="0"/>
        <w:spacing w:after="0" w:line="360" w:lineRule="auto"/>
        <w:rPr>
          <w:rFonts w:ascii="Book Antiqua" w:eastAsia="宋体" w:hAnsi="Book Antiqua" w:cs="宋体"/>
          <w:color w:val="000000"/>
          <w:kern w:val="0"/>
          <w:sz w:val="24"/>
          <w:szCs w:val="24"/>
        </w:rPr>
      </w:pPr>
      <w:r w:rsidRPr="00244D43">
        <w:rPr>
          <w:rFonts w:ascii="Book Antiqua" w:eastAsia="宋体" w:hAnsi="Book Antiqua" w:cs="宋体"/>
          <w:color w:val="000000"/>
          <w:kern w:val="0"/>
          <w:sz w:val="24"/>
          <w:szCs w:val="24"/>
        </w:rPr>
        <w:t>17 </w:t>
      </w:r>
      <w:r w:rsidRPr="00244D43">
        <w:rPr>
          <w:rFonts w:ascii="Book Antiqua" w:eastAsia="宋体" w:hAnsi="Book Antiqua" w:cs="宋体"/>
          <w:b/>
          <w:bCs/>
          <w:color w:val="000000"/>
          <w:kern w:val="0"/>
          <w:sz w:val="24"/>
          <w:szCs w:val="24"/>
        </w:rPr>
        <w:t>Nakamura M</w:t>
      </w:r>
      <w:r w:rsidRPr="00244D43">
        <w:rPr>
          <w:rFonts w:ascii="Book Antiqua" w:eastAsia="宋体" w:hAnsi="Book Antiqua" w:cs="宋体"/>
          <w:color w:val="000000"/>
          <w:kern w:val="0"/>
          <w:sz w:val="24"/>
          <w:szCs w:val="24"/>
        </w:rPr>
        <w:t xml:space="preserve">, Nishikawa J, </w:t>
      </w:r>
      <w:proofErr w:type="spellStart"/>
      <w:r w:rsidRPr="00244D43">
        <w:rPr>
          <w:rFonts w:ascii="Book Antiqua" w:eastAsia="宋体" w:hAnsi="Book Antiqua" w:cs="宋体"/>
          <w:color w:val="000000"/>
          <w:kern w:val="0"/>
          <w:sz w:val="24"/>
          <w:szCs w:val="24"/>
        </w:rPr>
        <w:t>Hamabe</w:t>
      </w:r>
      <w:proofErr w:type="spellEnd"/>
      <w:r w:rsidRPr="00244D43">
        <w:rPr>
          <w:rFonts w:ascii="Book Antiqua" w:eastAsia="宋体" w:hAnsi="Book Antiqua" w:cs="宋体"/>
          <w:color w:val="000000"/>
          <w:kern w:val="0"/>
          <w:sz w:val="24"/>
          <w:szCs w:val="24"/>
        </w:rPr>
        <w:t xml:space="preserve"> K, Nishimura J, </w:t>
      </w:r>
      <w:proofErr w:type="spellStart"/>
      <w:r w:rsidRPr="00244D43">
        <w:rPr>
          <w:rFonts w:ascii="Book Antiqua" w:eastAsia="宋体" w:hAnsi="Book Antiqua" w:cs="宋体"/>
          <w:color w:val="000000"/>
          <w:kern w:val="0"/>
          <w:sz w:val="24"/>
          <w:szCs w:val="24"/>
        </w:rPr>
        <w:t>Satake</w:t>
      </w:r>
      <w:proofErr w:type="spellEnd"/>
      <w:r w:rsidRPr="00244D43">
        <w:rPr>
          <w:rFonts w:ascii="Book Antiqua" w:eastAsia="宋体" w:hAnsi="Book Antiqua" w:cs="宋体"/>
          <w:color w:val="000000"/>
          <w:kern w:val="0"/>
          <w:sz w:val="24"/>
          <w:szCs w:val="24"/>
        </w:rPr>
        <w:t xml:space="preserve"> M, </w:t>
      </w:r>
      <w:proofErr w:type="spellStart"/>
      <w:r w:rsidRPr="00244D43">
        <w:rPr>
          <w:rFonts w:ascii="Book Antiqua" w:eastAsia="宋体" w:hAnsi="Book Antiqua" w:cs="宋体"/>
          <w:color w:val="000000"/>
          <w:kern w:val="0"/>
          <w:sz w:val="24"/>
          <w:szCs w:val="24"/>
        </w:rPr>
        <w:t>Goto</w:t>
      </w:r>
      <w:proofErr w:type="spellEnd"/>
      <w:r w:rsidRPr="00244D43">
        <w:rPr>
          <w:rFonts w:ascii="Book Antiqua" w:eastAsia="宋体" w:hAnsi="Book Antiqua" w:cs="宋体"/>
          <w:color w:val="000000"/>
          <w:kern w:val="0"/>
          <w:sz w:val="24"/>
          <w:szCs w:val="24"/>
        </w:rPr>
        <w:t xml:space="preserve"> A, </w:t>
      </w:r>
      <w:proofErr w:type="spellStart"/>
      <w:r w:rsidRPr="00244D43">
        <w:rPr>
          <w:rFonts w:ascii="Book Antiqua" w:eastAsia="宋体" w:hAnsi="Book Antiqua" w:cs="宋体"/>
          <w:color w:val="000000"/>
          <w:kern w:val="0"/>
          <w:sz w:val="24"/>
          <w:szCs w:val="24"/>
        </w:rPr>
        <w:t>Kiyotoki</w:t>
      </w:r>
      <w:proofErr w:type="spellEnd"/>
      <w:r w:rsidRPr="00244D43">
        <w:rPr>
          <w:rFonts w:ascii="Book Antiqua" w:eastAsia="宋体" w:hAnsi="Book Antiqua" w:cs="宋体"/>
          <w:color w:val="000000"/>
          <w:kern w:val="0"/>
          <w:sz w:val="24"/>
          <w:szCs w:val="24"/>
        </w:rPr>
        <w:t xml:space="preserve"> S, Saito M, </w:t>
      </w:r>
      <w:proofErr w:type="spellStart"/>
      <w:r w:rsidRPr="00244D43">
        <w:rPr>
          <w:rFonts w:ascii="Book Antiqua" w:eastAsia="宋体" w:hAnsi="Book Antiqua" w:cs="宋体"/>
          <w:color w:val="000000"/>
          <w:kern w:val="0"/>
          <w:sz w:val="24"/>
          <w:szCs w:val="24"/>
        </w:rPr>
        <w:t>Fukagawa</w:t>
      </w:r>
      <w:proofErr w:type="spellEnd"/>
      <w:r w:rsidRPr="00244D43">
        <w:rPr>
          <w:rFonts w:ascii="Book Antiqua" w:eastAsia="宋体" w:hAnsi="Book Antiqua" w:cs="宋体"/>
          <w:color w:val="000000"/>
          <w:kern w:val="0"/>
          <w:sz w:val="24"/>
          <w:szCs w:val="24"/>
        </w:rPr>
        <w:t xml:space="preserve"> Y, </w:t>
      </w:r>
      <w:proofErr w:type="spellStart"/>
      <w:r w:rsidRPr="00244D43">
        <w:rPr>
          <w:rFonts w:ascii="Book Antiqua" w:eastAsia="宋体" w:hAnsi="Book Antiqua" w:cs="宋体"/>
          <w:color w:val="000000"/>
          <w:kern w:val="0"/>
          <w:sz w:val="24"/>
          <w:szCs w:val="24"/>
        </w:rPr>
        <w:t>Shirai</w:t>
      </w:r>
      <w:proofErr w:type="spellEnd"/>
      <w:r w:rsidRPr="00244D43">
        <w:rPr>
          <w:rFonts w:ascii="Book Antiqua" w:eastAsia="宋体" w:hAnsi="Book Antiqua" w:cs="宋体"/>
          <w:color w:val="000000"/>
          <w:kern w:val="0"/>
          <w:sz w:val="24"/>
          <w:szCs w:val="24"/>
        </w:rPr>
        <w:t xml:space="preserve"> Y, Okamoto T, </w:t>
      </w:r>
      <w:proofErr w:type="spellStart"/>
      <w:r w:rsidRPr="00244D43">
        <w:rPr>
          <w:rFonts w:ascii="Book Antiqua" w:eastAsia="宋体" w:hAnsi="Book Antiqua" w:cs="宋体"/>
          <w:color w:val="000000"/>
          <w:kern w:val="0"/>
          <w:sz w:val="24"/>
          <w:szCs w:val="24"/>
        </w:rPr>
        <w:t>Sakaida</w:t>
      </w:r>
      <w:proofErr w:type="spellEnd"/>
      <w:r w:rsidRPr="00244D43">
        <w:rPr>
          <w:rFonts w:ascii="Book Antiqua" w:eastAsia="宋体" w:hAnsi="Book Antiqua" w:cs="宋体"/>
          <w:color w:val="000000"/>
          <w:kern w:val="0"/>
          <w:sz w:val="24"/>
          <w:szCs w:val="24"/>
        </w:rPr>
        <w:t xml:space="preserve"> I. Risk factors for delayed bleeding from endoscopic submucosal dissection of gastric neoplasms. </w:t>
      </w:r>
      <w:proofErr w:type="spellStart"/>
      <w:r w:rsidRPr="00244D43">
        <w:rPr>
          <w:rFonts w:ascii="Book Antiqua" w:eastAsia="宋体" w:hAnsi="Book Antiqua" w:cs="宋体"/>
          <w:i/>
          <w:iCs/>
          <w:color w:val="000000"/>
          <w:kern w:val="0"/>
          <w:sz w:val="24"/>
          <w:szCs w:val="24"/>
        </w:rPr>
        <w:t>Scand</w:t>
      </w:r>
      <w:proofErr w:type="spellEnd"/>
      <w:r w:rsidRPr="00244D43">
        <w:rPr>
          <w:rFonts w:ascii="Book Antiqua" w:eastAsia="宋体" w:hAnsi="Book Antiqua" w:cs="宋体"/>
          <w:i/>
          <w:iCs/>
          <w:color w:val="000000"/>
          <w:kern w:val="0"/>
          <w:sz w:val="24"/>
          <w:szCs w:val="24"/>
        </w:rPr>
        <w:t xml:space="preserve"> J </w:t>
      </w:r>
      <w:proofErr w:type="spellStart"/>
      <w:r w:rsidRPr="00244D43">
        <w:rPr>
          <w:rFonts w:ascii="Book Antiqua" w:eastAsia="宋体" w:hAnsi="Book Antiqua" w:cs="宋体"/>
          <w:i/>
          <w:iCs/>
          <w:color w:val="000000"/>
          <w:kern w:val="0"/>
          <w:sz w:val="24"/>
          <w:szCs w:val="24"/>
        </w:rPr>
        <w:t>Gastroenterol</w:t>
      </w:r>
      <w:proofErr w:type="spellEnd"/>
      <w:r w:rsidRPr="00244D43">
        <w:rPr>
          <w:rFonts w:ascii="Book Antiqua" w:eastAsia="宋体" w:hAnsi="Book Antiqua" w:cs="宋体"/>
          <w:color w:val="000000"/>
          <w:kern w:val="0"/>
          <w:sz w:val="24"/>
          <w:szCs w:val="24"/>
        </w:rPr>
        <w:t> 2012; </w:t>
      </w:r>
      <w:r w:rsidRPr="00244D43">
        <w:rPr>
          <w:rFonts w:ascii="Book Antiqua" w:eastAsia="宋体" w:hAnsi="Book Antiqua" w:cs="宋体"/>
          <w:b/>
          <w:bCs/>
          <w:color w:val="000000"/>
          <w:kern w:val="0"/>
          <w:sz w:val="24"/>
          <w:szCs w:val="24"/>
        </w:rPr>
        <w:t>47</w:t>
      </w:r>
      <w:r w:rsidRPr="00244D43">
        <w:rPr>
          <w:rFonts w:ascii="Book Antiqua" w:eastAsia="宋体" w:hAnsi="Book Antiqua" w:cs="宋体"/>
          <w:color w:val="000000"/>
          <w:kern w:val="0"/>
          <w:sz w:val="24"/>
          <w:szCs w:val="24"/>
        </w:rPr>
        <w:t>: 1108-1114 [PMID: 22783937 DOI: 10.3109/00365521.2012.699550]</w:t>
      </w:r>
    </w:p>
    <w:p w:rsidR="000603AD" w:rsidRPr="00244D43" w:rsidRDefault="000603AD" w:rsidP="00A771AE">
      <w:pPr>
        <w:widowControl/>
        <w:wordWrap/>
        <w:adjustRightInd w:val="0"/>
        <w:snapToGrid w:val="0"/>
        <w:spacing w:after="0" w:line="360" w:lineRule="auto"/>
        <w:rPr>
          <w:rFonts w:ascii="Book Antiqua" w:eastAsia="宋体" w:hAnsi="Book Antiqua" w:cs="宋体"/>
          <w:color w:val="000000"/>
          <w:kern w:val="0"/>
          <w:sz w:val="24"/>
          <w:szCs w:val="24"/>
        </w:rPr>
      </w:pPr>
      <w:r w:rsidRPr="00244D43">
        <w:rPr>
          <w:rFonts w:ascii="Book Antiqua" w:eastAsia="宋体" w:hAnsi="Book Antiqua" w:cs="宋体"/>
          <w:color w:val="000000"/>
          <w:kern w:val="0"/>
          <w:sz w:val="24"/>
          <w:szCs w:val="24"/>
        </w:rPr>
        <w:t>18 </w:t>
      </w:r>
      <w:proofErr w:type="spellStart"/>
      <w:r w:rsidRPr="00244D43">
        <w:rPr>
          <w:rFonts w:ascii="Book Antiqua" w:eastAsia="宋体" w:hAnsi="Book Antiqua" w:cs="宋体"/>
          <w:b/>
          <w:bCs/>
          <w:color w:val="000000"/>
          <w:kern w:val="0"/>
          <w:sz w:val="24"/>
          <w:szCs w:val="24"/>
        </w:rPr>
        <w:t>Narum</w:t>
      </w:r>
      <w:proofErr w:type="spellEnd"/>
      <w:r w:rsidRPr="00244D43">
        <w:rPr>
          <w:rFonts w:ascii="Book Antiqua" w:eastAsia="宋体" w:hAnsi="Book Antiqua" w:cs="宋体"/>
          <w:b/>
          <w:bCs/>
          <w:color w:val="000000"/>
          <w:kern w:val="0"/>
          <w:sz w:val="24"/>
          <w:szCs w:val="24"/>
        </w:rPr>
        <w:t xml:space="preserve"> S</w:t>
      </w:r>
      <w:r w:rsidRPr="00244D43">
        <w:rPr>
          <w:rFonts w:ascii="Book Antiqua" w:eastAsia="宋体" w:hAnsi="Book Antiqua" w:cs="宋体"/>
          <w:color w:val="000000"/>
          <w:kern w:val="0"/>
          <w:sz w:val="24"/>
          <w:szCs w:val="24"/>
        </w:rPr>
        <w:t xml:space="preserve">, </w:t>
      </w:r>
      <w:proofErr w:type="spellStart"/>
      <w:r w:rsidRPr="00244D43">
        <w:rPr>
          <w:rFonts w:ascii="Book Antiqua" w:eastAsia="宋体" w:hAnsi="Book Antiqua" w:cs="宋体"/>
          <w:color w:val="000000"/>
          <w:kern w:val="0"/>
          <w:sz w:val="24"/>
          <w:szCs w:val="24"/>
        </w:rPr>
        <w:t>Westergren</w:t>
      </w:r>
      <w:proofErr w:type="spellEnd"/>
      <w:r w:rsidRPr="00244D43">
        <w:rPr>
          <w:rFonts w:ascii="Book Antiqua" w:eastAsia="宋体" w:hAnsi="Book Antiqua" w:cs="宋体"/>
          <w:color w:val="000000"/>
          <w:kern w:val="0"/>
          <w:sz w:val="24"/>
          <w:szCs w:val="24"/>
        </w:rPr>
        <w:t xml:space="preserve"> T, </w:t>
      </w:r>
      <w:proofErr w:type="spellStart"/>
      <w:r w:rsidRPr="00244D43">
        <w:rPr>
          <w:rFonts w:ascii="Book Antiqua" w:eastAsia="宋体" w:hAnsi="Book Antiqua" w:cs="宋体"/>
          <w:color w:val="000000"/>
          <w:kern w:val="0"/>
          <w:sz w:val="24"/>
          <w:szCs w:val="24"/>
        </w:rPr>
        <w:t>Klemp</w:t>
      </w:r>
      <w:proofErr w:type="spellEnd"/>
      <w:r w:rsidRPr="00244D43">
        <w:rPr>
          <w:rFonts w:ascii="Book Antiqua" w:eastAsia="宋体" w:hAnsi="Book Antiqua" w:cs="宋体"/>
          <w:color w:val="000000"/>
          <w:kern w:val="0"/>
          <w:sz w:val="24"/>
          <w:szCs w:val="24"/>
        </w:rPr>
        <w:t xml:space="preserve"> M. Corticosteroids and risk of gastrointestinal bleeding: a systematic review and meta-analysis. </w:t>
      </w:r>
      <w:r w:rsidRPr="00244D43">
        <w:rPr>
          <w:rFonts w:ascii="Book Antiqua" w:eastAsia="宋体" w:hAnsi="Book Antiqua" w:cs="宋体"/>
          <w:i/>
          <w:iCs/>
          <w:color w:val="000000"/>
          <w:kern w:val="0"/>
          <w:sz w:val="24"/>
          <w:szCs w:val="24"/>
        </w:rPr>
        <w:t>BMJ Open</w:t>
      </w:r>
      <w:r w:rsidRPr="00244D43">
        <w:rPr>
          <w:rFonts w:ascii="Book Antiqua" w:eastAsia="宋体" w:hAnsi="Book Antiqua" w:cs="宋体"/>
          <w:color w:val="000000"/>
          <w:kern w:val="0"/>
          <w:sz w:val="24"/>
          <w:szCs w:val="24"/>
        </w:rPr>
        <w:t> 2014; </w:t>
      </w:r>
      <w:r w:rsidRPr="00244D43">
        <w:rPr>
          <w:rFonts w:ascii="Book Antiqua" w:eastAsia="宋体" w:hAnsi="Book Antiqua" w:cs="宋体"/>
          <w:b/>
          <w:bCs/>
          <w:color w:val="000000"/>
          <w:kern w:val="0"/>
          <w:sz w:val="24"/>
          <w:szCs w:val="24"/>
        </w:rPr>
        <w:t>4</w:t>
      </w:r>
      <w:r w:rsidRPr="00244D43">
        <w:rPr>
          <w:rFonts w:ascii="Book Antiqua" w:eastAsia="宋体" w:hAnsi="Book Antiqua" w:cs="宋体"/>
          <w:color w:val="000000"/>
          <w:kern w:val="0"/>
          <w:sz w:val="24"/>
          <w:szCs w:val="24"/>
        </w:rPr>
        <w:t>: e004587 [PMID: 24833682 DOI: 10.1136/bmjopen-2013-004587]</w:t>
      </w:r>
    </w:p>
    <w:p w:rsidR="000603AD" w:rsidRPr="00244D43" w:rsidRDefault="000603AD" w:rsidP="00A771AE">
      <w:pPr>
        <w:widowControl/>
        <w:wordWrap/>
        <w:adjustRightInd w:val="0"/>
        <w:snapToGrid w:val="0"/>
        <w:spacing w:after="0" w:line="360" w:lineRule="auto"/>
        <w:rPr>
          <w:rFonts w:ascii="Book Antiqua" w:eastAsia="宋体" w:hAnsi="Book Antiqua" w:cs="宋体"/>
          <w:color w:val="000000"/>
          <w:kern w:val="0"/>
          <w:sz w:val="24"/>
          <w:szCs w:val="24"/>
        </w:rPr>
      </w:pPr>
      <w:r w:rsidRPr="00244D43">
        <w:rPr>
          <w:rFonts w:ascii="Book Antiqua" w:eastAsia="宋体" w:hAnsi="Book Antiqua" w:cs="宋体"/>
          <w:color w:val="000000"/>
          <w:kern w:val="0"/>
          <w:sz w:val="24"/>
          <w:szCs w:val="24"/>
        </w:rPr>
        <w:t>19 </w:t>
      </w:r>
      <w:r w:rsidRPr="00244D43">
        <w:rPr>
          <w:rFonts w:ascii="Book Antiqua" w:eastAsia="宋体" w:hAnsi="Book Antiqua" w:cs="宋体"/>
          <w:b/>
          <w:bCs/>
          <w:color w:val="000000"/>
          <w:kern w:val="0"/>
          <w:sz w:val="24"/>
          <w:szCs w:val="24"/>
        </w:rPr>
        <w:t>Gabriel SE</w:t>
      </w:r>
      <w:r w:rsidRPr="00244D43">
        <w:rPr>
          <w:rFonts w:ascii="Book Antiqua" w:eastAsia="宋体" w:hAnsi="Book Antiqua" w:cs="宋体"/>
          <w:color w:val="000000"/>
          <w:kern w:val="0"/>
          <w:sz w:val="24"/>
          <w:szCs w:val="24"/>
        </w:rPr>
        <w:t xml:space="preserve">, </w:t>
      </w:r>
      <w:proofErr w:type="spellStart"/>
      <w:r w:rsidRPr="00244D43">
        <w:rPr>
          <w:rFonts w:ascii="Book Antiqua" w:eastAsia="宋体" w:hAnsi="Book Antiqua" w:cs="宋体"/>
          <w:color w:val="000000"/>
          <w:kern w:val="0"/>
          <w:sz w:val="24"/>
          <w:szCs w:val="24"/>
        </w:rPr>
        <w:t>Jaakkimainen</w:t>
      </w:r>
      <w:proofErr w:type="spellEnd"/>
      <w:r w:rsidRPr="00244D43">
        <w:rPr>
          <w:rFonts w:ascii="Book Antiqua" w:eastAsia="宋体" w:hAnsi="Book Antiqua" w:cs="宋体"/>
          <w:color w:val="000000"/>
          <w:kern w:val="0"/>
          <w:sz w:val="24"/>
          <w:szCs w:val="24"/>
        </w:rPr>
        <w:t xml:space="preserve"> L, Bombardier C. Risk for serious gastrointestinal complications related to use of nonsteroidal anti-inflammatory drugs. </w:t>
      </w:r>
      <w:proofErr w:type="gramStart"/>
      <w:r w:rsidRPr="00244D43">
        <w:rPr>
          <w:rFonts w:ascii="Book Antiqua" w:eastAsia="宋体" w:hAnsi="Book Antiqua" w:cs="宋体"/>
          <w:color w:val="000000"/>
          <w:kern w:val="0"/>
          <w:sz w:val="24"/>
          <w:szCs w:val="24"/>
        </w:rPr>
        <w:t>A meta-analysis.</w:t>
      </w:r>
      <w:proofErr w:type="gramEnd"/>
      <w:r w:rsidRPr="00244D43">
        <w:rPr>
          <w:rFonts w:ascii="Book Antiqua" w:eastAsia="宋体" w:hAnsi="Book Antiqua" w:cs="宋体"/>
          <w:color w:val="000000"/>
          <w:kern w:val="0"/>
          <w:sz w:val="24"/>
          <w:szCs w:val="24"/>
        </w:rPr>
        <w:t> </w:t>
      </w:r>
      <w:r w:rsidRPr="00244D43">
        <w:rPr>
          <w:rFonts w:ascii="Book Antiqua" w:eastAsia="宋体" w:hAnsi="Book Antiqua" w:cs="宋体"/>
          <w:i/>
          <w:iCs/>
          <w:color w:val="000000"/>
          <w:kern w:val="0"/>
          <w:sz w:val="24"/>
          <w:szCs w:val="24"/>
        </w:rPr>
        <w:t>Ann Intern Med</w:t>
      </w:r>
      <w:r w:rsidRPr="00244D43">
        <w:rPr>
          <w:rFonts w:ascii="Book Antiqua" w:eastAsia="宋体" w:hAnsi="Book Antiqua" w:cs="宋体"/>
          <w:color w:val="000000"/>
          <w:kern w:val="0"/>
          <w:sz w:val="24"/>
          <w:szCs w:val="24"/>
        </w:rPr>
        <w:t> 1991; </w:t>
      </w:r>
      <w:r w:rsidRPr="00244D43">
        <w:rPr>
          <w:rFonts w:ascii="Book Antiqua" w:eastAsia="宋体" w:hAnsi="Book Antiqua" w:cs="宋体"/>
          <w:b/>
          <w:bCs/>
          <w:color w:val="000000"/>
          <w:kern w:val="0"/>
          <w:sz w:val="24"/>
          <w:szCs w:val="24"/>
        </w:rPr>
        <w:t>115</w:t>
      </w:r>
      <w:r w:rsidRPr="00244D43">
        <w:rPr>
          <w:rFonts w:ascii="Book Antiqua" w:eastAsia="宋体" w:hAnsi="Book Antiqua" w:cs="宋体"/>
          <w:color w:val="000000"/>
          <w:kern w:val="0"/>
          <w:sz w:val="24"/>
          <w:szCs w:val="24"/>
        </w:rPr>
        <w:t>: 787-796 [PMID: 1834002 DOI: 10.7326/0003-4819-115-10-787]</w:t>
      </w:r>
    </w:p>
    <w:p w:rsidR="000603AD" w:rsidRPr="00244D43" w:rsidRDefault="000603AD" w:rsidP="00A771AE">
      <w:pPr>
        <w:wordWrap/>
        <w:adjustRightInd w:val="0"/>
        <w:snapToGrid w:val="0"/>
        <w:spacing w:after="0" w:line="360" w:lineRule="auto"/>
        <w:rPr>
          <w:rFonts w:ascii="Book Antiqua" w:hAnsi="Book Antiqua"/>
          <w:sz w:val="24"/>
          <w:szCs w:val="24"/>
        </w:rPr>
      </w:pPr>
    </w:p>
    <w:p w:rsidR="000603AD" w:rsidRDefault="000603AD" w:rsidP="00A771AE">
      <w:pPr>
        <w:wordWrap/>
        <w:adjustRightInd w:val="0"/>
        <w:snapToGrid w:val="0"/>
        <w:spacing w:after="0" w:line="360" w:lineRule="auto"/>
        <w:jc w:val="right"/>
        <w:rPr>
          <w:rFonts w:ascii="Book Antiqua" w:hAnsi="Book Antiqua"/>
          <w:b/>
          <w:bCs/>
          <w:sz w:val="24"/>
        </w:rPr>
      </w:pPr>
      <w:r w:rsidRPr="005F7DC3">
        <w:rPr>
          <w:rFonts w:ascii="Book Antiqua" w:hAnsi="Book Antiqua"/>
          <w:b/>
          <w:bCs/>
          <w:sz w:val="24"/>
        </w:rPr>
        <w:t xml:space="preserve">P-Reviewer: </w:t>
      </w:r>
      <w:proofErr w:type="spellStart"/>
      <w:r w:rsidRPr="000603AD">
        <w:rPr>
          <w:rFonts w:ascii="Book Antiqua" w:hAnsi="Book Antiqua"/>
          <w:bCs/>
          <w:sz w:val="24"/>
        </w:rPr>
        <w:t>Herbella</w:t>
      </w:r>
      <w:proofErr w:type="spellEnd"/>
      <w:r w:rsidRPr="000603AD">
        <w:rPr>
          <w:rFonts w:ascii="Book Antiqua" w:hAnsi="Book Antiqua"/>
          <w:bCs/>
          <w:sz w:val="24"/>
        </w:rPr>
        <w:t xml:space="preserve"> FAM</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4075DB" w:rsidRPr="000603AD" w:rsidRDefault="000603AD" w:rsidP="00A771AE">
      <w:pPr>
        <w:widowControl/>
        <w:wordWrap/>
        <w:autoSpaceDE/>
        <w:autoSpaceDN/>
        <w:adjustRightInd w:val="0"/>
        <w:snapToGrid w:val="0"/>
        <w:spacing w:after="0" w:line="360" w:lineRule="auto"/>
        <w:rPr>
          <w:rFonts w:ascii="Book Antiqua" w:eastAsia="宋体" w:hAnsi="Book Antiqua" w:cs="Times New Roman"/>
          <w:b/>
          <w:caps/>
          <w:sz w:val="24"/>
          <w:szCs w:val="24"/>
          <w:lang w:eastAsia="zh-CN"/>
        </w:rPr>
      </w:pPr>
      <w:r>
        <w:rPr>
          <w:rFonts w:ascii="Book Antiqua" w:eastAsia="宋体" w:hAnsi="Book Antiqua" w:cs="Times New Roman"/>
          <w:b/>
          <w:caps/>
          <w:sz w:val="24"/>
          <w:szCs w:val="24"/>
          <w:lang w:eastAsia="zh-CN"/>
        </w:rPr>
        <w:br w:type="page"/>
      </w:r>
    </w:p>
    <w:p w:rsidR="004075DB" w:rsidRPr="008F0C1A" w:rsidRDefault="004075DB" w:rsidP="00A771AE">
      <w:pPr>
        <w:pStyle w:val="aa"/>
        <w:wordWrap/>
        <w:adjustRightInd w:val="0"/>
        <w:snapToGrid w:val="0"/>
        <w:spacing w:after="0" w:line="360" w:lineRule="auto"/>
        <w:rPr>
          <w:rFonts w:ascii="Book Antiqua" w:eastAsia="Malgun Gothic" w:hAnsi="Book Antiqua"/>
          <w:color w:val="000000"/>
          <w:kern w:val="24"/>
        </w:rPr>
      </w:pPr>
      <w:r w:rsidRPr="008F0C1A">
        <w:rPr>
          <w:rFonts w:ascii="Book Antiqua" w:eastAsia="Malgun Gothic" w:hAnsi="Book Antiqua"/>
          <w:noProof/>
          <w:color w:val="000000"/>
          <w:kern w:val="24"/>
          <w:lang w:eastAsia="zh-CN"/>
        </w:rPr>
        <w:lastRenderedPageBreak/>
        <w:drawing>
          <wp:inline distT="0" distB="0" distL="0" distR="0" wp14:anchorId="62C86C18" wp14:editId="3DE7B514">
            <wp:extent cx="5731510" cy="4298633"/>
            <wp:effectExtent l="0" t="0" r="2540" b="6985"/>
            <wp:docPr id="1" name="그림 1" descr="C:\Users\user\Documents\A_연구소\C투고\SLE_정지혜\DIG\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A_연구소\C투고\SLE_정지혜\DIG\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3F56F7" w:rsidRPr="000603AD" w:rsidRDefault="000603AD" w:rsidP="00A771AE">
      <w:pPr>
        <w:pStyle w:val="aa"/>
        <w:wordWrap/>
        <w:adjustRightInd w:val="0"/>
        <w:snapToGrid w:val="0"/>
        <w:spacing w:after="0" w:line="360" w:lineRule="auto"/>
        <w:rPr>
          <w:rFonts w:ascii="Book Antiqua" w:eastAsia="宋体" w:hAnsi="Book Antiqua"/>
          <w:b/>
          <w:color w:val="000000"/>
          <w:kern w:val="24"/>
          <w:lang w:eastAsia="zh-CN"/>
        </w:rPr>
      </w:pPr>
      <w:r w:rsidRPr="008F0C1A">
        <w:rPr>
          <w:rFonts w:ascii="Book Antiqua" w:eastAsiaTheme="majorHAnsi" w:hAnsi="Book Antiqua"/>
          <w:b/>
        </w:rPr>
        <w:t>Figure</w:t>
      </w:r>
      <w:r>
        <w:rPr>
          <w:rFonts w:ascii="Book Antiqua" w:eastAsiaTheme="majorHAnsi" w:hAnsi="Book Antiqua"/>
          <w:b/>
        </w:rPr>
        <w:t xml:space="preserve"> 1</w:t>
      </w:r>
      <w:r w:rsidRPr="008F0C1A">
        <w:rPr>
          <w:rFonts w:ascii="Book Antiqua" w:eastAsiaTheme="majorHAnsi" w:hAnsi="Book Antiqua"/>
          <w:b/>
        </w:rPr>
        <w:t xml:space="preserve"> </w:t>
      </w:r>
      <w:r w:rsidRPr="008F0C1A">
        <w:rPr>
          <w:rFonts w:ascii="Book Antiqua" w:eastAsia="Malgun Gothic" w:hAnsi="Book Antiqua"/>
          <w:b/>
          <w:color w:val="000000"/>
          <w:kern w:val="24"/>
        </w:rPr>
        <w:t>Flowchart for the ef</w:t>
      </w:r>
      <w:r>
        <w:rPr>
          <w:rFonts w:ascii="Book Antiqua" w:eastAsia="Malgun Gothic" w:hAnsi="Book Antiqua"/>
          <w:b/>
          <w:color w:val="000000"/>
          <w:kern w:val="24"/>
        </w:rPr>
        <w:t>ficacy of second-look endoscopy</w:t>
      </w:r>
      <w:r>
        <w:rPr>
          <w:rFonts w:ascii="Book Antiqua" w:eastAsia="宋体" w:hAnsi="Book Antiqua" w:hint="eastAsia"/>
          <w:b/>
          <w:color w:val="000000"/>
          <w:kern w:val="24"/>
          <w:lang w:eastAsia="zh-CN"/>
        </w:rPr>
        <w:t xml:space="preserve">. </w:t>
      </w:r>
      <w:r w:rsidR="000B2564" w:rsidRPr="008F0C1A">
        <w:rPr>
          <w:rFonts w:ascii="Book Antiqua" w:eastAsia="Malgun Gothic" w:hAnsi="Book Antiqua"/>
          <w:color w:val="000000"/>
          <w:kern w:val="24"/>
        </w:rPr>
        <w:t>Among 310 lesions treated by ESD, delayed bleeding occurred in 2 (0.64%), one per group; high risk group (1/66) and low risk group (1/244).</w:t>
      </w:r>
      <w:r>
        <w:rPr>
          <w:rFonts w:ascii="Book Antiqua" w:eastAsia="宋体" w:hAnsi="Book Antiqua" w:hint="eastAsia"/>
          <w:color w:val="000000"/>
          <w:kern w:val="24"/>
          <w:lang w:eastAsia="zh-CN"/>
        </w:rPr>
        <w:t xml:space="preserve"> </w:t>
      </w:r>
      <w:r w:rsidR="00AD1CB0" w:rsidRPr="008F0C1A">
        <w:rPr>
          <w:rFonts w:ascii="Book Antiqua" w:eastAsia="Malgun Gothic" w:hAnsi="Book Antiqua"/>
          <w:color w:val="000000"/>
          <w:kern w:val="24"/>
        </w:rPr>
        <w:t xml:space="preserve">Delayed bleeding was defined bleeding event after SLE within 30 d. </w:t>
      </w:r>
      <w:r w:rsidR="003F56F7" w:rsidRPr="008F0C1A">
        <w:rPr>
          <w:rFonts w:ascii="Book Antiqua" w:eastAsia="Malgun Gothic" w:hAnsi="Book Antiqua"/>
          <w:color w:val="000000"/>
          <w:kern w:val="24"/>
        </w:rPr>
        <w:t>ESD</w:t>
      </w:r>
      <w:r>
        <w:rPr>
          <w:rFonts w:ascii="Book Antiqua" w:eastAsia="宋体" w:hAnsi="Book Antiqua" w:hint="eastAsia"/>
          <w:color w:val="000000"/>
          <w:kern w:val="24"/>
          <w:lang w:eastAsia="zh-CN"/>
        </w:rPr>
        <w:t>:</w:t>
      </w:r>
      <w:r w:rsidR="003F56F7" w:rsidRPr="008F0C1A">
        <w:rPr>
          <w:rFonts w:ascii="Book Antiqua" w:eastAsia="Malgun Gothic" w:hAnsi="Book Antiqua"/>
          <w:color w:val="000000"/>
          <w:kern w:val="24"/>
        </w:rPr>
        <w:t xml:space="preserve"> </w:t>
      </w:r>
      <w:r w:rsidR="003F56F7" w:rsidRPr="000603AD">
        <w:rPr>
          <w:rFonts w:ascii="Book Antiqua" w:eastAsia="Malgun Gothic" w:hAnsi="Book Antiqua"/>
          <w:caps/>
          <w:color w:val="000000"/>
          <w:kern w:val="24"/>
        </w:rPr>
        <w:t>e</w:t>
      </w:r>
      <w:r w:rsidR="003F56F7" w:rsidRPr="008F0C1A">
        <w:rPr>
          <w:rFonts w:ascii="Book Antiqua" w:eastAsia="Malgun Gothic" w:hAnsi="Book Antiqua"/>
          <w:color w:val="000000"/>
          <w:kern w:val="24"/>
        </w:rPr>
        <w:t>ndoscopic submucosal dissection</w:t>
      </w:r>
      <w:r>
        <w:rPr>
          <w:rFonts w:ascii="Book Antiqua" w:eastAsia="宋体" w:hAnsi="Book Antiqua" w:hint="eastAsia"/>
          <w:color w:val="000000"/>
          <w:kern w:val="24"/>
          <w:lang w:eastAsia="zh-CN"/>
        </w:rPr>
        <w:t xml:space="preserve">; </w:t>
      </w:r>
      <w:r w:rsidR="003F56F7" w:rsidRPr="008F0C1A">
        <w:rPr>
          <w:rFonts w:ascii="Book Antiqua" w:eastAsia="Malgun Gothic" w:hAnsi="Book Antiqua"/>
          <w:color w:val="000000"/>
          <w:kern w:val="24"/>
        </w:rPr>
        <w:t>SLE</w:t>
      </w:r>
      <w:r>
        <w:rPr>
          <w:rFonts w:ascii="Book Antiqua" w:eastAsia="宋体" w:hAnsi="Book Antiqua" w:hint="eastAsia"/>
          <w:color w:val="000000"/>
          <w:kern w:val="24"/>
          <w:lang w:eastAsia="zh-CN"/>
        </w:rPr>
        <w:t>:</w:t>
      </w:r>
      <w:r w:rsidR="003F56F7" w:rsidRPr="008F0C1A">
        <w:rPr>
          <w:rFonts w:ascii="Book Antiqua" w:eastAsia="Malgun Gothic" w:hAnsi="Book Antiqua"/>
          <w:color w:val="000000"/>
          <w:kern w:val="24"/>
        </w:rPr>
        <w:t xml:space="preserve"> </w:t>
      </w:r>
      <w:r w:rsidR="003F56F7" w:rsidRPr="000603AD">
        <w:rPr>
          <w:rFonts w:ascii="Book Antiqua" w:eastAsia="Malgun Gothic" w:hAnsi="Book Antiqua"/>
          <w:caps/>
          <w:color w:val="000000"/>
          <w:kern w:val="24"/>
        </w:rPr>
        <w:t>s</w:t>
      </w:r>
      <w:r>
        <w:rPr>
          <w:rFonts w:ascii="Book Antiqua" w:eastAsia="Malgun Gothic" w:hAnsi="Book Antiqua"/>
          <w:color w:val="000000"/>
          <w:kern w:val="24"/>
        </w:rPr>
        <w:t>econd-look endoscopy</w:t>
      </w:r>
      <w:r w:rsidR="00AD1CB0">
        <w:rPr>
          <w:rFonts w:ascii="Book Antiqua" w:eastAsia="宋体" w:hAnsi="Book Antiqua" w:hint="eastAsia"/>
          <w:color w:val="000000"/>
          <w:kern w:val="24"/>
          <w:lang w:eastAsia="zh-CN"/>
        </w:rPr>
        <w:t>.</w:t>
      </w:r>
    </w:p>
    <w:p w:rsidR="00AD1CB0" w:rsidRDefault="00AD1CB0" w:rsidP="00A771AE">
      <w:pPr>
        <w:wordWrap/>
        <w:adjustRightInd w:val="0"/>
        <w:snapToGrid w:val="0"/>
        <w:spacing w:after="0" w:line="360" w:lineRule="auto"/>
        <w:rPr>
          <w:rFonts w:ascii="Book Antiqua" w:eastAsiaTheme="majorHAnsi" w:hAnsi="Book Antiqua" w:cs="Times New Roman"/>
          <w:sz w:val="24"/>
          <w:szCs w:val="24"/>
        </w:rPr>
      </w:pPr>
      <w:r>
        <w:rPr>
          <w:rFonts w:ascii="Book Antiqua" w:eastAsiaTheme="majorHAnsi" w:hAnsi="Book Antiqua" w:cs="Times New Roman"/>
          <w:sz w:val="24"/>
          <w:szCs w:val="24"/>
        </w:rPr>
        <w:br w:type="page"/>
      </w:r>
    </w:p>
    <w:p w:rsidR="004075DB" w:rsidRPr="0033610A" w:rsidRDefault="001867F5" w:rsidP="00A771AE">
      <w:pPr>
        <w:wordWrap/>
        <w:adjustRightInd w:val="0"/>
        <w:snapToGrid w:val="0"/>
        <w:spacing w:after="0" w:line="360" w:lineRule="auto"/>
        <w:rPr>
          <w:rFonts w:ascii="Book Antiqua" w:eastAsia="宋体" w:hAnsi="Book Antiqua" w:cs="Times New Roman"/>
          <w:b/>
          <w:sz w:val="24"/>
          <w:szCs w:val="24"/>
          <w:lang w:eastAsia="zh-CN"/>
        </w:rPr>
      </w:pPr>
      <w:r>
        <w:rPr>
          <w:rFonts w:ascii="Book Antiqua" w:hAnsi="Book Antiqua" w:cs="Times New Roman"/>
          <w:b/>
          <w:sz w:val="24"/>
          <w:szCs w:val="24"/>
        </w:rPr>
        <w:lastRenderedPageBreak/>
        <w:t>Table 1</w:t>
      </w:r>
      <w:r w:rsidR="004075DB" w:rsidRPr="008F0C1A">
        <w:rPr>
          <w:rFonts w:ascii="Book Antiqua" w:hAnsi="Book Antiqua" w:cs="Times New Roman"/>
          <w:b/>
          <w:sz w:val="24"/>
          <w:szCs w:val="24"/>
        </w:rPr>
        <w:t xml:space="preserve"> </w:t>
      </w:r>
      <w:r w:rsidR="00842FD4" w:rsidRPr="008F0C1A">
        <w:rPr>
          <w:rFonts w:ascii="Book Antiqua" w:hAnsi="Book Antiqua" w:cs="Times New Roman"/>
          <w:b/>
          <w:sz w:val="24"/>
          <w:szCs w:val="24"/>
        </w:rPr>
        <w:t>Clinical</w:t>
      </w:r>
      <w:r w:rsidR="004075DB" w:rsidRPr="008F0C1A">
        <w:rPr>
          <w:rFonts w:ascii="Book Antiqua" w:hAnsi="Book Antiqua" w:cs="Times New Roman"/>
          <w:b/>
          <w:sz w:val="24"/>
          <w:szCs w:val="24"/>
        </w:rPr>
        <w:t xml:space="preserve"> characteristics </w:t>
      </w:r>
      <w:r w:rsidR="00842FD4" w:rsidRPr="008F0C1A">
        <w:rPr>
          <w:rFonts w:ascii="Book Antiqua" w:hAnsi="Book Antiqua" w:cs="Times New Roman"/>
          <w:b/>
          <w:sz w:val="24"/>
          <w:szCs w:val="24"/>
        </w:rPr>
        <w:t xml:space="preserve">before second look endoscopy </w:t>
      </w:r>
      <w:r w:rsidR="004075DB" w:rsidRPr="008F0C1A">
        <w:rPr>
          <w:rFonts w:ascii="Book Antiqua" w:hAnsi="Book Antiqua" w:cs="Times New Roman"/>
          <w:b/>
          <w:sz w:val="24"/>
          <w:szCs w:val="24"/>
        </w:rPr>
        <w:t xml:space="preserve">according to the </w:t>
      </w:r>
      <w:proofErr w:type="spellStart"/>
      <w:r w:rsidR="00842FD4" w:rsidRPr="008F0C1A">
        <w:rPr>
          <w:rFonts w:ascii="Book Antiqua" w:hAnsi="Book Antiqua" w:cs="Times New Roman"/>
          <w:b/>
          <w:sz w:val="24"/>
          <w:szCs w:val="24"/>
        </w:rPr>
        <w:t>re</w:t>
      </w:r>
      <w:r w:rsidR="004075DB" w:rsidRPr="008F0C1A">
        <w:rPr>
          <w:rFonts w:ascii="Book Antiqua" w:hAnsi="Book Antiqua" w:cs="Times New Roman"/>
          <w:b/>
          <w:sz w:val="24"/>
          <w:szCs w:val="24"/>
        </w:rPr>
        <w:t>bleeding</w:t>
      </w:r>
      <w:proofErr w:type="spellEnd"/>
      <w:r w:rsidR="004075DB" w:rsidRPr="008F0C1A">
        <w:rPr>
          <w:rFonts w:ascii="Book Antiqua" w:hAnsi="Book Antiqua" w:cs="Times New Roman"/>
          <w:b/>
          <w:sz w:val="24"/>
          <w:szCs w:val="24"/>
        </w:rPr>
        <w:t xml:space="preserve"> risk after</w:t>
      </w:r>
      <w:r w:rsidRPr="008F0C1A">
        <w:rPr>
          <w:rFonts w:ascii="Book Antiqua" w:hAnsi="Book Antiqua" w:cs="Times New Roman"/>
          <w:b/>
          <w:sz w:val="24"/>
          <w:szCs w:val="24"/>
        </w:rPr>
        <w:t xml:space="preserve"> </w:t>
      </w:r>
      <w:r w:rsidRPr="001867F5">
        <w:rPr>
          <w:rFonts w:ascii="Book Antiqua" w:hAnsi="Book Antiqua" w:cs="Times New Roman"/>
          <w:b/>
          <w:sz w:val="24"/>
          <w:szCs w:val="24"/>
        </w:rPr>
        <w:t>endoscopic submucosal dissection</w:t>
      </w:r>
      <w:r w:rsidR="0033610A" w:rsidRPr="0033610A">
        <w:rPr>
          <w:rFonts w:ascii="Book Antiqua" w:eastAsia="宋体" w:hAnsi="Book Antiqua" w:cs="Times New Roman"/>
          <w:b/>
          <w:i/>
          <w:sz w:val="24"/>
          <w:szCs w:val="24"/>
          <w:lang w:eastAsia="zh-CN"/>
        </w:rPr>
        <w:t xml:space="preserve"> n</w:t>
      </w:r>
      <w:r w:rsidR="0033610A">
        <w:rPr>
          <w:rFonts w:ascii="Book Antiqua" w:eastAsia="宋体" w:hAnsi="Book Antiqua" w:cs="Times New Roman" w:hint="eastAsia"/>
          <w:b/>
          <w:sz w:val="24"/>
          <w:szCs w:val="24"/>
          <w:lang w:eastAsia="zh-CN"/>
        </w:rPr>
        <w:t xml:space="preserve"> (%)</w:t>
      </w:r>
    </w:p>
    <w:tbl>
      <w:tblPr>
        <w:tblStyle w:val="a6"/>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268"/>
        <w:gridCol w:w="2268"/>
        <w:gridCol w:w="1036"/>
      </w:tblGrid>
      <w:tr w:rsidR="001867F5" w:rsidRPr="008F0C1A" w:rsidTr="001867F5">
        <w:trPr>
          <w:trHeight w:val="428"/>
        </w:trPr>
        <w:tc>
          <w:tcPr>
            <w:tcW w:w="3652" w:type="dxa"/>
            <w:tcBorders>
              <w:top w:val="single" w:sz="18" w:space="0" w:color="auto"/>
              <w:bottom w:val="single" w:sz="12" w:space="0" w:color="auto"/>
            </w:tcBorders>
          </w:tcPr>
          <w:p w:rsidR="001867F5" w:rsidRPr="001867F5" w:rsidRDefault="001867F5" w:rsidP="00A771AE">
            <w:pPr>
              <w:wordWrap/>
              <w:adjustRightInd w:val="0"/>
              <w:snapToGrid w:val="0"/>
              <w:spacing w:line="360" w:lineRule="auto"/>
              <w:rPr>
                <w:rFonts w:ascii="Book Antiqua" w:hAnsi="Book Antiqua" w:cs="Times New Roman"/>
                <w:b/>
                <w:sz w:val="24"/>
                <w:szCs w:val="24"/>
              </w:rPr>
            </w:pPr>
          </w:p>
        </w:tc>
        <w:tc>
          <w:tcPr>
            <w:tcW w:w="2268" w:type="dxa"/>
            <w:tcBorders>
              <w:top w:val="single" w:sz="18" w:space="0" w:color="auto"/>
              <w:bottom w:val="single" w:sz="12" w:space="0" w:color="auto"/>
            </w:tcBorders>
          </w:tcPr>
          <w:p w:rsidR="001867F5" w:rsidRPr="001867F5" w:rsidRDefault="001867F5" w:rsidP="00A771AE">
            <w:pPr>
              <w:wordWrap/>
              <w:adjustRightInd w:val="0"/>
              <w:snapToGrid w:val="0"/>
              <w:spacing w:line="360" w:lineRule="auto"/>
              <w:rPr>
                <w:rFonts w:ascii="Book Antiqua" w:hAnsi="Book Antiqua" w:cs="Times New Roman"/>
                <w:b/>
                <w:sz w:val="24"/>
                <w:szCs w:val="24"/>
              </w:rPr>
            </w:pPr>
            <w:r w:rsidRPr="001867F5">
              <w:rPr>
                <w:rFonts w:ascii="Book Antiqua" w:hAnsi="Book Antiqua" w:cs="Times New Roman"/>
                <w:b/>
                <w:sz w:val="24"/>
                <w:szCs w:val="24"/>
              </w:rPr>
              <w:t>High risk group</w:t>
            </w:r>
            <w:r>
              <w:rPr>
                <w:rFonts w:ascii="Book Antiqua" w:hAnsi="Book Antiqua" w:cs="Times New Roman"/>
                <w:b/>
                <w:sz w:val="24"/>
                <w:szCs w:val="24"/>
              </w:rPr>
              <w:t xml:space="preserve"> (</w:t>
            </w:r>
            <w:r w:rsidRPr="001867F5">
              <w:rPr>
                <w:rFonts w:ascii="Book Antiqua" w:hAnsi="Book Antiqua" w:cs="Times New Roman"/>
                <w:b/>
                <w:i/>
                <w:sz w:val="24"/>
                <w:szCs w:val="24"/>
              </w:rPr>
              <w:t>n</w:t>
            </w:r>
            <w:r w:rsidRPr="001867F5">
              <w:rPr>
                <w:rFonts w:ascii="Book Antiqua" w:eastAsia="宋体" w:hAnsi="Book Antiqua" w:cs="Times New Roman" w:hint="eastAsia"/>
                <w:b/>
                <w:sz w:val="24"/>
                <w:szCs w:val="24"/>
                <w:lang w:eastAsia="zh-CN"/>
              </w:rPr>
              <w:t xml:space="preserve"> </w:t>
            </w:r>
            <w:r w:rsidRPr="001867F5">
              <w:rPr>
                <w:rFonts w:ascii="Book Antiqua" w:hAnsi="Book Antiqua" w:cs="Times New Roman"/>
                <w:b/>
                <w:sz w:val="24"/>
                <w:szCs w:val="24"/>
              </w:rPr>
              <w:t>=</w:t>
            </w:r>
            <w:r w:rsidRPr="001867F5">
              <w:rPr>
                <w:rFonts w:ascii="Book Antiqua" w:eastAsia="宋体" w:hAnsi="Book Antiqua" w:cs="Times New Roman" w:hint="eastAsia"/>
                <w:b/>
                <w:sz w:val="24"/>
                <w:szCs w:val="24"/>
                <w:lang w:eastAsia="zh-CN"/>
              </w:rPr>
              <w:t xml:space="preserve"> </w:t>
            </w:r>
            <w:r w:rsidRPr="001867F5">
              <w:rPr>
                <w:rFonts w:ascii="Book Antiqua" w:hAnsi="Book Antiqua" w:cs="Times New Roman"/>
                <w:b/>
                <w:sz w:val="24"/>
                <w:szCs w:val="24"/>
              </w:rPr>
              <w:t>66)</w:t>
            </w:r>
          </w:p>
        </w:tc>
        <w:tc>
          <w:tcPr>
            <w:tcW w:w="2268" w:type="dxa"/>
            <w:tcBorders>
              <w:top w:val="single" w:sz="18" w:space="0" w:color="auto"/>
              <w:bottom w:val="single" w:sz="12" w:space="0" w:color="auto"/>
            </w:tcBorders>
          </w:tcPr>
          <w:p w:rsidR="001867F5" w:rsidRPr="001867F5" w:rsidRDefault="001867F5" w:rsidP="00A771AE">
            <w:pPr>
              <w:wordWrap/>
              <w:adjustRightInd w:val="0"/>
              <w:snapToGrid w:val="0"/>
              <w:spacing w:line="360" w:lineRule="auto"/>
              <w:rPr>
                <w:rFonts w:ascii="Book Antiqua" w:hAnsi="Book Antiqua" w:cs="Times New Roman"/>
                <w:b/>
                <w:sz w:val="24"/>
                <w:szCs w:val="24"/>
              </w:rPr>
            </w:pPr>
            <w:r w:rsidRPr="001867F5">
              <w:rPr>
                <w:rFonts w:ascii="Book Antiqua" w:hAnsi="Book Antiqua" w:cs="Times New Roman"/>
                <w:b/>
                <w:sz w:val="24"/>
                <w:szCs w:val="24"/>
              </w:rPr>
              <w:t>Low risk group</w:t>
            </w:r>
            <w:r>
              <w:rPr>
                <w:rFonts w:ascii="Book Antiqua" w:hAnsi="Book Antiqua" w:cs="Times New Roman"/>
                <w:b/>
                <w:sz w:val="24"/>
                <w:szCs w:val="24"/>
              </w:rPr>
              <w:t xml:space="preserve"> (</w:t>
            </w:r>
            <w:r w:rsidRPr="001867F5">
              <w:rPr>
                <w:rFonts w:ascii="Book Antiqua" w:hAnsi="Book Antiqua" w:cs="Times New Roman"/>
                <w:b/>
                <w:i/>
                <w:sz w:val="24"/>
                <w:szCs w:val="24"/>
              </w:rPr>
              <w:t>n</w:t>
            </w:r>
            <w:r w:rsidRPr="001867F5">
              <w:rPr>
                <w:rFonts w:ascii="Book Antiqua" w:eastAsia="宋体" w:hAnsi="Book Antiqua" w:cs="Times New Roman" w:hint="eastAsia"/>
                <w:b/>
                <w:sz w:val="24"/>
                <w:szCs w:val="24"/>
                <w:lang w:eastAsia="zh-CN"/>
              </w:rPr>
              <w:t xml:space="preserve"> </w:t>
            </w:r>
            <w:r w:rsidRPr="001867F5">
              <w:rPr>
                <w:rFonts w:ascii="Book Antiqua" w:hAnsi="Book Antiqua" w:cs="Times New Roman"/>
                <w:b/>
                <w:sz w:val="24"/>
                <w:szCs w:val="24"/>
              </w:rPr>
              <w:t>=</w:t>
            </w:r>
            <w:r w:rsidRPr="001867F5">
              <w:rPr>
                <w:rFonts w:ascii="Book Antiqua" w:eastAsia="宋体" w:hAnsi="Book Antiqua" w:cs="Times New Roman" w:hint="eastAsia"/>
                <w:b/>
                <w:sz w:val="24"/>
                <w:szCs w:val="24"/>
                <w:lang w:eastAsia="zh-CN"/>
              </w:rPr>
              <w:t xml:space="preserve"> </w:t>
            </w:r>
            <w:r w:rsidRPr="001867F5">
              <w:rPr>
                <w:rFonts w:ascii="Book Antiqua" w:hAnsi="Book Antiqua" w:cs="Times New Roman"/>
                <w:b/>
                <w:sz w:val="24"/>
                <w:szCs w:val="24"/>
              </w:rPr>
              <w:t>244)</w:t>
            </w:r>
          </w:p>
        </w:tc>
        <w:tc>
          <w:tcPr>
            <w:tcW w:w="1036" w:type="dxa"/>
            <w:tcBorders>
              <w:top w:val="single" w:sz="18" w:space="0" w:color="auto"/>
              <w:bottom w:val="single" w:sz="12" w:space="0" w:color="auto"/>
            </w:tcBorders>
          </w:tcPr>
          <w:p w:rsidR="001867F5" w:rsidRPr="001867F5" w:rsidRDefault="001867F5" w:rsidP="00A771AE">
            <w:pPr>
              <w:wordWrap/>
              <w:adjustRightInd w:val="0"/>
              <w:snapToGrid w:val="0"/>
              <w:spacing w:line="360" w:lineRule="auto"/>
              <w:rPr>
                <w:rFonts w:ascii="Book Antiqua" w:hAnsi="Book Antiqua" w:cs="Times New Roman"/>
                <w:b/>
                <w:sz w:val="24"/>
                <w:szCs w:val="24"/>
              </w:rPr>
            </w:pPr>
            <w:r w:rsidRPr="001867F5">
              <w:rPr>
                <w:rFonts w:ascii="Book Antiqua" w:hAnsi="Book Antiqua" w:cs="Times New Roman"/>
                <w:b/>
                <w:i/>
                <w:caps/>
                <w:sz w:val="24"/>
                <w:szCs w:val="24"/>
              </w:rPr>
              <w:t>p</w:t>
            </w:r>
            <w:r w:rsidRPr="001867F5">
              <w:rPr>
                <w:rFonts w:ascii="Book Antiqua" w:hAnsi="Book Antiqua" w:cs="Times New Roman"/>
                <w:b/>
                <w:sz w:val="24"/>
                <w:szCs w:val="24"/>
              </w:rPr>
              <w:t>-value</w:t>
            </w:r>
          </w:p>
        </w:tc>
      </w:tr>
      <w:tr w:rsidR="001867F5" w:rsidRPr="008F0C1A" w:rsidTr="001867F5">
        <w:tc>
          <w:tcPr>
            <w:tcW w:w="3652" w:type="dxa"/>
            <w:tcBorders>
              <w:top w:val="single" w:sz="12" w:space="0" w:color="auto"/>
            </w:tcBorders>
          </w:tcPr>
          <w:p w:rsidR="001867F5" w:rsidRPr="008F0C1A" w:rsidRDefault="001867F5"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 xml:space="preserve">Forrest </w:t>
            </w:r>
            <w:proofErr w:type="spellStart"/>
            <w:r w:rsidRPr="008F0C1A">
              <w:rPr>
                <w:rFonts w:ascii="Book Antiqua" w:hAnsi="Book Antiqua" w:cs="Times New Roman"/>
                <w:sz w:val="24"/>
                <w:szCs w:val="24"/>
              </w:rPr>
              <w:t>classfication</w:t>
            </w:r>
            <w:proofErr w:type="spellEnd"/>
          </w:p>
          <w:p w:rsidR="001867F5" w:rsidRPr="008F0C1A" w:rsidRDefault="001867F5" w:rsidP="00A771AE">
            <w:pPr>
              <w:tabs>
                <w:tab w:val="left" w:pos="3408"/>
              </w:tabs>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ab/>
            </w:r>
          </w:p>
        </w:tc>
        <w:tc>
          <w:tcPr>
            <w:tcW w:w="2268" w:type="dxa"/>
            <w:tcBorders>
              <w:top w:val="single" w:sz="12" w:space="0" w:color="auto"/>
            </w:tcBorders>
          </w:tcPr>
          <w:p w:rsidR="001867F5" w:rsidRPr="008F0C1A" w:rsidRDefault="001867F5" w:rsidP="00A771AE">
            <w:pPr>
              <w:wordWrap/>
              <w:adjustRightInd w:val="0"/>
              <w:snapToGrid w:val="0"/>
              <w:spacing w:line="360" w:lineRule="auto"/>
              <w:rPr>
                <w:rFonts w:ascii="Book Antiqua" w:hAnsi="Book Antiqua" w:cs="Times New Roman"/>
                <w:sz w:val="24"/>
                <w:szCs w:val="24"/>
              </w:rPr>
            </w:pPr>
            <w:proofErr w:type="spellStart"/>
            <w:r w:rsidRPr="008F0C1A">
              <w:rPr>
                <w:rFonts w:ascii="Book Antiqua" w:hAnsi="Book Antiqua" w:cs="Times New Roman"/>
                <w:sz w:val="24"/>
                <w:szCs w:val="24"/>
              </w:rPr>
              <w:t>Ia</w:t>
            </w:r>
            <w:proofErr w:type="spellEnd"/>
            <w:r w:rsidRPr="008F0C1A">
              <w:rPr>
                <w:rFonts w:ascii="Book Antiqua" w:hAnsi="Book Antiqua" w:cs="Times New Roman"/>
                <w:sz w:val="24"/>
                <w:szCs w:val="24"/>
              </w:rPr>
              <w:t xml:space="preserve">, </w:t>
            </w:r>
            <w:proofErr w:type="spellStart"/>
            <w:r w:rsidRPr="008F0C1A">
              <w:rPr>
                <w:rFonts w:ascii="Book Antiqua" w:hAnsi="Book Antiqua" w:cs="Times New Roman"/>
                <w:sz w:val="24"/>
                <w:szCs w:val="24"/>
              </w:rPr>
              <w:t>Ib</w:t>
            </w:r>
            <w:proofErr w:type="spellEnd"/>
            <w:r w:rsidRPr="008F0C1A">
              <w:rPr>
                <w:rFonts w:ascii="Book Antiqua" w:hAnsi="Book Antiqua" w:cs="Times New Roman"/>
                <w:sz w:val="24"/>
                <w:szCs w:val="24"/>
              </w:rPr>
              <w:t xml:space="preserve">, </w:t>
            </w:r>
            <w:proofErr w:type="spellStart"/>
            <w:r w:rsidRPr="008F0C1A">
              <w:rPr>
                <w:rFonts w:ascii="Book Antiqua" w:hAnsi="Book Antiqua" w:cs="Times New Roman"/>
                <w:sz w:val="24"/>
                <w:szCs w:val="24"/>
              </w:rPr>
              <w:t>IIa</w:t>
            </w:r>
            <w:proofErr w:type="spellEnd"/>
            <w:r>
              <w:rPr>
                <w:rFonts w:ascii="Book Antiqua" w:hAnsi="Book Antiqua" w:cs="Times New Roman"/>
                <w:sz w:val="24"/>
                <w:szCs w:val="24"/>
              </w:rPr>
              <w:t xml:space="preserve"> (</w:t>
            </w:r>
            <w:r w:rsidRPr="008F0C1A">
              <w:rPr>
                <w:rFonts w:ascii="Book Antiqua" w:hAnsi="Book Antiqua" w:cs="Times New Roman"/>
                <w:sz w:val="24"/>
                <w:szCs w:val="24"/>
              </w:rPr>
              <w:t>21.2</w:t>
            </w:r>
            <w:r>
              <w:rPr>
                <w:rFonts w:ascii="Book Antiqua" w:hAnsi="Book Antiqua" w:cs="Times New Roman"/>
                <w:sz w:val="24"/>
                <w:szCs w:val="24"/>
              </w:rPr>
              <w:t>)</w:t>
            </w:r>
          </w:p>
        </w:tc>
        <w:tc>
          <w:tcPr>
            <w:tcW w:w="2268" w:type="dxa"/>
            <w:tcBorders>
              <w:top w:val="single" w:sz="12" w:space="0" w:color="auto"/>
            </w:tcBorders>
          </w:tcPr>
          <w:p w:rsidR="001867F5" w:rsidRPr="008F0C1A" w:rsidRDefault="001867F5" w:rsidP="00A771AE">
            <w:pPr>
              <w:wordWrap/>
              <w:adjustRightInd w:val="0"/>
              <w:snapToGrid w:val="0"/>
              <w:spacing w:line="360" w:lineRule="auto"/>
              <w:rPr>
                <w:rFonts w:ascii="Book Antiqua" w:hAnsi="Book Antiqua" w:cs="Times New Roman"/>
                <w:sz w:val="24"/>
                <w:szCs w:val="24"/>
              </w:rPr>
            </w:pPr>
            <w:proofErr w:type="spellStart"/>
            <w:r w:rsidRPr="008F0C1A">
              <w:rPr>
                <w:rFonts w:ascii="Book Antiqua" w:hAnsi="Book Antiqua" w:cs="Times New Roman"/>
                <w:sz w:val="24"/>
                <w:szCs w:val="24"/>
              </w:rPr>
              <w:t>IIb</w:t>
            </w:r>
            <w:proofErr w:type="spellEnd"/>
            <w:r w:rsidRPr="008F0C1A">
              <w:rPr>
                <w:rFonts w:ascii="Book Antiqua" w:hAnsi="Book Antiqua" w:cs="Times New Roman"/>
                <w:sz w:val="24"/>
                <w:szCs w:val="24"/>
              </w:rPr>
              <w:t xml:space="preserve">, </w:t>
            </w:r>
            <w:proofErr w:type="spellStart"/>
            <w:r w:rsidRPr="008F0C1A">
              <w:rPr>
                <w:rFonts w:ascii="Book Antiqua" w:hAnsi="Book Antiqua" w:cs="Times New Roman"/>
                <w:sz w:val="24"/>
                <w:szCs w:val="24"/>
              </w:rPr>
              <w:t>IIc</w:t>
            </w:r>
            <w:proofErr w:type="spellEnd"/>
            <w:r w:rsidRPr="008F0C1A">
              <w:rPr>
                <w:rFonts w:ascii="Book Antiqua" w:hAnsi="Book Antiqua" w:cs="Times New Roman"/>
                <w:sz w:val="24"/>
                <w:szCs w:val="24"/>
              </w:rPr>
              <w:t>, III</w:t>
            </w:r>
            <w:r>
              <w:rPr>
                <w:rFonts w:ascii="Book Antiqua" w:hAnsi="Book Antiqua" w:cs="Times New Roman"/>
                <w:sz w:val="24"/>
                <w:szCs w:val="24"/>
              </w:rPr>
              <w:t xml:space="preserve"> (</w:t>
            </w:r>
            <w:r w:rsidRPr="008F0C1A">
              <w:rPr>
                <w:rFonts w:ascii="Book Antiqua" w:hAnsi="Book Antiqua" w:cs="Times New Roman"/>
                <w:sz w:val="24"/>
                <w:szCs w:val="24"/>
              </w:rPr>
              <w:t>78.8</w:t>
            </w:r>
            <w:r>
              <w:rPr>
                <w:rFonts w:ascii="Book Antiqua" w:hAnsi="Book Antiqua" w:cs="Times New Roman"/>
                <w:sz w:val="24"/>
                <w:szCs w:val="24"/>
              </w:rPr>
              <w:t>)</w:t>
            </w:r>
          </w:p>
        </w:tc>
        <w:tc>
          <w:tcPr>
            <w:tcW w:w="1036" w:type="dxa"/>
            <w:tcBorders>
              <w:top w:val="single" w:sz="12" w:space="0" w:color="auto"/>
            </w:tcBorders>
          </w:tcPr>
          <w:p w:rsidR="001867F5" w:rsidRPr="008F0C1A" w:rsidRDefault="001867F5" w:rsidP="00A771AE">
            <w:pPr>
              <w:wordWrap/>
              <w:adjustRightInd w:val="0"/>
              <w:snapToGrid w:val="0"/>
              <w:spacing w:line="360" w:lineRule="auto"/>
              <w:rPr>
                <w:rFonts w:ascii="Book Antiqua" w:hAnsi="Book Antiqua" w:cs="Times New Roman"/>
                <w:sz w:val="24"/>
                <w:szCs w:val="24"/>
              </w:rPr>
            </w:pPr>
          </w:p>
        </w:tc>
      </w:tr>
      <w:tr w:rsidR="001867F5" w:rsidRPr="008F0C1A" w:rsidTr="001867F5">
        <w:tc>
          <w:tcPr>
            <w:tcW w:w="3652"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p>
        </w:tc>
        <w:tc>
          <w:tcPr>
            <w:tcW w:w="2268" w:type="dxa"/>
          </w:tcPr>
          <w:p w:rsidR="001867F5" w:rsidRPr="008F0C1A" w:rsidRDefault="001867F5" w:rsidP="00A771AE">
            <w:pPr>
              <w:wordWrap/>
              <w:adjustRightInd w:val="0"/>
              <w:snapToGrid w:val="0"/>
              <w:spacing w:line="360" w:lineRule="auto"/>
              <w:rPr>
                <w:rFonts w:ascii="Book Antiqua" w:hAnsi="Book Antiqua" w:cs="Times New Roman"/>
                <w:color w:val="000000" w:themeColor="text1"/>
                <w:sz w:val="24"/>
                <w:szCs w:val="24"/>
              </w:rPr>
            </w:pPr>
            <w:proofErr w:type="spellStart"/>
            <w:r w:rsidRPr="008F0C1A">
              <w:rPr>
                <w:rFonts w:ascii="Book Antiqua" w:hAnsi="Book Antiqua" w:cs="Times New Roman"/>
                <w:color w:val="000000" w:themeColor="text1"/>
                <w:sz w:val="24"/>
                <w:szCs w:val="24"/>
              </w:rPr>
              <w:t>Ia</w:t>
            </w:r>
            <w:proofErr w:type="spellEnd"/>
            <w:r>
              <w:rPr>
                <w:rFonts w:ascii="Book Antiqua" w:hAnsi="Book Antiqua" w:cs="Times New Roman"/>
                <w:color w:val="000000" w:themeColor="text1"/>
                <w:sz w:val="24"/>
                <w:szCs w:val="24"/>
              </w:rPr>
              <w:t xml:space="preserve"> (</w:t>
            </w:r>
            <w:r w:rsidRPr="00244D43">
              <w:rPr>
                <w:rFonts w:ascii="Book Antiqua" w:hAnsi="Book Antiqua" w:cs="Times New Roman"/>
                <w:i/>
                <w:color w:val="000000" w:themeColor="text1"/>
                <w:sz w:val="24"/>
                <w:szCs w:val="24"/>
              </w:rPr>
              <w:t xml:space="preserve">n = </w:t>
            </w:r>
            <w:r w:rsidRPr="008F0C1A">
              <w:rPr>
                <w:rFonts w:ascii="Book Antiqua" w:hAnsi="Book Antiqua" w:cs="Times New Roman"/>
                <w:color w:val="000000" w:themeColor="text1"/>
                <w:sz w:val="24"/>
                <w:szCs w:val="24"/>
              </w:rPr>
              <w:t>0)</w:t>
            </w:r>
          </w:p>
        </w:tc>
        <w:tc>
          <w:tcPr>
            <w:tcW w:w="2268" w:type="dxa"/>
          </w:tcPr>
          <w:p w:rsidR="001867F5" w:rsidRPr="008F0C1A" w:rsidRDefault="001867F5" w:rsidP="00A771AE">
            <w:pPr>
              <w:wordWrap/>
              <w:adjustRightInd w:val="0"/>
              <w:snapToGrid w:val="0"/>
              <w:spacing w:line="360" w:lineRule="auto"/>
              <w:rPr>
                <w:rFonts w:ascii="Book Antiqua" w:hAnsi="Book Antiqua" w:cs="Times New Roman"/>
                <w:color w:val="000000" w:themeColor="text1"/>
                <w:sz w:val="24"/>
                <w:szCs w:val="24"/>
              </w:rPr>
            </w:pPr>
            <w:proofErr w:type="spellStart"/>
            <w:r w:rsidRPr="008F0C1A">
              <w:rPr>
                <w:rFonts w:ascii="Book Antiqua" w:hAnsi="Book Antiqua" w:cs="Times New Roman"/>
                <w:color w:val="000000" w:themeColor="text1"/>
                <w:sz w:val="24"/>
                <w:szCs w:val="24"/>
              </w:rPr>
              <w:t>IIb</w:t>
            </w:r>
            <w:proofErr w:type="spellEnd"/>
            <w:r>
              <w:rPr>
                <w:rFonts w:ascii="Book Antiqua" w:hAnsi="Book Antiqua" w:cs="Times New Roman"/>
                <w:color w:val="000000" w:themeColor="text1"/>
                <w:sz w:val="24"/>
                <w:szCs w:val="24"/>
              </w:rPr>
              <w:t xml:space="preserve"> (</w:t>
            </w:r>
            <w:r w:rsidRPr="00244D43">
              <w:rPr>
                <w:rFonts w:ascii="Book Antiqua" w:hAnsi="Book Antiqua" w:cs="Times New Roman"/>
                <w:i/>
                <w:color w:val="000000" w:themeColor="text1"/>
                <w:sz w:val="24"/>
                <w:szCs w:val="24"/>
              </w:rPr>
              <w:t xml:space="preserve">n = </w:t>
            </w:r>
            <w:r w:rsidRPr="008F0C1A">
              <w:rPr>
                <w:rFonts w:ascii="Book Antiqua" w:hAnsi="Book Antiqua" w:cs="Times New Roman"/>
                <w:color w:val="000000" w:themeColor="text1"/>
                <w:sz w:val="24"/>
                <w:szCs w:val="24"/>
              </w:rPr>
              <w:t>55)</w:t>
            </w:r>
          </w:p>
        </w:tc>
        <w:tc>
          <w:tcPr>
            <w:tcW w:w="1036"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p>
        </w:tc>
      </w:tr>
      <w:tr w:rsidR="001867F5" w:rsidRPr="008F0C1A" w:rsidTr="001867F5">
        <w:tc>
          <w:tcPr>
            <w:tcW w:w="3652"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p>
        </w:tc>
        <w:tc>
          <w:tcPr>
            <w:tcW w:w="2268" w:type="dxa"/>
          </w:tcPr>
          <w:p w:rsidR="001867F5" w:rsidRPr="008F0C1A" w:rsidRDefault="001867F5" w:rsidP="00A771AE">
            <w:pPr>
              <w:wordWrap/>
              <w:adjustRightInd w:val="0"/>
              <w:snapToGrid w:val="0"/>
              <w:spacing w:line="360" w:lineRule="auto"/>
              <w:rPr>
                <w:rFonts w:ascii="Book Antiqua" w:hAnsi="Book Antiqua" w:cs="Times New Roman"/>
                <w:color w:val="000000" w:themeColor="text1"/>
                <w:sz w:val="24"/>
                <w:szCs w:val="24"/>
              </w:rPr>
            </w:pPr>
            <w:proofErr w:type="spellStart"/>
            <w:r w:rsidRPr="008F0C1A">
              <w:rPr>
                <w:rFonts w:ascii="Book Antiqua" w:hAnsi="Book Antiqua" w:cs="Times New Roman"/>
                <w:color w:val="000000" w:themeColor="text1"/>
                <w:sz w:val="24"/>
                <w:szCs w:val="24"/>
              </w:rPr>
              <w:t>Ib</w:t>
            </w:r>
            <w:proofErr w:type="spellEnd"/>
            <w:r>
              <w:rPr>
                <w:rFonts w:ascii="Book Antiqua" w:hAnsi="Book Antiqua" w:cs="Times New Roman"/>
                <w:color w:val="000000" w:themeColor="text1"/>
                <w:sz w:val="24"/>
                <w:szCs w:val="24"/>
              </w:rPr>
              <w:t xml:space="preserve"> (</w:t>
            </w:r>
            <w:r w:rsidRPr="00244D43">
              <w:rPr>
                <w:rFonts w:ascii="Book Antiqua" w:hAnsi="Book Antiqua" w:cs="Times New Roman"/>
                <w:i/>
                <w:color w:val="000000" w:themeColor="text1"/>
                <w:sz w:val="24"/>
                <w:szCs w:val="24"/>
              </w:rPr>
              <w:t xml:space="preserve">n = </w:t>
            </w:r>
            <w:r w:rsidRPr="008F0C1A">
              <w:rPr>
                <w:rFonts w:ascii="Book Antiqua" w:hAnsi="Book Antiqua" w:cs="Times New Roman"/>
                <w:color w:val="000000" w:themeColor="text1"/>
                <w:sz w:val="24"/>
                <w:szCs w:val="24"/>
              </w:rPr>
              <w:t>48)</w:t>
            </w:r>
          </w:p>
        </w:tc>
        <w:tc>
          <w:tcPr>
            <w:tcW w:w="2268" w:type="dxa"/>
          </w:tcPr>
          <w:p w:rsidR="001867F5" w:rsidRPr="008F0C1A" w:rsidRDefault="001867F5" w:rsidP="00A771AE">
            <w:pPr>
              <w:wordWrap/>
              <w:adjustRightInd w:val="0"/>
              <w:snapToGrid w:val="0"/>
              <w:spacing w:line="360" w:lineRule="auto"/>
              <w:rPr>
                <w:rFonts w:ascii="Book Antiqua" w:hAnsi="Book Antiqua" w:cs="Times New Roman"/>
                <w:color w:val="000000" w:themeColor="text1"/>
                <w:sz w:val="24"/>
                <w:szCs w:val="24"/>
              </w:rPr>
            </w:pPr>
            <w:proofErr w:type="spellStart"/>
            <w:r w:rsidRPr="008F0C1A">
              <w:rPr>
                <w:rFonts w:ascii="Book Antiqua" w:hAnsi="Book Antiqua" w:cs="Times New Roman"/>
                <w:color w:val="000000" w:themeColor="text1"/>
                <w:sz w:val="24"/>
                <w:szCs w:val="24"/>
              </w:rPr>
              <w:t>IIc</w:t>
            </w:r>
            <w:proofErr w:type="spellEnd"/>
            <w:r>
              <w:rPr>
                <w:rFonts w:ascii="Book Antiqua" w:hAnsi="Book Antiqua" w:cs="Times New Roman"/>
                <w:color w:val="000000" w:themeColor="text1"/>
                <w:sz w:val="24"/>
                <w:szCs w:val="24"/>
              </w:rPr>
              <w:t xml:space="preserve"> (</w:t>
            </w:r>
            <w:r w:rsidRPr="00244D43">
              <w:rPr>
                <w:rFonts w:ascii="Book Antiqua" w:hAnsi="Book Antiqua" w:cs="Times New Roman"/>
                <w:i/>
                <w:color w:val="000000" w:themeColor="text1"/>
                <w:sz w:val="24"/>
                <w:szCs w:val="24"/>
              </w:rPr>
              <w:t xml:space="preserve">n = </w:t>
            </w:r>
            <w:r w:rsidRPr="008F0C1A">
              <w:rPr>
                <w:rFonts w:ascii="Book Antiqua" w:hAnsi="Book Antiqua" w:cs="Times New Roman"/>
                <w:color w:val="000000" w:themeColor="text1"/>
                <w:sz w:val="24"/>
                <w:szCs w:val="24"/>
              </w:rPr>
              <w:t>14)</w:t>
            </w:r>
          </w:p>
        </w:tc>
        <w:tc>
          <w:tcPr>
            <w:tcW w:w="1036"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p>
        </w:tc>
      </w:tr>
      <w:tr w:rsidR="001867F5" w:rsidRPr="008F0C1A" w:rsidTr="001867F5">
        <w:tc>
          <w:tcPr>
            <w:tcW w:w="3652"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p>
        </w:tc>
        <w:tc>
          <w:tcPr>
            <w:tcW w:w="2268" w:type="dxa"/>
          </w:tcPr>
          <w:p w:rsidR="001867F5" w:rsidRPr="008F0C1A" w:rsidRDefault="001867F5" w:rsidP="00A771AE">
            <w:pPr>
              <w:wordWrap/>
              <w:adjustRightInd w:val="0"/>
              <w:snapToGrid w:val="0"/>
              <w:spacing w:line="360" w:lineRule="auto"/>
              <w:rPr>
                <w:rFonts w:ascii="Book Antiqua" w:hAnsi="Book Antiqua" w:cs="Times New Roman"/>
                <w:color w:val="000000" w:themeColor="text1"/>
                <w:sz w:val="24"/>
                <w:szCs w:val="24"/>
              </w:rPr>
            </w:pPr>
            <w:proofErr w:type="spellStart"/>
            <w:r w:rsidRPr="008F0C1A">
              <w:rPr>
                <w:rFonts w:ascii="Book Antiqua" w:hAnsi="Book Antiqua" w:cs="Times New Roman"/>
                <w:color w:val="000000" w:themeColor="text1"/>
                <w:sz w:val="24"/>
                <w:szCs w:val="24"/>
              </w:rPr>
              <w:t>IIa</w:t>
            </w:r>
            <w:proofErr w:type="spellEnd"/>
            <w:r>
              <w:rPr>
                <w:rFonts w:ascii="Book Antiqua" w:hAnsi="Book Antiqua" w:cs="Times New Roman"/>
                <w:color w:val="000000" w:themeColor="text1"/>
                <w:sz w:val="24"/>
                <w:szCs w:val="24"/>
              </w:rPr>
              <w:t xml:space="preserve"> (</w:t>
            </w:r>
            <w:r w:rsidRPr="00244D43">
              <w:rPr>
                <w:rFonts w:ascii="Book Antiqua" w:hAnsi="Book Antiqua" w:cs="Times New Roman"/>
                <w:i/>
                <w:color w:val="000000" w:themeColor="text1"/>
                <w:sz w:val="24"/>
                <w:szCs w:val="24"/>
              </w:rPr>
              <w:t xml:space="preserve">n = </w:t>
            </w:r>
            <w:r w:rsidRPr="008F0C1A">
              <w:rPr>
                <w:rFonts w:ascii="Book Antiqua" w:hAnsi="Book Antiqua" w:cs="Times New Roman"/>
                <w:color w:val="000000" w:themeColor="text1"/>
                <w:sz w:val="24"/>
                <w:szCs w:val="24"/>
              </w:rPr>
              <w:t>18)</w:t>
            </w:r>
          </w:p>
        </w:tc>
        <w:tc>
          <w:tcPr>
            <w:tcW w:w="2268" w:type="dxa"/>
          </w:tcPr>
          <w:p w:rsidR="001867F5" w:rsidRPr="008F0C1A" w:rsidRDefault="001867F5" w:rsidP="00A771AE">
            <w:pPr>
              <w:wordWrap/>
              <w:adjustRightInd w:val="0"/>
              <w:snapToGrid w:val="0"/>
              <w:spacing w:line="360" w:lineRule="auto"/>
              <w:rPr>
                <w:rFonts w:ascii="Book Antiqua" w:hAnsi="Book Antiqua" w:cs="Times New Roman"/>
                <w:color w:val="000000" w:themeColor="text1"/>
                <w:sz w:val="24"/>
                <w:szCs w:val="24"/>
              </w:rPr>
            </w:pPr>
            <w:r w:rsidRPr="008F0C1A">
              <w:rPr>
                <w:rFonts w:ascii="Book Antiqua" w:hAnsi="Book Antiqua" w:cs="Times New Roman"/>
                <w:color w:val="000000" w:themeColor="text1"/>
                <w:sz w:val="24"/>
                <w:szCs w:val="24"/>
              </w:rPr>
              <w:t>III</w:t>
            </w:r>
            <w:r>
              <w:rPr>
                <w:rFonts w:ascii="Book Antiqua" w:hAnsi="Book Antiqua" w:cs="Times New Roman"/>
                <w:color w:val="000000" w:themeColor="text1"/>
                <w:sz w:val="24"/>
                <w:szCs w:val="24"/>
              </w:rPr>
              <w:t xml:space="preserve"> (</w:t>
            </w:r>
            <w:r w:rsidRPr="00244D43">
              <w:rPr>
                <w:rFonts w:ascii="Book Antiqua" w:hAnsi="Book Antiqua" w:cs="Times New Roman"/>
                <w:i/>
                <w:color w:val="000000" w:themeColor="text1"/>
                <w:sz w:val="24"/>
                <w:szCs w:val="24"/>
              </w:rPr>
              <w:t xml:space="preserve">n = </w:t>
            </w:r>
            <w:r w:rsidRPr="008F0C1A">
              <w:rPr>
                <w:rFonts w:ascii="Book Antiqua" w:hAnsi="Book Antiqua" w:cs="Times New Roman"/>
                <w:color w:val="000000" w:themeColor="text1"/>
                <w:sz w:val="24"/>
                <w:szCs w:val="24"/>
              </w:rPr>
              <w:t>175)</w:t>
            </w:r>
          </w:p>
        </w:tc>
        <w:tc>
          <w:tcPr>
            <w:tcW w:w="1036"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p>
        </w:tc>
      </w:tr>
      <w:tr w:rsidR="001867F5" w:rsidRPr="008F0C1A" w:rsidTr="001867F5">
        <w:tc>
          <w:tcPr>
            <w:tcW w:w="3652"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Age, mean</w:t>
            </w:r>
            <w:r>
              <w:rPr>
                <w:rFonts w:ascii="Book Antiqua" w:hAnsi="Book Antiqua" w:cs="Times New Roman"/>
                <w:sz w:val="24"/>
                <w:szCs w:val="24"/>
              </w:rPr>
              <w:t xml:space="preserve"> </w:t>
            </w:r>
            <w:r>
              <w:rPr>
                <w:rFonts w:ascii="Book Antiqua" w:hAnsi="Book Antiqua" w:cs="Times New Roman"/>
                <w:bCs/>
                <w:sz w:val="24"/>
                <w:szCs w:val="24"/>
              </w:rPr>
              <w:t>(</w:t>
            </w:r>
            <w:r w:rsidRPr="008F0C1A">
              <w:rPr>
                <w:rFonts w:ascii="Book Antiqua" w:hAnsi="Book Antiqua" w:cs="Times New Roman"/>
                <w:bCs/>
                <w:sz w:val="24"/>
                <w:szCs w:val="24"/>
              </w:rPr>
              <w:t>mean</w:t>
            </w:r>
            <w:r>
              <w:rPr>
                <w:rFonts w:ascii="Book Antiqua" w:hAnsi="Book Antiqua" w:cs="Times New Roman"/>
                <w:bCs/>
                <w:sz w:val="24"/>
                <w:szCs w:val="24"/>
              </w:rPr>
              <w:t xml:space="preserve"> </w:t>
            </w:r>
            <w:r>
              <w:rPr>
                <w:rFonts w:ascii="Book Antiqua" w:hAnsi="Book Antiqua" w:cs="Times New Roman"/>
                <w:sz w:val="24"/>
                <w:szCs w:val="24"/>
              </w:rPr>
              <w:t xml:space="preserve">± </w:t>
            </w:r>
            <w:r w:rsidRPr="008F0C1A">
              <w:rPr>
                <w:rFonts w:ascii="Book Antiqua" w:hAnsi="Book Antiqua" w:cs="Times New Roman"/>
                <w:sz w:val="24"/>
                <w:szCs w:val="24"/>
              </w:rPr>
              <w:t xml:space="preserve">SD, </w:t>
            </w:r>
            <w:proofErr w:type="spellStart"/>
            <w:r>
              <w:rPr>
                <w:rFonts w:ascii="Book Antiqua" w:hAnsi="Book Antiqua" w:cs="Times New Roman"/>
                <w:bCs/>
                <w:sz w:val="24"/>
                <w:szCs w:val="24"/>
              </w:rPr>
              <w:t>yr</w:t>
            </w:r>
            <w:proofErr w:type="spellEnd"/>
            <w:r w:rsidRPr="008F0C1A">
              <w:rPr>
                <w:rFonts w:ascii="Book Antiqua" w:hAnsi="Book Antiqua" w:cs="Times New Roman"/>
                <w:bCs/>
                <w:sz w:val="24"/>
                <w:szCs w:val="24"/>
              </w:rPr>
              <w:t>)</w:t>
            </w:r>
          </w:p>
        </w:tc>
        <w:tc>
          <w:tcPr>
            <w:tcW w:w="2268"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65.2</w:t>
            </w:r>
            <w:r>
              <w:rPr>
                <w:rFonts w:ascii="Book Antiqua" w:hAnsi="Book Antiqua" w:cs="Times New Roman"/>
                <w:sz w:val="24"/>
                <w:szCs w:val="24"/>
              </w:rPr>
              <w:t xml:space="preserve"> ± </w:t>
            </w:r>
            <w:r w:rsidRPr="008F0C1A">
              <w:rPr>
                <w:rFonts w:ascii="Book Antiqua" w:hAnsi="Book Antiqua" w:cs="Times New Roman"/>
                <w:sz w:val="24"/>
                <w:szCs w:val="24"/>
              </w:rPr>
              <w:t>8.6</w:t>
            </w:r>
          </w:p>
        </w:tc>
        <w:tc>
          <w:tcPr>
            <w:tcW w:w="2268"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64.7</w:t>
            </w:r>
            <w:r>
              <w:rPr>
                <w:rFonts w:ascii="Book Antiqua" w:hAnsi="Book Antiqua" w:cs="Times New Roman"/>
                <w:sz w:val="24"/>
                <w:szCs w:val="24"/>
              </w:rPr>
              <w:t xml:space="preserve"> ± </w:t>
            </w:r>
            <w:r w:rsidRPr="008F0C1A">
              <w:rPr>
                <w:rFonts w:ascii="Book Antiqua" w:hAnsi="Book Antiqua" w:cs="Times New Roman"/>
                <w:sz w:val="24"/>
                <w:szCs w:val="24"/>
              </w:rPr>
              <w:t>9.4</w:t>
            </w:r>
          </w:p>
        </w:tc>
        <w:tc>
          <w:tcPr>
            <w:tcW w:w="1036"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0.70</w:t>
            </w:r>
          </w:p>
        </w:tc>
      </w:tr>
      <w:tr w:rsidR="001867F5" w:rsidRPr="008F0C1A" w:rsidTr="001867F5">
        <w:tc>
          <w:tcPr>
            <w:tcW w:w="3652"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 xml:space="preserve">Sex, male/female </w:t>
            </w:r>
          </w:p>
        </w:tc>
        <w:tc>
          <w:tcPr>
            <w:tcW w:w="2268"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43/23</w:t>
            </w:r>
          </w:p>
        </w:tc>
        <w:tc>
          <w:tcPr>
            <w:tcW w:w="2268"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150/94</w:t>
            </w:r>
          </w:p>
        </w:tc>
        <w:tc>
          <w:tcPr>
            <w:tcW w:w="1036"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0.58</w:t>
            </w:r>
          </w:p>
        </w:tc>
      </w:tr>
      <w:tr w:rsidR="001867F5" w:rsidRPr="008F0C1A" w:rsidTr="001867F5">
        <w:tc>
          <w:tcPr>
            <w:tcW w:w="3652"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Comorbidities</w:t>
            </w:r>
            <w:r>
              <w:rPr>
                <w:rFonts w:ascii="Book Antiqua" w:eastAsia="宋体" w:hAnsi="Book Antiqua" w:cs="Times New Roman" w:hint="eastAsia"/>
                <w:sz w:val="24"/>
                <w:szCs w:val="24"/>
                <w:lang w:eastAsia="zh-CN"/>
              </w:rPr>
              <w:t xml:space="preserve"> </w:t>
            </w:r>
            <w:r>
              <w:rPr>
                <w:rFonts w:ascii="Book Antiqua" w:hAnsi="Book Antiqua" w:cs="Times New Roman"/>
                <w:sz w:val="24"/>
                <w:szCs w:val="24"/>
              </w:rPr>
              <w:t>(</w:t>
            </w:r>
            <w:proofErr w:type="spellStart"/>
            <w:r w:rsidRPr="008F0C1A">
              <w:rPr>
                <w:rFonts w:ascii="Book Antiqua" w:hAnsi="Book Antiqua" w:cs="Times New Roman"/>
                <w:sz w:val="24"/>
                <w:szCs w:val="24"/>
              </w:rPr>
              <w:t>Charlson</w:t>
            </w:r>
            <w:proofErr w:type="spellEnd"/>
            <w:r w:rsidRPr="008F0C1A">
              <w:rPr>
                <w:rFonts w:ascii="Book Antiqua" w:hAnsi="Book Antiqua" w:cs="Times New Roman"/>
                <w:sz w:val="24"/>
                <w:szCs w:val="24"/>
              </w:rPr>
              <w:t xml:space="preserve"> scale)</w:t>
            </w:r>
          </w:p>
        </w:tc>
        <w:tc>
          <w:tcPr>
            <w:tcW w:w="2268"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p>
        </w:tc>
        <w:tc>
          <w:tcPr>
            <w:tcW w:w="2268"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p>
        </w:tc>
        <w:tc>
          <w:tcPr>
            <w:tcW w:w="1036"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0.96</w:t>
            </w:r>
          </w:p>
        </w:tc>
      </w:tr>
      <w:tr w:rsidR="001867F5" w:rsidRPr="008F0C1A" w:rsidTr="001867F5">
        <w:trPr>
          <w:trHeight w:val="250"/>
        </w:trPr>
        <w:tc>
          <w:tcPr>
            <w:tcW w:w="3652" w:type="dxa"/>
          </w:tcPr>
          <w:p w:rsidR="001867F5" w:rsidRPr="008F0C1A" w:rsidRDefault="001867F5" w:rsidP="00A771AE">
            <w:pPr>
              <w:wordWrap/>
              <w:adjustRightInd w:val="0"/>
              <w:snapToGrid w:val="0"/>
              <w:spacing w:line="360" w:lineRule="auto"/>
              <w:ind w:firstLineChars="200" w:firstLine="480"/>
              <w:rPr>
                <w:rFonts w:ascii="Book Antiqua" w:hAnsi="Book Antiqua" w:cs="Times New Roman"/>
                <w:sz w:val="24"/>
                <w:szCs w:val="24"/>
              </w:rPr>
            </w:pPr>
            <w:r w:rsidRPr="008F0C1A">
              <w:rPr>
                <w:rFonts w:ascii="Book Antiqua" w:hAnsi="Book Antiqua" w:cs="Times New Roman"/>
                <w:sz w:val="24"/>
                <w:szCs w:val="24"/>
              </w:rPr>
              <w:t>0</w:t>
            </w:r>
          </w:p>
        </w:tc>
        <w:tc>
          <w:tcPr>
            <w:tcW w:w="2268"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49</w:t>
            </w:r>
            <w:r>
              <w:rPr>
                <w:rFonts w:ascii="Book Antiqua" w:hAnsi="Book Antiqua" w:cs="Times New Roman"/>
                <w:sz w:val="24"/>
                <w:szCs w:val="24"/>
              </w:rPr>
              <w:t xml:space="preserve"> (</w:t>
            </w:r>
            <w:r w:rsidRPr="008F0C1A">
              <w:rPr>
                <w:rFonts w:ascii="Book Antiqua" w:hAnsi="Book Antiqua" w:cs="Times New Roman"/>
                <w:sz w:val="24"/>
                <w:szCs w:val="24"/>
              </w:rPr>
              <w:t>74.2</w:t>
            </w:r>
            <w:r>
              <w:rPr>
                <w:rFonts w:ascii="Book Antiqua" w:hAnsi="Book Antiqua" w:cs="Times New Roman"/>
                <w:sz w:val="24"/>
                <w:szCs w:val="24"/>
              </w:rPr>
              <w:t>)</w:t>
            </w:r>
          </w:p>
        </w:tc>
        <w:tc>
          <w:tcPr>
            <w:tcW w:w="2268"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178</w:t>
            </w:r>
            <w:r>
              <w:rPr>
                <w:rFonts w:ascii="Book Antiqua" w:hAnsi="Book Antiqua" w:cs="Times New Roman"/>
                <w:sz w:val="24"/>
                <w:szCs w:val="24"/>
              </w:rPr>
              <w:t xml:space="preserve"> (</w:t>
            </w:r>
            <w:r w:rsidRPr="008F0C1A">
              <w:rPr>
                <w:rFonts w:ascii="Book Antiqua" w:hAnsi="Book Antiqua" w:cs="Times New Roman"/>
                <w:sz w:val="24"/>
                <w:szCs w:val="24"/>
              </w:rPr>
              <w:t>73.0</w:t>
            </w:r>
            <w:r>
              <w:rPr>
                <w:rFonts w:ascii="Book Antiqua" w:hAnsi="Book Antiqua" w:cs="Times New Roman"/>
                <w:sz w:val="24"/>
                <w:szCs w:val="24"/>
              </w:rPr>
              <w:t>)</w:t>
            </w:r>
          </w:p>
        </w:tc>
        <w:tc>
          <w:tcPr>
            <w:tcW w:w="1036"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p>
        </w:tc>
      </w:tr>
      <w:tr w:rsidR="001867F5" w:rsidRPr="008F0C1A" w:rsidTr="001867F5">
        <w:trPr>
          <w:trHeight w:val="250"/>
        </w:trPr>
        <w:tc>
          <w:tcPr>
            <w:tcW w:w="3652" w:type="dxa"/>
          </w:tcPr>
          <w:p w:rsidR="001867F5" w:rsidRPr="008F0C1A" w:rsidRDefault="001867F5" w:rsidP="00A771AE">
            <w:pPr>
              <w:wordWrap/>
              <w:adjustRightInd w:val="0"/>
              <w:snapToGrid w:val="0"/>
              <w:spacing w:line="360" w:lineRule="auto"/>
              <w:ind w:firstLineChars="200" w:firstLine="480"/>
              <w:rPr>
                <w:rFonts w:ascii="Book Antiqua" w:hAnsi="Book Antiqua" w:cs="Times New Roman"/>
                <w:sz w:val="24"/>
                <w:szCs w:val="24"/>
              </w:rPr>
            </w:pPr>
            <w:r w:rsidRPr="008F0C1A">
              <w:rPr>
                <w:rFonts w:ascii="Book Antiqua" w:hAnsi="Book Antiqua" w:cs="Times New Roman"/>
                <w:sz w:val="24"/>
                <w:szCs w:val="24"/>
              </w:rPr>
              <w:t>1</w:t>
            </w:r>
          </w:p>
        </w:tc>
        <w:tc>
          <w:tcPr>
            <w:tcW w:w="2268"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13</w:t>
            </w:r>
            <w:r>
              <w:rPr>
                <w:rFonts w:ascii="Book Antiqua" w:hAnsi="Book Antiqua" w:cs="Times New Roman"/>
                <w:sz w:val="24"/>
                <w:szCs w:val="24"/>
              </w:rPr>
              <w:t xml:space="preserve"> (</w:t>
            </w:r>
            <w:r w:rsidRPr="008F0C1A">
              <w:rPr>
                <w:rFonts w:ascii="Book Antiqua" w:hAnsi="Book Antiqua" w:cs="Times New Roman"/>
                <w:sz w:val="24"/>
                <w:szCs w:val="24"/>
              </w:rPr>
              <w:t>19.7</w:t>
            </w:r>
            <w:r>
              <w:rPr>
                <w:rFonts w:ascii="Book Antiqua" w:hAnsi="Book Antiqua" w:cs="Times New Roman"/>
                <w:sz w:val="24"/>
                <w:szCs w:val="24"/>
              </w:rPr>
              <w:t>)</w:t>
            </w:r>
          </w:p>
        </w:tc>
        <w:tc>
          <w:tcPr>
            <w:tcW w:w="2268"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52</w:t>
            </w:r>
            <w:r>
              <w:rPr>
                <w:rFonts w:ascii="Book Antiqua" w:hAnsi="Book Antiqua" w:cs="Times New Roman"/>
                <w:sz w:val="24"/>
                <w:szCs w:val="24"/>
              </w:rPr>
              <w:t xml:space="preserve"> (</w:t>
            </w:r>
            <w:r w:rsidRPr="008F0C1A">
              <w:rPr>
                <w:rFonts w:ascii="Book Antiqua" w:hAnsi="Book Antiqua" w:cs="Times New Roman"/>
                <w:sz w:val="24"/>
                <w:szCs w:val="24"/>
              </w:rPr>
              <w:t>21.3</w:t>
            </w:r>
            <w:r>
              <w:rPr>
                <w:rFonts w:ascii="Book Antiqua" w:hAnsi="Book Antiqua" w:cs="Times New Roman"/>
                <w:sz w:val="24"/>
                <w:szCs w:val="24"/>
              </w:rPr>
              <w:t>)</w:t>
            </w:r>
          </w:p>
        </w:tc>
        <w:tc>
          <w:tcPr>
            <w:tcW w:w="1036"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p>
        </w:tc>
      </w:tr>
      <w:tr w:rsidR="001867F5" w:rsidRPr="008F0C1A" w:rsidTr="001867F5">
        <w:trPr>
          <w:trHeight w:val="250"/>
        </w:trPr>
        <w:tc>
          <w:tcPr>
            <w:tcW w:w="3652" w:type="dxa"/>
          </w:tcPr>
          <w:p w:rsidR="001867F5" w:rsidRPr="008F0C1A" w:rsidRDefault="001867F5" w:rsidP="00A771AE">
            <w:pPr>
              <w:wordWrap/>
              <w:adjustRightInd w:val="0"/>
              <w:snapToGrid w:val="0"/>
              <w:spacing w:line="360" w:lineRule="auto"/>
              <w:ind w:firstLineChars="200" w:firstLine="480"/>
              <w:rPr>
                <w:rFonts w:ascii="Book Antiqua" w:hAnsi="Book Antiqua" w:cs="Times New Roman"/>
                <w:sz w:val="24"/>
                <w:szCs w:val="24"/>
              </w:rPr>
            </w:pPr>
            <w:r w:rsidRPr="008F0C1A">
              <w:rPr>
                <w:rFonts w:ascii="Book Antiqua" w:hAnsi="Book Antiqua" w:cs="Times New Roman"/>
                <w:sz w:val="24"/>
                <w:szCs w:val="24"/>
              </w:rPr>
              <w:t>2</w:t>
            </w:r>
          </w:p>
        </w:tc>
        <w:tc>
          <w:tcPr>
            <w:tcW w:w="2268"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3</w:t>
            </w:r>
            <w:r>
              <w:rPr>
                <w:rFonts w:ascii="Book Antiqua" w:hAnsi="Book Antiqua" w:cs="Times New Roman"/>
                <w:sz w:val="24"/>
                <w:szCs w:val="24"/>
              </w:rPr>
              <w:t xml:space="preserve"> (</w:t>
            </w:r>
            <w:r w:rsidRPr="008F0C1A">
              <w:rPr>
                <w:rFonts w:ascii="Book Antiqua" w:hAnsi="Book Antiqua" w:cs="Times New Roman"/>
                <w:sz w:val="24"/>
                <w:szCs w:val="24"/>
              </w:rPr>
              <w:t>4.5</w:t>
            </w:r>
            <w:r>
              <w:rPr>
                <w:rFonts w:ascii="Book Antiqua" w:hAnsi="Book Antiqua" w:cs="Times New Roman"/>
                <w:sz w:val="24"/>
                <w:szCs w:val="24"/>
              </w:rPr>
              <w:t>)</w:t>
            </w:r>
          </w:p>
        </w:tc>
        <w:tc>
          <w:tcPr>
            <w:tcW w:w="2268"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9</w:t>
            </w:r>
            <w:r>
              <w:rPr>
                <w:rFonts w:ascii="Book Antiqua" w:hAnsi="Book Antiqua" w:cs="Times New Roman"/>
                <w:sz w:val="24"/>
                <w:szCs w:val="24"/>
              </w:rPr>
              <w:t xml:space="preserve"> (</w:t>
            </w:r>
            <w:r w:rsidRPr="008F0C1A">
              <w:rPr>
                <w:rFonts w:ascii="Book Antiqua" w:hAnsi="Book Antiqua" w:cs="Times New Roman"/>
                <w:sz w:val="24"/>
                <w:szCs w:val="24"/>
              </w:rPr>
              <w:t>3.7</w:t>
            </w:r>
            <w:r>
              <w:rPr>
                <w:rFonts w:ascii="Book Antiqua" w:hAnsi="Book Antiqua" w:cs="Times New Roman"/>
                <w:sz w:val="24"/>
                <w:szCs w:val="24"/>
              </w:rPr>
              <w:t>)</w:t>
            </w:r>
          </w:p>
        </w:tc>
        <w:tc>
          <w:tcPr>
            <w:tcW w:w="1036"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p>
        </w:tc>
      </w:tr>
      <w:tr w:rsidR="001867F5" w:rsidRPr="008F0C1A" w:rsidTr="001867F5">
        <w:trPr>
          <w:trHeight w:val="250"/>
        </w:trPr>
        <w:tc>
          <w:tcPr>
            <w:tcW w:w="3652" w:type="dxa"/>
          </w:tcPr>
          <w:p w:rsidR="001867F5" w:rsidRPr="008F0C1A" w:rsidRDefault="001867F5" w:rsidP="00A771AE">
            <w:pPr>
              <w:wordWrap/>
              <w:adjustRightInd w:val="0"/>
              <w:snapToGrid w:val="0"/>
              <w:spacing w:line="360" w:lineRule="auto"/>
              <w:ind w:firstLineChars="200" w:firstLine="480"/>
              <w:rPr>
                <w:rFonts w:ascii="Book Antiqua" w:hAnsi="Book Antiqua" w:cs="Times New Roman"/>
                <w:sz w:val="24"/>
                <w:szCs w:val="24"/>
              </w:rPr>
            </w:pPr>
            <w:r w:rsidRPr="008F0C1A">
              <w:rPr>
                <w:rFonts w:ascii="Book Antiqua" w:hAnsi="Book Antiqua" w:cs="Times New Roman"/>
                <w:sz w:val="24"/>
                <w:szCs w:val="24"/>
              </w:rPr>
              <w:t>3</w:t>
            </w:r>
          </w:p>
        </w:tc>
        <w:tc>
          <w:tcPr>
            <w:tcW w:w="2268"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1</w:t>
            </w:r>
            <w:r>
              <w:rPr>
                <w:rFonts w:ascii="Book Antiqua" w:hAnsi="Book Antiqua" w:cs="Times New Roman"/>
                <w:sz w:val="24"/>
                <w:szCs w:val="24"/>
              </w:rPr>
              <w:t xml:space="preserve"> (</w:t>
            </w:r>
            <w:r w:rsidRPr="008F0C1A">
              <w:rPr>
                <w:rFonts w:ascii="Book Antiqua" w:hAnsi="Book Antiqua" w:cs="Times New Roman"/>
                <w:sz w:val="24"/>
                <w:szCs w:val="24"/>
              </w:rPr>
              <w:t>1.5</w:t>
            </w:r>
            <w:r>
              <w:rPr>
                <w:rFonts w:ascii="Book Antiqua" w:hAnsi="Book Antiqua" w:cs="Times New Roman"/>
                <w:sz w:val="24"/>
                <w:szCs w:val="24"/>
              </w:rPr>
              <w:t>)</w:t>
            </w:r>
          </w:p>
        </w:tc>
        <w:tc>
          <w:tcPr>
            <w:tcW w:w="2268"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3</w:t>
            </w:r>
            <w:r>
              <w:rPr>
                <w:rFonts w:ascii="Book Antiqua" w:hAnsi="Book Antiqua" w:cs="Times New Roman"/>
                <w:sz w:val="24"/>
                <w:szCs w:val="24"/>
              </w:rPr>
              <w:t xml:space="preserve"> (</w:t>
            </w:r>
            <w:r w:rsidRPr="008F0C1A">
              <w:rPr>
                <w:rFonts w:ascii="Book Antiqua" w:hAnsi="Book Antiqua" w:cs="Times New Roman"/>
                <w:sz w:val="24"/>
                <w:szCs w:val="24"/>
              </w:rPr>
              <w:t>1.2</w:t>
            </w:r>
            <w:r>
              <w:rPr>
                <w:rFonts w:ascii="Book Antiqua" w:hAnsi="Book Antiqua" w:cs="Times New Roman"/>
                <w:sz w:val="24"/>
                <w:szCs w:val="24"/>
              </w:rPr>
              <w:t>)</w:t>
            </w:r>
          </w:p>
        </w:tc>
        <w:tc>
          <w:tcPr>
            <w:tcW w:w="1036"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p>
        </w:tc>
      </w:tr>
      <w:tr w:rsidR="001867F5" w:rsidRPr="008F0C1A" w:rsidTr="001867F5">
        <w:trPr>
          <w:trHeight w:val="250"/>
        </w:trPr>
        <w:tc>
          <w:tcPr>
            <w:tcW w:w="3652" w:type="dxa"/>
          </w:tcPr>
          <w:p w:rsidR="001867F5" w:rsidRPr="008F0C1A" w:rsidRDefault="001867F5" w:rsidP="00A771AE">
            <w:pPr>
              <w:wordWrap/>
              <w:adjustRightInd w:val="0"/>
              <w:snapToGrid w:val="0"/>
              <w:spacing w:line="360" w:lineRule="auto"/>
              <w:ind w:firstLineChars="200" w:firstLine="480"/>
              <w:rPr>
                <w:rFonts w:ascii="Book Antiqua" w:hAnsi="Book Antiqua" w:cs="Times New Roman"/>
                <w:sz w:val="24"/>
                <w:szCs w:val="24"/>
              </w:rPr>
            </w:pPr>
            <w:r w:rsidRPr="008F0C1A">
              <w:rPr>
                <w:rFonts w:ascii="Book Antiqua" w:hAnsi="Book Antiqua" w:cs="Times New Roman"/>
                <w:sz w:val="24"/>
                <w:szCs w:val="24"/>
              </w:rPr>
              <w:t>4</w:t>
            </w:r>
          </w:p>
        </w:tc>
        <w:tc>
          <w:tcPr>
            <w:tcW w:w="2268"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0</w:t>
            </w:r>
            <w:r>
              <w:rPr>
                <w:rFonts w:ascii="Book Antiqua" w:hAnsi="Book Antiqua" w:cs="Times New Roman"/>
                <w:sz w:val="24"/>
                <w:szCs w:val="24"/>
              </w:rPr>
              <w:t xml:space="preserve"> (</w:t>
            </w:r>
            <w:r w:rsidRPr="008F0C1A">
              <w:rPr>
                <w:rFonts w:ascii="Book Antiqua" w:hAnsi="Book Antiqua" w:cs="Times New Roman"/>
                <w:sz w:val="24"/>
                <w:szCs w:val="24"/>
              </w:rPr>
              <w:t>0</w:t>
            </w:r>
            <w:r>
              <w:rPr>
                <w:rFonts w:ascii="Book Antiqua" w:hAnsi="Book Antiqua" w:cs="Times New Roman"/>
                <w:sz w:val="24"/>
                <w:szCs w:val="24"/>
              </w:rPr>
              <w:t>)</w:t>
            </w:r>
          </w:p>
        </w:tc>
        <w:tc>
          <w:tcPr>
            <w:tcW w:w="2268"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2</w:t>
            </w:r>
            <w:r>
              <w:rPr>
                <w:rFonts w:ascii="Book Antiqua" w:hAnsi="Book Antiqua" w:cs="Times New Roman"/>
                <w:sz w:val="24"/>
                <w:szCs w:val="24"/>
              </w:rPr>
              <w:t xml:space="preserve"> (</w:t>
            </w:r>
            <w:r w:rsidRPr="008F0C1A">
              <w:rPr>
                <w:rFonts w:ascii="Book Antiqua" w:hAnsi="Book Antiqua" w:cs="Times New Roman"/>
                <w:sz w:val="24"/>
                <w:szCs w:val="24"/>
              </w:rPr>
              <w:t>0.8</w:t>
            </w:r>
            <w:r>
              <w:rPr>
                <w:rFonts w:ascii="Book Antiqua" w:hAnsi="Book Antiqua" w:cs="Times New Roman"/>
                <w:sz w:val="24"/>
                <w:szCs w:val="24"/>
              </w:rPr>
              <w:t>)</w:t>
            </w:r>
          </w:p>
        </w:tc>
        <w:tc>
          <w:tcPr>
            <w:tcW w:w="1036"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p>
        </w:tc>
      </w:tr>
      <w:tr w:rsidR="001867F5" w:rsidRPr="008F0C1A" w:rsidTr="001867F5">
        <w:trPr>
          <w:trHeight w:val="250"/>
        </w:trPr>
        <w:tc>
          <w:tcPr>
            <w:tcW w:w="3652"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Use of antiplatelet or anticoagulant agents or steroid or nonsteroidal anti-inflammatory drugs</w:t>
            </w:r>
          </w:p>
        </w:tc>
        <w:tc>
          <w:tcPr>
            <w:tcW w:w="2268"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p>
        </w:tc>
        <w:tc>
          <w:tcPr>
            <w:tcW w:w="2268"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p>
        </w:tc>
        <w:tc>
          <w:tcPr>
            <w:tcW w:w="1036" w:type="dxa"/>
          </w:tcPr>
          <w:p w:rsidR="001867F5" w:rsidRPr="008F0C1A" w:rsidRDefault="001867F5" w:rsidP="00A771AE">
            <w:pPr>
              <w:wordWrap/>
              <w:adjustRightInd w:val="0"/>
              <w:snapToGrid w:val="0"/>
              <w:spacing w:line="360" w:lineRule="auto"/>
              <w:rPr>
                <w:rFonts w:ascii="Book Antiqua" w:hAnsi="Book Antiqua" w:cs="Times New Roman"/>
                <w:color w:val="000000" w:themeColor="text1"/>
                <w:sz w:val="24"/>
                <w:szCs w:val="24"/>
              </w:rPr>
            </w:pPr>
            <w:r w:rsidRPr="008F0C1A">
              <w:rPr>
                <w:rFonts w:ascii="Book Antiqua" w:hAnsi="Book Antiqua" w:cs="Times New Roman"/>
                <w:color w:val="000000" w:themeColor="text1"/>
                <w:sz w:val="24"/>
                <w:szCs w:val="24"/>
              </w:rPr>
              <w:t>0.03</w:t>
            </w:r>
          </w:p>
        </w:tc>
      </w:tr>
      <w:tr w:rsidR="001867F5" w:rsidRPr="008F0C1A" w:rsidTr="001867F5">
        <w:tc>
          <w:tcPr>
            <w:tcW w:w="3652" w:type="dxa"/>
          </w:tcPr>
          <w:p w:rsidR="001867F5" w:rsidRPr="008F0C1A" w:rsidRDefault="001867F5" w:rsidP="00A771AE">
            <w:pPr>
              <w:wordWrap/>
              <w:adjustRightInd w:val="0"/>
              <w:snapToGrid w:val="0"/>
              <w:spacing w:line="360" w:lineRule="auto"/>
              <w:ind w:firstLineChars="200" w:firstLine="480"/>
              <w:rPr>
                <w:rFonts w:ascii="Book Antiqua" w:hAnsi="Book Antiqua" w:cs="Times New Roman"/>
                <w:sz w:val="24"/>
                <w:szCs w:val="24"/>
              </w:rPr>
            </w:pPr>
            <w:r w:rsidRPr="008F0C1A">
              <w:rPr>
                <w:rFonts w:ascii="Book Antiqua" w:hAnsi="Book Antiqua" w:cs="Times New Roman"/>
                <w:sz w:val="24"/>
                <w:szCs w:val="24"/>
              </w:rPr>
              <w:t>Yes</w:t>
            </w:r>
          </w:p>
        </w:tc>
        <w:tc>
          <w:tcPr>
            <w:tcW w:w="2268"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10</w:t>
            </w:r>
            <w:r>
              <w:rPr>
                <w:rFonts w:ascii="Book Antiqua" w:hAnsi="Book Antiqua" w:cs="Times New Roman"/>
                <w:sz w:val="24"/>
                <w:szCs w:val="24"/>
              </w:rPr>
              <w:t xml:space="preserve"> (</w:t>
            </w:r>
            <w:r w:rsidRPr="008F0C1A">
              <w:rPr>
                <w:rFonts w:ascii="Book Antiqua" w:hAnsi="Book Antiqua" w:cs="Times New Roman"/>
                <w:sz w:val="24"/>
                <w:szCs w:val="24"/>
              </w:rPr>
              <w:t>15.2</w:t>
            </w:r>
            <w:r>
              <w:rPr>
                <w:rFonts w:ascii="Book Antiqua" w:hAnsi="Book Antiqua" w:cs="Times New Roman"/>
                <w:sz w:val="24"/>
                <w:szCs w:val="24"/>
              </w:rPr>
              <w:t>)</w:t>
            </w:r>
          </w:p>
        </w:tc>
        <w:tc>
          <w:tcPr>
            <w:tcW w:w="2268"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17</w:t>
            </w:r>
            <w:r>
              <w:rPr>
                <w:rFonts w:ascii="Book Antiqua" w:hAnsi="Book Antiqua" w:cs="Times New Roman"/>
                <w:sz w:val="24"/>
                <w:szCs w:val="24"/>
              </w:rPr>
              <w:t xml:space="preserve"> (</w:t>
            </w:r>
            <w:r w:rsidRPr="008F0C1A">
              <w:rPr>
                <w:rFonts w:ascii="Book Antiqua" w:hAnsi="Book Antiqua" w:cs="Times New Roman"/>
                <w:sz w:val="24"/>
                <w:szCs w:val="24"/>
              </w:rPr>
              <w:t>7.0</w:t>
            </w:r>
            <w:r>
              <w:rPr>
                <w:rFonts w:ascii="Book Antiqua" w:hAnsi="Book Antiqua" w:cs="Times New Roman"/>
                <w:sz w:val="24"/>
                <w:szCs w:val="24"/>
              </w:rPr>
              <w:t>)</w:t>
            </w:r>
          </w:p>
        </w:tc>
        <w:tc>
          <w:tcPr>
            <w:tcW w:w="1036"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p>
        </w:tc>
      </w:tr>
      <w:tr w:rsidR="001867F5" w:rsidRPr="008F0C1A" w:rsidTr="001867F5">
        <w:tc>
          <w:tcPr>
            <w:tcW w:w="3652" w:type="dxa"/>
          </w:tcPr>
          <w:p w:rsidR="001867F5" w:rsidRPr="008F0C1A" w:rsidRDefault="001867F5" w:rsidP="00A771AE">
            <w:pPr>
              <w:wordWrap/>
              <w:adjustRightInd w:val="0"/>
              <w:snapToGrid w:val="0"/>
              <w:spacing w:line="360" w:lineRule="auto"/>
              <w:ind w:firstLineChars="200" w:firstLine="480"/>
              <w:rPr>
                <w:rFonts w:ascii="Book Antiqua" w:hAnsi="Book Antiqua" w:cs="Times New Roman"/>
                <w:sz w:val="24"/>
                <w:szCs w:val="24"/>
              </w:rPr>
            </w:pPr>
            <w:r w:rsidRPr="008F0C1A">
              <w:rPr>
                <w:rFonts w:ascii="Book Antiqua" w:hAnsi="Book Antiqua" w:cs="Times New Roman"/>
                <w:sz w:val="24"/>
                <w:szCs w:val="24"/>
              </w:rPr>
              <w:t>None or unknown</w:t>
            </w:r>
          </w:p>
        </w:tc>
        <w:tc>
          <w:tcPr>
            <w:tcW w:w="2268"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56</w:t>
            </w:r>
            <w:r>
              <w:rPr>
                <w:rFonts w:ascii="Book Antiqua" w:hAnsi="Book Antiqua" w:cs="Times New Roman"/>
                <w:sz w:val="24"/>
                <w:szCs w:val="24"/>
              </w:rPr>
              <w:t xml:space="preserve"> (</w:t>
            </w:r>
            <w:r w:rsidRPr="008F0C1A">
              <w:rPr>
                <w:rFonts w:ascii="Book Antiqua" w:hAnsi="Book Antiqua" w:cs="Times New Roman"/>
                <w:sz w:val="24"/>
                <w:szCs w:val="24"/>
              </w:rPr>
              <w:t>84.8</w:t>
            </w:r>
            <w:r>
              <w:rPr>
                <w:rFonts w:ascii="Book Antiqua" w:hAnsi="Book Antiqua" w:cs="Times New Roman"/>
                <w:sz w:val="24"/>
                <w:szCs w:val="24"/>
              </w:rPr>
              <w:t>)</w:t>
            </w:r>
          </w:p>
        </w:tc>
        <w:tc>
          <w:tcPr>
            <w:tcW w:w="2268"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227</w:t>
            </w:r>
            <w:r>
              <w:rPr>
                <w:rFonts w:ascii="Book Antiqua" w:hAnsi="Book Antiqua" w:cs="Times New Roman"/>
                <w:sz w:val="24"/>
                <w:szCs w:val="24"/>
              </w:rPr>
              <w:t xml:space="preserve"> (</w:t>
            </w:r>
            <w:r w:rsidRPr="008F0C1A">
              <w:rPr>
                <w:rFonts w:ascii="Book Antiqua" w:hAnsi="Book Antiqua" w:cs="Times New Roman"/>
                <w:sz w:val="24"/>
                <w:szCs w:val="24"/>
              </w:rPr>
              <w:t>93.0</w:t>
            </w:r>
            <w:r>
              <w:rPr>
                <w:rFonts w:ascii="Book Antiqua" w:hAnsi="Book Antiqua" w:cs="Times New Roman"/>
                <w:sz w:val="24"/>
                <w:szCs w:val="24"/>
              </w:rPr>
              <w:t>)</w:t>
            </w:r>
          </w:p>
        </w:tc>
        <w:tc>
          <w:tcPr>
            <w:tcW w:w="1036" w:type="dxa"/>
          </w:tcPr>
          <w:p w:rsidR="001867F5" w:rsidRPr="008F0C1A" w:rsidRDefault="001867F5" w:rsidP="00A771AE">
            <w:pPr>
              <w:wordWrap/>
              <w:adjustRightInd w:val="0"/>
              <w:snapToGrid w:val="0"/>
              <w:spacing w:line="360" w:lineRule="auto"/>
              <w:rPr>
                <w:rFonts w:ascii="Book Antiqua" w:hAnsi="Book Antiqua" w:cs="Times New Roman"/>
                <w:sz w:val="24"/>
                <w:szCs w:val="24"/>
              </w:rPr>
            </w:pPr>
          </w:p>
        </w:tc>
      </w:tr>
    </w:tbl>
    <w:p w:rsidR="004075DB" w:rsidRPr="008F0C1A" w:rsidRDefault="004075DB" w:rsidP="00A771AE">
      <w:pPr>
        <w:wordWrap/>
        <w:adjustRightInd w:val="0"/>
        <w:snapToGrid w:val="0"/>
        <w:spacing w:after="0" w:line="360" w:lineRule="auto"/>
        <w:rPr>
          <w:rFonts w:ascii="Book Antiqua" w:hAnsi="Book Antiqua" w:cs="Times New Roman"/>
          <w:sz w:val="24"/>
          <w:szCs w:val="24"/>
        </w:rPr>
      </w:pPr>
    </w:p>
    <w:p w:rsidR="004075DB" w:rsidRPr="008F0C1A" w:rsidRDefault="004075DB" w:rsidP="00A771AE">
      <w:pPr>
        <w:widowControl/>
        <w:wordWrap/>
        <w:autoSpaceDE/>
        <w:autoSpaceDN/>
        <w:adjustRightInd w:val="0"/>
        <w:snapToGrid w:val="0"/>
        <w:spacing w:after="0" w:line="360" w:lineRule="auto"/>
        <w:rPr>
          <w:rFonts w:ascii="Book Antiqua" w:hAnsi="Book Antiqua" w:cs="Times New Roman"/>
          <w:b/>
          <w:sz w:val="24"/>
          <w:szCs w:val="24"/>
        </w:rPr>
      </w:pPr>
      <w:r w:rsidRPr="008F0C1A">
        <w:rPr>
          <w:rFonts w:ascii="Book Antiqua" w:hAnsi="Book Antiqua" w:cs="Times New Roman"/>
          <w:b/>
          <w:sz w:val="24"/>
          <w:szCs w:val="24"/>
        </w:rPr>
        <w:br w:type="page"/>
      </w:r>
    </w:p>
    <w:p w:rsidR="004075DB" w:rsidRPr="0033610A" w:rsidRDefault="001867F5" w:rsidP="00A771AE">
      <w:pPr>
        <w:wordWrap/>
        <w:adjustRightInd w:val="0"/>
        <w:snapToGrid w:val="0"/>
        <w:spacing w:after="0" w:line="360" w:lineRule="auto"/>
        <w:rPr>
          <w:rFonts w:ascii="Book Antiqua" w:eastAsia="宋体" w:hAnsi="Book Antiqua" w:cs="Times New Roman"/>
          <w:b/>
          <w:sz w:val="24"/>
          <w:szCs w:val="24"/>
          <w:lang w:eastAsia="zh-CN"/>
        </w:rPr>
      </w:pPr>
      <w:r>
        <w:rPr>
          <w:rFonts w:ascii="Book Antiqua" w:hAnsi="Book Antiqua" w:cs="Times New Roman"/>
          <w:b/>
          <w:sz w:val="24"/>
          <w:szCs w:val="24"/>
        </w:rPr>
        <w:lastRenderedPageBreak/>
        <w:t>Table 2</w:t>
      </w:r>
      <w:r w:rsidR="004075DB" w:rsidRPr="008F0C1A">
        <w:rPr>
          <w:rFonts w:ascii="Book Antiqua" w:hAnsi="Book Antiqua" w:cs="Times New Roman"/>
          <w:b/>
          <w:sz w:val="24"/>
          <w:szCs w:val="24"/>
        </w:rPr>
        <w:t xml:space="preserve"> Outcome</w:t>
      </w:r>
      <w:r w:rsidRPr="008F0C1A">
        <w:rPr>
          <w:rFonts w:ascii="Book Antiqua" w:hAnsi="Book Antiqua" w:cs="Times New Roman"/>
          <w:b/>
          <w:sz w:val="24"/>
          <w:szCs w:val="24"/>
        </w:rPr>
        <w:t>s of endoscopic submucosal diss</w:t>
      </w:r>
      <w:r w:rsidR="004075DB" w:rsidRPr="008F0C1A">
        <w:rPr>
          <w:rFonts w:ascii="Book Antiqua" w:hAnsi="Book Antiqua" w:cs="Times New Roman"/>
          <w:b/>
          <w:sz w:val="24"/>
          <w:szCs w:val="24"/>
        </w:rPr>
        <w:t>ection</w:t>
      </w:r>
      <w:r w:rsidR="0033610A">
        <w:rPr>
          <w:rFonts w:ascii="Book Antiqua" w:eastAsia="宋体" w:hAnsi="Book Antiqua" w:cs="Times New Roman" w:hint="eastAsia"/>
          <w:b/>
          <w:sz w:val="24"/>
          <w:szCs w:val="24"/>
          <w:lang w:eastAsia="zh-CN"/>
        </w:rPr>
        <w:t xml:space="preserve"> </w:t>
      </w:r>
      <w:r w:rsidR="0033610A" w:rsidRPr="0033610A">
        <w:rPr>
          <w:rFonts w:ascii="Book Antiqua" w:eastAsia="宋体" w:hAnsi="Book Antiqua" w:cs="Times New Roman"/>
          <w:b/>
          <w:i/>
          <w:sz w:val="24"/>
          <w:szCs w:val="24"/>
          <w:lang w:eastAsia="zh-CN"/>
        </w:rPr>
        <w:t>n</w:t>
      </w:r>
      <w:r w:rsidR="0033610A">
        <w:rPr>
          <w:rFonts w:ascii="Book Antiqua" w:eastAsia="宋体" w:hAnsi="Book Antiqua" w:cs="Times New Roman" w:hint="eastAsia"/>
          <w:b/>
          <w:sz w:val="24"/>
          <w:szCs w:val="24"/>
          <w:lang w:eastAsia="zh-CN"/>
        </w:rPr>
        <w:t xml:space="preserve"> (%)</w:t>
      </w:r>
    </w:p>
    <w:tbl>
      <w:tblPr>
        <w:tblStyle w:val="a6"/>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339"/>
        <w:gridCol w:w="2339"/>
        <w:gridCol w:w="1036"/>
      </w:tblGrid>
      <w:tr w:rsidR="00940980" w:rsidRPr="008F0C1A" w:rsidTr="00F70E60">
        <w:trPr>
          <w:trHeight w:val="428"/>
        </w:trPr>
        <w:tc>
          <w:tcPr>
            <w:tcW w:w="3510" w:type="dxa"/>
            <w:tcBorders>
              <w:top w:val="single" w:sz="18" w:space="0" w:color="auto"/>
              <w:bottom w:val="single" w:sz="12" w:space="0" w:color="auto"/>
            </w:tcBorders>
          </w:tcPr>
          <w:p w:rsidR="00940980" w:rsidRPr="00244D43" w:rsidRDefault="00940980" w:rsidP="00A771AE">
            <w:pPr>
              <w:wordWrap/>
              <w:adjustRightInd w:val="0"/>
              <w:snapToGrid w:val="0"/>
              <w:spacing w:line="360" w:lineRule="auto"/>
              <w:rPr>
                <w:rFonts w:ascii="Book Antiqua" w:hAnsi="Book Antiqua" w:cs="Times New Roman"/>
                <w:b/>
                <w:sz w:val="24"/>
                <w:szCs w:val="24"/>
              </w:rPr>
            </w:pPr>
          </w:p>
        </w:tc>
        <w:tc>
          <w:tcPr>
            <w:tcW w:w="2339" w:type="dxa"/>
            <w:tcBorders>
              <w:top w:val="single" w:sz="18" w:space="0" w:color="auto"/>
              <w:bottom w:val="single" w:sz="12" w:space="0" w:color="auto"/>
            </w:tcBorders>
          </w:tcPr>
          <w:p w:rsidR="00940980" w:rsidRPr="00244D43" w:rsidRDefault="00940980" w:rsidP="00A771AE">
            <w:pPr>
              <w:wordWrap/>
              <w:adjustRightInd w:val="0"/>
              <w:snapToGrid w:val="0"/>
              <w:spacing w:line="360" w:lineRule="auto"/>
              <w:rPr>
                <w:rFonts w:ascii="Book Antiqua" w:hAnsi="Book Antiqua" w:cs="Times New Roman"/>
                <w:b/>
                <w:sz w:val="24"/>
                <w:szCs w:val="24"/>
              </w:rPr>
            </w:pPr>
            <w:r w:rsidRPr="00244D43">
              <w:rPr>
                <w:rFonts w:ascii="Book Antiqua" w:hAnsi="Book Antiqua" w:cs="Times New Roman"/>
                <w:b/>
                <w:sz w:val="24"/>
                <w:szCs w:val="24"/>
              </w:rPr>
              <w:t>High risk group</w:t>
            </w:r>
            <w:r>
              <w:rPr>
                <w:rFonts w:ascii="Book Antiqua" w:hAnsi="Book Antiqua" w:cs="Times New Roman"/>
                <w:b/>
                <w:sz w:val="24"/>
                <w:szCs w:val="24"/>
              </w:rPr>
              <w:t xml:space="preserve"> (</w:t>
            </w:r>
            <w:r w:rsidRPr="00244D43">
              <w:rPr>
                <w:rFonts w:ascii="Book Antiqua" w:hAnsi="Book Antiqua" w:cs="Times New Roman"/>
                <w:b/>
                <w:i/>
                <w:sz w:val="24"/>
                <w:szCs w:val="24"/>
              </w:rPr>
              <w:t xml:space="preserve">n = </w:t>
            </w:r>
            <w:r w:rsidRPr="00244D43">
              <w:rPr>
                <w:rFonts w:ascii="Book Antiqua" w:hAnsi="Book Antiqua" w:cs="Times New Roman"/>
                <w:b/>
                <w:sz w:val="24"/>
                <w:szCs w:val="24"/>
              </w:rPr>
              <w:t>66)</w:t>
            </w:r>
          </w:p>
        </w:tc>
        <w:tc>
          <w:tcPr>
            <w:tcW w:w="2339" w:type="dxa"/>
            <w:tcBorders>
              <w:top w:val="single" w:sz="18" w:space="0" w:color="auto"/>
              <w:bottom w:val="single" w:sz="12" w:space="0" w:color="auto"/>
            </w:tcBorders>
          </w:tcPr>
          <w:p w:rsidR="00940980" w:rsidRPr="00244D43" w:rsidRDefault="00940980" w:rsidP="00A771AE">
            <w:pPr>
              <w:wordWrap/>
              <w:adjustRightInd w:val="0"/>
              <w:snapToGrid w:val="0"/>
              <w:spacing w:line="360" w:lineRule="auto"/>
              <w:rPr>
                <w:rFonts w:ascii="Book Antiqua" w:hAnsi="Book Antiqua" w:cs="Times New Roman"/>
                <w:b/>
                <w:sz w:val="24"/>
                <w:szCs w:val="24"/>
              </w:rPr>
            </w:pPr>
            <w:r w:rsidRPr="00244D43">
              <w:rPr>
                <w:rFonts w:ascii="Book Antiqua" w:hAnsi="Book Antiqua" w:cs="Times New Roman"/>
                <w:b/>
                <w:sz w:val="24"/>
                <w:szCs w:val="24"/>
              </w:rPr>
              <w:t>Low risk group</w:t>
            </w:r>
            <w:r>
              <w:rPr>
                <w:rFonts w:ascii="Book Antiqua" w:hAnsi="Book Antiqua" w:cs="Times New Roman"/>
                <w:b/>
                <w:sz w:val="24"/>
                <w:szCs w:val="24"/>
              </w:rPr>
              <w:t xml:space="preserve"> (</w:t>
            </w:r>
            <w:r w:rsidRPr="00244D43">
              <w:rPr>
                <w:rFonts w:ascii="Book Antiqua" w:hAnsi="Book Antiqua" w:cs="Times New Roman"/>
                <w:b/>
                <w:i/>
                <w:sz w:val="24"/>
                <w:szCs w:val="24"/>
              </w:rPr>
              <w:t xml:space="preserve">n = </w:t>
            </w:r>
            <w:r w:rsidRPr="00244D43">
              <w:rPr>
                <w:rFonts w:ascii="Book Antiqua" w:hAnsi="Book Antiqua" w:cs="Times New Roman"/>
                <w:b/>
                <w:sz w:val="24"/>
                <w:szCs w:val="24"/>
              </w:rPr>
              <w:t>244)</w:t>
            </w:r>
          </w:p>
        </w:tc>
        <w:tc>
          <w:tcPr>
            <w:tcW w:w="1036" w:type="dxa"/>
            <w:tcBorders>
              <w:top w:val="single" w:sz="18" w:space="0" w:color="auto"/>
              <w:bottom w:val="single" w:sz="12" w:space="0" w:color="auto"/>
            </w:tcBorders>
          </w:tcPr>
          <w:p w:rsidR="00940980" w:rsidRPr="00244D43" w:rsidRDefault="00940980" w:rsidP="00A771AE">
            <w:pPr>
              <w:wordWrap/>
              <w:adjustRightInd w:val="0"/>
              <w:snapToGrid w:val="0"/>
              <w:spacing w:line="360" w:lineRule="auto"/>
              <w:rPr>
                <w:rFonts w:ascii="Book Antiqua" w:hAnsi="Book Antiqua" w:cs="Times New Roman"/>
                <w:b/>
                <w:sz w:val="24"/>
                <w:szCs w:val="24"/>
              </w:rPr>
            </w:pPr>
            <w:r w:rsidRPr="00244D43">
              <w:rPr>
                <w:rFonts w:ascii="Book Antiqua" w:hAnsi="Book Antiqua" w:cs="Times New Roman"/>
                <w:b/>
                <w:i/>
                <w:caps/>
                <w:sz w:val="24"/>
                <w:szCs w:val="24"/>
              </w:rPr>
              <w:t>p</w:t>
            </w:r>
            <w:r w:rsidRPr="00244D43">
              <w:rPr>
                <w:rFonts w:ascii="Book Antiqua" w:hAnsi="Book Antiqua" w:cs="Times New Roman"/>
                <w:b/>
                <w:sz w:val="24"/>
                <w:szCs w:val="24"/>
              </w:rPr>
              <w:t>-value</w:t>
            </w:r>
          </w:p>
        </w:tc>
      </w:tr>
      <w:tr w:rsidR="00940980" w:rsidRPr="008F0C1A" w:rsidTr="00F70E60">
        <w:tc>
          <w:tcPr>
            <w:tcW w:w="3510" w:type="dxa"/>
            <w:tcBorders>
              <w:top w:val="single" w:sz="12" w:space="0" w:color="auto"/>
            </w:tcBorders>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br w:type="page"/>
            </w:r>
            <w:proofErr w:type="spellStart"/>
            <w:r w:rsidRPr="008F0C1A">
              <w:rPr>
                <w:rFonts w:ascii="Book Antiqua" w:hAnsi="Book Antiqua" w:cs="Times New Roman"/>
                <w:sz w:val="24"/>
                <w:szCs w:val="24"/>
              </w:rPr>
              <w:t>Prodecure</w:t>
            </w:r>
            <w:proofErr w:type="spellEnd"/>
            <w:r w:rsidRPr="008F0C1A">
              <w:rPr>
                <w:rFonts w:ascii="Book Antiqua" w:hAnsi="Book Antiqua" w:cs="Times New Roman"/>
                <w:sz w:val="24"/>
                <w:szCs w:val="24"/>
              </w:rPr>
              <w:t xml:space="preserve"> time</w:t>
            </w:r>
            <w:r>
              <w:rPr>
                <w:rFonts w:ascii="Book Antiqua" w:hAnsi="Book Antiqua" w:cs="Times New Roman"/>
                <w:sz w:val="24"/>
                <w:szCs w:val="24"/>
              </w:rPr>
              <w:t xml:space="preserve"> (</w:t>
            </w:r>
            <w:r w:rsidRPr="008F0C1A">
              <w:rPr>
                <w:rFonts w:ascii="Book Antiqua" w:hAnsi="Book Antiqua" w:cs="Times New Roman"/>
                <w:bCs/>
                <w:sz w:val="24"/>
                <w:szCs w:val="24"/>
              </w:rPr>
              <w:t>mean</w:t>
            </w:r>
            <w:r>
              <w:rPr>
                <w:rFonts w:ascii="Book Antiqua" w:hAnsi="Book Antiqua" w:cs="Times New Roman"/>
                <w:bCs/>
                <w:sz w:val="24"/>
                <w:szCs w:val="24"/>
              </w:rPr>
              <w:t xml:space="preserve"> </w:t>
            </w:r>
            <w:r>
              <w:rPr>
                <w:rFonts w:ascii="Book Antiqua" w:hAnsi="Book Antiqua" w:cs="Times New Roman"/>
                <w:sz w:val="24"/>
                <w:szCs w:val="24"/>
              </w:rPr>
              <w:t xml:space="preserve">± </w:t>
            </w:r>
            <w:r w:rsidRPr="008F0C1A">
              <w:rPr>
                <w:rFonts w:ascii="Book Antiqua" w:hAnsi="Book Antiqua" w:cs="Times New Roman"/>
                <w:sz w:val="24"/>
                <w:szCs w:val="24"/>
              </w:rPr>
              <w:t>SD, min)</w:t>
            </w:r>
          </w:p>
        </w:tc>
        <w:tc>
          <w:tcPr>
            <w:tcW w:w="2339" w:type="dxa"/>
            <w:tcBorders>
              <w:top w:val="single" w:sz="12" w:space="0" w:color="auto"/>
            </w:tcBorders>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50.5</w:t>
            </w:r>
            <w:r>
              <w:rPr>
                <w:rFonts w:ascii="Book Antiqua" w:hAnsi="Book Antiqua" w:cs="Times New Roman"/>
                <w:sz w:val="24"/>
                <w:szCs w:val="24"/>
              </w:rPr>
              <w:t xml:space="preserve"> ± </w:t>
            </w:r>
            <w:r w:rsidRPr="008F0C1A">
              <w:rPr>
                <w:rFonts w:ascii="Book Antiqua" w:hAnsi="Book Antiqua" w:cs="Times New Roman"/>
                <w:sz w:val="24"/>
                <w:szCs w:val="24"/>
              </w:rPr>
              <w:t>27.6</w:t>
            </w:r>
          </w:p>
        </w:tc>
        <w:tc>
          <w:tcPr>
            <w:tcW w:w="2339" w:type="dxa"/>
            <w:tcBorders>
              <w:top w:val="single" w:sz="12" w:space="0" w:color="auto"/>
            </w:tcBorders>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44.2</w:t>
            </w:r>
            <w:r>
              <w:rPr>
                <w:rFonts w:ascii="Book Antiqua" w:hAnsi="Book Antiqua" w:cs="Times New Roman"/>
                <w:sz w:val="24"/>
                <w:szCs w:val="24"/>
              </w:rPr>
              <w:t xml:space="preserve"> ± </w:t>
            </w:r>
            <w:r w:rsidRPr="008F0C1A">
              <w:rPr>
                <w:rFonts w:ascii="Book Antiqua" w:hAnsi="Book Antiqua" w:cs="Times New Roman"/>
                <w:sz w:val="24"/>
                <w:szCs w:val="24"/>
              </w:rPr>
              <w:t>29.7</w:t>
            </w:r>
          </w:p>
        </w:tc>
        <w:tc>
          <w:tcPr>
            <w:tcW w:w="1036" w:type="dxa"/>
            <w:tcBorders>
              <w:top w:val="single" w:sz="12" w:space="0" w:color="auto"/>
            </w:tcBorders>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0.12</w:t>
            </w:r>
          </w:p>
        </w:tc>
      </w:tr>
      <w:tr w:rsidR="00940980" w:rsidRPr="008F0C1A" w:rsidTr="00F70E60">
        <w:tc>
          <w:tcPr>
            <w:tcW w:w="3510"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Resection type</w:t>
            </w:r>
            <w:r>
              <w:rPr>
                <w:rFonts w:ascii="Book Antiqua" w:hAnsi="Book Antiqua" w:cs="Times New Roman"/>
                <w:sz w:val="24"/>
                <w:szCs w:val="24"/>
              </w:rPr>
              <w:t xml:space="preserve"> (</w:t>
            </w:r>
            <w:proofErr w:type="spellStart"/>
            <w:r w:rsidRPr="00244D43">
              <w:rPr>
                <w:rFonts w:ascii="Book Antiqua" w:hAnsi="Book Antiqua" w:cs="Times New Roman"/>
                <w:i/>
                <w:sz w:val="24"/>
                <w:szCs w:val="24"/>
              </w:rPr>
              <w:t>en</w:t>
            </w:r>
            <w:proofErr w:type="spellEnd"/>
            <w:r w:rsidRPr="00244D43">
              <w:rPr>
                <w:rFonts w:ascii="Book Antiqua" w:hAnsi="Book Antiqua" w:cs="Times New Roman"/>
                <w:i/>
                <w:sz w:val="24"/>
                <w:szCs w:val="24"/>
              </w:rPr>
              <w:t xml:space="preserve"> bloc</w:t>
            </w:r>
            <w:r w:rsidRPr="008F0C1A">
              <w:rPr>
                <w:rFonts w:ascii="Book Antiqua" w:hAnsi="Book Antiqua" w:cs="Times New Roman"/>
                <w:sz w:val="24"/>
                <w:szCs w:val="24"/>
              </w:rPr>
              <w:t>)</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66</w:t>
            </w:r>
            <w:r>
              <w:rPr>
                <w:rFonts w:ascii="Book Antiqua" w:hAnsi="Book Antiqua" w:cs="Times New Roman"/>
                <w:sz w:val="24"/>
                <w:szCs w:val="24"/>
              </w:rPr>
              <w:t xml:space="preserve"> (</w:t>
            </w:r>
            <w:r w:rsidRPr="008F0C1A">
              <w:rPr>
                <w:rFonts w:ascii="Book Antiqua" w:hAnsi="Book Antiqua" w:cs="Times New Roman"/>
                <w:sz w:val="24"/>
                <w:szCs w:val="24"/>
              </w:rPr>
              <w:t>100.0</w:t>
            </w:r>
            <w:r>
              <w:rPr>
                <w:rFonts w:ascii="Book Antiqua" w:hAnsi="Book Antiqua" w:cs="Times New Roman"/>
                <w:sz w:val="24"/>
                <w:szCs w:val="24"/>
              </w:rPr>
              <w:t>)</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244</w:t>
            </w:r>
            <w:r>
              <w:rPr>
                <w:rFonts w:ascii="Book Antiqua" w:hAnsi="Book Antiqua" w:cs="Times New Roman"/>
                <w:sz w:val="24"/>
                <w:szCs w:val="24"/>
              </w:rPr>
              <w:t xml:space="preserve"> (</w:t>
            </w:r>
            <w:r w:rsidRPr="008F0C1A">
              <w:rPr>
                <w:rFonts w:ascii="Book Antiqua" w:hAnsi="Book Antiqua" w:cs="Times New Roman"/>
                <w:sz w:val="24"/>
                <w:szCs w:val="24"/>
              </w:rPr>
              <w:t>100.0</w:t>
            </w:r>
            <w:r>
              <w:rPr>
                <w:rFonts w:ascii="Book Antiqua" w:hAnsi="Book Antiqua" w:cs="Times New Roman"/>
                <w:sz w:val="24"/>
                <w:szCs w:val="24"/>
              </w:rPr>
              <w:t>)</w:t>
            </w:r>
          </w:p>
        </w:tc>
        <w:tc>
          <w:tcPr>
            <w:tcW w:w="1036"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p>
        </w:tc>
      </w:tr>
      <w:tr w:rsidR="00940980" w:rsidRPr="008F0C1A" w:rsidTr="00F70E60">
        <w:trPr>
          <w:trHeight w:val="252"/>
        </w:trPr>
        <w:tc>
          <w:tcPr>
            <w:tcW w:w="3510"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Lesion location</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p>
        </w:tc>
        <w:tc>
          <w:tcPr>
            <w:tcW w:w="1036" w:type="dxa"/>
          </w:tcPr>
          <w:p w:rsidR="00940980" w:rsidRPr="008F0C1A" w:rsidRDefault="00940980" w:rsidP="00A771AE">
            <w:pPr>
              <w:wordWrap/>
              <w:adjustRightInd w:val="0"/>
              <w:snapToGrid w:val="0"/>
              <w:spacing w:line="360" w:lineRule="auto"/>
              <w:rPr>
                <w:rFonts w:ascii="Book Antiqua" w:hAnsi="Book Antiqua" w:cs="Times New Roman"/>
                <w:color w:val="000000" w:themeColor="text1"/>
                <w:sz w:val="24"/>
                <w:szCs w:val="24"/>
              </w:rPr>
            </w:pPr>
            <w:r w:rsidRPr="008F0C1A">
              <w:rPr>
                <w:rFonts w:ascii="Book Antiqua" w:hAnsi="Book Antiqua" w:cs="Times New Roman"/>
                <w:color w:val="000000" w:themeColor="text1"/>
                <w:sz w:val="24"/>
                <w:szCs w:val="24"/>
              </w:rPr>
              <w:t>0.004</w:t>
            </w:r>
          </w:p>
        </w:tc>
      </w:tr>
      <w:tr w:rsidR="00940980" w:rsidRPr="008F0C1A" w:rsidTr="00F70E60">
        <w:trPr>
          <w:trHeight w:val="252"/>
        </w:trPr>
        <w:tc>
          <w:tcPr>
            <w:tcW w:w="3510" w:type="dxa"/>
          </w:tcPr>
          <w:p w:rsidR="00940980" w:rsidRPr="008F0C1A" w:rsidRDefault="00940980" w:rsidP="00A771AE">
            <w:pPr>
              <w:wordWrap/>
              <w:adjustRightInd w:val="0"/>
              <w:snapToGrid w:val="0"/>
              <w:spacing w:line="360" w:lineRule="auto"/>
              <w:ind w:firstLineChars="200" w:firstLine="480"/>
              <w:rPr>
                <w:rFonts w:ascii="Book Antiqua" w:hAnsi="Book Antiqua" w:cs="Times New Roman"/>
                <w:sz w:val="24"/>
                <w:szCs w:val="24"/>
              </w:rPr>
            </w:pPr>
            <w:r w:rsidRPr="008F0C1A">
              <w:rPr>
                <w:rFonts w:ascii="Book Antiqua" w:hAnsi="Book Antiqua" w:cs="Times New Roman"/>
                <w:sz w:val="24"/>
                <w:szCs w:val="24"/>
              </w:rPr>
              <w:t>High body, cardia</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0</w:t>
            </w:r>
            <w:r>
              <w:rPr>
                <w:rFonts w:ascii="Book Antiqua" w:hAnsi="Book Antiqua" w:cs="Times New Roman"/>
                <w:sz w:val="24"/>
                <w:szCs w:val="24"/>
              </w:rPr>
              <w:t xml:space="preserve"> (</w:t>
            </w:r>
            <w:r w:rsidRPr="008F0C1A">
              <w:rPr>
                <w:rFonts w:ascii="Book Antiqua" w:hAnsi="Book Antiqua" w:cs="Times New Roman"/>
                <w:sz w:val="24"/>
                <w:szCs w:val="24"/>
              </w:rPr>
              <w:t>0.0</w:t>
            </w:r>
            <w:r>
              <w:rPr>
                <w:rFonts w:ascii="Book Antiqua" w:hAnsi="Book Antiqua" w:cs="Times New Roman"/>
                <w:sz w:val="24"/>
                <w:szCs w:val="24"/>
              </w:rPr>
              <w:t>)</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10</w:t>
            </w:r>
            <w:r>
              <w:rPr>
                <w:rFonts w:ascii="Book Antiqua" w:hAnsi="Book Antiqua" w:cs="Times New Roman"/>
                <w:sz w:val="24"/>
                <w:szCs w:val="24"/>
              </w:rPr>
              <w:t xml:space="preserve"> (</w:t>
            </w:r>
            <w:r w:rsidRPr="008F0C1A">
              <w:rPr>
                <w:rFonts w:ascii="Book Antiqua" w:hAnsi="Book Antiqua" w:cs="Times New Roman"/>
                <w:sz w:val="24"/>
                <w:szCs w:val="24"/>
              </w:rPr>
              <w:t>4.1</w:t>
            </w:r>
            <w:r>
              <w:rPr>
                <w:rFonts w:ascii="Book Antiqua" w:hAnsi="Book Antiqua" w:cs="Times New Roman"/>
                <w:sz w:val="24"/>
                <w:szCs w:val="24"/>
              </w:rPr>
              <w:t>)</w:t>
            </w:r>
          </w:p>
        </w:tc>
        <w:tc>
          <w:tcPr>
            <w:tcW w:w="1036" w:type="dxa"/>
          </w:tcPr>
          <w:p w:rsidR="00940980" w:rsidRPr="008F0C1A" w:rsidRDefault="00940980" w:rsidP="00A771AE">
            <w:pPr>
              <w:wordWrap/>
              <w:adjustRightInd w:val="0"/>
              <w:snapToGrid w:val="0"/>
              <w:spacing w:line="360" w:lineRule="auto"/>
              <w:rPr>
                <w:rFonts w:ascii="Book Antiqua" w:hAnsi="Book Antiqua" w:cs="Times New Roman"/>
                <w:color w:val="000000" w:themeColor="text1"/>
                <w:sz w:val="24"/>
                <w:szCs w:val="24"/>
              </w:rPr>
            </w:pPr>
          </w:p>
        </w:tc>
      </w:tr>
      <w:tr w:rsidR="00940980" w:rsidRPr="008F0C1A" w:rsidTr="00F70E60">
        <w:trPr>
          <w:trHeight w:val="252"/>
        </w:trPr>
        <w:tc>
          <w:tcPr>
            <w:tcW w:w="3510" w:type="dxa"/>
          </w:tcPr>
          <w:p w:rsidR="00940980" w:rsidRPr="008F0C1A" w:rsidRDefault="00940980" w:rsidP="00A771AE">
            <w:pPr>
              <w:wordWrap/>
              <w:adjustRightInd w:val="0"/>
              <w:snapToGrid w:val="0"/>
              <w:spacing w:line="360" w:lineRule="auto"/>
              <w:ind w:firstLineChars="200" w:firstLine="480"/>
              <w:rPr>
                <w:rFonts w:ascii="Book Antiqua" w:hAnsi="Book Antiqua" w:cs="Times New Roman"/>
                <w:sz w:val="24"/>
                <w:szCs w:val="24"/>
              </w:rPr>
            </w:pPr>
            <w:r w:rsidRPr="008F0C1A">
              <w:rPr>
                <w:rFonts w:ascii="Book Antiqua" w:hAnsi="Book Antiqua" w:cs="Times New Roman"/>
                <w:sz w:val="24"/>
                <w:szCs w:val="24"/>
              </w:rPr>
              <w:t>Mid body, lower body</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9</w:t>
            </w:r>
            <w:r>
              <w:rPr>
                <w:rFonts w:ascii="Book Antiqua" w:hAnsi="Book Antiqua" w:cs="Times New Roman"/>
                <w:sz w:val="24"/>
                <w:szCs w:val="24"/>
              </w:rPr>
              <w:t xml:space="preserve"> (</w:t>
            </w:r>
            <w:r w:rsidRPr="008F0C1A">
              <w:rPr>
                <w:rFonts w:ascii="Book Antiqua" w:hAnsi="Book Antiqua" w:cs="Times New Roman"/>
                <w:sz w:val="24"/>
                <w:szCs w:val="24"/>
              </w:rPr>
              <w:t>13.6</w:t>
            </w:r>
            <w:r>
              <w:rPr>
                <w:rFonts w:ascii="Book Antiqua" w:hAnsi="Book Antiqua" w:cs="Times New Roman"/>
                <w:sz w:val="24"/>
                <w:szCs w:val="24"/>
              </w:rPr>
              <w:t>)</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9</w:t>
            </w:r>
            <w:r>
              <w:rPr>
                <w:rFonts w:ascii="Book Antiqua" w:hAnsi="Book Antiqua" w:cs="Times New Roman"/>
                <w:sz w:val="24"/>
                <w:szCs w:val="24"/>
              </w:rPr>
              <w:t xml:space="preserve"> (</w:t>
            </w:r>
            <w:r w:rsidRPr="008F0C1A">
              <w:rPr>
                <w:rFonts w:ascii="Book Antiqua" w:hAnsi="Book Antiqua" w:cs="Times New Roman"/>
                <w:sz w:val="24"/>
                <w:szCs w:val="24"/>
              </w:rPr>
              <w:t>3.7</w:t>
            </w:r>
            <w:r>
              <w:rPr>
                <w:rFonts w:ascii="Book Antiqua" w:hAnsi="Book Antiqua" w:cs="Times New Roman"/>
                <w:sz w:val="24"/>
                <w:szCs w:val="24"/>
              </w:rPr>
              <w:t>)</w:t>
            </w:r>
          </w:p>
        </w:tc>
        <w:tc>
          <w:tcPr>
            <w:tcW w:w="1036" w:type="dxa"/>
          </w:tcPr>
          <w:p w:rsidR="00940980" w:rsidRPr="008F0C1A" w:rsidRDefault="00940980" w:rsidP="00A771AE">
            <w:pPr>
              <w:wordWrap/>
              <w:adjustRightInd w:val="0"/>
              <w:snapToGrid w:val="0"/>
              <w:spacing w:line="360" w:lineRule="auto"/>
              <w:rPr>
                <w:rFonts w:ascii="Book Antiqua" w:hAnsi="Book Antiqua" w:cs="Times New Roman"/>
                <w:color w:val="000000" w:themeColor="text1"/>
                <w:sz w:val="24"/>
                <w:szCs w:val="24"/>
              </w:rPr>
            </w:pPr>
          </w:p>
        </w:tc>
      </w:tr>
      <w:tr w:rsidR="00940980" w:rsidRPr="008F0C1A" w:rsidTr="00F70E60">
        <w:tc>
          <w:tcPr>
            <w:tcW w:w="3510" w:type="dxa"/>
          </w:tcPr>
          <w:p w:rsidR="00940980" w:rsidRPr="008F0C1A" w:rsidRDefault="00940980" w:rsidP="00A771AE">
            <w:pPr>
              <w:wordWrap/>
              <w:adjustRightInd w:val="0"/>
              <w:snapToGrid w:val="0"/>
              <w:spacing w:line="360" w:lineRule="auto"/>
              <w:ind w:firstLineChars="200" w:firstLine="480"/>
              <w:rPr>
                <w:rFonts w:ascii="Book Antiqua" w:hAnsi="Book Antiqua" w:cs="Times New Roman"/>
                <w:sz w:val="24"/>
                <w:szCs w:val="24"/>
              </w:rPr>
            </w:pPr>
            <w:r w:rsidRPr="008F0C1A">
              <w:rPr>
                <w:rFonts w:ascii="Book Antiqua" w:hAnsi="Book Antiqua" w:cs="Times New Roman"/>
                <w:sz w:val="24"/>
                <w:szCs w:val="24"/>
              </w:rPr>
              <w:t>Antrum, angle</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57</w:t>
            </w:r>
            <w:r>
              <w:rPr>
                <w:rFonts w:ascii="Book Antiqua" w:hAnsi="Book Antiqua" w:cs="Times New Roman"/>
                <w:sz w:val="24"/>
                <w:szCs w:val="24"/>
              </w:rPr>
              <w:t xml:space="preserve"> (</w:t>
            </w:r>
            <w:r w:rsidRPr="008F0C1A">
              <w:rPr>
                <w:rFonts w:ascii="Book Antiqua" w:hAnsi="Book Antiqua" w:cs="Times New Roman"/>
                <w:sz w:val="24"/>
                <w:szCs w:val="24"/>
              </w:rPr>
              <w:t>86.4</w:t>
            </w:r>
            <w:r>
              <w:rPr>
                <w:rFonts w:ascii="Book Antiqua" w:hAnsi="Book Antiqua" w:cs="Times New Roman"/>
                <w:sz w:val="24"/>
                <w:szCs w:val="24"/>
              </w:rPr>
              <w:t>)</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225</w:t>
            </w:r>
            <w:r>
              <w:rPr>
                <w:rFonts w:ascii="Book Antiqua" w:hAnsi="Book Antiqua" w:cs="Times New Roman"/>
                <w:sz w:val="24"/>
                <w:szCs w:val="24"/>
              </w:rPr>
              <w:t xml:space="preserve"> (</w:t>
            </w:r>
            <w:r w:rsidRPr="008F0C1A">
              <w:rPr>
                <w:rFonts w:ascii="Book Antiqua" w:hAnsi="Book Antiqua" w:cs="Times New Roman"/>
                <w:sz w:val="24"/>
                <w:szCs w:val="24"/>
              </w:rPr>
              <w:t>92.2</w:t>
            </w:r>
            <w:r>
              <w:rPr>
                <w:rFonts w:ascii="Book Antiqua" w:hAnsi="Book Antiqua" w:cs="Times New Roman"/>
                <w:sz w:val="24"/>
                <w:szCs w:val="24"/>
              </w:rPr>
              <w:t>)</w:t>
            </w:r>
          </w:p>
        </w:tc>
        <w:tc>
          <w:tcPr>
            <w:tcW w:w="1036" w:type="dxa"/>
          </w:tcPr>
          <w:p w:rsidR="00940980" w:rsidRPr="008F0C1A" w:rsidRDefault="00940980" w:rsidP="00A771AE">
            <w:pPr>
              <w:wordWrap/>
              <w:adjustRightInd w:val="0"/>
              <w:snapToGrid w:val="0"/>
              <w:spacing w:line="360" w:lineRule="auto"/>
              <w:rPr>
                <w:rFonts w:ascii="Book Antiqua" w:hAnsi="Book Antiqua" w:cs="Times New Roman"/>
                <w:color w:val="000000" w:themeColor="text1"/>
                <w:sz w:val="24"/>
                <w:szCs w:val="24"/>
              </w:rPr>
            </w:pPr>
          </w:p>
        </w:tc>
      </w:tr>
      <w:tr w:rsidR="00940980" w:rsidRPr="008F0C1A" w:rsidTr="00F70E60">
        <w:trPr>
          <w:trHeight w:val="63"/>
        </w:trPr>
        <w:tc>
          <w:tcPr>
            <w:tcW w:w="3510"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Lesion characteristics</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p>
        </w:tc>
        <w:tc>
          <w:tcPr>
            <w:tcW w:w="1036" w:type="dxa"/>
          </w:tcPr>
          <w:p w:rsidR="00940980" w:rsidRPr="008F0C1A" w:rsidRDefault="00940980" w:rsidP="00A771AE">
            <w:pPr>
              <w:wordWrap/>
              <w:adjustRightInd w:val="0"/>
              <w:snapToGrid w:val="0"/>
              <w:spacing w:line="360" w:lineRule="auto"/>
              <w:rPr>
                <w:rFonts w:ascii="Book Antiqua" w:hAnsi="Book Antiqua" w:cs="Times New Roman"/>
                <w:color w:val="000000" w:themeColor="text1"/>
                <w:sz w:val="24"/>
                <w:szCs w:val="24"/>
              </w:rPr>
            </w:pPr>
            <w:r w:rsidRPr="008F0C1A">
              <w:rPr>
                <w:rFonts w:ascii="Book Antiqua" w:hAnsi="Book Antiqua" w:cs="Times New Roman"/>
                <w:color w:val="000000" w:themeColor="text1"/>
                <w:sz w:val="24"/>
                <w:szCs w:val="24"/>
              </w:rPr>
              <w:t>0.006</w:t>
            </w:r>
          </w:p>
        </w:tc>
      </w:tr>
      <w:tr w:rsidR="00940980" w:rsidRPr="008F0C1A" w:rsidTr="00F70E60">
        <w:trPr>
          <w:trHeight w:val="63"/>
        </w:trPr>
        <w:tc>
          <w:tcPr>
            <w:tcW w:w="3510" w:type="dxa"/>
          </w:tcPr>
          <w:p w:rsidR="00940980" w:rsidRPr="008F0C1A" w:rsidRDefault="00940980" w:rsidP="00A771AE">
            <w:pPr>
              <w:wordWrap/>
              <w:adjustRightInd w:val="0"/>
              <w:snapToGrid w:val="0"/>
              <w:spacing w:line="360" w:lineRule="auto"/>
              <w:ind w:firstLineChars="200" w:firstLine="480"/>
              <w:rPr>
                <w:rFonts w:ascii="Book Antiqua" w:hAnsi="Book Antiqua" w:cs="Times New Roman"/>
                <w:sz w:val="24"/>
                <w:szCs w:val="24"/>
              </w:rPr>
            </w:pPr>
            <w:r w:rsidRPr="008F0C1A">
              <w:rPr>
                <w:rFonts w:ascii="Book Antiqua" w:hAnsi="Book Antiqua" w:cs="Times New Roman"/>
                <w:sz w:val="24"/>
                <w:szCs w:val="24"/>
              </w:rPr>
              <w:t>Elevated</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54</w:t>
            </w:r>
            <w:r>
              <w:rPr>
                <w:rFonts w:ascii="Book Antiqua" w:hAnsi="Book Antiqua" w:cs="Times New Roman"/>
                <w:sz w:val="24"/>
                <w:szCs w:val="24"/>
              </w:rPr>
              <w:t xml:space="preserve"> (</w:t>
            </w:r>
            <w:r w:rsidRPr="008F0C1A">
              <w:rPr>
                <w:rFonts w:ascii="Book Antiqua" w:hAnsi="Book Antiqua" w:cs="Times New Roman"/>
                <w:sz w:val="24"/>
                <w:szCs w:val="24"/>
              </w:rPr>
              <w:t>81.8</w:t>
            </w:r>
            <w:r>
              <w:rPr>
                <w:rFonts w:ascii="Book Antiqua" w:hAnsi="Book Antiqua" w:cs="Times New Roman"/>
                <w:sz w:val="24"/>
                <w:szCs w:val="24"/>
              </w:rPr>
              <w:t>)</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227</w:t>
            </w:r>
            <w:r>
              <w:rPr>
                <w:rFonts w:ascii="Book Antiqua" w:hAnsi="Book Antiqua" w:cs="Times New Roman"/>
                <w:sz w:val="24"/>
                <w:szCs w:val="24"/>
              </w:rPr>
              <w:t xml:space="preserve"> (</w:t>
            </w:r>
            <w:r w:rsidRPr="008F0C1A">
              <w:rPr>
                <w:rFonts w:ascii="Book Antiqua" w:hAnsi="Book Antiqua" w:cs="Times New Roman"/>
                <w:sz w:val="24"/>
                <w:szCs w:val="24"/>
              </w:rPr>
              <w:t>93.0</w:t>
            </w:r>
            <w:r>
              <w:rPr>
                <w:rFonts w:ascii="Book Antiqua" w:hAnsi="Book Antiqua" w:cs="Times New Roman"/>
                <w:sz w:val="24"/>
                <w:szCs w:val="24"/>
              </w:rPr>
              <w:t>)</w:t>
            </w:r>
          </w:p>
        </w:tc>
        <w:tc>
          <w:tcPr>
            <w:tcW w:w="1036" w:type="dxa"/>
          </w:tcPr>
          <w:p w:rsidR="00940980" w:rsidRPr="008F0C1A" w:rsidRDefault="00940980" w:rsidP="00A771AE">
            <w:pPr>
              <w:wordWrap/>
              <w:adjustRightInd w:val="0"/>
              <w:snapToGrid w:val="0"/>
              <w:spacing w:line="360" w:lineRule="auto"/>
              <w:rPr>
                <w:rFonts w:ascii="Book Antiqua" w:hAnsi="Book Antiqua" w:cs="Times New Roman"/>
                <w:color w:val="000000" w:themeColor="text1"/>
                <w:sz w:val="24"/>
                <w:szCs w:val="24"/>
              </w:rPr>
            </w:pPr>
          </w:p>
        </w:tc>
      </w:tr>
      <w:tr w:rsidR="00940980" w:rsidRPr="008F0C1A" w:rsidTr="00F70E60">
        <w:trPr>
          <w:trHeight w:val="63"/>
        </w:trPr>
        <w:tc>
          <w:tcPr>
            <w:tcW w:w="3510" w:type="dxa"/>
          </w:tcPr>
          <w:p w:rsidR="00940980" w:rsidRPr="008F0C1A" w:rsidRDefault="00940980" w:rsidP="00A771AE">
            <w:pPr>
              <w:wordWrap/>
              <w:adjustRightInd w:val="0"/>
              <w:snapToGrid w:val="0"/>
              <w:spacing w:line="360" w:lineRule="auto"/>
              <w:ind w:firstLineChars="200" w:firstLine="480"/>
              <w:rPr>
                <w:rFonts w:ascii="Book Antiqua" w:hAnsi="Book Antiqua" w:cs="Times New Roman"/>
                <w:sz w:val="24"/>
                <w:szCs w:val="24"/>
              </w:rPr>
            </w:pPr>
            <w:r w:rsidRPr="008F0C1A">
              <w:rPr>
                <w:rFonts w:ascii="Book Antiqua" w:hAnsi="Book Antiqua" w:cs="Times New Roman"/>
                <w:sz w:val="24"/>
                <w:szCs w:val="24"/>
              </w:rPr>
              <w:t>Flat or depressed</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12</w:t>
            </w:r>
            <w:r>
              <w:rPr>
                <w:rFonts w:ascii="Book Antiqua" w:hAnsi="Book Antiqua" w:cs="Times New Roman"/>
                <w:sz w:val="24"/>
                <w:szCs w:val="24"/>
              </w:rPr>
              <w:t xml:space="preserve"> (</w:t>
            </w:r>
            <w:r w:rsidRPr="008F0C1A">
              <w:rPr>
                <w:rFonts w:ascii="Book Antiqua" w:hAnsi="Book Antiqua" w:cs="Times New Roman"/>
                <w:sz w:val="24"/>
                <w:szCs w:val="24"/>
              </w:rPr>
              <w:t>18.2</w:t>
            </w:r>
            <w:r>
              <w:rPr>
                <w:rFonts w:ascii="Book Antiqua" w:hAnsi="Book Antiqua" w:cs="Times New Roman"/>
                <w:sz w:val="24"/>
                <w:szCs w:val="24"/>
              </w:rPr>
              <w:t>)</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17</w:t>
            </w:r>
            <w:r>
              <w:rPr>
                <w:rFonts w:ascii="Book Antiqua" w:hAnsi="Book Antiqua" w:cs="Times New Roman"/>
                <w:sz w:val="24"/>
                <w:szCs w:val="24"/>
              </w:rPr>
              <w:t xml:space="preserve"> (</w:t>
            </w:r>
            <w:r w:rsidRPr="008F0C1A">
              <w:rPr>
                <w:rFonts w:ascii="Book Antiqua" w:hAnsi="Book Antiqua" w:cs="Times New Roman"/>
                <w:sz w:val="24"/>
                <w:szCs w:val="24"/>
              </w:rPr>
              <w:t>7.0</w:t>
            </w:r>
            <w:r>
              <w:rPr>
                <w:rFonts w:ascii="Book Antiqua" w:hAnsi="Book Antiqua" w:cs="Times New Roman"/>
                <w:sz w:val="24"/>
                <w:szCs w:val="24"/>
              </w:rPr>
              <w:t>)</w:t>
            </w:r>
          </w:p>
        </w:tc>
        <w:tc>
          <w:tcPr>
            <w:tcW w:w="1036"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p>
        </w:tc>
      </w:tr>
      <w:tr w:rsidR="00940980" w:rsidRPr="008F0C1A" w:rsidTr="00F70E60">
        <w:trPr>
          <w:trHeight w:val="63"/>
        </w:trPr>
        <w:tc>
          <w:tcPr>
            <w:tcW w:w="3510"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Lesion size</w:t>
            </w:r>
            <w:r>
              <w:rPr>
                <w:rFonts w:ascii="Book Antiqua" w:hAnsi="Book Antiqua" w:cs="Times New Roman"/>
                <w:sz w:val="24"/>
                <w:szCs w:val="24"/>
              </w:rPr>
              <w:t xml:space="preserve"> (</w:t>
            </w:r>
            <w:r w:rsidRPr="008F0C1A">
              <w:rPr>
                <w:rFonts w:ascii="Book Antiqua" w:hAnsi="Book Antiqua" w:cs="Times New Roman"/>
                <w:sz w:val="24"/>
                <w:szCs w:val="24"/>
              </w:rPr>
              <w:t>maximum diameter)</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12.0</w:t>
            </w:r>
            <w:r>
              <w:rPr>
                <w:rFonts w:ascii="Book Antiqua" w:hAnsi="Book Antiqua" w:cs="Times New Roman"/>
                <w:sz w:val="24"/>
                <w:szCs w:val="24"/>
              </w:rPr>
              <w:t xml:space="preserve"> ± </w:t>
            </w:r>
            <w:r w:rsidRPr="008F0C1A">
              <w:rPr>
                <w:rFonts w:ascii="Book Antiqua" w:hAnsi="Book Antiqua" w:cs="Times New Roman"/>
                <w:sz w:val="24"/>
                <w:szCs w:val="24"/>
              </w:rPr>
              <w:t>7.3</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12.5</w:t>
            </w:r>
            <w:r>
              <w:rPr>
                <w:rFonts w:ascii="Book Antiqua" w:hAnsi="Book Antiqua" w:cs="Times New Roman"/>
                <w:sz w:val="24"/>
                <w:szCs w:val="24"/>
              </w:rPr>
              <w:t xml:space="preserve"> ± </w:t>
            </w:r>
            <w:r w:rsidRPr="008F0C1A">
              <w:rPr>
                <w:rFonts w:ascii="Book Antiqua" w:hAnsi="Book Antiqua" w:cs="Times New Roman"/>
                <w:sz w:val="24"/>
                <w:szCs w:val="24"/>
              </w:rPr>
              <w:t>8.4</w:t>
            </w:r>
          </w:p>
        </w:tc>
        <w:tc>
          <w:tcPr>
            <w:tcW w:w="1036"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0.69</w:t>
            </w:r>
          </w:p>
        </w:tc>
      </w:tr>
      <w:tr w:rsidR="00940980" w:rsidRPr="008F0C1A" w:rsidTr="00F70E60">
        <w:trPr>
          <w:trHeight w:val="63"/>
        </w:trPr>
        <w:tc>
          <w:tcPr>
            <w:tcW w:w="3510"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Resected specimen size</w:t>
            </w:r>
            <w:r>
              <w:rPr>
                <w:rFonts w:ascii="Book Antiqua" w:hAnsi="Book Antiqua" w:cs="Times New Roman"/>
                <w:sz w:val="24"/>
                <w:szCs w:val="24"/>
              </w:rPr>
              <w:t xml:space="preserve"> (</w:t>
            </w:r>
            <w:r w:rsidRPr="008F0C1A">
              <w:rPr>
                <w:rFonts w:ascii="Book Antiqua" w:hAnsi="Book Antiqua" w:cs="Times New Roman"/>
                <w:sz w:val="24"/>
                <w:szCs w:val="24"/>
              </w:rPr>
              <w:t>maximum diameter)</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32.3</w:t>
            </w:r>
            <w:r>
              <w:rPr>
                <w:rFonts w:ascii="Book Antiqua" w:hAnsi="Book Antiqua" w:cs="Times New Roman"/>
                <w:sz w:val="24"/>
                <w:szCs w:val="24"/>
              </w:rPr>
              <w:t xml:space="preserve"> ± </w:t>
            </w:r>
            <w:r w:rsidRPr="008F0C1A">
              <w:rPr>
                <w:rFonts w:ascii="Book Antiqua" w:hAnsi="Book Antiqua" w:cs="Times New Roman"/>
                <w:sz w:val="24"/>
                <w:szCs w:val="24"/>
              </w:rPr>
              <w:t>9.4</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30.7</w:t>
            </w:r>
            <w:r>
              <w:rPr>
                <w:rFonts w:ascii="Book Antiqua" w:hAnsi="Book Antiqua" w:cs="Times New Roman"/>
                <w:sz w:val="24"/>
                <w:szCs w:val="24"/>
              </w:rPr>
              <w:t xml:space="preserve"> ± </w:t>
            </w:r>
            <w:r w:rsidRPr="008F0C1A">
              <w:rPr>
                <w:rFonts w:ascii="Book Antiqua" w:hAnsi="Book Antiqua" w:cs="Times New Roman"/>
                <w:sz w:val="24"/>
                <w:szCs w:val="24"/>
              </w:rPr>
              <w:t>10.8</w:t>
            </w:r>
          </w:p>
        </w:tc>
        <w:tc>
          <w:tcPr>
            <w:tcW w:w="1036"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0.25</w:t>
            </w:r>
          </w:p>
        </w:tc>
      </w:tr>
      <w:tr w:rsidR="00940980" w:rsidRPr="008F0C1A" w:rsidTr="00F70E60">
        <w:trPr>
          <w:trHeight w:val="63"/>
        </w:trPr>
        <w:tc>
          <w:tcPr>
            <w:tcW w:w="3510"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Histologic type</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p>
        </w:tc>
        <w:tc>
          <w:tcPr>
            <w:tcW w:w="1036"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0.36</w:t>
            </w:r>
          </w:p>
        </w:tc>
      </w:tr>
      <w:tr w:rsidR="00940980" w:rsidRPr="008F0C1A" w:rsidTr="00F70E60">
        <w:trPr>
          <w:trHeight w:val="63"/>
        </w:trPr>
        <w:tc>
          <w:tcPr>
            <w:tcW w:w="3510" w:type="dxa"/>
          </w:tcPr>
          <w:p w:rsidR="00940980" w:rsidRPr="008F0C1A" w:rsidRDefault="00940980" w:rsidP="00A771AE">
            <w:pPr>
              <w:wordWrap/>
              <w:adjustRightInd w:val="0"/>
              <w:snapToGrid w:val="0"/>
              <w:spacing w:line="360" w:lineRule="auto"/>
              <w:ind w:firstLineChars="200" w:firstLine="480"/>
              <w:rPr>
                <w:rFonts w:ascii="Book Antiqua" w:hAnsi="Book Antiqua" w:cs="Times New Roman"/>
                <w:sz w:val="24"/>
                <w:szCs w:val="24"/>
              </w:rPr>
            </w:pPr>
            <w:r w:rsidRPr="008F0C1A">
              <w:rPr>
                <w:rFonts w:ascii="Book Antiqua" w:hAnsi="Book Antiqua" w:cs="Times New Roman"/>
                <w:sz w:val="24"/>
                <w:szCs w:val="24"/>
              </w:rPr>
              <w:t>Cancer</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20</w:t>
            </w:r>
            <w:r>
              <w:rPr>
                <w:rFonts w:ascii="Book Antiqua" w:hAnsi="Book Antiqua" w:cs="Times New Roman"/>
                <w:sz w:val="24"/>
                <w:szCs w:val="24"/>
              </w:rPr>
              <w:t xml:space="preserve"> (</w:t>
            </w:r>
            <w:r w:rsidRPr="008F0C1A">
              <w:rPr>
                <w:rFonts w:ascii="Book Antiqua" w:hAnsi="Book Antiqua" w:cs="Times New Roman"/>
                <w:sz w:val="24"/>
                <w:szCs w:val="24"/>
              </w:rPr>
              <w:t>30.3</w:t>
            </w:r>
            <w:r>
              <w:rPr>
                <w:rFonts w:ascii="Book Antiqua" w:hAnsi="Book Antiqua" w:cs="Times New Roman"/>
                <w:sz w:val="24"/>
                <w:szCs w:val="24"/>
              </w:rPr>
              <w:t>)</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54</w:t>
            </w:r>
            <w:r>
              <w:rPr>
                <w:rFonts w:ascii="Book Antiqua" w:hAnsi="Book Antiqua" w:cs="Times New Roman"/>
                <w:sz w:val="24"/>
                <w:szCs w:val="24"/>
              </w:rPr>
              <w:t xml:space="preserve"> (</w:t>
            </w:r>
            <w:r w:rsidRPr="008F0C1A">
              <w:rPr>
                <w:rFonts w:ascii="Book Antiqua" w:hAnsi="Book Antiqua" w:cs="Times New Roman"/>
                <w:sz w:val="24"/>
                <w:szCs w:val="24"/>
              </w:rPr>
              <w:t>22.1</w:t>
            </w:r>
            <w:r>
              <w:rPr>
                <w:rFonts w:ascii="Book Antiqua" w:hAnsi="Book Antiqua" w:cs="Times New Roman"/>
                <w:sz w:val="24"/>
                <w:szCs w:val="24"/>
              </w:rPr>
              <w:t>)</w:t>
            </w:r>
          </w:p>
        </w:tc>
        <w:tc>
          <w:tcPr>
            <w:tcW w:w="1036"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p>
        </w:tc>
      </w:tr>
      <w:tr w:rsidR="00940980" w:rsidRPr="008F0C1A" w:rsidTr="00F70E60">
        <w:trPr>
          <w:trHeight w:val="63"/>
        </w:trPr>
        <w:tc>
          <w:tcPr>
            <w:tcW w:w="3510" w:type="dxa"/>
          </w:tcPr>
          <w:p w:rsidR="00940980" w:rsidRPr="008F0C1A" w:rsidRDefault="00940980" w:rsidP="00A771AE">
            <w:pPr>
              <w:wordWrap/>
              <w:adjustRightInd w:val="0"/>
              <w:snapToGrid w:val="0"/>
              <w:spacing w:line="360" w:lineRule="auto"/>
              <w:ind w:firstLineChars="200" w:firstLine="480"/>
              <w:rPr>
                <w:rFonts w:ascii="Book Antiqua" w:hAnsi="Book Antiqua" w:cs="Times New Roman"/>
                <w:sz w:val="24"/>
                <w:szCs w:val="24"/>
              </w:rPr>
            </w:pPr>
            <w:r w:rsidRPr="008F0C1A">
              <w:rPr>
                <w:rFonts w:ascii="Book Antiqua" w:hAnsi="Book Antiqua" w:cs="Times New Roman"/>
                <w:sz w:val="24"/>
                <w:szCs w:val="24"/>
              </w:rPr>
              <w:t>High grade dysplasia</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6</w:t>
            </w:r>
            <w:r>
              <w:rPr>
                <w:rFonts w:ascii="Book Antiqua" w:hAnsi="Book Antiqua" w:cs="Times New Roman"/>
                <w:sz w:val="24"/>
                <w:szCs w:val="24"/>
              </w:rPr>
              <w:t xml:space="preserve"> (</w:t>
            </w:r>
            <w:r w:rsidRPr="008F0C1A">
              <w:rPr>
                <w:rFonts w:ascii="Book Antiqua" w:hAnsi="Book Antiqua" w:cs="Times New Roman"/>
                <w:sz w:val="24"/>
                <w:szCs w:val="24"/>
              </w:rPr>
              <w:t>9.1</w:t>
            </w:r>
            <w:r>
              <w:rPr>
                <w:rFonts w:ascii="Book Antiqua" w:hAnsi="Book Antiqua" w:cs="Times New Roman"/>
                <w:sz w:val="24"/>
                <w:szCs w:val="24"/>
              </w:rPr>
              <w:t>)</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29</w:t>
            </w:r>
            <w:r>
              <w:rPr>
                <w:rFonts w:ascii="Book Antiqua" w:hAnsi="Book Antiqua" w:cs="Times New Roman"/>
                <w:sz w:val="24"/>
                <w:szCs w:val="24"/>
              </w:rPr>
              <w:t xml:space="preserve"> (</w:t>
            </w:r>
            <w:r w:rsidRPr="008F0C1A">
              <w:rPr>
                <w:rFonts w:ascii="Book Antiqua" w:hAnsi="Book Antiqua" w:cs="Times New Roman"/>
                <w:sz w:val="24"/>
                <w:szCs w:val="24"/>
              </w:rPr>
              <w:t>11.9</w:t>
            </w:r>
            <w:r>
              <w:rPr>
                <w:rFonts w:ascii="Book Antiqua" w:hAnsi="Book Antiqua" w:cs="Times New Roman"/>
                <w:sz w:val="24"/>
                <w:szCs w:val="24"/>
              </w:rPr>
              <w:t>)</w:t>
            </w:r>
          </w:p>
        </w:tc>
        <w:tc>
          <w:tcPr>
            <w:tcW w:w="1036"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p>
        </w:tc>
      </w:tr>
      <w:tr w:rsidR="00940980" w:rsidRPr="008F0C1A" w:rsidTr="00F70E60">
        <w:trPr>
          <w:trHeight w:val="63"/>
        </w:trPr>
        <w:tc>
          <w:tcPr>
            <w:tcW w:w="3510" w:type="dxa"/>
          </w:tcPr>
          <w:p w:rsidR="00940980" w:rsidRPr="008F0C1A" w:rsidRDefault="00940980" w:rsidP="00A771AE">
            <w:pPr>
              <w:wordWrap/>
              <w:adjustRightInd w:val="0"/>
              <w:snapToGrid w:val="0"/>
              <w:spacing w:line="360" w:lineRule="auto"/>
              <w:ind w:firstLineChars="200" w:firstLine="480"/>
              <w:rPr>
                <w:rFonts w:ascii="Book Antiqua" w:hAnsi="Book Antiqua" w:cs="Times New Roman"/>
                <w:sz w:val="24"/>
                <w:szCs w:val="24"/>
              </w:rPr>
            </w:pPr>
            <w:r w:rsidRPr="008F0C1A">
              <w:rPr>
                <w:rFonts w:ascii="Book Antiqua" w:hAnsi="Book Antiqua" w:cs="Times New Roman"/>
                <w:sz w:val="24"/>
                <w:szCs w:val="24"/>
              </w:rPr>
              <w:t>Lower grade dysplasia</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40</w:t>
            </w:r>
            <w:r>
              <w:rPr>
                <w:rFonts w:ascii="Book Antiqua" w:hAnsi="Book Antiqua" w:cs="Times New Roman"/>
                <w:sz w:val="24"/>
                <w:szCs w:val="24"/>
              </w:rPr>
              <w:t xml:space="preserve"> (</w:t>
            </w:r>
            <w:r w:rsidRPr="008F0C1A">
              <w:rPr>
                <w:rFonts w:ascii="Book Antiqua" w:hAnsi="Book Antiqua" w:cs="Times New Roman"/>
                <w:sz w:val="24"/>
                <w:szCs w:val="24"/>
              </w:rPr>
              <w:t>60.6</w:t>
            </w:r>
            <w:r>
              <w:rPr>
                <w:rFonts w:ascii="Book Antiqua" w:hAnsi="Book Antiqua" w:cs="Times New Roman"/>
                <w:sz w:val="24"/>
                <w:szCs w:val="24"/>
              </w:rPr>
              <w:t>)</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161</w:t>
            </w:r>
            <w:r>
              <w:rPr>
                <w:rFonts w:ascii="Book Antiqua" w:hAnsi="Book Antiqua" w:cs="Times New Roman"/>
                <w:sz w:val="24"/>
                <w:szCs w:val="24"/>
              </w:rPr>
              <w:t xml:space="preserve"> (</w:t>
            </w:r>
            <w:r w:rsidRPr="008F0C1A">
              <w:rPr>
                <w:rFonts w:ascii="Book Antiqua" w:hAnsi="Book Antiqua" w:cs="Times New Roman"/>
                <w:sz w:val="24"/>
                <w:szCs w:val="24"/>
              </w:rPr>
              <w:t>66.0</w:t>
            </w:r>
            <w:r>
              <w:rPr>
                <w:rFonts w:ascii="Book Antiqua" w:hAnsi="Book Antiqua" w:cs="Times New Roman"/>
                <w:sz w:val="24"/>
                <w:szCs w:val="24"/>
              </w:rPr>
              <w:t>)</w:t>
            </w:r>
          </w:p>
        </w:tc>
        <w:tc>
          <w:tcPr>
            <w:tcW w:w="1036"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p>
        </w:tc>
      </w:tr>
      <w:tr w:rsidR="00940980" w:rsidRPr="008F0C1A" w:rsidTr="00F70E60">
        <w:trPr>
          <w:trHeight w:val="63"/>
        </w:trPr>
        <w:tc>
          <w:tcPr>
            <w:tcW w:w="3510"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 xml:space="preserve">Presence of </w:t>
            </w:r>
            <w:r w:rsidRPr="008F0C1A">
              <w:rPr>
                <w:rFonts w:ascii="Book Antiqua" w:eastAsiaTheme="minorHAnsi" w:hAnsi="Book Antiqua" w:cs="Times New Roman"/>
                <w:i/>
                <w:sz w:val="24"/>
                <w:szCs w:val="24"/>
              </w:rPr>
              <w:t>Helicobacter pylori</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p>
        </w:tc>
        <w:tc>
          <w:tcPr>
            <w:tcW w:w="1036"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0.87</w:t>
            </w:r>
          </w:p>
        </w:tc>
      </w:tr>
      <w:tr w:rsidR="00940980" w:rsidRPr="008F0C1A" w:rsidTr="00F70E60">
        <w:trPr>
          <w:trHeight w:val="63"/>
        </w:trPr>
        <w:tc>
          <w:tcPr>
            <w:tcW w:w="3510" w:type="dxa"/>
          </w:tcPr>
          <w:p w:rsidR="00940980" w:rsidRPr="008F0C1A" w:rsidRDefault="00940980" w:rsidP="00A771AE">
            <w:pPr>
              <w:wordWrap/>
              <w:adjustRightInd w:val="0"/>
              <w:snapToGrid w:val="0"/>
              <w:spacing w:line="360" w:lineRule="auto"/>
              <w:ind w:firstLineChars="200" w:firstLine="480"/>
              <w:rPr>
                <w:rFonts w:ascii="Book Antiqua" w:hAnsi="Book Antiqua" w:cs="Times New Roman"/>
                <w:sz w:val="24"/>
                <w:szCs w:val="24"/>
              </w:rPr>
            </w:pPr>
            <w:r w:rsidRPr="008F0C1A">
              <w:rPr>
                <w:rFonts w:ascii="Book Antiqua" w:hAnsi="Book Antiqua" w:cs="Times New Roman"/>
                <w:sz w:val="24"/>
                <w:szCs w:val="24"/>
              </w:rPr>
              <w:t>Yes</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11</w:t>
            </w:r>
            <w:r>
              <w:rPr>
                <w:rFonts w:ascii="Book Antiqua" w:hAnsi="Book Antiqua" w:cs="Times New Roman"/>
                <w:sz w:val="24"/>
                <w:szCs w:val="24"/>
              </w:rPr>
              <w:t xml:space="preserve"> (</w:t>
            </w:r>
            <w:r w:rsidRPr="008F0C1A">
              <w:rPr>
                <w:rFonts w:ascii="Book Antiqua" w:hAnsi="Book Antiqua" w:cs="Times New Roman"/>
                <w:sz w:val="24"/>
                <w:szCs w:val="24"/>
              </w:rPr>
              <w:t>16.7</w:t>
            </w:r>
            <w:r>
              <w:rPr>
                <w:rFonts w:ascii="Book Antiqua" w:hAnsi="Book Antiqua" w:cs="Times New Roman"/>
                <w:sz w:val="24"/>
                <w:szCs w:val="24"/>
              </w:rPr>
              <w:t>)</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36</w:t>
            </w:r>
            <w:r>
              <w:rPr>
                <w:rFonts w:ascii="Book Antiqua" w:hAnsi="Book Antiqua" w:cs="Times New Roman"/>
                <w:sz w:val="24"/>
                <w:szCs w:val="24"/>
              </w:rPr>
              <w:t xml:space="preserve"> (</w:t>
            </w:r>
            <w:r w:rsidRPr="008F0C1A">
              <w:rPr>
                <w:rFonts w:ascii="Book Antiqua" w:hAnsi="Book Antiqua" w:cs="Times New Roman"/>
                <w:sz w:val="24"/>
                <w:szCs w:val="24"/>
              </w:rPr>
              <w:t>14.8</w:t>
            </w:r>
            <w:r>
              <w:rPr>
                <w:rFonts w:ascii="Book Antiqua" w:hAnsi="Book Antiqua" w:cs="Times New Roman"/>
                <w:sz w:val="24"/>
                <w:szCs w:val="24"/>
              </w:rPr>
              <w:t>)</w:t>
            </w:r>
          </w:p>
        </w:tc>
        <w:tc>
          <w:tcPr>
            <w:tcW w:w="1036"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p>
        </w:tc>
      </w:tr>
      <w:tr w:rsidR="00940980" w:rsidRPr="008F0C1A" w:rsidTr="00F70E60">
        <w:trPr>
          <w:trHeight w:val="63"/>
        </w:trPr>
        <w:tc>
          <w:tcPr>
            <w:tcW w:w="3510" w:type="dxa"/>
          </w:tcPr>
          <w:p w:rsidR="00940980" w:rsidRPr="008F0C1A" w:rsidRDefault="00940980" w:rsidP="00A771AE">
            <w:pPr>
              <w:wordWrap/>
              <w:adjustRightInd w:val="0"/>
              <w:snapToGrid w:val="0"/>
              <w:spacing w:line="360" w:lineRule="auto"/>
              <w:ind w:firstLineChars="200" w:firstLine="480"/>
              <w:rPr>
                <w:rFonts w:ascii="Book Antiqua" w:hAnsi="Book Antiqua" w:cs="Times New Roman"/>
                <w:sz w:val="24"/>
                <w:szCs w:val="24"/>
              </w:rPr>
            </w:pPr>
            <w:r w:rsidRPr="008F0C1A">
              <w:rPr>
                <w:rFonts w:ascii="Book Antiqua" w:hAnsi="Book Antiqua" w:cs="Times New Roman"/>
                <w:sz w:val="24"/>
                <w:szCs w:val="24"/>
              </w:rPr>
              <w:t>No</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54</w:t>
            </w:r>
            <w:r>
              <w:rPr>
                <w:rFonts w:ascii="Book Antiqua" w:hAnsi="Book Antiqua" w:cs="Times New Roman"/>
                <w:sz w:val="24"/>
                <w:szCs w:val="24"/>
              </w:rPr>
              <w:t xml:space="preserve"> (</w:t>
            </w:r>
            <w:r w:rsidRPr="008F0C1A">
              <w:rPr>
                <w:rFonts w:ascii="Book Antiqua" w:hAnsi="Book Antiqua" w:cs="Times New Roman"/>
                <w:sz w:val="24"/>
                <w:szCs w:val="24"/>
              </w:rPr>
              <w:t>81.8</w:t>
            </w:r>
            <w:r>
              <w:rPr>
                <w:rFonts w:ascii="Book Antiqua" w:hAnsi="Book Antiqua" w:cs="Times New Roman"/>
                <w:sz w:val="24"/>
                <w:szCs w:val="24"/>
              </w:rPr>
              <w:t>)</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204</w:t>
            </w:r>
            <w:r>
              <w:rPr>
                <w:rFonts w:ascii="Book Antiqua" w:hAnsi="Book Antiqua" w:cs="Times New Roman"/>
                <w:sz w:val="24"/>
                <w:szCs w:val="24"/>
              </w:rPr>
              <w:t xml:space="preserve"> (</w:t>
            </w:r>
            <w:r w:rsidRPr="008F0C1A">
              <w:rPr>
                <w:rFonts w:ascii="Book Antiqua" w:hAnsi="Book Antiqua" w:cs="Times New Roman"/>
                <w:sz w:val="24"/>
                <w:szCs w:val="24"/>
              </w:rPr>
              <w:t>83.6</w:t>
            </w:r>
            <w:r>
              <w:rPr>
                <w:rFonts w:ascii="Book Antiqua" w:hAnsi="Book Antiqua" w:cs="Times New Roman"/>
                <w:sz w:val="24"/>
                <w:szCs w:val="24"/>
              </w:rPr>
              <w:t>)</w:t>
            </w:r>
          </w:p>
        </w:tc>
        <w:tc>
          <w:tcPr>
            <w:tcW w:w="1036"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p>
        </w:tc>
      </w:tr>
      <w:tr w:rsidR="00940980" w:rsidRPr="008F0C1A" w:rsidTr="00F70E60">
        <w:trPr>
          <w:trHeight w:val="63"/>
        </w:trPr>
        <w:tc>
          <w:tcPr>
            <w:tcW w:w="3510" w:type="dxa"/>
          </w:tcPr>
          <w:p w:rsidR="00940980" w:rsidRPr="008F0C1A" w:rsidRDefault="00940980" w:rsidP="00A771AE">
            <w:pPr>
              <w:wordWrap/>
              <w:adjustRightInd w:val="0"/>
              <w:snapToGrid w:val="0"/>
              <w:spacing w:line="360" w:lineRule="auto"/>
              <w:ind w:firstLineChars="200" w:firstLine="480"/>
              <w:rPr>
                <w:rFonts w:ascii="Book Antiqua" w:hAnsi="Book Antiqua" w:cs="Times New Roman"/>
                <w:sz w:val="24"/>
                <w:szCs w:val="24"/>
              </w:rPr>
            </w:pPr>
            <w:r w:rsidRPr="008F0C1A">
              <w:rPr>
                <w:rFonts w:ascii="Book Antiqua" w:hAnsi="Book Antiqua" w:cs="Times New Roman"/>
                <w:sz w:val="24"/>
                <w:szCs w:val="24"/>
              </w:rPr>
              <w:t>Unknown</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1</w:t>
            </w:r>
            <w:r>
              <w:rPr>
                <w:rFonts w:ascii="Book Antiqua" w:hAnsi="Book Antiqua" w:cs="Times New Roman"/>
                <w:sz w:val="24"/>
                <w:szCs w:val="24"/>
              </w:rPr>
              <w:t xml:space="preserve"> (</w:t>
            </w:r>
            <w:r w:rsidRPr="008F0C1A">
              <w:rPr>
                <w:rFonts w:ascii="Book Antiqua" w:hAnsi="Book Antiqua" w:cs="Times New Roman"/>
                <w:sz w:val="24"/>
                <w:szCs w:val="24"/>
              </w:rPr>
              <w:t>1.5</w:t>
            </w:r>
            <w:r>
              <w:rPr>
                <w:rFonts w:ascii="Book Antiqua" w:hAnsi="Book Antiqua" w:cs="Times New Roman"/>
                <w:sz w:val="24"/>
                <w:szCs w:val="24"/>
              </w:rPr>
              <w:t>)</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4</w:t>
            </w:r>
            <w:r>
              <w:rPr>
                <w:rFonts w:ascii="Book Antiqua" w:hAnsi="Book Antiqua" w:cs="Times New Roman"/>
                <w:sz w:val="24"/>
                <w:szCs w:val="24"/>
              </w:rPr>
              <w:t xml:space="preserve"> (</w:t>
            </w:r>
            <w:r w:rsidRPr="008F0C1A">
              <w:rPr>
                <w:rFonts w:ascii="Book Antiqua" w:hAnsi="Book Antiqua" w:cs="Times New Roman"/>
                <w:sz w:val="24"/>
                <w:szCs w:val="24"/>
              </w:rPr>
              <w:t>1.6</w:t>
            </w:r>
            <w:r>
              <w:rPr>
                <w:rFonts w:ascii="Book Antiqua" w:hAnsi="Book Antiqua" w:cs="Times New Roman"/>
                <w:sz w:val="24"/>
                <w:szCs w:val="24"/>
              </w:rPr>
              <w:t>)</w:t>
            </w:r>
          </w:p>
        </w:tc>
        <w:tc>
          <w:tcPr>
            <w:tcW w:w="1036"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p>
        </w:tc>
      </w:tr>
      <w:tr w:rsidR="00940980" w:rsidRPr="008F0C1A" w:rsidTr="00F70E60">
        <w:trPr>
          <w:trHeight w:val="63"/>
        </w:trPr>
        <w:tc>
          <w:tcPr>
            <w:tcW w:w="3510"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Endoscopic hemostasis</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p>
        </w:tc>
        <w:tc>
          <w:tcPr>
            <w:tcW w:w="1036"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1.00</w:t>
            </w:r>
          </w:p>
        </w:tc>
      </w:tr>
      <w:tr w:rsidR="00940980" w:rsidRPr="008F0C1A" w:rsidTr="00F70E60">
        <w:trPr>
          <w:trHeight w:val="63"/>
        </w:trPr>
        <w:tc>
          <w:tcPr>
            <w:tcW w:w="3510" w:type="dxa"/>
          </w:tcPr>
          <w:p w:rsidR="00940980" w:rsidRPr="008F0C1A" w:rsidRDefault="00940980" w:rsidP="00A771AE">
            <w:pPr>
              <w:wordWrap/>
              <w:adjustRightInd w:val="0"/>
              <w:snapToGrid w:val="0"/>
              <w:spacing w:line="360" w:lineRule="auto"/>
              <w:ind w:firstLineChars="200" w:firstLine="480"/>
              <w:rPr>
                <w:rFonts w:ascii="Book Antiqua" w:hAnsi="Book Antiqua" w:cs="Times New Roman"/>
                <w:sz w:val="24"/>
                <w:szCs w:val="24"/>
              </w:rPr>
            </w:pPr>
            <w:r w:rsidRPr="008F0C1A">
              <w:rPr>
                <w:rFonts w:ascii="Book Antiqua" w:hAnsi="Book Antiqua" w:cs="Times New Roman"/>
                <w:sz w:val="24"/>
                <w:szCs w:val="24"/>
              </w:rPr>
              <w:t>Yes</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66</w:t>
            </w:r>
            <w:r>
              <w:rPr>
                <w:rFonts w:ascii="Book Antiqua" w:hAnsi="Book Antiqua" w:cs="Times New Roman"/>
                <w:sz w:val="24"/>
                <w:szCs w:val="24"/>
              </w:rPr>
              <w:t xml:space="preserve"> (</w:t>
            </w:r>
            <w:r w:rsidRPr="008F0C1A">
              <w:rPr>
                <w:rFonts w:ascii="Book Antiqua" w:hAnsi="Book Antiqua" w:cs="Times New Roman"/>
                <w:sz w:val="24"/>
                <w:szCs w:val="24"/>
              </w:rPr>
              <w:t>100.0</w:t>
            </w:r>
            <w:r>
              <w:rPr>
                <w:rFonts w:ascii="Book Antiqua" w:hAnsi="Book Antiqua" w:cs="Times New Roman"/>
                <w:sz w:val="24"/>
                <w:szCs w:val="24"/>
              </w:rPr>
              <w:t>)</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0</w:t>
            </w:r>
            <w:r>
              <w:rPr>
                <w:rFonts w:ascii="Book Antiqua" w:hAnsi="Book Antiqua" w:cs="Times New Roman"/>
                <w:sz w:val="24"/>
                <w:szCs w:val="24"/>
              </w:rPr>
              <w:t xml:space="preserve"> (</w:t>
            </w:r>
            <w:r w:rsidRPr="008F0C1A">
              <w:rPr>
                <w:rFonts w:ascii="Book Antiqua" w:hAnsi="Book Antiqua" w:cs="Times New Roman"/>
                <w:sz w:val="24"/>
                <w:szCs w:val="24"/>
              </w:rPr>
              <w:t>0.0</w:t>
            </w:r>
            <w:r>
              <w:rPr>
                <w:rFonts w:ascii="Book Antiqua" w:hAnsi="Book Antiqua" w:cs="Times New Roman"/>
                <w:sz w:val="24"/>
                <w:szCs w:val="24"/>
              </w:rPr>
              <w:t>)</w:t>
            </w:r>
          </w:p>
        </w:tc>
        <w:tc>
          <w:tcPr>
            <w:tcW w:w="1036"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p>
        </w:tc>
      </w:tr>
      <w:tr w:rsidR="00940980" w:rsidRPr="008F0C1A" w:rsidTr="00F70E60">
        <w:trPr>
          <w:trHeight w:val="63"/>
        </w:trPr>
        <w:tc>
          <w:tcPr>
            <w:tcW w:w="3510" w:type="dxa"/>
          </w:tcPr>
          <w:p w:rsidR="00940980" w:rsidRPr="008F0C1A" w:rsidRDefault="00940980" w:rsidP="00A771AE">
            <w:pPr>
              <w:wordWrap/>
              <w:adjustRightInd w:val="0"/>
              <w:snapToGrid w:val="0"/>
              <w:spacing w:line="360" w:lineRule="auto"/>
              <w:ind w:firstLineChars="200" w:firstLine="480"/>
              <w:rPr>
                <w:rFonts w:ascii="Book Antiqua" w:hAnsi="Book Antiqua" w:cs="Times New Roman"/>
                <w:sz w:val="24"/>
                <w:szCs w:val="24"/>
              </w:rPr>
            </w:pPr>
            <w:r w:rsidRPr="008F0C1A">
              <w:rPr>
                <w:rFonts w:ascii="Book Antiqua" w:hAnsi="Book Antiqua" w:cs="Times New Roman"/>
                <w:sz w:val="24"/>
                <w:szCs w:val="24"/>
              </w:rPr>
              <w:t>No</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0</w:t>
            </w:r>
            <w:r>
              <w:rPr>
                <w:rFonts w:ascii="Book Antiqua" w:hAnsi="Book Antiqua" w:cs="Times New Roman"/>
                <w:sz w:val="24"/>
                <w:szCs w:val="24"/>
              </w:rPr>
              <w:t xml:space="preserve"> (</w:t>
            </w:r>
            <w:r w:rsidRPr="008F0C1A">
              <w:rPr>
                <w:rFonts w:ascii="Book Antiqua" w:hAnsi="Book Antiqua" w:cs="Times New Roman"/>
                <w:sz w:val="24"/>
                <w:szCs w:val="24"/>
              </w:rPr>
              <w:t>0.0</w:t>
            </w:r>
            <w:r>
              <w:rPr>
                <w:rFonts w:ascii="Book Antiqua" w:hAnsi="Book Antiqua" w:cs="Times New Roman"/>
                <w:sz w:val="24"/>
                <w:szCs w:val="24"/>
              </w:rPr>
              <w:t>)</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244</w:t>
            </w:r>
            <w:r>
              <w:rPr>
                <w:rFonts w:ascii="Book Antiqua" w:hAnsi="Book Antiqua" w:cs="Times New Roman"/>
                <w:sz w:val="24"/>
                <w:szCs w:val="24"/>
              </w:rPr>
              <w:t xml:space="preserve"> (</w:t>
            </w:r>
            <w:r w:rsidRPr="008F0C1A">
              <w:rPr>
                <w:rFonts w:ascii="Book Antiqua" w:hAnsi="Book Antiqua" w:cs="Times New Roman"/>
                <w:sz w:val="24"/>
                <w:szCs w:val="24"/>
              </w:rPr>
              <w:t>100.0</w:t>
            </w:r>
            <w:r>
              <w:rPr>
                <w:rFonts w:ascii="Book Antiqua" w:hAnsi="Book Antiqua" w:cs="Times New Roman"/>
                <w:sz w:val="24"/>
                <w:szCs w:val="24"/>
              </w:rPr>
              <w:t>)</w:t>
            </w:r>
          </w:p>
        </w:tc>
        <w:tc>
          <w:tcPr>
            <w:tcW w:w="1036"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p>
        </w:tc>
      </w:tr>
      <w:tr w:rsidR="00940980" w:rsidRPr="008F0C1A" w:rsidTr="00F70E60">
        <w:trPr>
          <w:trHeight w:val="63"/>
        </w:trPr>
        <w:tc>
          <w:tcPr>
            <w:tcW w:w="3510"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lastRenderedPageBreak/>
              <w:t>Occurrence of delayed bleeding</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p>
        </w:tc>
        <w:tc>
          <w:tcPr>
            <w:tcW w:w="1036"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0.38</w:t>
            </w:r>
          </w:p>
        </w:tc>
      </w:tr>
      <w:tr w:rsidR="00940980" w:rsidRPr="008F0C1A" w:rsidTr="00F70E60">
        <w:trPr>
          <w:trHeight w:val="63"/>
        </w:trPr>
        <w:tc>
          <w:tcPr>
            <w:tcW w:w="3510" w:type="dxa"/>
          </w:tcPr>
          <w:p w:rsidR="00940980" w:rsidRPr="008F0C1A" w:rsidRDefault="00940980" w:rsidP="00A771AE">
            <w:pPr>
              <w:wordWrap/>
              <w:adjustRightInd w:val="0"/>
              <w:snapToGrid w:val="0"/>
              <w:spacing w:line="360" w:lineRule="auto"/>
              <w:ind w:firstLineChars="200" w:firstLine="480"/>
              <w:rPr>
                <w:rFonts w:ascii="Book Antiqua" w:hAnsi="Book Antiqua" w:cs="Times New Roman"/>
                <w:sz w:val="24"/>
                <w:szCs w:val="24"/>
              </w:rPr>
            </w:pPr>
            <w:r w:rsidRPr="008F0C1A">
              <w:rPr>
                <w:rFonts w:ascii="Book Antiqua" w:hAnsi="Book Antiqua" w:cs="Times New Roman"/>
                <w:sz w:val="24"/>
                <w:szCs w:val="24"/>
              </w:rPr>
              <w:t>Yes</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1</w:t>
            </w:r>
            <w:r>
              <w:rPr>
                <w:rFonts w:ascii="Book Antiqua" w:hAnsi="Book Antiqua" w:cs="Times New Roman"/>
                <w:sz w:val="24"/>
                <w:szCs w:val="24"/>
              </w:rPr>
              <w:t xml:space="preserve"> (</w:t>
            </w:r>
            <w:r w:rsidRPr="008F0C1A">
              <w:rPr>
                <w:rFonts w:ascii="Book Antiqua" w:hAnsi="Book Antiqua" w:cs="Times New Roman"/>
                <w:sz w:val="24"/>
                <w:szCs w:val="24"/>
              </w:rPr>
              <w:t>1.5</w:t>
            </w:r>
            <w:r>
              <w:rPr>
                <w:rFonts w:ascii="Book Antiqua" w:hAnsi="Book Antiqua" w:cs="Times New Roman"/>
                <w:sz w:val="24"/>
                <w:szCs w:val="24"/>
              </w:rPr>
              <w:t>)</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1</w:t>
            </w:r>
            <w:r>
              <w:rPr>
                <w:rFonts w:ascii="Book Antiqua" w:hAnsi="Book Antiqua" w:cs="Times New Roman"/>
                <w:sz w:val="24"/>
                <w:szCs w:val="24"/>
              </w:rPr>
              <w:t xml:space="preserve"> (</w:t>
            </w:r>
            <w:r w:rsidRPr="008F0C1A">
              <w:rPr>
                <w:rFonts w:ascii="Book Antiqua" w:hAnsi="Book Antiqua" w:cs="Times New Roman"/>
                <w:sz w:val="24"/>
                <w:szCs w:val="24"/>
              </w:rPr>
              <w:t>0.4</w:t>
            </w:r>
            <w:r>
              <w:rPr>
                <w:rFonts w:ascii="Book Antiqua" w:hAnsi="Book Antiqua" w:cs="Times New Roman"/>
                <w:sz w:val="24"/>
                <w:szCs w:val="24"/>
              </w:rPr>
              <w:t>)</w:t>
            </w:r>
          </w:p>
        </w:tc>
        <w:tc>
          <w:tcPr>
            <w:tcW w:w="1036"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p>
        </w:tc>
      </w:tr>
      <w:tr w:rsidR="00940980" w:rsidRPr="008F0C1A" w:rsidTr="00F70E60">
        <w:trPr>
          <w:trHeight w:val="63"/>
        </w:trPr>
        <w:tc>
          <w:tcPr>
            <w:tcW w:w="3510" w:type="dxa"/>
          </w:tcPr>
          <w:p w:rsidR="00940980" w:rsidRPr="008F0C1A" w:rsidRDefault="00940980" w:rsidP="00A771AE">
            <w:pPr>
              <w:wordWrap/>
              <w:adjustRightInd w:val="0"/>
              <w:snapToGrid w:val="0"/>
              <w:spacing w:line="360" w:lineRule="auto"/>
              <w:ind w:firstLineChars="200" w:firstLine="480"/>
              <w:rPr>
                <w:rFonts w:ascii="Book Antiqua" w:hAnsi="Book Antiqua" w:cs="Times New Roman"/>
                <w:sz w:val="24"/>
                <w:szCs w:val="24"/>
              </w:rPr>
            </w:pPr>
            <w:r w:rsidRPr="008F0C1A">
              <w:rPr>
                <w:rFonts w:ascii="Book Antiqua" w:hAnsi="Book Antiqua" w:cs="Times New Roman"/>
                <w:sz w:val="24"/>
                <w:szCs w:val="24"/>
              </w:rPr>
              <w:t>No</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65</w:t>
            </w:r>
            <w:r>
              <w:rPr>
                <w:rFonts w:ascii="Book Antiqua" w:hAnsi="Book Antiqua" w:cs="Times New Roman"/>
                <w:sz w:val="24"/>
                <w:szCs w:val="24"/>
              </w:rPr>
              <w:t xml:space="preserve"> (</w:t>
            </w:r>
            <w:r w:rsidRPr="008F0C1A">
              <w:rPr>
                <w:rFonts w:ascii="Book Antiqua" w:hAnsi="Book Antiqua" w:cs="Times New Roman"/>
                <w:sz w:val="24"/>
                <w:szCs w:val="24"/>
              </w:rPr>
              <w:t>98.5</w:t>
            </w:r>
            <w:r>
              <w:rPr>
                <w:rFonts w:ascii="Book Antiqua" w:hAnsi="Book Antiqua" w:cs="Times New Roman"/>
                <w:sz w:val="24"/>
                <w:szCs w:val="24"/>
              </w:rPr>
              <w:t>)</w:t>
            </w:r>
          </w:p>
        </w:tc>
        <w:tc>
          <w:tcPr>
            <w:tcW w:w="2339"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r w:rsidRPr="008F0C1A">
              <w:rPr>
                <w:rFonts w:ascii="Book Antiqua" w:hAnsi="Book Antiqua" w:cs="Times New Roman"/>
                <w:sz w:val="24"/>
                <w:szCs w:val="24"/>
              </w:rPr>
              <w:t>243</w:t>
            </w:r>
            <w:r>
              <w:rPr>
                <w:rFonts w:ascii="Book Antiqua" w:hAnsi="Book Antiqua" w:cs="Times New Roman"/>
                <w:sz w:val="24"/>
                <w:szCs w:val="24"/>
              </w:rPr>
              <w:t xml:space="preserve"> (</w:t>
            </w:r>
            <w:r w:rsidRPr="008F0C1A">
              <w:rPr>
                <w:rFonts w:ascii="Book Antiqua" w:hAnsi="Book Antiqua" w:cs="Times New Roman"/>
                <w:sz w:val="24"/>
                <w:szCs w:val="24"/>
              </w:rPr>
              <w:t>99.6</w:t>
            </w:r>
            <w:r>
              <w:rPr>
                <w:rFonts w:ascii="Book Antiqua" w:hAnsi="Book Antiqua" w:cs="Times New Roman"/>
                <w:sz w:val="24"/>
                <w:szCs w:val="24"/>
              </w:rPr>
              <w:t>)</w:t>
            </w:r>
          </w:p>
        </w:tc>
        <w:tc>
          <w:tcPr>
            <w:tcW w:w="1036" w:type="dxa"/>
          </w:tcPr>
          <w:p w:rsidR="00940980" w:rsidRPr="008F0C1A" w:rsidRDefault="00940980" w:rsidP="00A771AE">
            <w:pPr>
              <w:wordWrap/>
              <w:adjustRightInd w:val="0"/>
              <w:snapToGrid w:val="0"/>
              <w:spacing w:line="360" w:lineRule="auto"/>
              <w:rPr>
                <w:rFonts w:ascii="Book Antiqua" w:hAnsi="Book Antiqua" w:cs="Times New Roman"/>
                <w:sz w:val="24"/>
                <w:szCs w:val="24"/>
              </w:rPr>
            </w:pPr>
          </w:p>
        </w:tc>
      </w:tr>
    </w:tbl>
    <w:p w:rsidR="004075DB" w:rsidRPr="008F0C1A" w:rsidRDefault="004075DB" w:rsidP="00A771AE">
      <w:pPr>
        <w:wordWrap/>
        <w:adjustRightInd w:val="0"/>
        <w:snapToGrid w:val="0"/>
        <w:spacing w:after="0" w:line="360" w:lineRule="auto"/>
        <w:rPr>
          <w:rFonts w:ascii="Book Antiqua" w:hAnsi="Book Antiqua"/>
          <w:sz w:val="24"/>
          <w:szCs w:val="24"/>
        </w:rPr>
      </w:pPr>
    </w:p>
    <w:p w:rsidR="004075DB" w:rsidRPr="008F0C1A" w:rsidRDefault="004075DB" w:rsidP="00A771AE">
      <w:pPr>
        <w:wordWrap/>
        <w:adjustRightInd w:val="0"/>
        <w:snapToGrid w:val="0"/>
        <w:spacing w:after="0" w:line="360" w:lineRule="auto"/>
        <w:rPr>
          <w:rFonts w:ascii="Book Antiqua" w:hAnsi="Book Antiqua"/>
          <w:sz w:val="24"/>
          <w:szCs w:val="24"/>
        </w:rPr>
      </w:pPr>
    </w:p>
    <w:p w:rsidR="00AE0CF4" w:rsidRPr="008F0C1A" w:rsidRDefault="00AE0CF4" w:rsidP="00A771AE">
      <w:pPr>
        <w:wordWrap/>
        <w:adjustRightInd w:val="0"/>
        <w:snapToGrid w:val="0"/>
        <w:spacing w:after="0" w:line="360" w:lineRule="auto"/>
        <w:rPr>
          <w:rFonts w:ascii="Book Antiqua" w:eastAsiaTheme="majorHAnsi" w:hAnsi="Book Antiqua" w:cs="Times New Roman"/>
          <w:sz w:val="24"/>
          <w:szCs w:val="24"/>
        </w:rPr>
      </w:pPr>
    </w:p>
    <w:sectPr w:rsidR="00AE0CF4" w:rsidRPr="008F0C1A" w:rsidSect="008F0C1A">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829" w:rsidRDefault="00643829" w:rsidP="00F34C0D">
      <w:pPr>
        <w:spacing w:after="0" w:line="240" w:lineRule="auto"/>
      </w:pPr>
      <w:r>
        <w:separator/>
      </w:r>
    </w:p>
  </w:endnote>
  <w:endnote w:type="continuationSeparator" w:id="0">
    <w:p w:rsidR="00643829" w:rsidRDefault="00643829" w:rsidP="00F3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75844"/>
      <w:docPartObj>
        <w:docPartGallery w:val="Page Numbers (Bottom of Page)"/>
        <w:docPartUnique/>
      </w:docPartObj>
    </w:sdtPr>
    <w:sdtEndPr/>
    <w:sdtContent>
      <w:p w:rsidR="001867F5" w:rsidRDefault="001867F5">
        <w:pPr>
          <w:pStyle w:val="a5"/>
          <w:jc w:val="center"/>
        </w:pPr>
        <w:r>
          <w:fldChar w:fldCharType="begin"/>
        </w:r>
        <w:r>
          <w:instrText xml:space="preserve"> PAGE   \* MERGEFORMAT </w:instrText>
        </w:r>
        <w:r>
          <w:fldChar w:fldCharType="separate"/>
        </w:r>
        <w:r w:rsidR="009F4B7F" w:rsidRPr="009F4B7F">
          <w:rPr>
            <w:noProof/>
            <w:lang w:val="ko-KR"/>
          </w:rPr>
          <w:t>3</w:t>
        </w:r>
        <w:r>
          <w:fldChar w:fldCharType="end"/>
        </w:r>
      </w:p>
    </w:sdtContent>
  </w:sdt>
  <w:p w:rsidR="001867F5" w:rsidRDefault="001867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829" w:rsidRDefault="00643829" w:rsidP="00F34C0D">
      <w:pPr>
        <w:spacing w:after="0" w:line="240" w:lineRule="auto"/>
      </w:pPr>
      <w:r>
        <w:separator/>
      </w:r>
    </w:p>
  </w:footnote>
  <w:footnote w:type="continuationSeparator" w:id="0">
    <w:p w:rsidR="00643829" w:rsidRDefault="00643829" w:rsidP="00F34C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ournal of Gastroenterology-smc&lt;/Style&gt;&lt;LeftDelim&gt;{&lt;/LeftDelim&gt;&lt;RightDelim&gt;}&lt;/RightDelim&gt;&lt;FontName&gt;Times New Roman&lt;/FontName&gt;&lt;FontSize&gt;11&lt;/FontSize&gt;&lt;ReflistTitle&gt;&lt;/ReflistTitle&gt;&lt;StartingRefnum&gt;1&lt;/StartingRefnum&gt;&lt;FirstLineIndent&gt;0&lt;/FirstLineIndent&gt;&lt;HangingIndent&gt;565&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ae952r023d2rf2e2dxlvvzwzze2tpr9sv00s&quot;&gt;김범진2(19개)&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record-ids&gt;&lt;/item&gt;&lt;/Libraries&gt;"/>
  </w:docVars>
  <w:rsids>
    <w:rsidRoot w:val="00880E29"/>
    <w:rsid w:val="00001C83"/>
    <w:rsid w:val="00002904"/>
    <w:rsid w:val="00004E4D"/>
    <w:rsid w:val="000056BD"/>
    <w:rsid w:val="00006F6C"/>
    <w:rsid w:val="0000742D"/>
    <w:rsid w:val="00011900"/>
    <w:rsid w:val="00012286"/>
    <w:rsid w:val="00013EAB"/>
    <w:rsid w:val="00016A4C"/>
    <w:rsid w:val="00027781"/>
    <w:rsid w:val="0003139B"/>
    <w:rsid w:val="000329D6"/>
    <w:rsid w:val="000331AB"/>
    <w:rsid w:val="00034153"/>
    <w:rsid w:val="000362FC"/>
    <w:rsid w:val="00037FA2"/>
    <w:rsid w:val="00040C0E"/>
    <w:rsid w:val="00042B79"/>
    <w:rsid w:val="0004731F"/>
    <w:rsid w:val="00050F9B"/>
    <w:rsid w:val="000512F8"/>
    <w:rsid w:val="00054FF2"/>
    <w:rsid w:val="00055FBB"/>
    <w:rsid w:val="000603AD"/>
    <w:rsid w:val="00061217"/>
    <w:rsid w:val="000631C0"/>
    <w:rsid w:val="00070207"/>
    <w:rsid w:val="00071CBC"/>
    <w:rsid w:val="0007440C"/>
    <w:rsid w:val="000746EF"/>
    <w:rsid w:val="00074F34"/>
    <w:rsid w:val="000754A8"/>
    <w:rsid w:val="00084529"/>
    <w:rsid w:val="000864FA"/>
    <w:rsid w:val="00086BB3"/>
    <w:rsid w:val="00087A43"/>
    <w:rsid w:val="00087CAB"/>
    <w:rsid w:val="00093D5F"/>
    <w:rsid w:val="0009444A"/>
    <w:rsid w:val="00094663"/>
    <w:rsid w:val="000A1A70"/>
    <w:rsid w:val="000A34F7"/>
    <w:rsid w:val="000A5184"/>
    <w:rsid w:val="000A5B26"/>
    <w:rsid w:val="000B0372"/>
    <w:rsid w:val="000B2564"/>
    <w:rsid w:val="000C2895"/>
    <w:rsid w:val="000C2B91"/>
    <w:rsid w:val="000C7FB6"/>
    <w:rsid w:val="000D066D"/>
    <w:rsid w:val="000D18E5"/>
    <w:rsid w:val="000D63FA"/>
    <w:rsid w:val="000E14A4"/>
    <w:rsid w:val="000E4701"/>
    <w:rsid w:val="000E6593"/>
    <w:rsid w:val="000F494A"/>
    <w:rsid w:val="000F4BE5"/>
    <w:rsid w:val="000F5F0F"/>
    <w:rsid w:val="000F6B9A"/>
    <w:rsid w:val="00100D11"/>
    <w:rsid w:val="001018D2"/>
    <w:rsid w:val="00106D80"/>
    <w:rsid w:val="00106E52"/>
    <w:rsid w:val="00107228"/>
    <w:rsid w:val="001075B0"/>
    <w:rsid w:val="0011008F"/>
    <w:rsid w:val="00110D7C"/>
    <w:rsid w:val="00115415"/>
    <w:rsid w:val="00117849"/>
    <w:rsid w:val="00121400"/>
    <w:rsid w:val="00123DEC"/>
    <w:rsid w:val="00123F79"/>
    <w:rsid w:val="001241B2"/>
    <w:rsid w:val="00130310"/>
    <w:rsid w:val="00137636"/>
    <w:rsid w:val="001412A3"/>
    <w:rsid w:val="00143CC2"/>
    <w:rsid w:val="00143DA8"/>
    <w:rsid w:val="00145E6F"/>
    <w:rsid w:val="00152477"/>
    <w:rsid w:val="0016142C"/>
    <w:rsid w:val="00167652"/>
    <w:rsid w:val="00173FA0"/>
    <w:rsid w:val="00175988"/>
    <w:rsid w:val="0018603A"/>
    <w:rsid w:val="001867F5"/>
    <w:rsid w:val="0018765A"/>
    <w:rsid w:val="001922A3"/>
    <w:rsid w:val="001939B3"/>
    <w:rsid w:val="00195353"/>
    <w:rsid w:val="00195F02"/>
    <w:rsid w:val="00197333"/>
    <w:rsid w:val="00197711"/>
    <w:rsid w:val="00197E3A"/>
    <w:rsid w:val="001A0DEA"/>
    <w:rsid w:val="001A32B6"/>
    <w:rsid w:val="001A5D20"/>
    <w:rsid w:val="001B1BD4"/>
    <w:rsid w:val="001B324C"/>
    <w:rsid w:val="001B43E1"/>
    <w:rsid w:val="001B4EA0"/>
    <w:rsid w:val="001B61A6"/>
    <w:rsid w:val="001B7E95"/>
    <w:rsid w:val="001C0381"/>
    <w:rsid w:val="001C6141"/>
    <w:rsid w:val="001D2C51"/>
    <w:rsid w:val="001D4ABF"/>
    <w:rsid w:val="001E4565"/>
    <w:rsid w:val="001F0583"/>
    <w:rsid w:val="001F13BB"/>
    <w:rsid w:val="00200D60"/>
    <w:rsid w:val="00202814"/>
    <w:rsid w:val="002042FC"/>
    <w:rsid w:val="0020693B"/>
    <w:rsid w:val="00212C73"/>
    <w:rsid w:val="00213C52"/>
    <w:rsid w:val="00221016"/>
    <w:rsid w:val="0022223E"/>
    <w:rsid w:val="002227F2"/>
    <w:rsid w:val="0022406F"/>
    <w:rsid w:val="00230701"/>
    <w:rsid w:val="00230939"/>
    <w:rsid w:val="00232692"/>
    <w:rsid w:val="002334CF"/>
    <w:rsid w:val="00234D9A"/>
    <w:rsid w:val="00235874"/>
    <w:rsid w:val="00235B88"/>
    <w:rsid w:val="00235C66"/>
    <w:rsid w:val="002439B9"/>
    <w:rsid w:val="00244CA0"/>
    <w:rsid w:val="00250E3C"/>
    <w:rsid w:val="00252F4E"/>
    <w:rsid w:val="00257C4E"/>
    <w:rsid w:val="002618BC"/>
    <w:rsid w:val="0027091F"/>
    <w:rsid w:val="00272A1F"/>
    <w:rsid w:val="00273899"/>
    <w:rsid w:val="00274A06"/>
    <w:rsid w:val="002769BF"/>
    <w:rsid w:val="0028104C"/>
    <w:rsid w:val="002852F1"/>
    <w:rsid w:val="002930B7"/>
    <w:rsid w:val="002974A7"/>
    <w:rsid w:val="002A4B19"/>
    <w:rsid w:val="002A7556"/>
    <w:rsid w:val="002B6FE7"/>
    <w:rsid w:val="002C5502"/>
    <w:rsid w:val="002C6FA8"/>
    <w:rsid w:val="002D4B2D"/>
    <w:rsid w:val="002D53DF"/>
    <w:rsid w:val="002D552B"/>
    <w:rsid w:val="002E231C"/>
    <w:rsid w:val="002E4FA4"/>
    <w:rsid w:val="002E5A48"/>
    <w:rsid w:val="002E679A"/>
    <w:rsid w:val="002E79F3"/>
    <w:rsid w:val="002F169E"/>
    <w:rsid w:val="002F1CBA"/>
    <w:rsid w:val="002F2B9B"/>
    <w:rsid w:val="002F5A4A"/>
    <w:rsid w:val="002F5C77"/>
    <w:rsid w:val="002F688A"/>
    <w:rsid w:val="0030117E"/>
    <w:rsid w:val="003017DF"/>
    <w:rsid w:val="00301822"/>
    <w:rsid w:val="00304199"/>
    <w:rsid w:val="00305350"/>
    <w:rsid w:val="0031033A"/>
    <w:rsid w:val="0031221D"/>
    <w:rsid w:val="0031698A"/>
    <w:rsid w:val="003251A0"/>
    <w:rsid w:val="0033474D"/>
    <w:rsid w:val="00335308"/>
    <w:rsid w:val="0033577C"/>
    <w:rsid w:val="00335DEE"/>
    <w:rsid w:val="0033610A"/>
    <w:rsid w:val="00337E9E"/>
    <w:rsid w:val="0034003C"/>
    <w:rsid w:val="00340BDC"/>
    <w:rsid w:val="00341592"/>
    <w:rsid w:val="003423B6"/>
    <w:rsid w:val="0034408F"/>
    <w:rsid w:val="003467AC"/>
    <w:rsid w:val="00346F3C"/>
    <w:rsid w:val="00351842"/>
    <w:rsid w:val="00354853"/>
    <w:rsid w:val="00360170"/>
    <w:rsid w:val="003621FD"/>
    <w:rsid w:val="003649D3"/>
    <w:rsid w:val="003712FE"/>
    <w:rsid w:val="003718B2"/>
    <w:rsid w:val="003752A8"/>
    <w:rsid w:val="00376500"/>
    <w:rsid w:val="003774E4"/>
    <w:rsid w:val="003779BF"/>
    <w:rsid w:val="003846E9"/>
    <w:rsid w:val="00390AA9"/>
    <w:rsid w:val="003936F9"/>
    <w:rsid w:val="00393FE4"/>
    <w:rsid w:val="003975DC"/>
    <w:rsid w:val="003A0B9B"/>
    <w:rsid w:val="003A394D"/>
    <w:rsid w:val="003A49C3"/>
    <w:rsid w:val="003A5D0A"/>
    <w:rsid w:val="003A5F45"/>
    <w:rsid w:val="003A6413"/>
    <w:rsid w:val="003A6780"/>
    <w:rsid w:val="003B292D"/>
    <w:rsid w:val="003B2E3A"/>
    <w:rsid w:val="003B4A5D"/>
    <w:rsid w:val="003B7245"/>
    <w:rsid w:val="003C0F0D"/>
    <w:rsid w:val="003C1259"/>
    <w:rsid w:val="003C4EF0"/>
    <w:rsid w:val="003C77E7"/>
    <w:rsid w:val="003D76F2"/>
    <w:rsid w:val="003E07CD"/>
    <w:rsid w:val="003E3C9C"/>
    <w:rsid w:val="003E4304"/>
    <w:rsid w:val="003E5ABE"/>
    <w:rsid w:val="003E5C48"/>
    <w:rsid w:val="003E6715"/>
    <w:rsid w:val="003F0A24"/>
    <w:rsid w:val="003F56F2"/>
    <w:rsid w:val="003F56F7"/>
    <w:rsid w:val="00400B2C"/>
    <w:rsid w:val="00400F31"/>
    <w:rsid w:val="00404E75"/>
    <w:rsid w:val="004069A3"/>
    <w:rsid w:val="004075DB"/>
    <w:rsid w:val="00412287"/>
    <w:rsid w:val="004129CB"/>
    <w:rsid w:val="00416039"/>
    <w:rsid w:val="00416F39"/>
    <w:rsid w:val="004204EE"/>
    <w:rsid w:val="004250EE"/>
    <w:rsid w:val="0043222D"/>
    <w:rsid w:val="0043416B"/>
    <w:rsid w:val="00434F74"/>
    <w:rsid w:val="004410CD"/>
    <w:rsid w:val="00461400"/>
    <w:rsid w:val="004629C2"/>
    <w:rsid w:val="00464F98"/>
    <w:rsid w:val="00465287"/>
    <w:rsid w:val="00476A3A"/>
    <w:rsid w:val="00477088"/>
    <w:rsid w:val="004774E3"/>
    <w:rsid w:val="00482074"/>
    <w:rsid w:val="00482A68"/>
    <w:rsid w:val="00483714"/>
    <w:rsid w:val="00484EA0"/>
    <w:rsid w:val="00486C75"/>
    <w:rsid w:val="00493E7F"/>
    <w:rsid w:val="004A03FB"/>
    <w:rsid w:val="004A6FDB"/>
    <w:rsid w:val="004B1C74"/>
    <w:rsid w:val="004B1D2E"/>
    <w:rsid w:val="004B364B"/>
    <w:rsid w:val="004B374A"/>
    <w:rsid w:val="004B4026"/>
    <w:rsid w:val="004C7080"/>
    <w:rsid w:val="004C74D0"/>
    <w:rsid w:val="004C75DC"/>
    <w:rsid w:val="004D2D83"/>
    <w:rsid w:val="004D4655"/>
    <w:rsid w:val="004D65A2"/>
    <w:rsid w:val="004E15E1"/>
    <w:rsid w:val="004E6213"/>
    <w:rsid w:val="004E6FF3"/>
    <w:rsid w:val="004F12DE"/>
    <w:rsid w:val="004F6113"/>
    <w:rsid w:val="00500B14"/>
    <w:rsid w:val="00504027"/>
    <w:rsid w:val="005131C2"/>
    <w:rsid w:val="00513222"/>
    <w:rsid w:val="0051604D"/>
    <w:rsid w:val="00517502"/>
    <w:rsid w:val="00521528"/>
    <w:rsid w:val="00524C3A"/>
    <w:rsid w:val="00527A9C"/>
    <w:rsid w:val="00527B79"/>
    <w:rsid w:val="00530928"/>
    <w:rsid w:val="00531762"/>
    <w:rsid w:val="00531777"/>
    <w:rsid w:val="00536FFC"/>
    <w:rsid w:val="00537639"/>
    <w:rsid w:val="00542044"/>
    <w:rsid w:val="005466CC"/>
    <w:rsid w:val="005529A7"/>
    <w:rsid w:val="005556B8"/>
    <w:rsid w:val="005622AD"/>
    <w:rsid w:val="005639D9"/>
    <w:rsid w:val="00564EFD"/>
    <w:rsid w:val="00566908"/>
    <w:rsid w:val="00573A08"/>
    <w:rsid w:val="00573CAE"/>
    <w:rsid w:val="00574F78"/>
    <w:rsid w:val="00576000"/>
    <w:rsid w:val="005811F5"/>
    <w:rsid w:val="00582E43"/>
    <w:rsid w:val="0058622C"/>
    <w:rsid w:val="00587E20"/>
    <w:rsid w:val="00597150"/>
    <w:rsid w:val="00597412"/>
    <w:rsid w:val="005A0204"/>
    <w:rsid w:val="005A3205"/>
    <w:rsid w:val="005B3210"/>
    <w:rsid w:val="005B35E0"/>
    <w:rsid w:val="005B7140"/>
    <w:rsid w:val="005C3E78"/>
    <w:rsid w:val="005C7653"/>
    <w:rsid w:val="005D0435"/>
    <w:rsid w:val="005D12C5"/>
    <w:rsid w:val="005D17AE"/>
    <w:rsid w:val="005D3B12"/>
    <w:rsid w:val="005E3871"/>
    <w:rsid w:val="005E6C84"/>
    <w:rsid w:val="005F0406"/>
    <w:rsid w:val="005F04B6"/>
    <w:rsid w:val="005F37E5"/>
    <w:rsid w:val="00600D61"/>
    <w:rsid w:val="006016EB"/>
    <w:rsid w:val="0060596B"/>
    <w:rsid w:val="006078B1"/>
    <w:rsid w:val="006126E5"/>
    <w:rsid w:val="00613D7D"/>
    <w:rsid w:val="00613E29"/>
    <w:rsid w:val="00617AA1"/>
    <w:rsid w:val="00617F8A"/>
    <w:rsid w:val="00620931"/>
    <w:rsid w:val="006209A9"/>
    <w:rsid w:val="006279A2"/>
    <w:rsid w:val="0063612C"/>
    <w:rsid w:val="006376F1"/>
    <w:rsid w:val="00641BAB"/>
    <w:rsid w:val="0064207C"/>
    <w:rsid w:val="006431AA"/>
    <w:rsid w:val="00643829"/>
    <w:rsid w:val="00647C76"/>
    <w:rsid w:val="00650122"/>
    <w:rsid w:val="00654E91"/>
    <w:rsid w:val="00656319"/>
    <w:rsid w:val="00660832"/>
    <w:rsid w:val="006612FC"/>
    <w:rsid w:val="006637C8"/>
    <w:rsid w:val="0066610E"/>
    <w:rsid w:val="0066652F"/>
    <w:rsid w:val="00670782"/>
    <w:rsid w:val="00672503"/>
    <w:rsid w:val="00672B9A"/>
    <w:rsid w:val="00675BAE"/>
    <w:rsid w:val="0067687D"/>
    <w:rsid w:val="006768EA"/>
    <w:rsid w:val="00677988"/>
    <w:rsid w:val="0068087F"/>
    <w:rsid w:val="006928DB"/>
    <w:rsid w:val="00693551"/>
    <w:rsid w:val="00693808"/>
    <w:rsid w:val="00695C6F"/>
    <w:rsid w:val="006A3E9F"/>
    <w:rsid w:val="006B3AC4"/>
    <w:rsid w:val="006B61E3"/>
    <w:rsid w:val="006B6DDA"/>
    <w:rsid w:val="006C5FF3"/>
    <w:rsid w:val="006D143B"/>
    <w:rsid w:val="006D346B"/>
    <w:rsid w:val="006D3991"/>
    <w:rsid w:val="006D6B09"/>
    <w:rsid w:val="006D6B70"/>
    <w:rsid w:val="006D7A0F"/>
    <w:rsid w:val="006E2609"/>
    <w:rsid w:val="006E2898"/>
    <w:rsid w:val="006E37D3"/>
    <w:rsid w:val="006E52A5"/>
    <w:rsid w:val="006F2AF1"/>
    <w:rsid w:val="006F65D6"/>
    <w:rsid w:val="006F679F"/>
    <w:rsid w:val="006F7627"/>
    <w:rsid w:val="006F7D15"/>
    <w:rsid w:val="00700046"/>
    <w:rsid w:val="0070074D"/>
    <w:rsid w:val="00701179"/>
    <w:rsid w:val="00702169"/>
    <w:rsid w:val="00706092"/>
    <w:rsid w:val="00713319"/>
    <w:rsid w:val="00714A00"/>
    <w:rsid w:val="0071555A"/>
    <w:rsid w:val="00716AFA"/>
    <w:rsid w:val="00716B09"/>
    <w:rsid w:val="007200EF"/>
    <w:rsid w:val="00720A97"/>
    <w:rsid w:val="00725AE0"/>
    <w:rsid w:val="00726109"/>
    <w:rsid w:val="00731588"/>
    <w:rsid w:val="00733EC6"/>
    <w:rsid w:val="0073527B"/>
    <w:rsid w:val="00736837"/>
    <w:rsid w:val="00737A74"/>
    <w:rsid w:val="00744822"/>
    <w:rsid w:val="007458F2"/>
    <w:rsid w:val="00745DD2"/>
    <w:rsid w:val="00746464"/>
    <w:rsid w:val="00750A9D"/>
    <w:rsid w:val="00752DF5"/>
    <w:rsid w:val="007537CD"/>
    <w:rsid w:val="00756205"/>
    <w:rsid w:val="00764032"/>
    <w:rsid w:val="00766A2F"/>
    <w:rsid w:val="00772C2C"/>
    <w:rsid w:val="00774059"/>
    <w:rsid w:val="007742E1"/>
    <w:rsid w:val="00774C49"/>
    <w:rsid w:val="00785106"/>
    <w:rsid w:val="00786590"/>
    <w:rsid w:val="00787F4C"/>
    <w:rsid w:val="007910A2"/>
    <w:rsid w:val="0079117C"/>
    <w:rsid w:val="00792231"/>
    <w:rsid w:val="007924FF"/>
    <w:rsid w:val="00797EEF"/>
    <w:rsid w:val="007A07E6"/>
    <w:rsid w:val="007A1C94"/>
    <w:rsid w:val="007A285C"/>
    <w:rsid w:val="007A38DC"/>
    <w:rsid w:val="007A4251"/>
    <w:rsid w:val="007A455E"/>
    <w:rsid w:val="007B258D"/>
    <w:rsid w:val="007B30B7"/>
    <w:rsid w:val="007B5F35"/>
    <w:rsid w:val="007B6F53"/>
    <w:rsid w:val="007C12B3"/>
    <w:rsid w:val="007D2029"/>
    <w:rsid w:val="007E0325"/>
    <w:rsid w:val="007E3858"/>
    <w:rsid w:val="007E7DE8"/>
    <w:rsid w:val="007F323A"/>
    <w:rsid w:val="007F5F97"/>
    <w:rsid w:val="007F78E4"/>
    <w:rsid w:val="00801C45"/>
    <w:rsid w:val="00811FBD"/>
    <w:rsid w:val="00814146"/>
    <w:rsid w:val="00817D61"/>
    <w:rsid w:val="00823276"/>
    <w:rsid w:val="00823940"/>
    <w:rsid w:val="00824531"/>
    <w:rsid w:val="00826567"/>
    <w:rsid w:val="008275E8"/>
    <w:rsid w:val="0082786C"/>
    <w:rsid w:val="00830A22"/>
    <w:rsid w:val="00831301"/>
    <w:rsid w:val="00836DC7"/>
    <w:rsid w:val="008370F8"/>
    <w:rsid w:val="008372B1"/>
    <w:rsid w:val="00842FD4"/>
    <w:rsid w:val="00843971"/>
    <w:rsid w:val="0085283D"/>
    <w:rsid w:val="0085781E"/>
    <w:rsid w:val="00857B0E"/>
    <w:rsid w:val="00860DFC"/>
    <w:rsid w:val="008623B1"/>
    <w:rsid w:val="0086516E"/>
    <w:rsid w:val="00872A5F"/>
    <w:rsid w:val="00873EC5"/>
    <w:rsid w:val="008772CF"/>
    <w:rsid w:val="008804B6"/>
    <w:rsid w:val="00880E29"/>
    <w:rsid w:val="00882924"/>
    <w:rsid w:val="00886D1B"/>
    <w:rsid w:val="00887C25"/>
    <w:rsid w:val="00891820"/>
    <w:rsid w:val="008B041D"/>
    <w:rsid w:val="008B2A82"/>
    <w:rsid w:val="008B36A4"/>
    <w:rsid w:val="008B3CC7"/>
    <w:rsid w:val="008B4701"/>
    <w:rsid w:val="008B6830"/>
    <w:rsid w:val="008C1D2D"/>
    <w:rsid w:val="008C2F4B"/>
    <w:rsid w:val="008C4FC8"/>
    <w:rsid w:val="008C583B"/>
    <w:rsid w:val="008D1E36"/>
    <w:rsid w:val="008D2392"/>
    <w:rsid w:val="008D251F"/>
    <w:rsid w:val="008D2AF1"/>
    <w:rsid w:val="008D6F1E"/>
    <w:rsid w:val="008E2C80"/>
    <w:rsid w:val="008E7DE7"/>
    <w:rsid w:val="008F0C1A"/>
    <w:rsid w:val="008F108C"/>
    <w:rsid w:val="008F3FD8"/>
    <w:rsid w:val="008F48FF"/>
    <w:rsid w:val="008F508C"/>
    <w:rsid w:val="008F5D77"/>
    <w:rsid w:val="0090081A"/>
    <w:rsid w:val="009022A9"/>
    <w:rsid w:val="00905807"/>
    <w:rsid w:val="00910709"/>
    <w:rsid w:val="009144AD"/>
    <w:rsid w:val="00915803"/>
    <w:rsid w:val="00920038"/>
    <w:rsid w:val="0092042E"/>
    <w:rsid w:val="00924BA7"/>
    <w:rsid w:val="00925B52"/>
    <w:rsid w:val="00925E90"/>
    <w:rsid w:val="00926419"/>
    <w:rsid w:val="009276D8"/>
    <w:rsid w:val="0093417D"/>
    <w:rsid w:val="00940980"/>
    <w:rsid w:val="0094310C"/>
    <w:rsid w:val="00951F68"/>
    <w:rsid w:val="00952D52"/>
    <w:rsid w:val="00953DE5"/>
    <w:rsid w:val="00956CFC"/>
    <w:rsid w:val="00957239"/>
    <w:rsid w:val="00957418"/>
    <w:rsid w:val="00961089"/>
    <w:rsid w:val="00961B13"/>
    <w:rsid w:val="009650B5"/>
    <w:rsid w:val="00970025"/>
    <w:rsid w:val="00970D2D"/>
    <w:rsid w:val="00971A55"/>
    <w:rsid w:val="00975011"/>
    <w:rsid w:val="00982A00"/>
    <w:rsid w:val="009839E4"/>
    <w:rsid w:val="00990062"/>
    <w:rsid w:val="00993277"/>
    <w:rsid w:val="009936D6"/>
    <w:rsid w:val="00994338"/>
    <w:rsid w:val="009958B5"/>
    <w:rsid w:val="009966D9"/>
    <w:rsid w:val="00996890"/>
    <w:rsid w:val="009A1E0B"/>
    <w:rsid w:val="009A30C4"/>
    <w:rsid w:val="009A43AD"/>
    <w:rsid w:val="009B3282"/>
    <w:rsid w:val="009B3AA2"/>
    <w:rsid w:val="009B4110"/>
    <w:rsid w:val="009C1221"/>
    <w:rsid w:val="009C20E7"/>
    <w:rsid w:val="009C2D70"/>
    <w:rsid w:val="009C4604"/>
    <w:rsid w:val="009D08AB"/>
    <w:rsid w:val="009D0CE3"/>
    <w:rsid w:val="009D17D9"/>
    <w:rsid w:val="009D29D0"/>
    <w:rsid w:val="009D2A1F"/>
    <w:rsid w:val="009E1775"/>
    <w:rsid w:val="009E2AAD"/>
    <w:rsid w:val="009E73CB"/>
    <w:rsid w:val="009F0D87"/>
    <w:rsid w:val="009F4B7F"/>
    <w:rsid w:val="009F4D5D"/>
    <w:rsid w:val="009F5DB6"/>
    <w:rsid w:val="009F654E"/>
    <w:rsid w:val="00A0533B"/>
    <w:rsid w:val="00A055D2"/>
    <w:rsid w:val="00A05C8E"/>
    <w:rsid w:val="00A05F6D"/>
    <w:rsid w:val="00A065AC"/>
    <w:rsid w:val="00A0678D"/>
    <w:rsid w:val="00A10F06"/>
    <w:rsid w:val="00A11B5F"/>
    <w:rsid w:val="00A17D1D"/>
    <w:rsid w:val="00A2502F"/>
    <w:rsid w:val="00A2774B"/>
    <w:rsid w:val="00A44C1A"/>
    <w:rsid w:val="00A457BF"/>
    <w:rsid w:val="00A547AD"/>
    <w:rsid w:val="00A54D59"/>
    <w:rsid w:val="00A60F80"/>
    <w:rsid w:val="00A610C9"/>
    <w:rsid w:val="00A6165F"/>
    <w:rsid w:val="00A76EBE"/>
    <w:rsid w:val="00A771AE"/>
    <w:rsid w:val="00A835B9"/>
    <w:rsid w:val="00A86629"/>
    <w:rsid w:val="00A956A4"/>
    <w:rsid w:val="00A9646A"/>
    <w:rsid w:val="00A96CE1"/>
    <w:rsid w:val="00A96F96"/>
    <w:rsid w:val="00A9759B"/>
    <w:rsid w:val="00AA1986"/>
    <w:rsid w:val="00AA2726"/>
    <w:rsid w:val="00AA3934"/>
    <w:rsid w:val="00AA574D"/>
    <w:rsid w:val="00AB01FB"/>
    <w:rsid w:val="00AB0261"/>
    <w:rsid w:val="00AB3415"/>
    <w:rsid w:val="00AB41B8"/>
    <w:rsid w:val="00AB5CCE"/>
    <w:rsid w:val="00AB76B5"/>
    <w:rsid w:val="00AB792A"/>
    <w:rsid w:val="00AC2621"/>
    <w:rsid w:val="00AC77ED"/>
    <w:rsid w:val="00AC7EFC"/>
    <w:rsid w:val="00AD1CB0"/>
    <w:rsid w:val="00AD653B"/>
    <w:rsid w:val="00AE0CF4"/>
    <w:rsid w:val="00AE1BD3"/>
    <w:rsid w:val="00AE7642"/>
    <w:rsid w:val="00AF4AC2"/>
    <w:rsid w:val="00AF65B7"/>
    <w:rsid w:val="00B00032"/>
    <w:rsid w:val="00B01C68"/>
    <w:rsid w:val="00B02732"/>
    <w:rsid w:val="00B05D49"/>
    <w:rsid w:val="00B113A2"/>
    <w:rsid w:val="00B12150"/>
    <w:rsid w:val="00B12ED4"/>
    <w:rsid w:val="00B25031"/>
    <w:rsid w:val="00B3024C"/>
    <w:rsid w:val="00B30A1C"/>
    <w:rsid w:val="00B3307D"/>
    <w:rsid w:val="00B3558F"/>
    <w:rsid w:val="00B413E2"/>
    <w:rsid w:val="00B434B2"/>
    <w:rsid w:val="00B60D1E"/>
    <w:rsid w:val="00B65D22"/>
    <w:rsid w:val="00B66C4D"/>
    <w:rsid w:val="00B70112"/>
    <w:rsid w:val="00B702C6"/>
    <w:rsid w:val="00B70A49"/>
    <w:rsid w:val="00B75797"/>
    <w:rsid w:val="00B76FEA"/>
    <w:rsid w:val="00B83355"/>
    <w:rsid w:val="00B8351F"/>
    <w:rsid w:val="00B862E9"/>
    <w:rsid w:val="00B86C1B"/>
    <w:rsid w:val="00B90388"/>
    <w:rsid w:val="00B90C0B"/>
    <w:rsid w:val="00B95F18"/>
    <w:rsid w:val="00B97422"/>
    <w:rsid w:val="00BA1158"/>
    <w:rsid w:val="00BA2EEB"/>
    <w:rsid w:val="00BA7819"/>
    <w:rsid w:val="00BB15CF"/>
    <w:rsid w:val="00BB315D"/>
    <w:rsid w:val="00BB61A7"/>
    <w:rsid w:val="00BB6628"/>
    <w:rsid w:val="00BB7511"/>
    <w:rsid w:val="00BC068B"/>
    <w:rsid w:val="00BC55DF"/>
    <w:rsid w:val="00BD173C"/>
    <w:rsid w:val="00BD1D15"/>
    <w:rsid w:val="00BD315E"/>
    <w:rsid w:val="00BD38B1"/>
    <w:rsid w:val="00BD6FFA"/>
    <w:rsid w:val="00BE0C60"/>
    <w:rsid w:val="00BE2477"/>
    <w:rsid w:val="00BE2C98"/>
    <w:rsid w:val="00BE3538"/>
    <w:rsid w:val="00BE375D"/>
    <w:rsid w:val="00BE5ABA"/>
    <w:rsid w:val="00BE6523"/>
    <w:rsid w:val="00BE6A5E"/>
    <w:rsid w:val="00BF56F8"/>
    <w:rsid w:val="00BF6492"/>
    <w:rsid w:val="00C000CF"/>
    <w:rsid w:val="00C00EE4"/>
    <w:rsid w:val="00C042BC"/>
    <w:rsid w:val="00C04DD3"/>
    <w:rsid w:val="00C06EA7"/>
    <w:rsid w:val="00C102E4"/>
    <w:rsid w:val="00C14DB7"/>
    <w:rsid w:val="00C15A85"/>
    <w:rsid w:val="00C22534"/>
    <w:rsid w:val="00C2594D"/>
    <w:rsid w:val="00C35451"/>
    <w:rsid w:val="00C35649"/>
    <w:rsid w:val="00C377F8"/>
    <w:rsid w:val="00C40989"/>
    <w:rsid w:val="00C46D7E"/>
    <w:rsid w:val="00C477A0"/>
    <w:rsid w:val="00C51A93"/>
    <w:rsid w:val="00C521C8"/>
    <w:rsid w:val="00C544D3"/>
    <w:rsid w:val="00C62947"/>
    <w:rsid w:val="00C64365"/>
    <w:rsid w:val="00C732D8"/>
    <w:rsid w:val="00C73DF4"/>
    <w:rsid w:val="00C816FC"/>
    <w:rsid w:val="00C8290C"/>
    <w:rsid w:val="00C85125"/>
    <w:rsid w:val="00C851F4"/>
    <w:rsid w:val="00C86E16"/>
    <w:rsid w:val="00C87CF7"/>
    <w:rsid w:val="00C93304"/>
    <w:rsid w:val="00CB2C42"/>
    <w:rsid w:val="00CB59B3"/>
    <w:rsid w:val="00CB6401"/>
    <w:rsid w:val="00CB73F8"/>
    <w:rsid w:val="00CB7DCE"/>
    <w:rsid w:val="00CC2324"/>
    <w:rsid w:val="00CC35C1"/>
    <w:rsid w:val="00CC462C"/>
    <w:rsid w:val="00CC508C"/>
    <w:rsid w:val="00CC6005"/>
    <w:rsid w:val="00CC74F6"/>
    <w:rsid w:val="00CD3BBF"/>
    <w:rsid w:val="00CD3EB1"/>
    <w:rsid w:val="00CD4454"/>
    <w:rsid w:val="00CD6FB7"/>
    <w:rsid w:val="00CE6ED7"/>
    <w:rsid w:val="00CF05CC"/>
    <w:rsid w:val="00CF60D5"/>
    <w:rsid w:val="00CF6945"/>
    <w:rsid w:val="00D012F6"/>
    <w:rsid w:val="00D056B4"/>
    <w:rsid w:val="00D10521"/>
    <w:rsid w:val="00D13983"/>
    <w:rsid w:val="00D14565"/>
    <w:rsid w:val="00D15887"/>
    <w:rsid w:val="00D21740"/>
    <w:rsid w:val="00D2325A"/>
    <w:rsid w:val="00D23428"/>
    <w:rsid w:val="00D2481D"/>
    <w:rsid w:val="00D31791"/>
    <w:rsid w:val="00D351ED"/>
    <w:rsid w:val="00D35434"/>
    <w:rsid w:val="00D419A2"/>
    <w:rsid w:val="00D44F8E"/>
    <w:rsid w:val="00D451F8"/>
    <w:rsid w:val="00D453FC"/>
    <w:rsid w:val="00D507DD"/>
    <w:rsid w:val="00D52387"/>
    <w:rsid w:val="00D54121"/>
    <w:rsid w:val="00D54D79"/>
    <w:rsid w:val="00D5630E"/>
    <w:rsid w:val="00D5674C"/>
    <w:rsid w:val="00D57FA3"/>
    <w:rsid w:val="00D636D1"/>
    <w:rsid w:val="00D64226"/>
    <w:rsid w:val="00D65841"/>
    <w:rsid w:val="00D675DD"/>
    <w:rsid w:val="00D7241F"/>
    <w:rsid w:val="00D740EA"/>
    <w:rsid w:val="00D75A6C"/>
    <w:rsid w:val="00D76613"/>
    <w:rsid w:val="00D7717C"/>
    <w:rsid w:val="00D7777E"/>
    <w:rsid w:val="00D81952"/>
    <w:rsid w:val="00D851E2"/>
    <w:rsid w:val="00D87EC0"/>
    <w:rsid w:val="00D93D95"/>
    <w:rsid w:val="00D95E57"/>
    <w:rsid w:val="00DA0992"/>
    <w:rsid w:val="00DA23B4"/>
    <w:rsid w:val="00DA3D4E"/>
    <w:rsid w:val="00DA719F"/>
    <w:rsid w:val="00DA7A94"/>
    <w:rsid w:val="00DB52DD"/>
    <w:rsid w:val="00DB667B"/>
    <w:rsid w:val="00DB6C1C"/>
    <w:rsid w:val="00DB7B9E"/>
    <w:rsid w:val="00DC3A18"/>
    <w:rsid w:val="00DC7B7A"/>
    <w:rsid w:val="00DC7BFC"/>
    <w:rsid w:val="00DD002C"/>
    <w:rsid w:val="00DD1F73"/>
    <w:rsid w:val="00DD4A8F"/>
    <w:rsid w:val="00DD4D60"/>
    <w:rsid w:val="00DD526D"/>
    <w:rsid w:val="00DE6716"/>
    <w:rsid w:val="00DE7073"/>
    <w:rsid w:val="00DF3F01"/>
    <w:rsid w:val="00DF6C26"/>
    <w:rsid w:val="00E01C85"/>
    <w:rsid w:val="00E0281A"/>
    <w:rsid w:val="00E06E8A"/>
    <w:rsid w:val="00E0746E"/>
    <w:rsid w:val="00E1462C"/>
    <w:rsid w:val="00E16D7A"/>
    <w:rsid w:val="00E175B1"/>
    <w:rsid w:val="00E265E8"/>
    <w:rsid w:val="00E27DE1"/>
    <w:rsid w:val="00E31056"/>
    <w:rsid w:val="00E36D1D"/>
    <w:rsid w:val="00E37C81"/>
    <w:rsid w:val="00E44E71"/>
    <w:rsid w:val="00E47B7D"/>
    <w:rsid w:val="00E51726"/>
    <w:rsid w:val="00E621FF"/>
    <w:rsid w:val="00E74370"/>
    <w:rsid w:val="00E766E4"/>
    <w:rsid w:val="00E77182"/>
    <w:rsid w:val="00E77B88"/>
    <w:rsid w:val="00E84831"/>
    <w:rsid w:val="00E857C7"/>
    <w:rsid w:val="00E86BA6"/>
    <w:rsid w:val="00E9165F"/>
    <w:rsid w:val="00E92596"/>
    <w:rsid w:val="00E9269F"/>
    <w:rsid w:val="00E93D83"/>
    <w:rsid w:val="00E9411C"/>
    <w:rsid w:val="00E95DB6"/>
    <w:rsid w:val="00E97640"/>
    <w:rsid w:val="00EA0AAE"/>
    <w:rsid w:val="00EA1B20"/>
    <w:rsid w:val="00EA4125"/>
    <w:rsid w:val="00EA68FA"/>
    <w:rsid w:val="00EB2E30"/>
    <w:rsid w:val="00EE06D9"/>
    <w:rsid w:val="00EE0EDD"/>
    <w:rsid w:val="00EE2038"/>
    <w:rsid w:val="00EE4AD0"/>
    <w:rsid w:val="00EE552A"/>
    <w:rsid w:val="00EF29C8"/>
    <w:rsid w:val="00EF33A1"/>
    <w:rsid w:val="00EF5CAF"/>
    <w:rsid w:val="00EF5F06"/>
    <w:rsid w:val="00EF6AB7"/>
    <w:rsid w:val="00F02345"/>
    <w:rsid w:val="00F04B18"/>
    <w:rsid w:val="00F05D6B"/>
    <w:rsid w:val="00F06858"/>
    <w:rsid w:val="00F11458"/>
    <w:rsid w:val="00F1602A"/>
    <w:rsid w:val="00F22DA8"/>
    <w:rsid w:val="00F26E04"/>
    <w:rsid w:val="00F3316F"/>
    <w:rsid w:val="00F34C0D"/>
    <w:rsid w:val="00F40D7C"/>
    <w:rsid w:val="00F43408"/>
    <w:rsid w:val="00F4350C"/>
    <w:rsid w:val="00F573B9"/>
    <w:rsid w:val="00F6394D"/>
    <w:rsid w:val="00F66514"/>
    <w:rsid w:val="00F67D92"/>
    <w:rsid w:val="00F8046D"/>
    <w:rsid w:val="00F8092B"/>
    <w:rsid w:val="00F862EF"/>
    <w:rsid w:val="00F917A1"/>
    <w:rsid w:val="00F95F36"/>
    <w:rsid w:val="00F96F59"/>
    <w:rsid w:val="00FA2703"/>
    <w:rsid w:val="00FA497F"/>
    <w:rsid w:val="00FA5650"/>
    <w:rsid w:val="00FA7072"/>
    <w:rsid w:val="00FA7A04"/>
    <w:rsid w:val="00FB2EE2"/>
    <w:rsid w:val="00FB4951"/>
    <w:rsid w:val="00FC39F3"/>
    <w:rsid w:val="00FC5D60"/>
    <w:rsid w:val="00FD14DC"/>
    <w:rsid w:val="00FD2A5A"/>
    <w:rsid w:val="00FD3D35"/>
    <w:rsid w:val="00FD76BF"/>
    <w:rsid w:val="00FE0346"/>
    <w:rsid w:val="00FE71E6"/>
    <w:rsid w:val="00FE7603"/>
    <w:rsid w:val="00FF2CE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7DF"/>
    <w:pPr>
      <w:widowControl w:val="0"/>
      <w:wordWrap w:val="0"/>
      <w:autoSpaceDE w:val="0"/>
      <w:autoSpaceDN w:val="0"/>
    </w:pPr>
  </w:style>
  <w:style w:type="paragraph" w:styleId="3">
    <w:name w:val="heading 3"/>
    <w:basedOn w:val="a"/>
    <w:link w:val="3Char"/>
    <w:uiPriority w:val="9"/>
    <w:qFormat/>
    <w:rsid w:val="00DA719F"/>
    <w:pPr>
      <w:widowControl/>
      <w:wordWrap/>
      <w:autoSpaceDE/>
      <w:autoSpaceDN/>
      <w:spacing w:before="100" w:beforeAutospacing="1" w:after="100" w:afterAutospacing="1" w:line="240" w:lineRule="auto"/>
      <w:jc w:val="left"/>
      <w:outlineLvl w:val="2"/>
    </w:pPr>
    <w:rPr>
      <w:rFonts w:ascii="Gulim" w:eastAsia="Gulim" w:hAnsi="Gulim" w:cs="Gulim"/>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221016"/>
    <w:pPr>
      <w:spacing w:after="0"/>
      <w:jc w:val="center"/>
    </w:pPr>
    <w:rPr>
      <w:rFonts w:ascii="Times New Roman" w:eastAsia="Malgun Gothic" w:hAnsi="Times New Roman" w:cs="Times New Roman"/>
      <w:noProof/>
      <w:sz w:val="22"/>
    </w:rPr>
  </w:style>
  <w:style w:type="character" w:customStyle="1" w:styleId="EndNoteBibliographyTitleChar">
    <w:name w:val="EndNote Bibliography Title Char"/>
    <w:basedOn w:val="a0"/>
    <w:link w:val="EndNoteBibliographyTitle"/>
    <w:rsid w:val="00221016"/>
    <w:rPr>
      <w:rFonts w:ascii="Times New Roman" w:eastAsia="Malgun Gothic" w:hAnsi="Times New Roman" w:cs="Times New Roman"/>
      <w:noProof/>
      <w:sz w:val="22"/>
    </w:rPr>
  </w:style>
  <w:style w:type="paragraph" w:customStyle="1" w:styleId="EndNoteBibliography">
    <w:name w:val="EndNote Bibliography"/>
    <w:basedOn w:val="a"/>
    <w:link w:val="EndNoteBibliographyChar"/>
    <w:rsid w:val="00221016"/>
    <w:pPr>
      <w:spacing w:line="480" w:lineRule="auto"/>
    </w:pPr>
    <w:rPr>
      <w:rFonts w:ascii="Times New Roman" w:eastAsia="Malgun Gothic" w:hAnsi="Times New Roman" w:cs="Times New Roman"/>
      <w:noProof/>
      <w:sz w:val="22"/>
    </w:rPr>
  </w:style>
  <w:style w:type="character" w:customStyle="1" w:styleId="EndNoteBibliographyChar">
    <w:name w:val="EndNote Bibliography Char"/>
    <w:basedOn w:val="a0"/>
    <w:link w:val="EndNoteBibliography"/>
    <w:rsid w:val="00221016"/>
    <w:rPr>
      <w:rFonts w:ascii="Times New Roman" w:eastAsia="Malgun Gothic" w:hAnsi="Times New Roman" w:cs="Times New Roman"/>
      <w:noProof/>
      <w:sz w:val="22"/>
    </w:rPr>
  </w:style>
  <w:style w:type="character" w:styleId="a3">
    <w:name w:val="Hyperlink"/>
    <w:basedOn w:val="a0"/>
    <w:uiPriority w:val="99"/>
    <w:unhideWhenUsed/>
    <w:rsid w:val="00221016"/>
    <w:rPr>
      <w:color w:val="0000FF" w:themeColor="hyperlink"/>
      <w:u w:val="single"/>
    </w:rPr>
  </w:style>
  <w:style w:type="paragraph" w:styleId="a4">
    <w:name w:val="header"/>
    <w:basedOn w:val="a"/>
    <w:link w:val="Char"/>
    <w:uiPriority w:val="99"/>
    <w:unhideWhenUsed/>
    <w:rsid w:val="00F34C0D"/>
    <w:pPr>
      <w:tabs>
        <w:tab w:val="center" w:pos="4513"/>
        <w:tab w:val="right" w:pos="9026"/>
      </w:tabs>
      <w:snapToGrid w:val="0"/>
    </w:pPr>
  </w:style>
  <w:style w:type="character" w:customStyle="1" w:styleId="Char">
    <w:name w:val="页眉 Char"/>
    <w:basedOn w:val="a0"/>
    <w:link w:val="a4"/>
    <w:uiPriority w:val="99"/>
    <w:rsid w:val="00F34C0D"/>
  </w:style>
  <w:style w:type="paragraph" w:styleId="a5">
    <w:name w:val="footer"/>
    <w:basedOn w:val="a"/>
    <w:link w:val="Char0"/>
    <w:uiPriority w:val="99"/>
    <w:unhideWhenUsed/>
    <w:rsid w:val="00F34C0D"/>
    <w:pPr>
      <w:tabs>
        <w:tab w:val="center" w:pos="4513"/>
        <w:tab w:val="right" w:pos="9026"/>
      </w:tabs>
      <w:snapToGrid w:val="0"/>
    </w:pPr>
  </w:style>
  <w:style w:type="character" w:customStyle="1" w:styleId="Char0">
    <w:name w:val="页脚 Char"/>
    <w:basedOn w:val="a0"/>
    <w:link w:val="a5"/>
    <w:uiPriority w:val="99"/>
    <w:rsid w:val="00F34C0D"/>
  </w:style>
  <w:style w:type="character" w:customStyle="1" w:styleId="hps">
    <w:name w:val="hps"/>
    <w:basedOn w:val="a0"/>
    <w:rsid w:val="00115415"/>
  </w:style>
  <w:style w:type="table" w:styleId="a6">
    <w:name w:val="Table Grid"/>
    <w:basedOn w:val="a1"/>
    <w:uiPriority w:val="59"/>
    <w:rsid w:val="00B86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E0746E"/>
    <w:pPr>
      <w:spacing w:after="0" w:line="240" w:lineRule="auto"/>
    </w:pPr>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E0746E"/>
    <w:rPr>
      <w:rFonts w:asciiTheme="majorHAnsi" w:eastAsiaTheme="majorEastAsia" w:hAnsiTheme="majorHAnsi" w:cstheme="majorBidi"/>
      <w:sz w:val="18"/>
      <w:szCs w:val="18"/>
    </w:rPr>
  </w:style>
  <w:style w:type="character" w:customStyle="1" w:styleId="3Char">
    <w:name w:val="标题 3 Char"/>
    <w:basedOn w:val="a0"/>
    <w:link w:val="3"/>
    <w:uiPriority w:val="9"/>
    <w:rsid w:val="00DA719F"/>
    <w:rPr>
      <w:rFonts w:ascii="Gulim" w:eastAsia="Gulim" w:hAnsi="Gulim" w:cs="Gulim"/>
      <w:b/>
      <w:bCs/>
      <w:kern w:val="0"/>
      <w:sz w:val="27"/>
      <w:szCs w:val="27"/>
    </w:rPr>
  </w:style>
  <w:style w:type="character" w:styleId="a8">
    <w:name w:val="annotation reference"/>
    <w:basedOn w:val="a0"/>
    <w:uiPriority w:val="99"/>
    <w:semiHidden/>
    <w:unhideWhenUsed/>
    <w:rsid w:val="00AE0CF4"/>
    <w:rPr>
      <w:sz w:val="18"/>
      <w:szCs w:val="18"/>
    </w:rPr>
  </w:style>
  <w:style w:type="paragraph" w:styleId="a9">
    <w:name w:val="annotation text"/>
    <w:basedOn w:val="a"/>
    <w:link w:val="Char2"/>
    <w:uiPriority w:val="99"/>
    <w:semiHidden/>
    <w:unhideWhenUsed/>
    <w:rsid w:val="00AE0CF4"/>
    <w:pPr>
      <w:spacing w:after="0" w:line="240" w:lineRule="auto"/>
      <w:jc w:val="left"/>
    </w:pPr>
  </w:style>
  <w:style w:type="character" w:customStyle="1" w:styleId="Char2">
    <w:name w:val="批注文字 Char"/>
    <w:basedOn w:val="a0"/>
    <w:link w:val="a9"/>
    <w:uiPriority w:val="99"/>
    <w:semiHidden/>
    <w:rsid w:val="00AE0CF4"/>
  </w:style>
  <w:style w:type="paragraph" w:styleId="aa">
    <w:name w:val="Normal (Web)"/>
    <w:basedOn w:val="a"/>
    <w:uiPriority w:val="99"/>
    <w:unhideWhenUsed/>
    <w:rsid w:val="003F56F7"/>
    <w:rPr>
      <w:rFonts w:ascii="Times New Roman" w:hAnsi="Times New Roman" w:cs="Times New Roman"/>
      <w:sz w:val="24"/>
      <w:szCs w:val="24"/>
    </w:rPr>
  </w:style>
  <w:style w:type="character" w:styleId="ab">
    <w:name w:val="line number"/>
    <w:basedOn w:val="a0"/>
    <w:uiPriority w:val="99"/>
    <w:semiHidden/>
    <w:unhideWhenUsed/>
    <w:rsid w:val="006637C8"/>
  </w:style>
  <w:style w:type="paragraph" w:styleId="ac">
    <w:name w:val="List Paragraph"/>
    <w:basedOn w:val="a"/>
    <w:uiPriority w:val="34"/>
    <w:qFormat/>
    <w:rsid w:val="008F0C1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7DF"/>
    <w:pPr>
      <w:widowControl w:val="0"/>
      <w:wordWrap w:val="0"/>
      <w:autoSpaceDE w:val="0"/>
      <w:autoSpaceDN w:val="0"/>
    </w:pPr>
  </w:style>
  <w:style w:type="paragraph" w:styleId="3">
    <w:name w:val="heading 3"/>
    <w:basedOn w:val="a"/>
    <w:link w:val="3Char"/>
    <w:uiPriority w:val="9"/>
    <w:qFormat/>
    <w:rsid w:val="00DA719F"/>
    <w:pPr>
      <w:widowControl/>
      <w:wordWrap/>
      <w:autoSpaceDE/>
      <w:autoSpaceDN/>
      <w:spacing w:before="100" w:beforeAutospacing="1" w:after="100" w:afterAutospacing="1" w:line="240" w:lineRule="auto"/>
      <w:jc w:val="left"/>
      <w:outlineLvl w:val="2"/>
    </w:pPr>
    <w:rPr>
      <w:rFonts w:ascii="Gulim" w:eastAsia="Gulim" w:hAnsi="Gulim" w:cs="Gulim"/>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221016"/>
    <w:pPr>
      <w:spacing w:after="0"/>
      <w:jc w:val="center"/>
    </w:pPr>
    <w:rPr>
      <w:rFonts w:ascii="Times New Roman" w:eastAsia="Malgun Gothic" w:hAnsi="Times New Roman" w:cs="Times New Roman"/>
      <w:noProof/>
      <w:sz w:val="22"/>
    </w:rPr>
  </w:style>
  <w:style w:type="character" w:customStyle="1" w:styleId="EndNoteBibliographyTitleChar">
    <w:name w:val="EndNote Bibliography Title Char"/>
    <w:basedOn w:val="a0"/>
    <w:link w:val="EndNoteBibliographyTitle"/>
    <w:rsid w:val="00221016"/>
    <w:rPr>
      <w:rFonts w:ascii="Times New Roman" w:eastAsia="Malgun Gothic" w:hAnsi="Times New Roman" w:cs="Times New Roman"/>
      <w:noProof/>
      <w:sz w:val="22"/>
    </w:rPr>
  </w:style>
  <w:style w:type="paragraph" w:customStyle="1" w:styleId="EndNoteBibliography">
    <w:name w:val="EndNote Bibliography"/>
    <w:basedOn w:val="a"/>
    <w:link w:val="EndNoteBibliographyChar"/>
    <w:rsid w:val="00221016"/>
    <w:pPr>
      <w:spacing w:line="480" w:lineRule="auto"/>
    </w:pPr>
    <w:rPr>
      <w:rFonts w:ascii="Times New Roman" w:eastAsia="Malgun Gothic" w:hAnsi="Times New Roman" w:cs="Times New Roman"/>
      <w:noProof/>
      <w:sz w:val="22"/>
    </w:rPr>
  </w:style>
  <w:style w:type="character" w:customStyle="1" w:styleId="EndNoteBibliographyChar">
    <w:name w:val="EndNote Bibliography Char"/>
    <w:basedOn w:val="a0"/>
    <w:link w:val="EndNoteBibliography"/>
    <w:rsid w:val="00221016"/>
    <w:rPr>
      <w:rFonts w:ascii="Times New Roman" w:eastAsia="Malgun Gothic" w:hAnsi="Times New Roman" w:cs="Times New Roman"/>
      <w:noProof/>
      <w:sz w:val="22"/>
    </w:rPr>
  </w:style>
  <w:style w:type="character" w:styleId="a3">
    <w:name w:val="Hyperlink"/>
    <w:basedOn w:val="a0"/>
    <w:uiPriority w:val="99"/>
    <w:unhideWhenUsed/>
    <w:rsid w:val="00221016"/>
    <w:rPr>
      <w:color w:val="0000FF" w:themeColor="hyperlink"/>
      <w:u w:val="single"/>
    </w:rPr>
  </w:style>
  <w:style w:type="paragraph" w:styleId="a4">
    <w:name w:val="header"/>
    <w:basedOn w:val="a"/>
    <w:link w:val="Char"/>
    <w:uiPriority w:val="99"/>
    <w:unhideWhenUsed/>
    <w:rsid w:val="00F34C0D"/>
    <w:pPr>
      <w:tabs>
        <w:tab w:val="center" w:pos="4513"/>
        <w:tab w:val="right" w:pos="9026"/>
      </w:tabs>
      <w:snapToGrid w:val="0"/>
    </w:pPr>
  </w:style>
  <w:style w:type="character" w:customStyle="1" w:styleId="Char">
    <w:name w:val="页眉 Char"/>
    <w:basedOn w:val="a0"/>
    <w:link w:val="a4"/>
    <w:uiPriority w:val="99"/>
    <w:rsid w:val="00F34C0D"/>
  </w:style>
  <w:style w:type="paragraph" w:styleId="a5">
    <w:name w:val="footer"/>
    <w:basedOn w:val="a"/>
    <w:link w:val="Char0"/>
    <w:uiPriority w:val="99"/>
    <w:unhideWhenUsed/>
    <w:rsid w:val="00F34C0D"/>
    <w:pPr>
      <w:tabs>
        <w:tab w:val="center" w:pos="4513"/>
        <w:tab w:val="right" w:pos="9026"/>
      </w:tabs>
      <w:snapToGrid w:val="0"/>
    </w:pPr>
  </w:style>
  <w:style w:type="character" w:customStyle="1" w:styleId="Char0">
    <w:name w:val="页脚 Char"/>
    <w:basedOn w:val="a0"/>
    <w:link w:val="a5"/>
    <w:uiPriority w:val="99"/>
    <w:rsid w:val="00F34C0D"/>
  </w:style>
  <w:style w:type="character" w:customStyle="1" w:styleId="hps">
    <w:name w:val="hps"/>
    <w:basedOn w:val="a0"/>
    <w:rsid w:val="00115415"/>
  </w:style>
  <w:style w:type="table" w:styleId="a6">
    <w:name w:val="Table Grid"/>
    <w:basedOn w:val="a1"/>
    <w:uiPriority w:val="59"/>
    <w:rsid w:val="00B86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E0746E"/>
    <w:pPr>
      <w:spacing w:after="0" w:line="240" w:lineRule="auto"/>
    </w:pPr>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E0746E"/>
    <w:rPr>
      <w:rFonts w:asciiTheme="majorHAnsi" w:eastAsiaTheme="majorEastAsia" w:hAnsiTheme="majorHAnsi" w:cstheme="majorBidi"/>
      <w:sz w:val="18"/>
      <w:szCs w:val="18"/>
    </w:rPr>
  </w:style>
  <w:style w:type="character" w:customStyle="1" w:styleId="3Char">
    <w:name w:val="标题 3 Char"/>
    <w:basedOn w:val="a0"/>
    <w:link w:val="3"/>
    <w:uiPriority w:val="9"/>
    <w:rsid w:val="00DA719F"/>
    <w:rPr>
      <w:rFonts w:ascii="Gulim" w:eastAsia="Gulim" w:hAnsi="Gulim" w:cs="Gulim"/>
      <w:b/>
      <w:bCs/>
      <w:kern w:val="0"/>
      <w:sz w:val="27"/>
      <w:szCs w:val="27"/>
    </w:rPr>
  </w:style>
  <w:style w:type="character" w:styleId="a8">
    <w:name w:val="annotation reference"/>
    <w:basedOn w:val="a0"/>
    <w:uiPriority w:val="99"/>
    <w:semiHidden/>
    <w:unhideWhenUsed/>
    <w:rsid w:val="00AE0CF4"/>
    <w:rPr>
      <w:sz w:val="18"/>
      <w:szCs w:val="18"/>
    </w:rPr>
  </w:style>
  <w:style w:type="paragraph" w:styleId="a9">
    <w:name w:val="annotation text"/>
    <w:basedOn w:val="a"/>
    <w:link w:val="Char2"/>
    <w:uiPriority w:val="99"/>
    <w:semiHidden/>
    <w:unhideWhenUsed/>
    <w:rsid w:val="00AE0CF4"/>
    <w:pPr>
      <w:spacing w:after="0" w:line="240" w:lineRule="auto"/>
      <w:jc w:val="left"/>
    </w:pPr>
  </w:style>
  <w:style w:type="character" w:customStyle="1" w:styleId="Char2">
    <w:name w:val="批注文字 Char"/>
    <w:basedOn w:val="a0"/>
    <w:link w:val="a9"/>
    <w:uiPriority w:val="99"/>
    <w:semiHidden/>
    <w:rsid w:val="00AE0CF4"/>
  </w:style>
  <w:style w:type="paragraph" w:styleId="aa">
    <w:name w:val="Normal (Web)"/>
    <w:basedOn w:val="a"/>
    <w:uiPriority w:val="99"/>
    <w:unhideWhenUsed/>
    <w:rsid w:val="003F56F7"/>
    <w:rPr>
      <w:rFonts w:ascii="Times New Roman" w:hAnsi="Times New Roman" w:cs="Times New Roman"/>
      <w:sz w:val="24"/>
      <w:szCs w:val="24"/>
    </w:rPr>
  </w:style>
  <w:style w:type="character" w:styleId="ab">
    <w:name w:val="line number"/>
    <w:basedOn w:val="a0"/>
    <w:uiPriority w:val="99"/>
    <w:semiHidden/>
    <w:unhideWhenUsed/>
    <w:rsid w:val="006637C8"/>
  </w:style>
  <w:style w:type="paragraph" w:styleId="ac">
    <w:name w:val="List Paragraph"/>
    <w:basedOn w:val="a"/>
    <w:uiPriority w:val="34"/>
    <w:qFormat/>
    <w:rsid w:val="008F0C1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11331">
      <w:bodyDiv w:val="1"/>
      <w:marLeft w:val="0"/>
      <w:marRight w:val="0"/>
      <w:marTop w:val="0"/>
      <w:marBottom w:val="0"/>
      <w:divBdr>
        <w:top w:val="none" w:sz="0" w:space="0" w:color="auto"/>
        <w:left w:val="none" w:sz="0" w:space="0" w:color="auto"/>
        <w:bottom w:val="none" w:sz="0" w:space="0" w:color="auto"/>
        <w:right w:val="none" w:sz="0" w:space="0" w:color="auto"/>
      </w:divBdr>
    </w:div>
    <w:div w:id="1342589355">
      <w:bodyDiv w:val="1"/>
      <w:marLeft w:val="0"/>
      <w:marRight w:val="0"/>
      <w:marTop w:val="0"/>
      <w:marBottom w:val="0"/>
      <w:divBdr>
        <w:top w:val="none" w:sz="0" w:space="0" w:color="auto"/>
        <w:left w:val="none" w:sz="0" w:space="0" w:color="auto"/>
        <w:bottom w:val="none" w:sz="0" w:space="0" w:color="auto"/>
        <w:right w:val="none" w:sz="0" w:space="0" w:color="auto"/>
      </w:divBdr>
      <w:divsChild>
        <w:div w:id="1689330385">
          <w:marLeft w:val="0"/>
          <w:marRight w:val="0"/>
          <w:marTop w:val="0"/>
          <w:marBottom w:val="0"/>
          <w:divBdr>
            <w:top w:val="none" w:sz="0" w:space="0" w:color="auto"/>
            <w:left w:val="none" w:sz="0" w:space="0" w:color="auto"/>
            <w:bottom w:val="none" w:sz="0" w:space="0" w:color="auto"/>
            <w:right w:val="none" w:sz="0" w:space="0" w:color="auto"/>
          </w:divBdr>
          <w:divsChild>
            <w:div w:id="1864511971">
              <w:marLeft w:val="0"/>
              <w:marRight w:val="0"/>
              <w:marTop w:val="0"/>
              <w:marBottom w:val="0"/>
              <w:divBdr>
                <w:top w:val="none" w:sz="0" w:space="0" w:color="auto"/>
                <w:left w:val="none" w:sz="0" w:space="0" w:color="auto"/>
                <w:bottom w:val="none" w:sz="0" w:space="0" w:color="auto"/>
                <w:right w:val="none" w:sz="0" w:space="0" w:color="auto"/>
              </w:divBdr>
              <w:divsChild>
                <w:div w:id="1657225060">
                  <w:marLeft w:val="0"/>
                  <w:marRight w:val="0"/>
                  <w:marTop w:val="0"/>
                  <w:marBottom w:val="0"/>
                  <w:divBdr>
                    <w:top w:val="none" w:sz="0" w:space="0" w:color="auto"/>
                    <w:left w:val="none" w:sz="0" w:space="0" w:color="auto"/>
                    <w:bottom w:val="none" w:sz="0" w:space="0" w:color="auto"/>
                    <w:right w:val="none" w:sz="0" w:space="0" w:color="auto"/>
                  </w:divBdr>
                </w:div>
                <w:div w:id="177447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87348">
      <w:bodyDiv w:val="1"/>
      <w:marLeft w:val="0"/>
      <w:marRight w:val="0"/>
      <w:marTop w:val="0"/>
      <w:marBottom w:val="0"/>
      <w:divBdr>
        <w:top w:val="none" w:sz="0" w:space="0" w:color="auto"/>
        <w:left w:val="none" w:sz="0" w:space="0" w:color="auto"/>
        <w:bottom w:val="none" w:sz="0" w:space="0" w:color="auto"/>
        <w:right w:val="none" w:sz="0" w:space="0" w:color="auto"/>
      </w:divBdr>
      <w:divsChild>
        <w:div w:id="1748460083">
          <w:marLeft w:val="0"/>
          <w:marRight w:val="0"/>
          <w:marTop w:val="0"/>
          <w:marBottom w:val="0"/>
          <w:divBdr>
            <w:top w:val="none" w:sz="0" w:space="0" w:color="auto"/>
            <w:left w:val="none" w:sz="0" w:space="0" w:color="auto"/>
            <w:bottom w:val="none" w:sz="0" w:space="0" w:color="auto"/>
            <w:right w:val="none" w:sz="0" w:space="0" w:color="auto"/>
          </w:divBdr>
          <w:divsChild>
            <w:div w:id="375860173">
              <w:marLeft w:val="0"/>
              <w:marRight w:val="0"/>
              <w:marTop w:val="252"/>
              <w:marBottom w:val="0"/>
              <w:divBdr>
                <w:top w:val="none" w:sz="0" w:space="0" w:color="auto"/>
                <w:left w:val="none" w:sz="0" w:space="0" w:color="auto"/>
                <w:bottom w:val="none" w:sz="0" w:space="0" w:color="auto"/>
                <w:right w:val="none" w:sz="0" w:space="0" w:color="auto"/>
              </w:divBdr>
              <w:divsChild>
                <w:div w:id="1263881419">
                  <w:marLeft w:val="0"/>
                  <w:marRight w:val="0"/>
                  <w:marTop w:val="0"/>
                  <w:marBottom w:val="0"/>
                  <w:divBdr>
                    <w:top w:val="none" w:sz="0" w:space="0" w:color="auto"/>
                    <w:left w:val="none" w:sz="0" w:space="0" w:color="auto"/>
                    <w:bottom w:val="none" w:sz="0" w:space="0" w:color="auto"/>
                    <w:right w:val="none" w:sz="0" w:space="0" w:color="auto"/>
                  </w:divBdr>
                  <w:divsChild>
                    <w:div w:id="1399938714">
                      <w:marLeft w:val="2544"/>
                      <w:marRight w:val="0"/>
                      <w:marTop w:val="0"/>
                      <w:marBottom w:val="0"/>
                      <w:divBdr>
                        <w:top w:val="none" w:sz="0" w:space="0" w:color="auto"/>
                        <w:left w:val="none" w:sz="0" w:space="0" w:color="auto"/>
                        <w:bottom w:val="none" w:sz="0" w:space="0" w:color="auto"/>
                        <w:right w:val="none" w:sz="0" w:space="0" w:color="auto"/>
                      </w:divBdr>
                      <w:divsChild>
                        <w:div w:id="549731681">
                          <w:marLeft w:val="0"/>
                          <w:marRight w:val="0"/>
                          <w:marTop w:val="240"/>
                          <w:marBottom w:val="240"/>
                          <w:divBdr>
                            <w:top w:val="none" w:sz="0" w:space="0" w:color="auto"/>
                            <w:left w:val="none" w:sz="0" w:space="0" w:color="auto"/>
                            <w:bottom w:val="none" w:sz="0" w:space="0" w:color="auto"/>
                            <w:right w:val="none" w:sz="0" w:space="0" w:color="auto"/>
                          </w:divBdr>
                          <w:divsChild>
                            <w:div w:id="11657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7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7701E-1608-4F8D-A624-63B72690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4353</Words>
  <Characters>24815</Characters>
  <Application>Microsoft Office Word</Application>
  <DocSecurity>0</DocSecurity>
  <Lines>206</Lines>
  <Paragraphs>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29110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2015-12-12T01:20:00Z</dcterms:created>
  <dcterms:modified xsi:type="dcterms:W3CDTF">2015-12-14T01:41:00Z</dcterms:modified>
</cp:coreProperties>
</file>