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61BE" w14:textId="77777777" w:rsidR="00FC7C75" w:rsidRPr="00884A81" w:rsidRDefault="00FC7C75" w:rsidP="00884A81">
      <w:pPr>
        <w:spacing w:line="360" w:lineRule="auto"/>
        <w:jc w:val="both"/>
        <w:rPr>
          <w:rFonts w:ascii="Book Antiqua" w:hAnsi="Book Antiqua"/>
          <w:b/>
        </w:rPr>
      </w:pPr>
      <w:r w:rsidRPr="00884A81">
        <w:rPr>
          <w:rFonts w:ascii="Book Antiqua" w:hAnsi="Book Antiqua"/>
          <w:b/>
        </w:rPr>
        <w:t xml:space="preserve">Name of Journal: </w:t>
      </w:r>
      <w:r w:rsidRPr="00884A81">
        <w:rPr>
          <w:rFonts w:ascii="Book Antiqua" w:hAnsi="Book Antiqua"/>
          <w:b/>
          <w:i/>
          <w:iCs/>
        </w:rPr>
        <w:t>World Journal of Transplantation</w:t>
      </w:r>
    </w:p>
    <w:p w14:paraId="59198EAA" w14:textId="77777777" w:rsidR="00FC7C75" w:rsidRPr="00884A81" w:rsidRDefault="00FC7C75" w:rsidP="00884A81">
      <w:pPr>
        <w:spacing w:line="360" w:lineRule="auto"/>
        <w:jc w:val="both"/>
        <w:rPr>
          <w:rFonts w:ascii="Book Antiqua" w:eastAsia="宋体" w:hAnsi="Book Antiqua"/>
          <w:b/>
          <w:lang w:eastAsia="zh-CN"/>
        </w:rPr>
      </w:pPr>
      <w:r w:rsidRPr="00884A81">
        <w:rPr>
          <w:rFonts w:ascii="Book Antiqua" w:hAnsi="Book Antiqua"/>
          <w:b/>
        </w:rPr>
        <w:t xml:space="preserve">ESPS Manuscript NO: </w:t>
      </w:r>
      <w:r w:rsidRPr="00884A81">
        <w:rPr>
          <w:rFonts w:ascii="Book Antiqua" w:eastAsia="宋体" w:hAnsi="Book Antiqua"/>
          <w:b/>
          <w:lang w:eastAsia="zh-CN"/>
        </w:rPr>
        <w:t>23333</w:t>
      </w:r>
    </w:p>
    <w:p w14:paraId="4482E507" w14:textId="5BCF66AC" w:rsidR="00FC7C75" w:rsidRPr="00884A81" w:rsidRDefault="00FC7C75" w:rsidP="00884A81">
      <w:pPr>
        <w:spacing w:line="360" w:lineRule="auto"/>
        <w:jc w:val="both"/>
        <w:rPr>
          <w:rFonts w:ascii="Book Antiqua" w:eastAsia="宋体" w:hAnsi="Book Antiqua"/>
          <w:b/>
          <w:lang w:eastAsia="zh-CN"/>
        </w:rPr>
      </w:pPr>
      <w:r w:rsidRPr="00884A81">
        <w:rPr>
          <w:rFonts w:ascii="Book Antiqua" w:hAnsi="Book Antiqua"/>
          <w:b/>
        </w:rPr>
        <w:t>Manuscript Type: R</w:t>
      </w:r>
      <w:r w:rsidR="00E223B0" w:rsidRPr="00884A81">
        <w:rPr>
          <w:rFonts w:ascii="Book Antiqua" w:hAnsi="Book Antiqua"/>
          <w:b/>
        </w:rPr>
        <w:t>eview</w:t>
      </w:r>
    </w:p>
    <w:p w14:paraId="6C990C24" w14:textId="77777777" w:rsidR="00FC7C75" w:rsidRPr="00884A81" w:rsidRDefault="00FC7C75" w:rsidP="00884A81">
      <w:pPr>
        <w:spacing w:line="360" w:lineRule="auto"/>
        <w:jc w:val="both"/>
        <w:rPr>
          <w:rFonts w:ascii="Book Antiqua" w:eastAsia="宋体" w:hAnsi="Book Antiqua"/>
          <w:b/>
          <w:lang w:eastAsia="zh-CN"/>
        </w:rPr>
      </w:pPr>
    </w:p>
    <w:p w14:paraId="4673AFAC" w14:textId="74B1E6F6" w:rsidR="00FC7C75" w:rsidRPr="00884A81" w:rsidRDefault="00FC7C75" w:rsidP="00884A81">
      <w:pPr>
        <w:spacing w:line="360" w:lineRule="auto"/>
        <w:jc w:val="both"/>
        <w:rPr>
          <w:rFonts w:ascii="Book Antiqua" w:hAnsi="Book Antiqua"/>
          <w:b/>
        </w:rPr>
      </w:pPr>
      <w:r w:rsidRPr="00884A81">
        <w:rPr>
          <w:rFonts w:ascii="Book Antiqua" w:hAnsi="Book Antiqua"/>
          <w:b/>
        </w:rPr>
        <w:t>Massive haemorrhage in liver transplantation</w:t>
      </w:r>
      <w:r w:rsidR="00E223B0">
        <w:rPr>
          <w:rFonts w:ascii="Book Antiqua" w:eastAsia="宋体" w:hAnsi="Book Antiqua" w:hint="eastAsia"/>
          <w:b/>
          <w:lang w:eastAsia="zh-CN"/>
        </w:rPr>
        <w:t>:</w:t>
      </w:r>
      <w:r w:rsidRPr="00884A81">
        <w:rPr>
          <w:rFonts w:ascii="Book Antiqua" w:hAnsi="Book Antiqua"/>
          <w:b/>
        </w:rPr>
        <w:t xml:space="preserve"> </w:t>
      </w:r>
      <w:r w:rsidR="00E223B0">
        <w:rPr>
          <w:rFonts w:ascii="Book Antiqua" w:eastAsia="宋体" w:hAnsi="Book Antiqua" w:hint="eastAsia"/>
          <w:b/>
          <w:lang w:eastAsia="zh-CN"/>
        </w:rPr>
        <w:t>C</w:t>
      </w:r>
      <w:r w:rsidRPr="00884A81">
        <w:rPr>
          <w:rFonts w:ascii="Book Antiqua" w:hAnsi="Book Antiqua"/>
          <w:b/>
        </w:rPr>
        <w:t>onsequences, prediction and management</w:t>
      </w:r>
    </w:p>
    <w:p w14:paraId="5F273738" w14:textId="77777777" w:rsidR="00FC7C75" w:rsidRPr="00884A81" w:rsidRDefault="00FC7C75" w:rsidP="00884A81">
      <w:pPr>
        <w:spacing w:line="360" w:lineRule="auto"/>
        <w:jc w:val="both"/>
        <w:rPr>
          <w:rFonts w:ascii="Book Antiqua" w:hAnsi="Book Antiqua"/>
          <w:b/>
        </w:rPr>
      </w:pPr>
    </w:p>
    <w:p w14:paraId="7E7E4219" w14:textId="77777777" w:rsidR="00FC7C75" w:rsidRPr="00884A81" w:rsidRDefault="00FC7C75" w:rsidP="00884A81">
      <w:pPr>
        <w:spacing w:line="360" w:lineRule="auto"/>
        <w:jc w:val="both"/>
        <w:rPr>
          <w:rFonts w:ascii="Book Antiqua" w:eastAsia="宋体" w:hAnsi="Book Antiqua"/>
          <w:lang w:eastAsia="zh-CN"/>
        </w:rPr>
      </w:pPr>
      <w:r w:rsidRPr="00884A81">
        <w:rPr>
          <w:rFonts w:ascii="Book Antiqua" w:hAnsi="Book Antiqua"/>
        </w:rPr>
        <w:t xml:space="preserve">Cleland S </w:t>
      </w:r>
      <w:r w:rsidRPr="00884A81">
        <w:rPr>
          <w:rFonts w:ascii="Book Antiqua" w:hAnsi="Book Antiqua"/>
          <w:i/>
        </w:rPr>
        <w:t>et al</w:t>
      </w:r>
      <w:r w:rsidRPr="00884A81">
        <w:rPr>
          <w:rFonts w:ascii="Book Antiqua" w:hAnsi="Book Antiqua"/>
        </w:rPr>
        <w:t>. Massive haemorrhage in liver transplantation</w:t>
      </w:r>
    </w:p>
    <w:p w14:paraId="4CBAA25B" w14:textId="77777777" w:rsidR="00FC7C75" w:rsidRPr="00884A81" w:rsidRDefault="00FC7C75" w:rsidP="00884A81">
      <w:pPr>
        <w:spacing w:line="360" w:lineRule="auto"/>
        <w:jc w:val="both"/>
        <w:rPr>
          <w:rFonts w:ascii="Book Antiqua" w:hAnsi="Book Antiqua"/>
        </w:rPr>
      </w:pPr>
    </w:p>
    <w:p w14:paraId="2EF35ED7" w14:textId="77777777" w:rsidR="00FC7C75" w:rsidRPr="00884A81" w:rsidRDefault="00FC7C75" w:rsidP="00884A81">
      <w:pPr>
        <w:spacing w:line="360" w:lineRule="auto"/>
        <w:jc w:val="both"/>
        <w:rPr>
          <w:rFonts w:ascii="Book Antiqua" w:hAnsi="Book Antiqua"/>
          <w:b/>
        </w:rPr>
      </w:pPr>
      <w:r w:rsidRPr="00884A81">
        <w:rPr>
          <w:rFonts w:ascii="Book Antiqua" w:hAnsi="Book Antiqua"/>
          <w:b/>
        </w:rPr>
        <w:t>Stuart Cleland, Carlos Corredor, Jia Jia Ye, Coimbatore Srinivas, Stuart A McCluskey</w:t>
      </w:r>
    </w:p>
    <w:p w14:paraId="498A3985" w14:textId="77777777" w:rsidR="00FC7C75" w:rsidRPr="00884A81" w:rsidRDefault="00FC7C75" w:rsidP="00884A81">
      <w:pPr>
        <w:spacing w:line="360" w:lineRule="auto"/>
        <w:jc w:val="both"/>
        <w:rPr>
          <w:rFonts w:ascii="Book Antiqua" w:hAnsi="Book Antiqua"/>
          <w:b/>
        </w:rPr>
      </w:pPr>
    </w:p>
    <w:p w14:paraId="56CD6DDE" w14:textId="77777777" w:rsidR="00FC7C75" w:rsidRPr="00884A81" w:rsidRDefault="00FC7C75" w:rsidP="00884A81">
      <w:pPr>
        <w:spacing w:line="360" w:lineRule="auto"/>
        <w:jc w:val="both"/>
        <w:rPr>
          <w:rFonts w:ascii="Book Antiqua" w:eastAsia="宋体" w:hAnsi="Book Antiqua"/>
          <w:lang w:eastAsia="zh-CN"/>
        </w:rPr>
      </w:pPr>
      <w:r w:rsidRPr="00884A81">
        <w:rPr>
          <w:rFonts w:ascii="Book Antiqua" w:hAnsi="Book Antiqua"/>
          <w:b/>
        </w:rPr>
        <w:t xml:space="preserve">Stuart Cleland, Carlos Corredor, Jia Jia Ye, Coimbatore Srinivas, Stuart A McCluskey, </w:t>
      </w:r>
      <w:r w:rsidRPr="00884A81">
        <w:rPr>
          <w:rFonts w:ascii="Book Antiqua" w:hAnsi="Book Antiqua"/>
        </w:rPr>
        <w:t>Department of Anesthesia, University of Toronto</w:t>
      </w:r>
      <w:r w:rsidRPr="00884A81">
        <w:rPr>
          <w:rFonts w:ascii="Book Antiqua" w:eastAsia="宋体" w:hAnsi="Book Antiqua"/>
          <w:lang w:eastAsia="zh-CN"/>
        </w:rPr>
        <w:t>,</w:t>
      </w:r>
      <w:r w:rsidRPr="00884A81">
        <w:rPr>
          <w:rFonts w:ascii="Book Antiqua" w:hAnsi="Book Antiqua"/>
        </w:rPr>
        <w:t xml:space="preserve"> Toronto,</w:t>
      </w:r>
      <w:r w:rsidRPr="00884A81">
        <w:rPr>
          <w:rFonts w:ascii="Book Antiqua" w:eastAsia="宋体" w:hAnsi="Book Antiqua"/>
          <w:lang w:eastAsia="zh-CN"/>
        </w:rPr>
        <w:t xml:space="preserve"> </w:t>
      </w:r>
      <w:r w:rsidRPr="00884A81">
        <w:rPr>
          <w:rFonts w:ascii="Book Antiqua" w:hAnsi="Book Antiqua"/>
        </w:rPr>
        <w:t>ON</w:t>
      </w:r>
      <w:r w:rsidRPr="00884A81">
        <w:rPr>
          <w:rFonts w:ascii="Book Antiqua" w:hAnsi="Book Antiqua" w:cs="Arial"/>
        </w:rPr>
        <w:t xml:space="preserve"> M5S 1A1</w:t>
      </w:r>
      <w:r w:rsidRPr="00884A81">
        <w:rPr>
          <w:rFonts w:ascii="Book Antiqua" w:eastAsia="宋体" w:hAnsi="Book Antiqua" w:cs="Arial"/>
          <w:lang w:eastAsia="zh-CN"/>
        </w:rPr>
        <w:t>,</w:t>
      </w:r>
      <w:r w:rsidRPr="00884A81">
        <w:rPr>
          <w:rFonts w:ascii="Book Antiqua" w:hAnsi="Book Antiqua"/>
        </w:rPr>
        <w:t xml:space="preserve"> Canada</w:t>
      </w:r>
    </w:p>
    <w:p w14:paraId="21FCD396" w14:textId="77777777" w:rsidR="00FC7C75" w:rsidRPr="00884A81" w:rsidRDefault="00FC7C75" w:rsidP="00884A81">
      <w:pPr>
        <w:spacing w:line="360" w:lineRule="auto"/>
        <w:jc w:val="both"/>
        <w:rPr>
          <w:rFonts w:ascii="Book Antiqua" w:eastAsia="宋体" w:hAnsi="Book Antiqua"/>
          <w:lang w:eastAsia="zh-CN"/>
        </w:rPr>
      </w:pPr>
    </w:p>
    <w:p w14:paraId="7B4DF795" w14:textId="77777777" w:rsidR="00FC7C75" w:rsidRPr="00884A81" w:rsidRDefault="00FC7C75" w:rsidP="00884A81">
      <w:pPr>
        <w:spacing w:line="360" w:lineRule="auto"/>
        <w:jc w:val="both"/>
        <w:rPr>
          <w:rFonts w:ascii="Book Antiqua" w:eastAsia="宋体" w:hAnsi="Book Antiqua"/>
          <w:lang w:eastAsia="zh-CN"/>
        </w:rPr>
      </w:pPr>
      <w:r w:rsidRPr="00884A81">
        <w:rPr>
          <w:rFonts w:ascii="Book Antiqua" w:hAnsi="Book Antiqua"/>
          <w:b/>
        </w:rPr>
        <w:t>Stuart Cleland, Carlos Corredor, Jia Jia Ye, Coimbatore Srinivas, Stuart A McCluskey,</w:t>
      </w:r>
      <w:r w:rsidRPr="00884A81">
        <w:rPr>
          <w:rFonts w:ascii="Book Antiqua" w:eastAsia="宋体" w:hAnsi="Book Antiqua"/>
          <w:b/>
          <w:lang w:eastAsia="zh-CN"/>
        </w:rPr>
        <w:t xml:space="preserve"> </w:t>
      </w:r>
      <w:r w:rsidRPr="00884A81">
        <w:rPr>
          <w:rFonts w:ascii="Book Antiqua" w:hAnsi="Book Antiqua"/>
        </w:rPr>
        <w:t>Department of Anesthesia and Pain Management, Toronto General Hospital, University Health Network, Toronto, ON M5G 2C4, Canada</w:t>
      </w:r>
    </w:p>
    <w:p w14:paraId="79200404" w14:textId="77777777" w:rsidR="00FC7C75" w:rsidRPr="00884A81" w:rsidRDefault="00FC7C75" w:rsidP="00884A81">
      <w:pPr>
        <w:spacing w:line="360" w:lineRule="auto"/>
        <w:jc w:val="both"/>
        <w:rPr>
          <w:rFonts w:ascii="Book Antiqua" w:eastAsia="宋体" w:hAnsi="Book Antiqua"/>
          <w:lang w:eastAsia="zh-CN"/>
        </w:rPr>
      </w:pPr>
    </w:p>
    <w:p w14:paraId="5C46F514" w14:textId="77777777" w:rsidR="00FC7C75" w:rsidRPr="00884A81" w:rsidRDefault="00FC7C75" w:rsidP="00884A81">
      <w:pPr>
        <w:spacing w:line="360" w:lineRule="auto"/>
        <w:jc w:val="both"/>
        <w:rPr>
          <w:rFonts w:ascii="Book Antiqua" w:hAnsi="Book Antiqua"/>
        </w:rPr>
      </w:pPr>
      <w:r w:rsidRPr="00884A81">
        <w:rPr>
          <w:rFonts w:ascii="Book Antiqua" w:hAnsi="Book Antiqua"/>
          <w:b/>
        </w:rPr>
        <w:t>Author contributions:</w:t>
      </w:r>
      <w:r w:rsidRPr="00884A81">
        <w:rPr>
          <w:rFonts w:ascii="Book Antiqua" w:eastAsia="宋体" w:hAnsi="Book Antiqua"/>
          <w:b/>
          <w:lang w:eastAsia="zh-CN"/>
        </w:rPr>
        <w:t xml:space="preserve"> </w:t>
      </w:r>
      <w:r w:rsidRPr="00884A81">
        <w:rPr>
          <w:rFonts w:ascii="Book Antiqua" w:hAnsi="Book Antiqua"/>
        </w:rPr>
        <w:t>All authors contributed to the conception and design of the review as well as giving final approval of the final version</w:t>
      </w:r>
      <w:r w:rsidRPr="00884A81">
        <w:rPr>
          <w:rFonts w:ascii="Book Antiqua" w:eastAsia="宋体" w:hAnsi="Book Antiqua"/>
          <w:lang w:eastAsia="zh-CN"/>
        </w:rPr>
        <w:t>;</w:t>
      </w:r>
      <w:r w:rsidRPr="00884A81">
        <w:rPr>
          <w:rFonts w:ascii="Book Antiqua" w:hAnsi="Book Antiqua"/>
        </w:rPr>
        <w:t xml:space="preserve"> Cleland</w:t>
      </w:r>
      <w:r w:rsidRPr="00884A81">
        <w:rPr>
          <w:rFonts w:ascii="Book Antiqua" w:eastAsia="宋体" w:hAnsi="Book Antiqua"/>
          <w:lang w:eastAsia="zh-CN"/>
        </w:rPr>
        <w:t xml:space="preserve"> S</w:t>
      </w:r>
      <w:r w:rsidRPr="00884A81">
        <w:rPr>
          <w:rFonts w:ascii="Book Antiqua" w:hAnsi="Book Antiqua"/>
        </w:rPr>
        <w:t xml:space="preserve">, Corredor </w:t>
      </w:r>
      <w:r w:rsidRPr="00884A81">
        <w:rPr>
          <w:rFonts w:ascii="Book Antiqua" w:eastAsia="宋体" w:hAnsi="Book Antiqua"/>
          <w:lang w:eastAsia="zh-CN"/>
        </w:rPr>
        <w:t xml:space="preserve">C </w:t>
      </w:r>
      <w:r w:rsidRPr="00884A81">
        <w:rPr>
          <w:rFonts w:ascii="Book Antiqua" w:hAnsi="Book Antiqua"/>
        </w:rPr>
        <w:t xml:space="preserve">and Ye </w:t>
      </w:r>
      <w:r w:rsidRPr="00884A81">
        <w:rPr>
          <w:rFonts w:ascii="Book Antiqua" w:eastAsia="宋体" w:hAnsi="Book Antiqua"/>
          <w:lang w:eastAsia="zh-CN"/>
        </w:rPr>
        <w:t xml:space="preserve">JJ </w:t>
      </w:r>
      <w:r w:rsidRPr="00884A81">
        <w:rPr>
          <w:rFonts w:ascii="Book Antiqua" w:hAnsi="Book Antiqua"/>
        </w:rPr>
        <w:t>performed the literature review as well as drafting of initial version and subsequent revisions up to final version</w:t>
      </w:r>
      <w:r w:rsidRPr="00884A81">
        <w:rPr>
          <w:rFonts w:ascii="Book Antiqua" w:eastAsia="宋体" w:hAnsi="Book Antiqua"/>
          <w:lang w:eastAsia="zh-CN"/>
        </w:rPr>
        <w:t>;</w:t>
      </w:r>
      <w:r w:rsidRPr="00884A81">
        <w:rPr>
          <w:rFonts w:ascii="Book Antiqua" w:hAnsi="Book Antiqua"/>
        </w:rPr>
        <w:t xml:space="preserve"> Srinivas </w:t>
      </w:r>
      <w:r w:rsidRPr="00884A81">
        <w:rPr>
          <w:rFonts w:ascii="Book Antiqua" w:eastAsia="宋体" w:hAnsi="Book Antiqua"/>
          <w:lang w:eastAsia="zh-CN"/>
        </w:rPr>
        <w:t xml:space="preserve">C </w:t>
      </w:r>
      <w:r w:rsidRPr="00884A81">
        <w:rPr>
          <w:rFonts w:ascii="Book Antiqua" w:hAnsi="Book Antiqua"/>
        </w:rPr>
        <w:t xml:space="preserve">and McCluskey </w:t>
      </w:r>
      <w:r w:rsidRPr="00884A81">
        <w:rPr>
          <w:rFonts w:ascii="Book Antiqua" w:eastAsia="宋体" w:hAnsi="Book Antiqua"/>
          <w:lang w:eastAsia="zh-CN"/>
        </w:rPr>
        <w:t xml:space="preserve">SA </w:t>
      </w:r>
      <w:r w:rsidRPr="00884A81">
        <w:rPr>
          <w:rFonts w:ascii="Book Antiqua" w:hAnsi="Book Antiqua"/>
        </w:rPr>
        <w:t xml:space="preserve">provided critical revision and editing of initial and all subsequent versions. </w:t>
      </w:r>
    </w:p>
    <w:p w14:paraId="2934E233" w14:textId="77777777" w:rsidR="00FC7C75" w:rsidRPr="00884A81" w:rsidRDefault="00FC7C75" w:rsidP="00884A81">
      <w:pPr>
        <w:spacing w:line="360" w:lineRule="auto"/>
        <w:jc w:val="both"/>
        <w:rPr>
          <w:rFonts w:ascii="Book Antiqua" w:hAnsi="Book Antiqua"/>
        </w:rPr>
      </w:pPr>
    </w:p>
    <w:p w14:paraId="6CD68183" w14:textId="77777777" w:rsidR="00FC7C75" w:rsidRPr="00884A81" w:rsidRDefault="00FC7C75" w:rsidP="00884A81">
      <w:pPr>
        <w:spacing w:line="360" w:lineRule="auto"/>
        <w:jc w:val="both"/>
        <w:rPr>
          <w:rFonts w:ascii="Book Antiqua" w:hAnsi="Book Antiqua" w:cs="Garamond-Bold"/>
          <w:bCs/>
        </w:rPr>
      </w:pPr>
      <w:r w:rsidRPr="00884A81">
        <w:rPr>
          <w:rFonts w:ascii="Book Antiqua" w:hAnsi="Book Antiqua"/>
          <w:b/>
        </w:rPr>
        <w:t>Supported by</w:t>
      </w:r>
      <w:r w:rsidRPr="00884A81">
        <w:rPr>
          <w:rFonts w:ascii="Book Antiqua" w:hAnsi="Book Antiqua" w:cs="Garamond-Bold"/>
          <w:bCs/>
        </w:rPr>
        <w:t xml:space="preserve"> </w:t>
      </w:r>
      <w:r w:rsidRPr="00884A81">
        <w:rPr>
          <w:rFonts w:ascii="Book Antiqua" w:hAnsi="Book Antiqua"/>
        </w:rPr>
        <w:t>Department of Anesthesia and Pain Management academic program support.</w:t>
      </w:r>
    </w:p>
    <w:p w14:paraId="7C336743" w14:textId="77777777" w:rsidR="00FC7C75" w:rsidRPr="00884A81" w:rsidRDefault="00FC7C75" w:rsidP="00884A81">
      <w:pPr>
        <w:spacing w:line="360" w:lineRule="auto"/>
        <w:jc w:val="both"/>
        <w:rPr>
          <w:rFonts w:ascii="Book Antiqua" w:hAnsi="Book Antiqua"/>
          <w:b/>
        </w:rPr>
      </w:pPr>
    </w:p>
    <w:p w14:paraId="5B0D6C1A" w14:textId="77777777" w:rsidR="00FC7C75" w:rsidRPr="00884A81" w:rsidRDefault="00FC7C75" w:rsidP="00884A81">
      <w:pPr>
        <w:spacing w:line="360" w:lineRule="auto"/>
        <w:jc w:val="both"/>
        <w:rPr>
          <w:rFonts w:ascii="Book Antiqua" w:hAnsi="Book Antiqua" w:cs="Garamond"/>
        </w:rPr>
      </w:pPr>
      <w:r w:rsidRPr="00884A81">
        <w:rPr>
          <w:rFonts w:ascii="Book Antiqua" w:hAnsi="Book Antiqua" w:cs="TimesNewRomanPS-BoldItalicMT"/>
          <w:b/>
          <w:bCs/>
          <w:iCs/>
        </w:rPr>
        <w:lastRenderedPageBreak/>
        <w:t>Conflict-of-interest</w:t>
      </w:r>
      <w:r w:rsidRPr="00884A81">
        <w:rPr>
          <w:rFonts w:ascii="Book Antiqua" w:hAnsi="Book Antiqua"/>
        </w:rPr>
        <w:t xml:space="preserve"> </w:t>
      </w:r>
      <w:r w:rsidRPr="00884A81">
        <w:rPr>
          <w:rFonts w:ascii="Book Antiqua" w:hAnsi="Book Antiqua" w:cs="TimesNewRomanPS-BoldItalicMT"/>
          <w:b/>
          <w:bCs/>
          <w:iCs/>
        </w:rPr>
        <w:t xml:space="preserve">statement: </w:t>
      </w:r>
      <w:r w:rsidRPr="00884A81">
        <w:rPr>
          <w:rFonts w:ascii="Book Antiqua" w:hAnsi="Book Antiqua"/>
        </w:rPr>
        <w:t>No potential conflicts of interest. No financial support.</w:t>
      </w:r>
    </w:p>
    <w:p w14:paraId="2CF8F78A" w14:textId="77777777" w:rsidR="00FC7C75" w:rsidRPr="00884A81" w:rsidRDefault="00FC7C75" w:rsidP="00884A81">
      <w:pPr>
        <w:spacing w:line="360" w:lineRule="auto"/>
        <w:jc w:val="both"/>
        <w:rPr>
          <w:rFonts w:ascii="Book Antiqua" w:hAnsi="Book Antiqua" w:cs="Garamond"/>
        </w:rPr>
      </w:pPr>
    </w:p>
    <w:p w14:paraId="663D37A8" w14:textId="77777777" w:rsidR="00FC7C75" w:rsidRPr="00884A81" w:rsidRDefault="00FC7C75" w:rsidP="00884A81">
      <w:pPr>
        <w:spacing w:line="360" w:lineRule="auto"/>
        <w:jc w:val="both"/>
        <w:rPr>
          <w:rFonts w:ascii="Book Antiqua" w:hAnsi="Book Antiqua"/>
        </w:rPr>
      </w:pPr>
      <w:bookmarkStart w:id="0" w:name="OLE_LINK507"/>
      <w:bookmarkStart w:id="1" w:name="OLE_LINK506"/>
      <w:bookmarkStart w:id="2" w:name="OLE_LINK496"/>
      <w:bookmarkStart w:id="3" w:name="OLE_LINK479"/>
      <w:r w:rsidRPr="00884A81">
        <w:rPr>
          <w:rFonts w:ascii="Book Antiqua" w:hAnsi="Book Antiqua"/>
          <w:b/>
        </w:rPr>
        <w:t xml:space="preserve">Open-Access: </w:t>
      </w:r>
      <w:r w:rsidRPr="00884A8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4A81">
          <w:rPr>
            <w:rStyle w:val="Hyperlink"/>
            <w:rFonts w:ascii="Book Antiqua" w:hAnsi="Book Antiqua"/>
            <w:color w:val="auto"/>
            <w:u w:val="none"/>
          </w:rPr>
          <w:t>http://creativecommons.org/licenses/by-nc/4.0/</w:t>
        </w:r>
      </w:hyperlink>
      <w:bookmarkEnd w:id="0"/>
      <w:bookmarkEnd w:id="1"/>
      <w:bookmarkEnd w:id="2"/>
      <w:bookmarkEnd w:id="3"/>
    </w:p>
    <w:p w14:paraId="558D0FA8" w14:textId="77777777" w:rsidR="00FC7C75" w:rsidRPr="00884A81" w:rsidRDefault="00FC7C75" w:rsidP="00884A81">
      <w:pPr>
        <w:spacing w:line="360" w:lineRule="auto"/>
        <w:jc w:val="both"/>
        <w:rPr>
          <w:rFonts w:ascii="Book Antiqua" w:hAnsi="Book Antiqua"/>
        </w:rPr>
      </w:pPr>
    </w:p>
    <w:p w14:paraId="1F9E81E4" w14:textId="77777777" w:rsidR="00FC7C75" w:rsidRPr="00884A81" w:rsidRDefault="00FC7C75" w:rsidP="00884A81">
      <w:pPr>
        <w:spacing w:line="360" w:lineRule="auto"/>
        <w:jc w:val="both"/>
        <w:rPr>
          <w:rFonts w:ascii="Book Antiqua" w:eastAsia="宋体" w:hAnsi="Book Antiqua"/>
          <w:b/>
          <w:lang w:eastAsia="zh-CN"/>
        </w:rPr>
      </w:pPr>
      <w:r w:rsidRPr="00884A81">
        <w:rPr>
          <w:rFonts w:ascii="Book Antiqua" w:hAnsi="Book Antiqua"/>
          <w:b/>
        </w:rPr>
        <w:t>Correspondence to:</w:t>
      </w:r>
      <w:r w:rsidRPr="00884A81">
        <w:rPr>
          <w:rFonts w:ascii="Book Antiqua" w:eastAsia="宋体" w:hAnsi="Book Antiqua"/>
          <w:b/>
          <w:lang w:eastAsia="zh-CN"/>
        </w:rPr>
        <w:t xml:space="preserve"> </w:t>
      </w:r>
      <w:r w:rsidRPr="00884A81">
        <w:rPr>
          <w:rFonts w:ascii="Book Antiqua" w:hAnsi="Book Antiqua"/>
          <w:b/>
        </w:rPr>
        <w:t>Stuart McCluskey, MD, PHD, FRCPC</w:t>
      </w:r>
      <w:r w:rsidRPr="00884A81">
        <w:rPr>
          <w:rFonts w:ascii="Book Antiqua" w:eastAsia="宋体" w:hAnsi="Book Antiqua"/>
          <w:b/>
          <w:lang w:eastAsia="zh-CN"/>
        </w:rPr>
        <w:t>,</w:t>
      </w:r>
      <w:r w:rsidRPr="00884A81">
        <w:rPr>
          <w:rFonts w:ascii="Book Antiqua" w:hAnsi="Book Antiqua"/>
        </w:rPr>
        <w:t xml:space="preserve"> Department of Anesthesia and Pain Management, Toronto General Hospital, University Health Network, 200 Elizabeth Street, EN3-438, Toronto, ON M5G 2C4, Canada. </w:t>
      </w:r>
      <w:hyperlink r:id="rId10" w:history="1">
        <w:r w:rsidRPr="00884A81">
          <w:rPr>
            <w:rStyle w:val="Hyperlink"/>
            <w:rFonts w:ascii="Book Antiqua" w:hAnsi="Book Antiqua"/>
            <w:color w:val="auto"/>
            <w:u w:val="none"/>
          </w:rPr>
          <w:t>stuart.mccluskey@uhn.ca</w:t>
        </w:r>
      </w:hyperlink>
      <w:r w:rsidRPr="00884A81">
        <w:rPr>
          <w:rFonts w:ascii="Book Antiqua" w:hAnsi="Book Antiqua"/>
          <w:b/>
        </w:rPr>
        <w:t xml:space="preserve"> </w:t>
      </w:r>
    </w:p>
    <w:p w14:paraId="1EE9C3D9" w14:textId="77777777" w:rsidR="00FC7C75" w:rsidRPr="00884A81" w:rsidRDefault="00FC7C75" w:rsidP="00884A81">
      <w:pPr>
        <w:spacing w:line="360" w:lineRule="auto"/>
        <w:jc w:val="both"/>
        <w:rPr>
          <w:rFonts w:ascii="Book Antiqua" w:hAnsi="Book Antiqua"/>
        </w:rPr>
      </w:pPr>
      <w:r w:rsidRPr="00884A81">
        <w:rPr>
          <w:rFonts w:ascii="Book Antiqua" w:hAnsi="Book Antiqua"/>
          <w:b/>
        </w:rPr>
        <w:t xml:space="preserve">Telephone: </w:t>
      </w:r>
      <w:r w:rsidRPr="00884A81">
        <w:rPr>
          <w:rFonts w:ascii="Book Antiqua" w:hAnsi="Book Antiqua"/>
        </w:rPr>
        <w:t>+1</w:t>
      </w:r>
      <w:r w:rsidRPr="00884A81">
        <w:rPr>
          <w:rFonts w:ascii="Book Antiqua" w:eastAsia="宋体" w:hAnsi="Book Antiqua"/>
          <w:lang w:eastAsia="zh-CN"/>
        </w:rPr>
        <w:t>-</w:t>
      </w:r>
      <w:r w:rsidRPr="00884A81">
        <w:rPr>
          <w:rFonts w:ascii="Book Antiqua" w:hAnsi="Book Antiqua"/>
        </w:rPr>
        <w:t>416</w:t>
      </w:r>
      <w:r w:rsidRPr="00884A81">
        <w:rPr>
          <w:rFonts w:ascii="Book Antiqua" w:eastAsia="宋体" w:hAnsi="Book Antiqua"/>
          <w:lang w:eastAsia="zh-CN"/>
        </w:rPr>
        <w:t>-</w:t>
      </w:r>
      <w:r w:rsidRPr="00884A81">
        <w:rPr>
          <w:rFonts w:ascii="Book Antiqua" w:hAnsi="Book Antiqua"/>
        </w:rPr>
        <w:t>3405164</w:t>
      </w:r>
    </w:p>
    <w:p w14:paraId="090B2245" w14:textId="77777777" w:rsidR="00FC7C75" w:rsidRPr="00884A81" w:rsidRDefault="00FC7C75" w:rsidP="00884A81">
      <w:pPr>
        <w:spacing w:line="360" w:lineRule="auto"/>
        <w:jc w:val="both"/>
        <w:rPr>
          <w:rFonts w:ascii="Book Antiqua" w:hAnsi="Book Antiqua"/>
        </w:rPr>
      </w:pPr>
      <w:r w:rsidRPr="00884A81">
        <w:rPr>
          <w:rFonts w:ascii="Book Antiqua" w:hAnsi="Book Antiqua"/>
          <w:b/>
        </w:rPr>
        <w:t xml:space="preserve">Fax: </w:t>
      </w:r>
      <w:r w:rsidRPr="00884A81">
        <w:rPr>
          <w:rFonts w:ascii="Book Antiqua" w:hAnsi="Book Antiqua"/>
        </w:rPr>
        <w:t>+1</w:t>
      </w:r>
      <w:r w:rsidRPr="00884A81">
        <w:rPr>
          <w:rFonts w:ascii="Book Antiqua" w:eastAsia="宋体" w:hAnsi="Book Antiqua"/>
          <w:lang w:eastAsia="zh-CN"/>
        </w:rPr>
        <w:t>-</w:t>
      </w:r>
      <w:r w:rsidRPr="00884A81">
        <w:rPr>
          <w:rFonts w:ascii="Book Antiqua" w:hAnsi="Book Antiqua"/>
        </w:rPr>
        <w:t>416</w:t>
      </w:r>
      <w:r w:rsidRPr="00884A81">
        <w:rPr>
          <w:rFonts w:ascii="Book Antiqua" w:eastAsia="宋体" w:hAnsi="Book Antiqua"/>
          <w:lang w:eastAsia="zh-CN"/>
        </w:rPr>
        <w:t>-</w:t>
      </w:r>
      <w:r w:rsidRPr="00884A81">
        <w:rPr>
          <w:rFonts w:ascii="Book Antiqua" w:hAnsi="Book Antiqua"/>
        </w:rPr>
        <w:t>3403698</w:t>
      </w:r>
    </w:p>
    <w:p w14:paraId="0B2E5AA8" w14:textId="77777777" w:rsidR="00FC7C75" w:rsidRPr="00884A81" w:rsidRDefault="00FC7C75" w:rsidP="00884A81">
      <w:pPr>
        <w:spacing w:line="360" w:lineRule="auto"/>
        <w:jc w:val="both"/>
        <w:rPr>
          <w:rFonts w:ascii="Book Antiqua" w:eastAsia="宋体" w:hAnsi="Book Antiqua"/>
          <w:lang w:eastAsia="zh-CN"/>
        </w:rPr>
      </w:pPr>
    </w:p>
    <w:p w14:paraId="0C588B3E" w14:textId="5A719E68" w:rsidR="00FC7C75" w:rsidRPr="00884A81" w:rsidRDefault="00FC7C75" w:rsidP="00884A81">
      <w:pPr>
        <w:spacing w:line="360" w:lineRule="auto"/>
        <w:jc w:val="both"/>
        <w:rPr>
          <w:rFonts w:ascii="Book Antiqua" w:hAnsi="Book Antiqua"/>
          <w:b/>
        </w:rPr>
      </w:pPr>
      <w:r w:rsidRPr="00884A81">
        <w:rPr>
          <w:rFonts w:ascii="Book Antiqua" w:hAnsi="Book Antiqua"/>
          <w:b/>
        </w:rPr>
        <w:t xml:space="preserve">Received: </w:t>
      </w:r>
      <w:r w:rsidRPr="00884A81">
        <w:rPr>
          <w:rFonts w:ascii="Book Antiqua" w:eastAsia="宋体" w:hAnsi="Book Antiqua"/>
          <w:lang w:eastAsia="zh-CN"/>
        </w:rPr>
        <w:t>November 10, 2015</w:t>
      </w:r>
      <w:r w:rsidR="00884A81" w:rsidRPr="00884A81">
        <w:rPr>
          <w:rFonts w:ascii="Book Antiqua" w:hAnsi="Book Antiqua"/>
        </w:rPr>
        <w:t xml:space="preserve"> </w:t>
      </w:r>
    </w:p>
    <w:p w14:paraId="3BE28372" w14:textId="7524170A" w:rsidR="00FC7C75" w:rsidRPr="00884A81" w:rsidRDefault="00FC7C75" w:rsidP="00884A81">
      <w:pPr>
        <w:spacing w:line="360" w:lineRule="auto"/>
        <w:jc w:val="both"/>
        <w:rPr>
          <w:rFonts w:ascii="Book Antiqua" w:hAnsi="Book Antiqua"/>
          <w:b/>
        </w:rPr>
      </w:pPr>
      <w:r w:rsidRPr="00884A81">
        <w:rPr>
          <w:rFonts w:ascii="Book Antiqua" w:hAnsi="Book Antiqua"/>
          <w:b/>
        </w:rPr>
        <w:t>Peer-review started:</w:t>
      </w:r>
      <w:r w:rsidRPr="00884A81">
        <w:rPr>
          <w:rFonts w:ascii="Book Antiqua" w:eastAsia="宋体" w:hAnsi="Book Antiqua"/>
          <w:lang w:eastAsia="zh-CN"/>
        </w:rPr>
        <w:t xml:space="preserve"> November 12, 2015</w:t>
      </w:r>
      <w:r w:rsidR="00884A81" w:rsidRPr="00884A81">
        <w:rPr>
          <w:rFonts w:ascii="Book Antiqua" w:hAnsi="Book Antiqua"/>
        </w:rPr>
        <w:t xml:space="preserve"> </w:t>
      </w:r>
    </w:p>
    <w:p w14:paraId="7BD96F8C" w14:textId="77777777" w:rsidR="00FC7C75" w:rsidRPr="00884A81" w:rsidRDefault="00FC7C75" w:rsidP="00884A81">
      <w:pPr>
        <w:spacing w:line="360" w:lineRule="auto"/>
        <w:jc w:val="both"/>
        <w:rPr>
          <w:rFonts w:ascii="Book Antiqua" w:eastAsia="宋体" w:hAnsi="Book Antiqua"/>
          <w:b/>
          <w:lang w:eastAsia="zh-CN"/>
        </w:rPr>
      </w:pPr>
      <w:r w:rsidRPr="00884A81">
        <w:rPr>
          <w:rFonts w:ascii="Book Antiqua" w:hAnsi="Book Antiqua"/>
          <w:b/>
        </w:rPr>
        <w:t>First decision:</w:t>
      </w:r>
      <w:r w:rsidRPr="00884A81">
        <w:rPr>
          <w:rFonts w:ascii="Book Antiqua" w:eastAsia="宋体" w:hAnsi="Book Antiqua"/>
          <w:b/>
          <w:lang w:eastAsia="zh-CN"/>
        </w:rPr>
        <w:t xml:space="preserve"> </w:t>
      </w:r>
      <w:r w:rsidRPr="00884A81">
        <w:rPr>
          <w:rFonts w:ascii="Book Antiqua" w:eastAsia="宋体" w:hAnsi="Book Antiqua"/>
          <w:lang w:eastAsia="zh-CN"/>
        </w:rPr>
        <w:t>February 2, 2016</w:t>
      </w:r>
    </w:p>
    <w:p w14:paraId="5F994478" w14:textId="57E1C573" w:rsidR="00FC7C75" w:rsidRPr="00884A81" w:rsidRDefault="00FC7C75" w:rsidP="00884A81">
      <w:pPr>
        <w:spacing w:line="360" w:lineRule="auto"/>
        <w:jc w:val="both"/>
        <w:rPr>
          <w:rFonts w:ascii="Book Antiqua" w:hAnsi="Book Antiqua"/>
          <w:b/>
        </w:rPr>
      </w:pPr>
      <w:r w:rsidRPr="00884A81">
        <w:rPr>
          <w:rFonts w:ascii="Book Antiqua" w:hAnsi="Book Antiqua"/>
          <w:b/>
        </w:rPr>
        <w:t>Revised:</w:t>
      </w:r>
      <w:r w:rsidRPr="00884A81">
        <w:rPr>
          <w:rFonts w:ascii="Book Antiqua" w:hAnsi="Book Antiqua"/>
        </w:rPr>
        <w:t xml:space="preserve"> </w:t>
      </w:r>
      <w:r w:rsidRPr="00884A81">
        <w:rPr>
          <w:rFonts w:ascii="Book Antiqua" w:eastAsia="宋体" w:hAnsi="Book Antiqua"/>
          <w:lang w:eastAsia="zh-CN"/>
        </w:rPr>
        <w:t>March 22, 2016</w:t>
      </w:r>
      <w:r w:rsidRPr="00884A81">
        <w:rPr>
          <w:rFonts w:ascii="Book Antiqua" w:hAnsi="Book Antiqua"/>
        </w:rPr>
        <w:t xml:space="preserve"> </w:t>
      </w:r>
    </w:p>
    <w:p w14:paraId="15E49E1E" w14:textId="1157DBC6" w:rsidR="00FC7C75" w:rsidRPr="00A33C12" w:rsidRDefault="00FC7C75" w:rsidP="00A33C12">
      <w:pPr>
        <w:rPr>
          <w:rFonts w:ascii="Book Antiqua" w:hAnsi="Book Antiqua"/>
          <w:iCs/>
        </w:rPr>
      </w:pPr>
      <w:r w:rsidRPr="00884A81">
        <w:rPr>
          <w:rFonts w:ascii="Book Antiqua" w:hAnsi="Book Antiqua"/>
          <w:b/>
        </w:rPr>
        <w:t>Accepted:</w:t>
      </w:r>
      <w:r w:rsidR="00884A81" w:rsidRPr="00884A81">
        <w:rPr>
          <w:rFonts w:ascii="Book Antiqua" w:hAnsi="Book Antiqua"/>
          <w:b/>
        </w:rPr>
        <w:t xml:space="preserve"> </w:t>
      </w:r>
      <w:r w:rsidR="00A33C12">
        <w:rPr>
          <w:rStyle w:val="Emphasis"/>
        </w:rPr>
        <w:t>April 7</w:t>
      </w:r>
      <w:r w:rsidR="00A33C12" w:rsidRPr="00235CD4">
        <w:rPr>
          <w:rStyle w:val="Emphasis"/>
        </w:rPr>
        <w:t>,</w:t>
      </w:r>
      <w:r w:rsidR="00A33C12">
        <w:rPr>
          <w:rStyle w:val="Emphasis"/>
        </w:rPr>
        <w:t xml:space="preserve"> 2016</w:t>
      </w:r>
    </w:p>
    <w:p w14:paraId="7E92954C" w14:textId="1EFD2EAC" w:rsidR="00FC7C75" w:rsidRPr="00884A81" w:rsidRDefault="00FC7C75" w:rsidP="00884A81">
      <w:pPr>
        <w:spacing w:line="360" w:lineRule="auto"/>
        <w:jc w:val="both"/>
        <w:rPr>
          <w:rFonts w:ascii="Book Antiqua" w:hAnsi="Book Antiqua"/>
          <w:b/>
        </w:rPr>
      </w:pPr>
      <w:r w:rsidRPr="00884A81">
        <w:rPr>
          <w:rFonts w:ascii="Book Antiqua" w:hAnsi="Book Antiqua"/>
          <w:b/>
        </w:rPr>
        <w:t>Article in press:</w:t>
      </w:r>
      <w:r w:rsidR="00884A81" w:rsidRPr="00884A81">
        <w:rPr>
          <w:rFonts w:ascii="Book Antiqua" w:hAnsi="Book Antiqua"/>
        </w:rPr>
        <w:t xml:space="preserve"> </w:t>
      </w:r>
    </w:p>
    <w:p w14:paraId="587691D9" w14:textId="77777777" w:rsidR="00FC7C75" w:rsidRPr="00884A81" w:rsidRDefault="00FC7C75" w:rsidP="00884A81">
      <w:pPr>
        <w:spacing w:line="360" w:lineRule="auto"/>
        <w:jc w:val="both"/>
        <w:rPr>
          <w:rFonts w:ascii="Book Antiqua" w:eastAsia="宋体" w:hAnsi="Book Antiqua"/>
          <w:lang w:eastAsia="zh-CN"/>
        </w:rPr>
      </w:pPr>
      <w:r w:rsidRPr="00884A81">
        <w:rPr>
          <w:rFonts w:ascii="Book Antiqua" w:hAnsi="Book Antiqua"/>
          <w:b/>
        </w:rPr>
        <w:t>Published online:</w:t>
      </w:r>
    </w:p>
    <w:p w14:paraId="0BD540D7" w14:textId="77777777" w:rsidR="00FC7C75" w:rsidRPr="00884A81" w:rsidRDefault="00FC7C75" w:rsidP="00884A81">
      <w:pPr>
        <w:spacing w:line="360" w:lineRule="auto"/>
        <w:jc w:val="both"/>
        <w:rPr>
          <w:rFonts w:ascii="Book Antiqua" w:eastAsia="宋体" w:hAnsi="Book Antiqua"/>
          <w:b/>
          <w:lang w:eastAsia="zh-CN"/>
        </w:rPr>
      </w:pPr>
    </w:p>
    <w:p w14:paraId="5849A586" w14:textId="77777777" w:rsidR="00D12762" w:rsidRPr="00884A81" w:rsidRDefault="00D12762" w:rsidP="00884A81">
      <w:pPr>
        <w:spacing w:line="360" w:lineRule="auto"/>
        <w:jc w:val="both"/>
        <w:rPr>
          <w:rFonts w:ascii="Book Antiqua" w:hAnsi="Book Antiqua"/>
        </w:rPr>
      </w:pPr>
    </w:p>
    <w:p w14:paraId="16594398" w14:textId="77777777" w:rsidR="00173A15" w:rsidRPr="00884A81" w:rsidRDefault="00173A15" w:rsidP="00884A81">
      <w:pPr>
        <w:spacing w:line="360" w:lineRule="auto"/>
        <w:jc w:val="both"/>
        <w:rPr>
          <w:rFonts w:ascii="Book Antiqua" w:hAnsi="Book Antiqua"/>
          <w:b/>
        </w:rPr>
      </w:pPr>
      <w:r w:rsidRPr="00884A81">
        <w:rPr>
          <w:rFonts w:ascii="Book Antiqua" w:hAnsi="Book Antiqua"/>
          <w:b/>
        </w:rPr>
        <w:br w:type="page"/>
      </w:r>
    </w:p>
    <w:p w14:paraId="032091E4" w14:textId="77777777" w:rsidR="00FC7C75" w:rsidRPr="00884A81" w:rsidRDefault="00FC7C75" w:rsidP="00884A81">
      <w:pPr>
        <w:spacing w:line="360" w:lineRule="auto"/>
        <w:jc w:val="both"/>
        <w:rPr>
          <w:rFonts w:ascii="Book Antiqua" w:eastAsia="宋体" w:hAnsi="Book Antiqua"/>
          <w:b/>
          <w:lang w:eastAsia="zh-CN"/>
        </w:rPr>
      </w:pPr>
      <w:r w:rsidRPr="00884A81">
        <w:rPr>
          <w:rFonts w:ascii="Book Antiqua" w:hAnsi="Book Antiqua"/>
          <w:b/>
        </w:rPr>
        <w:lastRenderedPageBreak/>
        <w:t>Abstract</w:t>
      </w:r>
    </w:p>
    <w:p w14:paraId="44A40A05" w14:textId="6880CE6C" w:rsidR="00E46376" w:rsidRPr="00884A81" w:rsidRDefault="00AB104D" w:rsidP="00884A81">
      <w:pPr>
        <w:spacing w:line="360" w:lineRule="auto"/>
        <w:jc w:val="both"/>
        <w:rPr>
          <w:rFonts w:ascii="Book Antiqua" w:hAnsi="Book Antiqua"/>
        </w:rPr>
      </w:pPr>
      <w:r w:rsidRPr="00884A81">
        <w:rPr>
          <w:rFonts w:ascii="Book Antiqua" w:hAnsi="Book Antiqua"/>
        </w:rPr>
        <w:t>From its inception the success of liver transplant</w:t>
      </w:r>
      <w:r w:rsidR="001F0FC6" w:rsidRPr="00884A81">
        <w:rPr>
          <w:rFonts w:ascii="Book Antiqua" w:hAnsi="Book Antiqua"/>
        </w:rPr>
        <w:t>ation</w:t>
      </w:r>
      <w:r w:rsidRPr="00884A81">
        <w:rPr>
          <w:rFonts w:ascii="Book Antiqua" w:hAnsi="Book Antiqua"/>
        </w:rPr>
        <w:t xml:space="preserve"> </w:t>
      </w:r>
      <w:r w:rsidR="00E46376" w:rsidRPr="00884A81">
        <w:rPr>
          <w:rFonts w:ascii="Book Antiqua" w:hAnsi="Book Antiqua"/>
        </w:rPr>
        <w:t>has been associated with massive blood loss. Massive transfusion is classically defined as &gt;</w:t>
      </w:r>
      <w:r w:rsidR="00FC7C75" w:rsidRPr="00884A81">
        <w:rPr>
          <w:rFonts w:ascii="Book Antiqua" w:eastAsia="宋体" w:hAnsi="Book Antiqua"/>
          <w:lang w:eastAsia="zh-CN"/>
        </w:rPr>
        <w:t xml:space="preserve"> </w:t>
      </w:r>
      <w:r w:rsidR="00E46376" w:rsidRPr="00884A81">
        <w:rPr>
          <w:rFonts w:ascii="Book Antiqua" w:hAnsi="Book Antiqua"/>
        </w:rPr>
        <w:t>10 units of red blood cells within 24 h</w:t>
      </w:r>
      <w:r w:rsidR="00E647B2" w:rsidRPr="00884A81">
        <w:rPr>
          <w:rFonts w:ascii="Book Antiqua" w:hAnsi="Book Antiqua"/>
        </w:rPr>
        <w:t>,</w:t>
      </w:r>
      <w:r w:rsidR="00E46376" w:rsidRPr="00884A81">
        <w:rPr>
          <w:rFonts w:ascii="Book Antiqua" w:hAnsi="Book Antiqua"/>
        </w:rPr>
        <w:t xml:space="preserve"> but describing transfusion rates over a shorter period of time may reduc</w:t>
      </w:r>
      <w:r w:rsidR="0069296E" w:rsidRPr="00884A81">
        <w:rPr>
          <w:rFonts w:ascii="Book Antiqua" w:hAnsi="Book Antiqua"/>
        </w:rPr>
        <w:t>e</w:t>
      </w:r>
      <w:r w:rsidR="00E46376" w:rsidRPr="00884A81">
        <w:rPr>
          <w:rFonts w:ascii="Book Antiqua" w:hAnsi="Book Antiqua"/>
        </w:rPr>
        <w:t xml:space="preserve"> the potential for survival bias. Both massive haemorrhage and transfusion are associated with increased risk of mortality and morbidity (need for dialysis/surgical site infection) following liver tr</w:t>
      </w:r>
      <w:r w:rsidR="00E647B2" w:rsidRPr="00884A81">
        <w:rPr>
          <w:rFonts w:ascii="Book Antiqua" w:hAnsi="Book Antiqua"/>
        </w:rPr>
        <w:t>ansplantation although causality</w:t>
      </w:r>
      <w:r w:rsidR="00E46376" w:rsidRPr="00884A81">
        <w:rPr>
          <w:rFonts w:ascii="Book Antiqua" w:hAnsi="Book Antiqua"/>
        </w:rPr>
        <w:t xml:space="preserve"> is difficult to prove due to the observational design of most trials. The blood loss associated with liver transplantation is multifactorial. Portal hypertension secondary to cirrhosis results in extensive collateral circulation, which can bleed during hepatectomy particular if portal pressures </w:t>
      </w:r>
      <w:r w:rsidR="000A0723" w:rsidRPr="00884A81">
        <w:rPr>
          <w:rFonts w:ascii="Book Antiqua" w:hAnsi="Book Antiqua"/>
        </w:rPr>
        <w:t xml:space="preserve">are </w:t>
      </w:r>
      <w:r w:rsidR="00E46376" w:rsidRPr="00884A81">
        <w:rPr>
          <w:rFonts w:ascii="Book Antiqua" w:hAnsi="Book Antiqua"/>
        </w:rPr>
        <w:t>increase</w:t>
      </w:r>
      <w:r w:rsidR="000A0723" w:rsidRPr="00884A81">
        <w:rPr>
          <w:rFonts w:ascii="Book Antiqua" w:hAnsi="Book Antiqua"/>
        </w:rPr>
        <w:t>d</w:t>
      </w:r>
      <w:r w:rsidR="00E46376" w:rsidRPr="00884A81">
        <w:rPr>
          <w:rFonts w:ascii="Book Antiqua" w:hAnsi="Book Antiqua"/>
        </w:rPr>
        <w:t xml:space="preserve">. Avoiding volume loading and maintenance of a low </w:t>
      </w:r>
      <w:r w:rsidR="00664588" w:rsidRPr="00884A81">
        <w:rPr>
          <w:rFonts w:ascii="Book Antiqua" w:hAnsi="Book Antiqua"/>
        </w:rPr>
        <w:t xml:space="preserve">central venous pressure </w:t>
      </w:r>
      <w:r w:rsidR="00E46376" w:rsidRPr="00884A81">
        <w:rPr>
          <w:rFonts w:ascii="Book Antiqua" w:hAnsi="Book Antiqua"/>
        </w:rPr>
        <w:t xml:space="preserve">together with the use of vasopressors have been shown to reduce blood loss and transfusion during </w:t>
      </w:r>
      <w:r w:rsidR="00E647B2" w:rsidRPr="00884A81">
        <w:rPr>
          <w:rFonts w:ascii="Book Antiqua" w:hAnsi="Book Antiqua"/>
        </w:rPr>
        <w:t xml:space="preserve">liver </w:t>
      </w:r>
      <w:r w:rsidR="00E46376" w:rsidRPr="00884A81">
        <w:rPr>
          <w:rFonts w:ascii="Book Antiqua" w:hAnsi="Book Antiqua"/>
        </w:rPr>
        <w:t>transplantation</w:t>
      </w:r>
      <w:r w:rsidR="00E647B2" w:rsidRPr="00884A81">
        <w:rPr>
          <w:rFonts w:ascii="Book Antiqua" w:hAnsi="Book Antiqua"/>
        </w:rPr>
        <w:t>,</w:t>
      </w:r>
      <w:r w:rsidR="00E46376" w:rsidRPr="00884A81">
        <w:rPr>
          <w:rFonts w:ascii="Book Antiqua" w:hAnsi="Book Antiqua"/>
        </w:rPr>
        <w:t xml:space="preserve"> but may increase the risk of renal impairment post-operatively. Coagulation defects may be present pre-transplant</w:t>
      </w:r>
      <w:r w:rsidR="00E647B2" w:rsidRPr="00884A81">
        <w:rPr>
          <w:rFonts w:ascii="Book Antiqua" w:hAnsi="Book Antiqua"/>
        </w:rPr>
        <w:t>,</w:t>
      </w:r>
      <w:r w:rsidR="00E46376" w:rsidRPr="00884A81">
        <w:rPr>
          <w:rFonts w:ascii="Book Antiqua" w:hAnsi="Book Antiqua"/>
        </w:rPr>
        <w:t xml:space="preserve"> but haemostasis is often </w:t>
      </w:r>
      <w:r w:rsidR="00FC452F" w:rsidRPr="00884A81">
        <w:rPr>
          <w:rFonts w:ascii="Book Antiqua" w:hAnsi="Book Antiqua"/>
        </w:rPr>
        <w:t>re-</w:t>
      </w:r>
      <w:r w:rsidR="00E46376" w:rsidRPr="00884A81">
        <w:rPr>
          <w:rFonts w:ascii="Book Antiqua" w:hAnsi="Book Antiqua"/>
        </w:rPr>
        <w:t>balanced due to a deficit in both pro</w:t>
      </w:r>
      <w:r w:rsidR="00E647B2" w:rsidRPr="00884A81">
        <w:rPr>
          <w:rFonts w:ascii="Book Antiqua" w:hAnsi="Book Antiqua"/>
        </w:rPr>
        <w:t>-</w:t>
      </w:r>
      <w:r w:rsidR="00E46376" w:rsidRPr="00884A81">
        <w:rPr>
          <w:rFonts w:ascii="Book Antiqua" w:hAnsi="Book Antiqua"/>
        </w:rPr>
        <w:t xml:space="preserve"> and anti</w:t>
      </w:r>
      <w:r w:rsidR="00E647B2" w:rsidRPr="00884A81">
        <w:rPr>
          <w:rFonts w:ascii="Book Antiqua" w:hAnsi="Book Antiqua"/>
        </w:rPr>
        <w:t>-</w:t>
      </w:r>
      <w:r w:rsidR="00E46376" w:rsidRPr="00884A81">
        <w:rPr>
          <w:rFonts w:ascii="Book Antiqua" w:hAnsi="Book Antiqua"/>
        </w:rPr>
        <w:t xml:space="preserve">coagulation factors. Further derangement </w:t>
      </w:r>
      <w:r w:rsidR="000A0723" w:rsidRPr="00884A81">
        <w:rPr>
          <w:rFonts w:ascii="Book Antiqua" w:hAnsi="Book Antiqua"/>
        </w:rPr>
        <w:t xml:space="preserve">of haemostasis </w:t>
      </w:r>
      <w:r w:rsidR="00E46376" w:rsidRPr="00884A81">
        <w:rPr>
          <w:rFonts w:ascii="Book Antiqua" w:hAnsi="Book Antiqua"/>
        </w:rPr>
        <w:t xml:space="preserve">may develop in the anhepatic and neohepatic phases due to absent hepatic </w:t>
      </w:r>
      <w:r w:rsidR="001C237F" w:rsidRPr="00884A81">
        <w:rPr>
          <w:rFonts w:ascii="Book Antiqua" w:hAnsi="Book Antiqua"/>
        </w:rPr>
        <w:t>metabolic function</w:t>
      </w:r>
      <w:r w:rsidR="00E46376" w:rsidRPr="00884A81">
        <w:rPr>
          <w:rFonts w:ascii="Book Antiqua" w:hAnsi="Book Antiqua"/>
        </w:rPr>
        <w:t>, hyperfibrinolysis and platelet sequestration in the donor liver. Point-of-care tests of coagulation such as the viscoelastic tests ROTEM</w:t>
      </w:r>
      <w:r w:rsidR="00E647B2" w:rsidRPr="00884A81">
        <w:rPr>
          <w:rFonts w:ascii="Book Antiqua" w:hAnsi="Book Antiqua"/>
        </w:rPr>
        <w:t>™</w:t>
      </w:r>
      <w:r w:rsidR="00E46376" w:rsidRPr="00884A81">
        <w:rPr>
          <w:rFonts w:ascii="Book Antiqua" w:hAnsi="Book Antiqua"/>
        </w:rPr>
        <w:t>/TEG</w:t>
      </w:r>
      <w:r w:rsidR="00E647B2" w:rsidRPr="00884A81">
        <w:rPr>
          <w:rFonts w:ascii="Book Antiqua" w:hAnsi="Book Antiqua"/>
        </w:rPr>
        <w:t>™</w:t>
      </w:r>
      <w:r w:rsidR="00E46376" w:rsidRPr="00884A81">
        <w:rPr>
          <w:rFonts w:ascii="Book Antiqua" w:hAnsi="Book Antiqua"/>
        </w:rPr>
        <w:t xml:space="preserve"> allow and more accurate and rapid assessment of these derangements in coagulation and guide the use of </w:t>
      </w:r>
      <w:r w:rsidR="00E647B2" w:rsidRPr="00884A81">
        <w:rPr>
          <w:rFonts w:ascii="Book Antiqua" w:hAnsi="Book Antiqua"/>
        </w:rPr>
        <w:t xml:space="preserve">factor replacement and </w:t>
      </w:r>
      <w:r w:rsidR="00E46376" w:rsidRPr="00884A81">
        <w:rPr>
          <w:rFonts w:ascii="Book Antiqua" w:hAnsi="Book Antiqua"/>
        </w:rPr>
        <w:t>antifibrinolytics. Transfusion protocols guided by these tests have been shown to reduce transfusion rates compared with conventional coagulation tests</w:t>
      </w:r>
      <w:r w:rsidR="00E647B2" w:rsidRPr="00884A81">
        <w:rPr>
          <w:rFonts w:ascii="Book Antiqua" w:hAnsi="Book Antiqua"/>
        </w:rPr>
        <w:t>,</w:t>
      </w:r>
      <w:r w:rsidR="00E46376" w:rsidRPr="00884A81">
        <w:rPr>
          <w:rFonts w:ascii="Book Antiqua" w:hAnsi="Book Antiqua"/>
        </w:rPr>
        <w:t xml:space="preserve"> but have not shown improvements in mortality or morbidity.</w:t>
      </w:r>
      <w:r w:rsidR="00E21612" w:rsidRPr="00884A81">
        <w:rPr>
          <w:rFonts w:ascii="Book Antiqua" w:hAnsi="Book Antiqua"/>
        </w:rPr>
        <w:t xml:space="preserve"> </w:t>
      </w:r>
      <w:r w:rsidR="00E46376" w:rsidRPr="00884A81">
        <w:rPr>
          <w:rFonts w:ascii="Book Antiqua" w:hAnsi="Book Antiqua"/>
        </w:rPr>
        <w:t>Pre-operative factors associated with massive transfusion include previous surg</w:t>
      </w:r>
      <w:r w:rsidR="00E21612" w:rsidRPr="00884A81">
        <w:rPr>
          <w:rFonts w:ascii="Book Antiqua" w:hAnsi="Book Antiqua"/>
        </w:rPr>
        <w:t xml:space="preserve">ery, re-do transplantation, </w:t>
      </w:r>
      <w:r w:rsidR="00E46376" w:rsidRPr="00884A81">
        <w:rPr>
          <w:rFonts w:ascii="Book Antiqua" w:hAnsi="Book Antiqua"/>
        </w:rPr>
        <w:t>the aetiology and severity of liver disease</w:t>
      </w:r>
      <w:r w:rsidR="00E21612" w:rsidRPr="00884A81">
        <w:rPr>
          <w:rFonts w:ascii="Book Antiqua" w:hAnsi="Book Antiqua"/>
        </w:rPr>
        <w:t>.</w:t>
      </w:r>
      <w:r w:rsidR="00E46376" w:rsidRPr="00884A81">
        <w:rPr>
          <w:rFonts w:ascii="Book Antiqua" w:hAnsi="Book Antiqua"/>
        </w:rPr>
        <w:t xml:space="preserve"> Intra-operatively the </w:t>
      </w:r>
      <w:r w:rsidR="00E21612" w:rsidRPr="00884A81">
        <w:rPr>
          <w:rFonts w:ascii="Book Antiqua" w:hAnsi="Book Antiqua"/>
        </w:rPr>
        <w:t>use of piggy-back technique and avoiding veno-veno bypass has</w:t>
      </w:r>
      <w:r w:rsidR="00E46376" w:rsidRPr="00884A81">
        <w:rPr>
          <w:rFonts w:ascii="Book Antiqua" w:hAnsi="Book Antiqua"/>
        </w:rPr>
        <w:t xml:space="preserve"> been shown to reduced blood loss. </w:t>
      </w:r>
    </w:p>
    <w:p w14:paraId="6B06A148" w14:textId="77777777" w:rsidR="00D12762" w:rsidRPr="00884A81" w:rsidRDefault="00D12762" w:rsidP="00884A81">
      <w:pPr>
        <w:spacing w:line="360" w:lineRule="auto"/>
        <w:jc w:val="both"/>
        <w:rPr>
          <w:rFonts w:ascii="Book Antiqua" w:hAnsi="Book Antiqua"/>
          <w:b/>
        </w:rPr>
      </w:pPr>
    </w:p>
    <w:p w14:paraId="029C367C" w14:textId="3B64A4F0" w:rsidR="00D12762" w:rsidRPr="00884A81" w:rsidRDefault="00D12762" w:rsidP="00884A81">
      <w:pPr>
        <w:spacing w:line="360" w:lineRule="auto"/>
        <w:jc w:val="both"/>
        <w:rPr>
          <w:rFonts w:ascii="Book Antiqua" w:hAnsi="Book Antiqua"/>
        </w:rPr>
      </w:pPr>
      <w:r w:rsidRPr="00884A81">
        <w:rPr>
          <w:rFonts w:ascii="Book Antiqua" w:hAnsi="Book Antiqua"/>
          <w:b/>
        </w:rPr>
        <w:t xml:space="preserve">Key </w:t>
      </w:r>
      <w:r w:rsidR="00FC7C75" w:rsidRPr="00884A81">
        <w:rPr>
          <w:rFonts w:ascii="Book Antiqua" w:hAnsi="Book Antiqua"/>
          <w:b/>
        </w:rPr>
        <w:t>w</w:t>
      </w:r>
      <w:r w:rsidRPr="00884A81">
        <w:rPr>
          <w:rFonts w:ascii="Book Antiqua" w:hAnsi="Book Antiqua"/>
          <w:b/>
        </w:rPr>
        <w:t>ords:</w:t>
      </w:r>
      <w:r w:rsidR="00E21612" w:rsidRPr="00884A81">
        <w:rPr>
          <w:rFonts w:ascii="Book Antiqua" w:hAnsi="Book Antiqua"/>
          <w:b/>
        </w:rPr>
        <w:t xml:space="preserve"> </w:t>
      </w:r>
      <w:r w:rsidR="00E21612" w:rsidRPr="00884A81">
        <w:rPr>
          <w:rFonts w:ascii="Book Antiqua" w:hAnsi="Book Antiqua"/>
        </w:rPr>
        <w:t>Liver transplantation</w:t>
      </w:r>
      <w:r w:rsidR="00FC7C75" w:rsidRPr="00884A81">
        <w:rPr>
          <w:rFonts w:ascii="Book Antiqua" w:eastAsia="宋体" w:hAnsi="Book Antiqua"/>
          <w:lang w:eastAsia="zh-CN"/>
        </w:rPr>
        <w:t>;</w:t>
      </w:r>
      <w:r w:rsidR="00E21612" w:rsidRPr="00884A81">
        <w:rPr>
          <w:rFonts w:ascii="Book Antiqua" w:hAnsi="Book Antiqua"/>
        </w:rPr>
        <w:t xml:space="preserve"> </w:t>
      </w:r>
      <w:r w:rsidR="00FC7C75" w:rsidRPr="00884A81">
        <w:rPr>
          <w:rFonts w:ascii="Book Antiqua" w:hAnsi="Book Antiqua"/>
        </w:rPr>
        <w:t>M</w:t>
      </w:r>
      <w:r w:rsidR="00284355" w:rsidRPr="00884A81">
        <w:rPr>
          <w:rFonts w:ascii="Book Antiqua" w:hAnsi="Book Antiqua"/>
        </w:rPr>
        <w:t>assive transfusion</w:t>
      </w:r>
      <w:r w:rsidR="00FC7C75" w:rsidRPr="00884A81">
        <w:rPr>
          <w:rFonts w:ascii="Book Antiqua" w:eastAsia="宋体" w:hAnsi="Book Antiqua"/>
          <w:lang w:eastAsia="zh-CN"/>
        </w:rPr>
        <w:t>;</w:t>
      </w:r>
      <w:r w:rsidR="00284355" w:rsidRPr="00884A81">
        <w:rPr>
          <w:rFonts w:ascii="Book Antiqua" w:hAnsi="Book Antiqua"/>
        </w:rPr>
        <w:t xml:space="preserve"> </w:t>
      </w:r>
      <w:r w:rsidR="00FC7C75" w:rsidRPr="00884A81">
        <w:rPr>
          <w:rFonts w:ascii="Book Antiqua" w:hAnsi="Book Antiqua"/>
        </w:rPr>
        <w:t>C</w:t>
      </w:r>
      <w:r w:rsidR="00284355" w:rsidRPr="00884A81">
        <w:rPr>
          <w:rFonts w:ascii="Book Antiqua" w:hAnsi="Book Antiqua"/>
        </w:rPr>
        <w:t>oagulopathy</w:t>
      </w:r>
    </w:p>
    <w:p w14:paraId="3DE2F6B5" w14:textId="77777777" w:rsidR="00D12762" w:rsidRPr="00884A81" w:rsidRDefault="00D12762" w:rsidP="00884A81">
      <w:pPr>
        <w:spacing w:line="360" w:lineRule="auto"/>
        <w:jc w:val="both"/>
        <w:rPr>
          <w:rFonts w:ascii="Book Antiqua" w:eastAsia="宋体" w:hAnsi="Book Antiqua"/>
          <w:b/>
          <w:lang w:eastAsia="zh-CN"/>
        </w:rPr>
      </w:pPr>
    </w:p>
    <w:p w14:paraId="695D53B1" w14:textId="77777777" w:rsidR="00FC7C75" w:rsidRPr="00884A81" w:rsidRDefault="00FC7C75" w:rsidP="00884A81">
      <w:pPr>
        <w:spacing w:line="360" w:lineRule="auto"/>
        <w:jc w:val="both"/>
        <w:rPr>
          <w:rFonts w:ascii="Book Antiqua" w:hAnsi="Book Antiqua" w:cs="Arial"/>
        </w:rPr>
      </w:pPr>
      <w:r w:rsidRPr="00884A81">
        <w:rPr>
          <w:rFonts w:ascii="Book Antiqua" w:hAnsi="Book Antiqua"/>
          <w:b/>
        </w:rPr>
        <w:t xml:space="preserve">© </w:t>
      </w:r>
      <w:r w:rsidRPr="00884A81">
        <w:rPr>
          <w:rFonts w:ascii="Book Antiqua" w:hAnsi="Book Antiqua" w:cs="Arial"/>
          <w:b/>
        </w:rPr>
        <w:t>The Author(s) 2016.</w:t>
      </w:r>
      <w:r w:rsidRPr="00884A81">
        <w:rPr>
          <w:rFonts w:ascii="Book Antiqua" w:hAnsi="Book Antiqua" w:cs="Arial"/>
        </w:rPr>
        <w:t xml:space="preserve"> Published by Baishideng Publishing Group Inc. All rights reserved.</w:t>
      </w:r>
    </w:p>
    <w:p w14:paraId="1F186002" w14:textId="77777777" w:rsidR="00FC7C75" w:rsidRPr="00884A81" w:rsidRDefault="00FC7C75" w:rsidP="00884A81">
      <w:pPr>
        <w:spacing w:line="360" w:lineRule="auto"/>
        <w:jc w:val="both"/>
        <w:rPr>
          <w:rFonts w:ascii="Book Antiqua" w:eastAsia="宋体" w:hAnsi="Book Antiqua"/>
          <w:b/>
          <w:lang w:eastAsia="zh-CN"/>
        </w:rPr>
      </w:pPr>
    </w:p>
    <w:p w14:paraId="188FE979" w14:textId="642C3CB0" w:rsidR="00D12762" w:rsidRPr="00884A81" w:rsidRDefault="00D12762" w:rsidP="00884A81">
      <w:pPr>
        <w:spacing w:line="360" w:lineRule="auto"/>
        <w:jc w:val="both"/>
        <w:rPr>
          <w:rFonts w:ascii="Book Antiqua" w:hAnsi="Book Antiqua"/>
        </w:rPr>
      </w:pPr>
      <w:r w:rsidRPr="00884A81">
        <w:rPr>
          <w:rFonts w:ascii="Book Antiqua" w:hAnsi="Book Antiqua"/>
          <w:b/>
        </w:rPr>
        <w:t xml:space="preserve">Core </w:t>
      </w:r>
      <w:r w:rsidR="00FC7C75" w:rsidRPr="00884A81">
        <w:rPr>
          <w:rFonts w:ascii="Book Antiqua" w:hAnsi="Book Antiqua"/>
          <w:b/>
        </w:rPr>
        <w:t>t</w:t>
      </w:r>
      <w:r w:rsidRPr="00884A81">
        <w:rPr>
          <w:rFonts w:ascii="Book Antiqua" w:hAnsi="Book Antiqua"/>
          <w:b/>
        </w:rPr>
        <w:t>ip:</w:t>
      </w:r>
      <w:r w:rsidR="00BC0956" w:rsidRPr="00884A81">
        <w:rPr>
          <w:rFonts w:ascii="Book Antiqua" w:hAnsi="Book Antiqua"/>
          <w:b/>
        </w:rPr>
        <w:t xml:space="preserve"> </w:t>
      </w:r>
      <w:r w:rsidR="00BC0956" w:rsidRPr="00884A81">
        <w:rPr>
          <w:rFonts w:ascii="Book Antiqua" w:hAnsi="Book Antiqua"/>
        </w:rPr>
        <w:t>The management of bleeding during liver transplantation requires an understanding of the unique coagulopathy of liver failure and the ability to recognize the risk factors for massive transfusion. By avoiding massive haemorrhage and transfusion</w:t>
      </w:r>
      <w:r w:rsidR="00C77A1C" w:rsidRPr="00884A81">
        <w:rPr>
          <w:rFonts w:ascii="Book Antiqua" w:hAnsi="Book Antiqua"/>
        </w:rPr>
        <w:t>,</w:t>
      </w:r>
      <w:r w:rsidR="00BC0956" w:rsidRPr="00884A81">
        <w:rPr>
          <w:rFonts w:ascii="Book Antiqua" w:hAnsi="Book Antiqua"/>
        </w:rPr>
        <w:t xml:space="preserve"> patients</w:t>
      </w:r>
      <w:r w:rsidR="000A0723" w:rsidRPr="00884A81">
        <w:rPr>
          <w:rFonts w:ascii="Book Antiqua" w:hAnsi="Book Antiqua"/>
        </w:rPr>
        <w:t>’</w:t>
      </w:r>
      <w:r w:rsidR="00BC0956" w:rsidRPr="00884A81">
        <w:rPr>
          <w:rFonts w:ascii="Book Antiqua" w:hAnsi="Book Antiqua"/>
        </w:rPr>
        <w:t xml:space="preserve"> outcome</w:t>
      </w:r>
      <w:r w:rsidR="00C77A1C" w:rsidRPr="00884A81">
        <w:rPr>
          <w:rFonts w:ascii="Book Antiqua" w:hAnsi="Book Antiqua"/>
        </w:rPr>
        <w:t>s</w:t>
      </w:r>
      <w:r w:rsidR="00BC0956" w:rsidRPr="00884A81">
        <w:rPr>
          <w:rFonts w:ascii="Book Antiqua" w:hAnsi="Book Antiqua"/>
        </w:rPr>
        <w:t xml:space="preserve"> after transplantation </w:t>
      </w:r>
      <w:r w:rsidR="00C77A1C" w:rsidRPr="00884A81">
        <w:rPr>
          <w:rFonts w:ascii="Book Antiqua" w:hAnsi="Book Antiqua"/>
        </w:rPr>
        <w:t>are</w:t>
      </w:r>
      <w:r w:rsidR="00BC0956" w:rsidRPr="00884A81">
        <w:rPr>
          <w:rFonts w:ascii="Book Antiqua" w:hAnsi="Book Antiqua"/>
        </w:rPr>
        <w:t xml:space="preserve"> likely to benefit.</w:t>
      </w:r>
    </w:p>
    <w:p w14:paraId="7EFD9C41" w14:textId="77777777" w:rsidR="00FC7C75" w:rsidRPr="00884A81" w:rsidRDefault="00FC7C75" w:rsidP="00884A81">
      <w:pPr>
        <w:spacing w:line="360" w:lineRule="auto"/>
        <w:jc w:val="both"/>
        <w:rPr>
          <w:rFonts w:ascii="Book Antiqua" w:eastAsia="宋体" w:hAnsi="Book Antiqua"/>
          <w:lang w:eastAsia="zh-CN"/>
        </w:rPr>
      </w:pPr>
    </w:p>
    <w:p w14:paraId="307EA8CE" w14:textId="0C22EEB9" w:rsidR="002A30AF" w:rsidRPr="00884A81" w:rsidRDefault="00FC7C75" w:rsidP="00884A81">
      <w:pPr>
        <w:spacing w:line="360" w:lineRule="auto"/>
        <w:jc w:val="both"/>
        <w:rPr>
          <w:rFonts w:ascii="Book Antiqua" w:eastAsia="宋体" w:hAnsi="Book Antiqua"/>
          <w:lang w:eastAsia="zh-CN"/>
        </w:rPr>
      </w:pPr>
      <w:r w:rsidRPr="00884A81">
        <w:rPr>
          <w:rFonts w:ascii="Book Antiqua" w:hAnsi="Book Antiqua"/>
        </w:rPr>
        <w:t>Cleland</w:t>
      </w:r>
      <w:r w:rsidRPr="00884A81">
        <w:rPr>
          <w:rFonts w:ascii="Book Antiqua" w:eastAsia="宋体" w:hAnsi="Book Antiqua"/>
          <w:lang w:eastAsia="zh-CN"/>
        </w:rPr>
        <w:t xml:space="preserve"> S</w:t>
      </w:r>
      <w:r w:rsidRPr="00884A81">
        <w:rPr>
          <w:rFonts w:ascii="Book Antiqua" w:hAnsi="Book Antiqua"/>
        </w:rPr>
        <w:t>, Corredor</w:t>
      </w:r>
      <w:r w:rsidRPr="00884A81">
        <w:rPr>
          <w:rFonts w:ascii="Book Antiqua" w:eastAsia="宋体" w:hAnsi="Book Antiqua"/>
          <w:lang w:eastAsia="zh-CN"/>
        </w:rPr>
        <w:t xml:space="preserve"> C</w:t>
      </w:r>
      <w:r w:rsidRPr="00884A81">
        <w:rPr>
          <w:rFonts w:ascii="Book Antiqua" w:hAnsi="Book Antiqua"/>
        </w:rPr>
        <w:t>, Ye</w:t>
      </w:r>
      <w:r w:rsidRPr="00884A81">
        <w:rPr>
          <w:rFonts w:ascii="Book Antiqua" w:eastAsia="宋体" w:hAnsi="Book Antiqua"/>
          <w:lang w:eastAsia="zh-CN"/>
        </w:rPr>
        <w:t xml:space="preserve"> JJ</w:t>
      </w:r>
      <w:r w:rsidRPr="00884A81">
        <w:rPr>
          <w:rFonts w:ascii="Book Antiqua" w:hAnsi="Book Antiqua"/>
        </w:rPr>
        <w:t>, Srinivas</w:t>
      </w:r>
      <w:r w:rsidRPr="00884A81">
        <w:rPr>
          <w:rFonts w:ascii="Book Antiqua" w:eastAsia="宋体" w:hAnsi="Book Antiqua"/>
          <w:lang w:eastAsia="zh-CN"/>
        </w:rPr>
        <w:t xml:space="preserve"> C</w:t>
      </w:r>
      <w:r w:rsidRPr="00884A81">
        <w:rPr>
          <w:rFonts w:ascii="Book Antiqua" w:hAnsi="Book Antiqua"/>
        </w:rPr>
        <w:t>, McCluskey</w:t>
      </w:r>
      <w:r w:rsidRPr="00884A81">
        <w:rPr>
          <w:rFonts w:ascii="Book Antiqua" w:eastAsia="宋体" w:hAnsi="Book Antiqua"/>
          <w:lang w:eastAsia="zh-CN"/>
        </w:rPr>
        <w:t xml:space="preserve"> SA.</w:t>
      </w:r>
      <w:r w:rsidRPr="00884A81">
        <w:rPr>
          <w:rFonts w:ascii="Book Antiqua" w:hAnsi="Book Antiqua"/>
        </w:rPr>
        <w:t xml:space="preserve"> Massive haemorrhage in liver transplantation</w:t>
      </w:r>
      <w:r w:rsidR="00EA752B">
        <w:rPr>
          <w:rFonts w:ascii="Book Antiqua" w:eastAsia="宋体" w:hAnsi="Book Antiqua" w:hint="eastAsia"/>
          <w:lang w:eastAsia="zh-CN"/>
        </w:rPr>
        <w:t>:</w:t>
      </w:r>
      <w:r w:rsidRPr="00884A81">
        <w:rPr>
          <w:rFonts w:ascii="Book Antiqua" w:hAnsi="Book Antiqua"/>
        </w:rPr>
        <w:t xml:space="preserve"> </w:t>
      </w:r>
      <w:r w:rsidR="00EA752B">
        <w:rPr>
          <w:rFonts w:ascii="Book Antiqua" w:eastAsia="宋体" w:hAnsi="Book Antiqua" w:hint="eastAsia"/>
          <w:lang w:eastAsia="zh-CN"/>
        </w:rPr>
        <w:t>C</w:t>
      </w:r>
      <w:r w:rsidRPr="00884A81">
        <w:rPr>
          <w:rFonts w:ascii="Book Antiqua" w:hAnsi="Book Antiqua"/>
        </w:rPr>
        <w:t>onsequences, prediction and management</w:t>
      </w:r>
      <w:r w:rsidRPr="00884A81">
        <w:rPr>
          <w:rFonts w:ascii="Book Antiqua" w:eastAsia="宋体" w:hAnsi="Book Antiqua"/>
          <w:lang w:eastAsia="zh-CN"/>
        </w:rPr>
        <w:t>.</w:t>
      </w:r>
      <w:r w:rsidRPr="00884A81">
        <w:rPr>
          <w:rFonts w:ascii="Book Antiqua" w:hAnsi="Book Antiqua"/>
          <w:i/>
          <w:iCs/>
        </w:rPr>
        <w:t xml:space="preserve"> World J Transplant</w:t>
      </w:r>
      <w:r w:rsidRPr="00884A81">
        <w:rPr>
          <w:rFonts w:ascii="Book Antiqua" w:eastAsia="宋体" w:hAnsi="Book Antiqua"/>
          <w:i/>
          <w:iCs/>
          <w:lang w:eastAsia="zh-CN"/>
        </w:rPr>
        <w:t xml:space="preserve"> </w:t>
      </w:r>
      <w:r w:rsidRPr="00884A81">
        <w:rPr>
          <w:rFonts w:ascii="Book Antiqua" w:eastAsia="宋体" w:hAnsi="Book Antiqua"/>
          <w:iCs/>
          <w:lang w:eastAsia="zh-CN"/>
        </w:rPr>
        <w:t>2016; In press</w:t>
      </w:r>
    </w:p>
    <w:p w14:paraId="2F836EA8" w14:textId="77777777" w:rsidR="00173A15" w:rsidRPr="00884A81" w:rsidRDefault="00173A15" w:rsidP="00884A81">
      <w:pPr>
        <w:spacing w:line="360" w:lineRule="auto"/>
        <w:jc w:val="both"/>
        <w:rPr>
          <w:rFonts w:ascii="Book Antiqua" w:hAnsi="Book Antiqua"/>
          <w:b/>
        </w:rPr>
      </w:pPr>
      <w:r w:rsidRPr="00884A81">
        <w:rPr>
          <w:rFonts w:ascii="Book Antiqua" w:hAnsi="Book Antiqua"/>
          <w:b/>
        </w:rPr>
        <w:br w:type="page"/>
      </w:r>
    </w:p>
    <w:p w14:paraId="061EA495" w14:textId="4B4BBF51" w:rsidR="002A30AF" w:rsidRPr="00884A81" w:rsidRDefault="00FC7C75" w:rsidP="00884A81">
      <w:pPr>
        <w:spacing w:line="360" w:lineRule="auto"/>
        <w:jc w:val="both"/>
        <w:rPr>
          <w:rFonts w:ascii="Book Antiqua" w:hAnsi="Book Antiqua"/>
          <w:b/>
        </w:rPr>
      </w:pPr>
      <w:r w:rsidRPr="00884A81">
        <w:rPr>
          <w:rFonts w:ascii="Book Antiqua" w:hAnsi="Book Antiqua"/>
          <w:b/>
        </w:rPr>
        <w:lastRenderedPageBreak/>
        <w:t>INTRODUCTION</w:t>
      </w:r>
    </w:p>
    <w:p w14:paraId="712770B4" w14:textId="0F1F51E9" w:rsidR="002A30AF" w:rsidRPr="00884A81" w:rsidRDefault="002A30AF" w:rsidP="00884A81">
      <w:pPr>
        <w:spacing w:line="360" w:lineRule="auto"/>
        <w:jc w:val="both"/>
        <w:rPr>
          <w:rFonts w:ascii="Book Antiqua" w:hAnsi="Book Antiqua"/>
        </w:rPr>
      </w:pPr>
      <w:r w:rsidRPr="00884A81">
        <w:rPr>
          <w:rFonts w:ascii="Book Antiqua" w:hAnsi="Book Antiqua"/>
        </w:rPr>
        <w:t xml:space="preserve">The first </w:t>
      </w:r>
      <w:r w:rsidR="000D17F8" w:rsidRPr="00884A81">
        <w:rPr>
          <w:rFonts w:ascii="Book Antiqua" w:hAnsi="Book Antiqua"/>
        </w:rPr>
        <w:t xml:space="preserve">human </w:t>
      </w:r>
      <w:r w:rsidRPr="00884A81">
        <w:rPr>
          <w:rFonts w:ascii="Book Antiqua" w:hAnsi="Book Antiqua"/>
        </w:rPr>
        <w:t>solid</w:t>
      </w:r>
      <w:r w:rsidR="000D17F8" w:rsidRPr="00884A81">
        <w:rPr>
          <w:rFonts w:ascii="Book Antiqua" w:hAnsi="Book Antiqua"/>
        </w:rPr>
        <w:t xml:space="preserve"> organ transplantation</w:t>
      </w:r>
      <w:r w:rsidRPr="00884A81">
        <w:rPr>
          <w:rFonts w:ascii="Book Antiqua" w:hAnsi="Book Antiqua"/>
        </w:rPr>
        <w:t xml:space="preserve"> was performed in 1954 when Dr Joseph Murray led a team in successfully transplanting a kidney between identical twin brothers</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"DOI" : "10.1001/jama.1956.02960390027008", "ISSN" : "0002-9955", "PMID" : "13278189", "abstract" : "A patient whose illness had begun with edema and hypertension was found to have suffered extreme atrophy of both kidneys. Because of the steady worsening of the condition and the appearance of uremia with other unfavorable prognostic signs, transplantation of one kidney from the patient's healthy identical twin brother was undertaken.Preparations included collection of evidence of monozygosity and experimental transplantation of a skin graft from the twin. During the transfer of the healthy kidney it was totally ischemic for 82 minutes. Evidence of functional activity in the transplanted kidney was obtained.The hypertension persisted until the patient's diseased kidneys were both removed. The homograft has survived for 11 months, and the marked clinical improvement in the patient has included disappearance of the signs of malignant hypertension.", "author" : [ { "dropping-particle" : "", "family" : "Merrill", "given" : "J P", "non-dropping-particle" : "", "parse-names" : false, "suffix" : "" }, { "dropping-particle" : "", "family" : "Murray", "given" : "J E", "non-dropping-particle" : "", "parse-names" : false, "suffix" : "" }, { "dropping-particle" : "", "family" : "Harrison", "given" : "J H", "non-dropping-particle" : "", "parse-names" : false, "suffix" : "" }, { "dropping-particle" : "", "family" : "Guild", "given" : "W R", "non-dropping-particle" : "", "parse-names" : false, "suffix" : "" } ], "container-title" : "Journal of the American Medical Association", "id" : "ITEM-1", "issue" : "4", "issued" : { "date-parts" : [ [ "1956", "1", "28" ] ] }, "page" : "277-82", "title" : "Successful homotransplantation of the human kidney between identical twins.", "type" : "article-journal", "volume" : "160" }, "uris" : [ "http://www.mendeley.com/documents/?uuid=148e6017-ad18-4715-8233-4f3429d3e5c4", "http://www.mendeley.com/documents/?uuid=b1f67072-0b9b-4510-a7d1-95ebb733af85" ] } ], "mendeley" : { "formattedCitation" : "&lt;sup&gt;[1]&lt;/sup&gt;", "plainTextFormattedCitation" : "[1]", "previouslyFormattedCitation" : "&lt;sup&gt;[1]&lt;/sup&gt;"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[1]</w:t>
      </w:r>
      <w:r w:rsidR="00FC7C75" w:rsidRPr="00884A81">
        <w:rPr>
          <w:rFonts w:ascii="Book Antiqua" w:hAnsi="Book Antiqua"/>
        </w:rPr>
        <w:fldChar w:fldCharType="end"/>
      </w:r>
      <w:r w:rsidR="0044520C" w:rsidRPr="00884A81">
        <w:rPr>
          <w:rFonts w:ascii="Book Antiqua" w:hAnsi="Book Antiqua"/>
        </w:rPr>
        <w:t>.</w:t>
      </w:r>
      <w:r w:rsidRPr="00884A81">
        <w:rPr>
          <w:rFonts w:ascii="Book Antiqua" w:hAnsi="Book Antiqua"/>
        </w:rPr>
        <w:t xml:space="preserve"> </w:t>
      </w:r>
      <w:r w:rsidR="00BC0956" w:rsidRPr="00884A81">
        <w:rPr>
          <w:rFonts w:ascii="Book Antiqua" w:hAnsi="Book Antiqua"/>
        </w:rPr>
        <w:t>Liver t</w:t>
      </w:r>
      <w:r w:rsidRPr="00884A81">
        <w:rPr>
          <w:rFonts w:ascii="Book Antiqua" w:hAnsi="Book Antiqua"/>
        </w:rPr>
        <w:t>ransplantation proved far more difficult</w:t>
      </w:r>
      <w:r w:rsidR="00BC0956" w:rsidRPr="00884A81">
        <w:rPr>
          <w:rFonts w:ascii="Book Antiqua" w:hAnsi="Book Antiqua"/>
        </w:rPr>
        <w:t xml:space="preserve"> as</w:t>
      </w:r>
      <w:r w:rsidRPr="00884A81">
        <w:rPr>
          <w:rFonts w:ascii="Book Antiqua" w:hAnsi="Book Antiqua"/>
        </w:rPr>
        <w:t xml:space="preserve"> </w:t>
      </w:r>
      <w:r w:rsidR="008819E6" w:rsidRPr="00884A81">
        <w:rPr>
          <w:rFonts w:ascii="Book Antiqua" w:hAnsi="Book Antiqua"/>
        </w:rPr>
        <w:t xml:space="preserve">patient decompensation was inevitable </w:t>
      </w:r>
      <w:r w:rsidR="00BC0956" w:rsidRPr="00884A81">
        <w:rPr>
          <w:rFonts w:ascii="Book Antiqua" w:hAnsi="Book Antiqua"/>
        </w:rPr>
        <w:t xml:space="preserve">and </w:t>
      </w:r>
      <w:r w:rsidRPr="00884A81">
        <w:rPr>
          <w:rFonts w:ascii="Book Antiqua" w:hAnsi="Book Antiqua"/>
        </w:rPr>
        <w:t xml:space="preserve">the </w:t>
      </w:r>
      <w:r w:rsidR="004832A2" w:rsidRPr="00884A81">
        <w:rPr>
          <w:rFonts w:ascii="Book Antiqua" w:hAnsi="Book Antiqua"/>
        </w:rPr>
        <w:t xml:space="preserve">challenges of operating with </w:t>
      </w:r>
      <w:r w:rsidRPr="00884A81">
        <w:rPr>
          <w:rFonts w:ascii="Book Antiqua" w:hAnsi="Book Antiqua"/>
        </w:rPr>
        <w:t xml:space="preserve">massive and uncontrollable </w:t>
      </w:r>
      <w:r w:rsidR="004832A2" w:rsidRPr="00884A81">
        <w:rPr>
          <w:rFonts w:ascii="Book Antiqua" w:hAnsi="Book Antiqua"/>
        </w:rPr>
        <w:t>haemorrhage</w:t>
      </w:r>
      <w:r w:rsidR="002548AA" w:rsidRPr="00884A81">
        <w:rPr>
          <w:rFonts w:ascii="Book Antiqua" w:hAnsi="Book Antiqua"/>
        </w:rPr>
        <w:fldChar w:fldCharType="begin" w:fldLock="1"/>
      </w:r>
      <w:r w:rsidR="002548AA" w:rsidRPr="00884A81">
        <w:rPr>
          <w:rFonts w:ascii="Book Antiqua" w:hAnsi="Book Antiqua"/>
        </w:rPr>
        <w:instrText>ADDIN CSL_CITATION { "citationItems" : [ { "id" : "ITEM-1", "itemData" : { "DOI" : "10.1002/bjs.1800561009", "ISSN" : "0007-1323", "PMID" : "4899842", "author" : [ { "dropping-particle" : "", "family" : "Calne", "given" : "R Y", "non-dropping-particle" : "", "parse-names" : false, "suffix" : "" } ], "container-title" : "The British journal of surgery", "id" : "ITEM-1", "issue" : "10", "issued" : { "date-parts" : [ [ "1969", "10" ] ] }, "note" : "Recipient \n\nIf clotting defects are present FFP given. \nBlood loss likely to be considerable and continue untill good liver function re-established. \nAdvises using ordinary stored blood first and fresh blood at the end. \n\nPortal hypertension results in oedema of the tissues surrounding the liver and escessive vascularity. \n\nClamping of the portal vein and IVC result in congestion of the intestinal tract and diminished venous return to the heart. Fall in BP treated with blood quickly.\n\nAll patients given IV infusion of bicarbonate, dextrose and human fibrinogen. Some recieved EACA and FFP. \n\nOf 15 patients, 1 child died immediatley after operation, 3 died of exsanguination the day after operation, 2 due to irreversible coagulatiion abnormalites. 2 patients alive at 6 and 5 months afer opearation.\n\nObjective to over-correct blood loss to maintain perfusion to new graft. Blood loss can be massive andn rapid in patients with portal hypertension. Previous surgery increased bleeding. Dilated thin walled vessels can bleed after mininmal surgical trauma. uncontrollable capillary haemorrhage of up to 1 litres every 15 minutes occured from multiple sites. Hypotension during graft revasularisation resulted in deaths of 2/15 patients.", "page" : "729-36", "publisher-place" : "ENGLAND", "title" : "Surgical aspects of clinical liver transplantation in 14 cases.", "type" : "article-journal", "volume" : "56" }, "uris" : [ "http://www.mendeley.com/documents/?uuid=f6e32dfa-b521-4919-be4d-4491e4180544" ] } ], "mendeley" : { "formattedCitation" : "&lt;sup&gt;[2]&lt;/sup&gt;", "plainTextFormattedCitation" : "[2]", "previouslyFormattedCitation" : "&lt;sup&gt;[2]&lt;/sup&gt;" }, "properties" : { "noteIndex" : 0 }, "schema" : "https://github.com/citation-style-language/schema/raw/master/csl-citation.json" }</w:instrText>
      </w:r>
      <w:r w:rsidR="002548AA" w:rsidRPr="00884A81">
        <w:rPr>
          <w:rFonts w:ascii="Book Antiqua" w:hAnsi="Book Antiqua"/>
        </w:rPr>
        <w:fldChar w:fldCharType="separate"/>
      </w:r>
      <w:r w:rsidR="002548AA" w:rsidRPr="00884A81">
        <w:rPr>
          <w:rFonts w:ascii="Book Antiqua" w:hAnsi="Book Antiqua"/>
          <w:noProof/>
          <w:vertAlign w:val="superscript"/>
        </w:rPr>
        <w:t>[2]</w:t>
      </w:r>
      <w:r w:rsidR="002548AA" w:rsidRPr="00884A81">
        <w:rPr>
          <w:rFonts w:ascii="Book Antiqua" w:hAnsi="Book Antiqua"/>
        </w:rPr>
        <w:fldChar w:fldCharType="end"/>
      </w:r>
      <w:r w:rsidR="004832A2" w:rsidRPr="00884A81">
        <w:rPr>
          <w:rFonts w:ascii="Book Antiqua" w:hAnsi="Book Antiqua"/>
        </w:rPr>
        <w:t>.</w:t>
      </w:r>
      <w:r w:rsidRPr="00884A81">
        <w:rPr>
          <w:rFonts w:ascii="Book Antiqua" w:hAnsi="Book Antiqua"/>
        </w:rPr>
        <w:t xml:space="preserve"> In 1963</w:t>
      </w:r>
      <w:r w:rsidR="00FC7C75" w:rsidRPr="00884A81">
        <w:rPr>
          <w:rFonts w:ascii="Book Antiqua" w:eastAsia="宋体" w:hAnsi="Book Antiqua"/>
          <w:lang w:eastAsia="zh-CN"/>
        </w:rPr>
        <w:t>,</w:t>
      </w:r>
      <w:r w:rsidRPr="00884A81">
        <w:rPr>
          <w:rFonts w:ascii="Book Antiqua" w:hAnsi="Book Antiqua"/>
        </w:rPr>
        <w:t xml:space="preserve"> Starzl</w:t>
      </w:r>
      <w:r w:rsidRPr="00884A81">
        <w:rPr>
          <w:rFonts w:ascii="Book Antiqua" w:hAnsi="Book Antiqua"/>
          <w:i/>
        </w:rPr>
        <w:t xml:space="preserve"> et al</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"ISSN" : "0039-6087", "PMID" : "14100514", "author" : [ { "dropping-particle" : "", "family" : "Starzl", "given" : "T E", "non-dropping-particle" : "", "parse-names" : false, "suffix" : "" }, { "dropping-particle" : "", "family" : "Marchioro", "given" : "T L", "non-dropping-particle" : "", "parse-names" : false, "suffix" : "" }, { "dropping-particle" : "", "family" : "Kaulla", "given" : "K N", "non-dropping-particle" : "Von", "parse-names" : false, "suffix" : "" }, { "dropping-particle" : "", "family" : "Hermann", "given" : "G", "non-dropping-particle" : "", "parse-names" : false, "suffix" : "" }, { "dropping-particle" : "", "family" : "Brittain", "given" : "R S", "non-dropping-particle" : "", "parse-names" : false, "suffix" : "" }, { "dropping-particle" : "", "family" : "Waddell", "given" : "W R", "non-dropping-particle" : "", "parse-names" : false, "suffix" : "" } ], "container-title" : "Surgery, gynecology &amp; obstetrics", "id" : "ITEM-1", "issued" : { "date-parts" : [ [ "1963", "12" ] ] }, "page" : "659-76", "title" : "Homotransplantation of the liver in humans.", "type" : "article-journal", "volume" : "117" }, "uris" : [ "http://www.mendeley.com/documents/?uuid=d08d02f9-0042-443d-8830-9ba74124166d", "http://www.mendeley.com/documents/?uuid=663ababa-01ca-40e6-91a4-6370c0fbd616" ] } ], "mendeley" : { "formattedCitation" : "&lt;sup&gt;[3]&lt;/sup&gt;", "plainTextFormattedCitation" : "[3]", "previouslyFormattedCitation" : "&lt;sup&gt;[3]&lt;/sup&gt;"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[3]</w:t>
      </w:r>
      <w:r w:rsidR="00FC7C75" w:rsidRPr="00884A81">
        <w:rPr>
          <w:rFonts w:ascii="Book Antiqua" w:hAnsi="Book Antiqua"/>
        </w:rPr>
        <w:fldChar w:fldCharType="end"/>
      </w:r>
      <w:r w:rsidRPr="00884A81">
        <w:rPr>
          <w:rFonts w:ascii="Book Antiqua" w:hAnsi="Book Antiqua"/>
        </w:rPr>
        <w:t xml:space="preserve"> published </w:t>
      </w:r>
      <w:r w:rsidR="000D17F8" w:rsidRPr="00884A81">
        <w:rPr>
          <w:rFonts w:ascii="Book Antiqua" w:hAnsi="Book Antiqua"/>
        </w:rPr>
        <w:t xml:space="preserve">the first case </w:t>
      </w:r>
      <w:r w:rsidR="00A050D5" w:rsidRPr="00884A81">
        <w:rPr>
          <w:rFonts w:ascii="Book Antiqua" w:hAnsi="Book Antiqua"/>
        </w:rPr>
        <w:t>series of 3</w:t>
      </w:r>
      <w:r w:rsidRPr="00884A81">
        <w:rPr>
          <w:rFonts w:ascii="Book Antiqua" w:hAnsi="Book Antiqua"/>
        </w:rPr>
        <w:t xml:space="preserve"> </w:t>
      </w:r>
      <w:r w:rsidR="000D17F8" w:rsidRPr="00884A81">
        <w:rPr>
          <w:rFonts w:ascii="Book Antiqua" w:hAnsi="Book Antiqua"/>
        </w:rPr>
        <w:t>patients</w:t>
      </w:r>
      <w:r w:rsidR="00AF56F7" w:rsidRPr="00884A81">
        <w:rPr>
          <w:rFonts w:ascii="Book Antiqua" w:hAnsi="Book Antiqua"/>
        </w:rPr>
        <w:t>,</w:t>
      </w:r>
      <w:r w:rsidRPr="00884A81">
        <w:rPr>
          <w:rFonts w:ascii="Book Antiqua" w:hAnsi="Book Antiqua"/>
        </w:rPr>
        <w:t xml:space="preserve"> </w:t>
      </w:r>
      <w:r w:rsidR="000D17F8" w:rsidRPr="00884A81">
        <w:rPr>
          <w:rFonts w:ascii="Book Antiqua" w:hAnsi="Book Antiqua"/>
        </w:rPr>
        <w:t xml:space="preserve">two of whom </w:t>
      </w:r>
      <w:r w:rsidRPr="00884A81">
        <w:rPr>
          <w:rFonts w:ascii="Book Antiqua" w:hAnsi="Book Antiqua"/>
        </w:rPr>
        <w:t xml:space="preserve">died shortly after the procedure </w:t>
      </w:r>
      <w:r w:rsidR="000D17F8" w:rsidRPr="00884A81">
        <w:rPr>
          <w:rFonts w:ascii="Book Antiqua" w:hAnsi="Book Antiqua"/>
        </w:rPr>
        <w:t>and one</w:t>
      </w:r>
      <w:r w:rsidRPr="00884A81">
        <w:rPr>
          <w:rFonts w:ascii="Book Antiqua" w:hAnsi="Book Antiqua"/>
        </w:rPr>
        <w:t xml:space="preserve"> bleeding to death on the operating table</w:t>
      </w:r>
      <w:r w:rsidR="0044520C" w:rsidRPr="00884A81">
        <w:rPr>
          <w:rFonts w:ascii="Book Antiqua" w:hAnsi="Book Antiqua"/>
        </w:rPr>
        <w:t>.</w:t>
      </w:r>
      <w:r w:rsidRPr="00884A81">
        <w:rPr>
          <w:rFonts w:ascii="Book Antiqua" w:hAnsi="Book Antiqua"/>
        </w:rPr>
        <w:t xml:space="preserve"> Through the remainder of the 1960’s liver transplantation </w:t>
      </w:r>
      <w:r w:rsidR="00AF56F7" w:rsidRPr="00884A81">
        <w:rPr>
          <w:rFonts w:ascii="Book Antiqua" w:hAnsi="Book Antiqua"/>
        </w:rPr>
        <w:t xml:space="preserve">was </w:t>
      </w:r>
      <w:r w:rsidRPr="00884A81">
        <w:rPr>
          <w:rFonts w:ascii="Book Antiqua" w:hAnsi="Book Antiqua"/>
        </w:rPr>
        <w:t>an experimental procedure with the first survival beyond a year not coming till 1967</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"DOI" : "10.1002/hep.1840020516", "ISSN" : "02709139", "PMID" : "6749635", "author" : [ { "dropping-particle" : "", "family" : "Starzl", "given" : "Thomas E", "non-dropping-particle" : "", "parse-names" : false, "suffix" : "" }, { "dropping-particle" : "", "family" : "Iwatsuki", "given" : "Shunzaburo", "non-dropping-particle" : "", "parse-names" : false, "suffix" : "" }, { "dropping-particle" : "", "family" : "Thiel", "given" : "David H", "non-dropping-particle" : "Van", "parse-names" : false, "suffix" : "" }, { "dropping-particle" : "", "family" : "Carlton Gartner", "given" : "J.", "non-dropping-particle" : "", "parse-names" : false, "suffix" : "" }, { "dropping-particle" : "", "family" : "Zitelli", "given" : "Basil J", "non-dropping-particle" : "", "parse-names" : false, "suffix" : "" }, { "dropping-particle" : "", "family" : "Jeffrey Malatack", "given" : "J.", "non-dropping-particle" : "", "parse-names" : false, "suffix" : "" }, { "dropping-particle" : "", "family" : "Schade", "given" : "Robert R", "non-dropping-particle" : "", "parse-names" : false, "suffix" : "" }, { "dropping-particle" : "", "family" : "Shaw Jr .", "given" : "Byers W.", "non-dropping-particle" : "", "parse-names" : false, "suffix" : "" }, { "dropping-particle" : "", "family" : "Hakala", "given" : "Thomas R", "non-dropping-particle" : "", "parse-names" : false, "suffix" : "" }, { "dropping-particle" : "", "family" : "Thomas Rosenthal", "given" : "J.", "non-dropping-particle" : "", "parse-names" : false, "suffix" : "" }, { "dropping-particle" : "", "family" : "Porter", "given" : "Kendrick A", "non-dropping-particle" : "", "parse-names" : false, "suffix" : "" } ], "container-title" : "Hepatology", "id" : "ITEM-1", "issue" : "5", "issued" : { "date-parts" : [ [ "2007", "9", "21" ] ] }, "page" : "614S-636S", "title" : "Evolution of Liver Transplantation", "type" : "article-journal", "volume" : "2" }, "uris" : [ "http://www.mendeley.com/documents/?uuid=25b7d552-3ce9-47d5-baaf-72afd1568e71", "http://www.mendeley.com/documents/?uuid=89c20d43-b00c-46d3-aed3-8c8486f7d8e1" ] } ], "mendeley" : { "formattedCitation" : "&lt;sup&gt;[4]&lt;/sup&gt;", "plainTextFormattedCitation" : "[4]", "previouslyFormattedCitation" : "&lt;sup&gt;[4]&lt;/sup&gt;"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[4]</w:t>
      </w:r>
      <w:r w:rsidR="00FC7C75" w:rsidRPr="00884A81">
        <w:rPr>
          <w:rFonts w:ascii="Book Antiqua" w:hAnsi="Book Antiqua"/>
        </w:rPr>
        <w:fldChar w:fldCharType="end"/>
      </w:r>
      <w:r w:rsidR="0044520C" w:rsidRPr="00884A81">
        <w:rPr>
          <w:rFonts w:ascii="Book Antiqua" w:hAnsi="Book Antiqua"/>
        </w:rPr>
        <w:t>.</w:t>
      </w:r>
      <w:r w:rsidRPr="00884A81">
        <w:rPr>
          <w:rFonts w:ascii="Book Antiqua" w:hAnsi="Book Antiqua"/>
        </w:rPr>
        <w:t xml:space="preserve"> </w:t>
      </w:r>
      <w:r w:rsidR="0038081E" w:rsidRPr="00884A81">
        <w:rPr>
          <w:rFonts w:ascii="Book Antiqua" w:hAnsi="Book Antiqua"/>
        </w:rPr>
        <w:t xml:space="preserve">Improvements </w:t>
      </w:r>
      <w:r w:rsidR="00AF56F7" w:rsidRPr="00884A81">
        <w:rPr>
          <w:rFonts w:ascii="Book Antiqua" w:hAnsi="Book Antiqua"/>
        </w:rPr>
        <w:t xml:space="preserve">in surgical outcomes </w:t>
      </w:r>
      <w:r w:rsidR="0038081E" w:rsidRPr="00884A81">
        <w:rPr>
          <w:rFonts w:ascii="Book Antiqua" w:hAnsi="Book Antiqua"/>
        </w:rPr>
        <w:t xml:space="preserve">became possible </w:t>
      </w:r>
      <w:r w:rsidR="00AF56F7" w:rsidRPr="00884A81">
        <w:rPr>
          <w:rFonts w:ascii="Book Antiqua" w:hAnsi="Book Antiqua"/>
        </w:rPr>
        <w:t xml:space="preserve">with the dramatic improvement </w:t>
      </w:r>
      <w:r w:rsidR="0038081E" w:rsidRPr="00884A81">
        <w:rPr>
          <w:rFonts w:ascii="Book Antiqua" w:hAnsi="Book Antiqua"/>
        </w:rPr>
        <w:t xml:space="preserve">in the </w:t>
      </w:r>
      <w:r w:rsidR="00AF56F7" w:rsidRPr="00884A81">
        <w:rPr>
          <w:rFonts w:ascii="Book Antiqua" w:hAnsi="Book Antiqua"/>
        </w:rPr>
        <w:t xml:space="preserve">graft </w:t>
      </w:r>
      <w:r w:rsidR="0038081E" w:rsidRPr="00884A81">
        <w:rPr>
          <w:rFonts w:ascii="Book Antiqua" w:hAnsi="Book Antiqua"/>
        </w:rPr>
        <w:t xml:space="preserve">quality </w:t>
      </w:r>
      <w:r w:rsidR="00AF56F7" w:rsidRPr="00884A81">
        <w:rPr>
          <w:rFonts w:ascii="Book Antiqua" w:hAnsi="Book Antiqua"/>
        </w:rPr>
        <w:t xml:space="preserve">due to </w:t>
      </w:r>
      <w:r w:rsidR="00AD01A0" w:rsidRPr="00884A81">
        <w:rPr>
          <w:rFonts w:ascii="Book Antiqua" w:hAnsi="Book Antiqua"/>
        </w:rPr>
        <w:t xml:space="preserve">the acceptance of </w:t>
      </w:r>
      <w:r w:rsidR="0038081E" w:rsidRPr="00884A81">
        <w:rPr>
          <w:rFonts w:ascii="Book Antiqua" w:hAnsi="Book Antiqua"/>
        </w:rPr>
        <w:t>the concept of brain death</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"DOI" : "10.3748/wjg.v20.i18.5363", "ISSN" : "2219-2840", "PMID" : "24833866", "abstract" : "Since 1963, when the first human liver transplantation (LT) was performed by Thomas Starzl, the world has witnessed 50 years of development in surgical techniques, immunosuppression, organ allocation, donor selection, and the indications and contraindications for LT. This has led to the mainstream, well-established procedure that has saved innumerable lives worldwide. Today, there are hundreds of liver transplant centres in over 80 countries. This review aims to describe the main aspects of LT regarding the progressive changes that have occurred over the years. We herein review historical aspects since the first experimental studies and the first attempts at human transplantation. We also provide an overview of immunosuppressive agents and their potential side effects, the evolution of the indications and contraindications of LT, the evolution of survival according to different time periods, and the evolution of methods of organ allocation.", "author" : [ { "dropping-particle" : "", "family" : "Song", "given" : "Alice Tung Wan", "non-dropping-particle" : "", "parse-names" : false, "suffix" : "" }, { "dropping-particle" : "", "family" : "Avelino-Silva", "given" : "Vivian Iida", "non-dropping-particle" : "", "parse-names" : false, "suffix" : "" }, { "dropping-particle" : "", "family" : "Pecora", "given" : "Rafael Antonio Arruda", "non-dropping-particle" : "", "parse-names" : false, "suffix" : "" }, { "dropping-particle" : "", "family" : "Pugliese", "given" : "Vincenzo", "non-dropping-particle" : "", "parse-names" : false, "suffix" : "" }, { "dropping-particle" : "", "family" : "D'Albuquerque", "given" : "Luiz Augusto Carneiro", "non-dropping-particle" : "", "parse-names" : false, "suffix" : "" }, { "dropping-particle" : "", "family" : "Abdala", "given" : "Edson", "non-dropping-particle" : "", "parse-names" : false, "suffix" : "" } ], "container-title" : "World journal of gastroenterology", "id" : "ITEM-1", "issue" : "18", "issued" : { "date-parts" : [ [ "2014", "5", "14" ] ] }, "page" : "5363-74", "title" : "Liver transplantation: fifty years of experience.", "type" : "article-journal", "volume" : "20" }, "uris" : [ "http://www.mendeley.com/documents/?uuid=14737384-4d9e-4082-bc08-aae0f1c8506b", "http://www.mendeley.com/documents/?uuid=1971917c-6a5c-49db-9f53-92243aea473a" ] } ], "mendeley" : { "formattedCitation" : "&lt;sup&gt;[5]&lt;/sup&gt;", "plainTextFormattedCitation" : "[5]", "previouslyFormattedCitation" : "&lt;sup&gt;[5]&lt;/sup&gt;"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[5]</w:t>
      </w:r>
      <w:r w:rsidR="00FC7C75" w:rsidRPr="00884A81">
        <w:rPr>
          <w:rFonts w:ascii="Book Antiqua" w:hAnsi="Book Antiqua"/>
        </w:rPr>
        <w:fldChar w:fldCharType="end"/>
      </w:r>
      <w:r w:rsidR="0038081E" w:rsidRPr="00884A81">
        <w:rPr>
          <w:rFonts w:ascii="Book Antiqua" w:hAnsi="Book Antiqua"/>
        </w:rPr>
        <w:t>,</w:t>
      </w:r>
      <w:r w:rsidR="00AD01A0" w:rsidRPr="00884A81">
        <w:rPr>
          <w:rFonts w:ascii="Book Antiqua" w:hAnsi="Book Antiqua"/>
        </w:rPr>
        <w:t xml:space="preserve"> and</w:t>
      </w:r>
      <w:r w:rsidRPr="00884A81">
        <w:rPr>
          <w:rFonts w:ascii="Book Antiqua" w:hAnsi="Book Antiqua"/>
        </w:rPr>
        <w:t xml:space="preserve"> </w:t>
      </w:r>
      <w:r w:rsidR="00AF56F7" w:rsidRPr="00884A81">
        <w:rPr>
          <w:rFonts w:ascii="Book Antiqua" w:hAnsi="Book Antiqua"/>
        </w:rPr>
        <w:t xml:space="preserve">with the introduction the effective </w:t>
      </w:r>
      <w:r w:rsidRPr="00884A81">
        <w:rPr>
          <w:rFonts w:ascii="Book Antiqua" w:hAnsi="Book Antiqua"/>
        </w:rPr>
        <w:t>immunosuppressi</w:t>
      </w:r>
      <w:r w:rsidR="00AF56F7" w:rsidRPr="00884A81">
        <w:rPr>
          <w:rFonts w:ascii="Book Antiqua" w:hAnsi="Book Antiqua"/>
        </w:rPr>
        <w:t xml:space="preserve">ve agent, </w:t>
      </w:r>
      <w:r w:rsidRPr="00884A81">
        <w:rPr>
          <w:rFonts w:ascii="Book Antiqua" w:hAnsi="Book Antiqua"/>
        </w:rPr>
        <w:t>cyclosporine</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"DOI" : "10.1016/S0140-6736(78)90971-6", "ISSN" : "01406736", "PMID" : "77948", "abstract" : "Cyclosporin A was given to pigs receiving orthotopic cardiac allografts from donors mismatched at the major locus. Median survival in 20 control pigs was only 6 days; in 5 pigs given cyclosporin A at 15 mg/kg on 3 days median survival was 22 days; and when 6 animals were given 25 mg/kg intramuscularly for 2 days and then orally median survival is greater than 68 days, with 4 animals still alive.", "author" : [ { "dropping-particle" : "", "family" : "Calne", "given" : "R. Y.", "non-dropping-particle" : "", "parse-names" : false, "suffix" : "" }, { "dropping-particle" : "", "family" : "White", "given" : "D. J G", "non-dropping-particle" : "", "parse-names" : false, "suffix" : "" }, { "dropping-particle" : "", "family" : "Rolles", "given" : "K.", "non-dropping-particle" : "", "parse-names" : false, "suffix" : "" }, { "dropping-particle" : "", "family" : "Smith", "given" : "D. P.", "non-dropping-particle" : "", "parse-names" : false, "suffix" : "" }, { "dropping-particle" : "", "family" : "Herbertson", "given" : "B. M.", "non-dropping-particle" : "", "parse-names" : false, "suffix" : "" } ], "container-title" : "Lancet", "id" : "ITEM-1", "issue" : "8075", "issued" : { "date-parts" : [ [ "1978" ] ] }, "page" : "1183-1185", "title" : "Prolonged survival of pig orthotopic heart grafts treated with cyclosporin a", "type" : "article-journal", "volume" : "1" }, "uris" : [ "http://www.mendeley.com/documents/?uuid=23d01aef-8c06-4981-acc8-c1420f1d82ad", "http://www.mendeley.com/documents/?uuid=1d926af5-ce4a-414c-a075-cbd6e2c33b3a" ] }, { "id" : "ITEM-2", "itemData" : { "DOI" : "10.1002/hep.1840020516", "ISSN" : "02709139", "PMID" : "6749635", "author" : [ { "dropping-particle" : "", "family" : "Starzl", "given" : "Thomas E", "non-dropping-particle" : "", "parse-names" : false, "suffix" : "" }, { "dropping-particle" : "", "family" : "Iwatsuki", "given" : "Shunzaburo", "non-dropping-particle" : "", "parse-names" : false, "suffix" : "" }, { "dropping-particle" : "", "family" : "Thiel", "given" : "David H", "non-dropping-particle" : "Van", "parse-names" : false, "suffix" : "" }, { "dropping-particle" : "", "family" : "Carlton Gartner", "given" : "J.", "non-dropping-particle" : "", "parse-names" : false, "suffix" : "" }, { "dropping-particle" : "", "family" : "Zitelli", "given" : "Basil J", "non-dropping-particle" : "", "parse-names" : false, "suffix" : "" }, { "dropping-particle" : "", "family" : "Jeffrey Malatack", "given" : "J.", "non-dropping-particle" : "", "parse-names" : false, "suffix" : "" }, { "dropping-particle" : "", "family" : "Schade", "given" : "Robert R", "non-dropping-particle" : "", "parse-names" : false, "suffix" : "" }, { "dropping-particle" : "", "family" : "Shaw Jr .", "given" : "Byers W.", "non-dropping-particle" : "", "parse-names" : false, "suffix" : "" }, { "dropping-particle" : "", "family" : "Hakala", "given" : "Thomas R", "non-dropping-particle" : "", "parse-names" : false, "suffix" : "" }, { "dropping-particle" : "", "family" : "Thomas Rosenthal", "given" : "J.", "non-dropping-particle" : "", "parse-names" : false, "suffix" : "" }, { "dropping-particle" : "", "family" : "Porter", "given" : "Kendrick A", "non-dropping-particle" : "", "parse-names" : false, "suffix" : "" } ], "container-title" : "Hepatology", "id" : "ITEM-2", "issue" : "5", "issued" : { "date-parts" : [ [ "2007", "9", "21" ] ] }, "page" : "614S-636S", "title" : "Evolution of Liver Transplantation", "type" : "article-journal", "volume" : "2" }, "uris" : [ "http://www.mendeley.com/documents/?uuid=89c20d43-b00c-46d3-aed3-8c8486f7d8e1", "http://www.mendeley.com/documents/?uuid=25b7d552-3ce9-47d5-baaf-72afd1568e71" ] } ], "mendeley" : { "formattedCitation" : "&lt;sup&gt;[4,6]&lt;/sup&gt;", "plainTextFormattedCitation" : "[4,6]", "previouslyFormattedCitation" : "&lt;sup&gt;[4,6]&lt;/sup&gt;"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[4,6]</w:t>
      </w:r>
      <w:r w:rsidR="00FC7C75" w:rsidRPr="00884A81">
        <w:rPr>
          <w:rFonts w:ascii="Book Antiqua" w:hAnsi="Book Antiqua"/>
        </w:rPr>
        <w:fldChar w:fldCharType="end"/>
      </w:r>
      <w:r w:rsidR="00FC73A3" w:rsidRPr="00884A81">
        <w:rPr>
          <w:rFonts w:ascii="Book Antiqua" w:hAnsi="Book Antiqua"/>
        </w:rPr>
        <w:t>.</w:t>
      </w:r>
      <w:r w:rsidR="0038081E" w:rsidRPr="00884A81">
        <w:rPr>
          <w:rFonts w:ascii="Book Antiqua" w:hAnsi="Book Antiqua"/>
        </w:rPr>
        <w:t xml:space="preserve"> S</w:t>
      </w:r>
      <w:r w:rsidR="00FC4029" w:rsidRPr="00884A81">
        <w:rPr>
          <w:rFonts w:ascii="Book Antiqua" w:hAnsi="Book Antiqua"/>
        </w:rPr>
        <w:t xml:space="preserve">urvival after liver transplantation </w:t>
      </w:r>
      <w:r w:rsidR="00CE78F6" w:rsidRPr="00884A81">
        <w:rPr>
          <w:rFonts w:ascii="Book Antiqua" w:hAnsi="Book Antiqua"/>
        </w:rPr>
        <w:t xml:space="preserve">has </w:t>
      </w:r>
      <w:r w:rsidR="00FC4029" w:rsidRPr="00884A81">
        <w:rPr>
          <w:rFonts w:ascii="Book Antiqua" w:hAnsi="Book Antiqua"/>
        </w:rPr>
        <w:t>stead</w:t>
      </w:r>
      <w:r w:rsidR="00D212F0" w:rsidRPr="00884A81">
        <w:rPr>
          <w:rFonts w:ascii="Book Antiqua" w:hAnsi="Book Antiqua"/>
        </w:rPr>
        <w:t>il</w:t>
      </w:r>
      <w:r w:rsidR="00FC4029" w:rsidRPr="00884A81">
        <w:rPr>
          <w:rFonts w:ascii="Book Antiqua" w:hAnsi="Book Antiqua"/>
        </w:rPr>
        <w:t>y improved</w:t>
      </w:r>
      <w:r w:rsidR="00FC7C75" w:rsidRPr="00884A81">
        <w:rPr>
          <w:rFonts w:ascii="Book Antiqua" w:hAnsi="Book Antiqua"/>
        </w:rPr>
        <w:fldChar w:fldCharType="begin" w:fldLock="1"/>
      </w:r>
      <w:r w:rsidR="00FC7C75" w:rsidRPr="00884A81">
        <w:rPr>
          <w:rFonts w:ascii="Book Antiqua" w:hAnsi="Book Antiqua"/>
        </w:rPr>
        <w:instrText>ADDIN CSL_CITATION { "citationItems" : [ { "id" : "ITEM-1", "itemData" : { "DOI" : "10.1016/S0140-6736(80)91785-7", "ISSN" : "0140-6736", "PMID" : "6104130", "abstract" : "Between May, 1968, and April 27, 1980, 94 patients have been treated by orthotopic liver transplantation. During this time operative techniques and the management and selection of patients have changed. Healing of the biliary-tract anastomoses has been better since the introduction of a gallbladder conduit procedure and early irrigation of the donor biliary tract largely prevents damage to biliary-tract mucosa and sludge formation. Partial cardiopulmonary bypass in selected cases can provide control of the circulation during surgery. Many patients have been operated on too late, and an earlier selection is indicated. Of the 94 patients, 18 lived for over one year and 11 for two years, with 2 surviving for more than five years. 13 patients are currently alive. Rehabilitation of long-term survivors has been excellent, and although tumour recurred in more than 60% of patients grafted for primary hepatoma, worthwhile palliation can still be achieved.", "author" : [ { "dropping-particle" : "", "family" : "Macdougall", "given" : "B R", "non-dropping-particle" : "", "parse-names" : false, "suffix" : "" }, { "dropping-particle" : "", "family" : "Calne", "given" : "R Y", "non-dropping-particle" : "", "parse-names" : false, "suffix" : "" }, { "dropping-particle" : "", "family" : "McMaster", "given" : "P", "non-dropping-particle" : "", "parse-names" : false, "suffix" : "" }, { "dropping-particle" : "", "family" : "Williams", "given" : "Roger", "non-dropping-particle" : "", "parse-names" : false, "suffix" : "" } ], "container-title" : "Lancet (London, England)", "id" : "ITEM-1", "issue" : "8182", "issued" : { "date-parts" : [ [ "1980", "6", "21" ] ] }, "page" : "1326-8", "title" : "Survival and rehabilitation after orthotopic liver transplantation.", "type" : "article-journal", "volume" : "1" }, "uris" : [ "http://www.mendeley.com/documents/?uuid=dff14c53-7b1d-4b39-8e43-6168281c5a87", "http://www.mendeley.com/documents/?uuid=bd3af648-a621-440d-a402-96e5d442ba70" ] }, { "id" : "ITEM-2", "itemData" : { "DOI" : "10.1002/hep.1840040723", "ISSN" : "0270-9139", "PMID" : "6363266", "abstract" : "The results of liver transplantation in a total of 540 patients from four centers in the United States and Western Europe have been collated. Twenty-five per cent of all transplants were performed for neoplastic disease. One- and 3-year survivals for this group were approximately 26 and 12% overall, and survival differed little for patients transplanted before and after January 1, 1980. Among the 44% of patients transplanted for endstage cirrhosis, 3-year survival was lowest for patients with alcoholic cirrhosis (20%). Three-year survival was greater for patients with nonalcoholic cirrhosis (29% overall), did not differ markedly among the various subtypes, and was greater for patients transplanted after January 1, 1980 (42%), as compared with before (22%). Patients with biliary atresia, sclerosing cholangitis, and metabolic and miscellaneous disorders constituted the remaining 30% of patients; 3-year survival varied from about 20 to 44% overall for the various subgroups, with a consistent trend toward improved survival among patients transplanted after January 1, 1980. The use of cyclosporin may not wholly explain this improved survival among more recently transplanted patients. Quality of life for transplant recipients surviving at least 3 months, as judged by a limited amount of data regarding time-in-hospital and functional status, appears to be good.", "author" : [ { "dropping-particle" : "", "family" : "Scharschmidt", "given" : "Bruce F.", "non-dropping-particle" : "", "parse-names" : false, "suffix" : "" } ], "container-title" : "Hepatology (Baltimore, Md.)", "id" : "ITEM-2", "issue" : "1 Suppl", "issued" : { "date-parts" : [ [ "1984", "1" ] ] }, "page" : "95S-101S", "title" : "Human liver transplantation: analysis of data on 540 patients from four centers.", "type" : "article-journal", "volume" : "4" }, "uris" : [ "http://www.mendeley.com/documents/?uuid=0cbbf09a-9c13-4df7-9a56-e8f3da30c3fd", "http://www.mendeley.com/documents/?uuid=d8264351-7cb3-4ec1-81ed-e261d5a0c076" ] } ], "mendeley" : { "formattedCitation" : "&lt;sup&gt;[7,8]&lt;/sup&gt;", "plainTextFormattedCitation" : "[7,8]", "previouslyFormattedCitation" : "&lt;sup&gt;[7,8]&lt;/sup&gt;" }, "properties" : { "noteIndex" : 0 }, "schema" : "https://github.com/citation-style-language/schema/raw/master/csl-citation.json" }</w:instrText>
      </w:r>
      <w:r w:rsidR="00FC7C75" w:rsidRPr="00884A81">
        <w:rPr>
          <w:rFonts w:ascii="Book Antiqua" w:hAnsi="Book Antiqua"/>
        </w:rPr>
        <w:fldChar w:fldCharType="separate"/>
      </w:r>
      <w:r w:rsidR="00FC7C75" w:rsidRPr="00884A81">
        <w:rPr>
          <w:rFonts w:ascii="Book Antiqua" w:hAnsi="Book Antiqua"/>
          <w:noProof/>
          <w:vertAlign w:val="superscript"/>
        </w:rPr>
        <w:t>[7,8]</w:t>
      </w:r>
      <w:r w:rsidR="00FC7C75" w:rsidRPr="00884A81">
        <w:rPr>
          <w:rFonts w:ascii="Book Antiqua" w:hAnsi="Book Antiqua"/>
        </w:rPr>
        <w:fldChar w:fldCharType="end"/>
      </w:r>
      <w:r w:rsidR="0038081E" w:rsidRPr="00884A81">
        <w:rPr>
          <w:rFonts w:ascii="Book Antiqua" w:hAnsi="Book Antiqua"/>
        </w:rPr>
        <w:t>,</w:t>
      </w:r>
      <w:r w:rsidR="00FC4029" w:rsidRPr="00884A81">
        <w:rPr>
          <w:rFonts w:ascii="Book Antiqua" w:hAnsi="Book Antiqua"/>
        </w:rPr>
        <w:t xml:space="preserve"> </w:t>
      </w:r>
      <w:r w:rsidRPr="00884A81">
        <w:rPr>
          <w:rFonts w:ascii="Book Antiqua" w:hAnsi="Book Antiqua"/>
        </w:rPr>
        <w:t>and orthotopic liver transplantation (OLT)</w:t>
      </w:r>
      <w:r w:rsidR="00FC4029" w:rsidRPr="00884A81">
        <w:rPr>
          <w:rFonts w:ascii="Book Antiqua" w:hAnsi="Book Antiqua"/>
        </w:rPr>
        <w:t xml:space="preserve"> is </w:t>
      </w:r>
      <w:r w:rsidR="0038081E" w:rsidRPr="00884A81">
        <w:rPr>
          <w:rFonts w:ascii="Book Antiqua" w:hAnsi="Book Antiqua"/>
        </w:rPr>
        <w:t xml:space="preserve">now </w:t>
      </w:r>
      <w:r w:rsidR="00FC4029" w:rsidRPr="00884A81">
        <w:rPr>
          <w:rFonts w:ascii="Book Antiqua" w:hAnsi="Book Antiqua"/>
        </w:rPr>
        <w:t>an accepted</w:t>
      </w:r>
      <w:r w:rsidR="0038081E" w:rsidRPr="00884A81">
        <w:rPr>
          <w:rFonts w:ascii="Book Antiqua" w:hAnsi="Book Antiqua"/>
        </w:rPr>
        <w:t xml:space="preserve"> </w:t>
      </w:r>
      <w:r w:rsidRPr="00884A81">
        <w:rPr>
          <w:rFonts w:ascii="Book Antiqua" w:hAnsi="Book Antiqua"/>
        </w:rPr>
        <w:t>treatment of advance</w:t>
      </w:r>
      <w:r w:rsidR="004832A2" w:rsidRPr="00884A81">
        <w:rPr>
          <w:rFonts w:ascii="Book Antiqua" w:hAnsi="Book Antiqua"/>
        </w:rPr>
        <w:t>d</w:t>
      </w:r>
      <w:r w:rsidRPr="00884A81">
        <w:rPr>
          <w:rFonts w:ascii="Book Antiqua" w:hAnsi="Book Antiqua"/>
        </w:rPr>
        <w:t xml:space="preserve"> liver failure.</w:t>
      </w:r>
    </w:p>
    <w:p w14:paraId="6D79BBA3" w14:textId="50D37E36" w:rsidR="002A30AF" w:rsidRPr="00884A81" w:rsidRDefault="002A30AF" w:rsidP="00155D5F">
      <w:pPr>
        <w:spacing w:line="360" w:lineRule="auto"/>
        <w:ind w:firstLineChars="100" w:firstLine="240"/>
        <w:jc w:val="both"/>
        <w:rPr>
          <w:rFonts w:ascii="Book Antiqua" w:hAnsi="Book Antiqua"/>
        </w:rPr>
      </w:pPr>
      <w:r w:rsidRPr="00884A81">
        <w:rPr>
          <w:rFonts w:ascii="Book Antiqua" w:hAnsi="Book Antiqua"/>
        </w:rPr>
        <w:t xml:space="preserve">With the expansion of OLT programs in the early </w:t>
      </w:r>
      <w:r w:rsidR="00110CF0" w:rsidRPr="00884A81">
        <w:rPr>
          <w:rFonts w:ascii="Book Antiqua" w:hAnsi="Book Antiqua"/>
        </w:rPr>
        <w:t>19</w:t>
      </w:r>
      <w:r w:rsidRPr="00884A81">
        <w:rPr>
          <w:rFonts w:ascii="Book Antiqua" w:hAnsi="Book Antiqua"/>
        </w:rPr>
        <w:t>80’s, there was an increasing demand on blood tran</w:t>
      </w:r>
      <w:r w:rsidR="002548AA" w:rsidRPr="00884A81">
        <w:rPr>
          <w:rFonts w:ascii="Book Antiqua" w:hAnsi="Book Antiqua"/>
        </w:rPr>
        <w:t>sfusion services.</w:t>
      </w:r>
      <w:r w:rsidR="00884A81" w:rsidRPr="00884A81">
        <w:rPr>
          <w:rFonts w:ascii="Book Antiqua" w:hAnsi="Book Antiqua"/>
        </w:rPr>
        <w:t xml:space="preserve"> </w:t>
      </w:r>
      <w:r w:rsidR="002548AA" w:rsidRPr="00884A81">
        <w:rPr>
          <w:rFonts w:ascii="Book Antiqua" w:hAnsi="Book Antiqua"/>
        </w:rPr>
        <w:t xml:space="preserve">Butler </w:t>
      </w:r>
      <w:r w:rsidR="002548AA" w:rsidRPr="00884A81">
        <w:rPr>
          <w:rFonts w:ascii="Book Antiqua" w:hAnsi="Book Antiqua"/>
          <w:i/>
        </w:rPr>
        <w:t>et al</w:t>
      </w:r>
      <w:r w:rsidR="002548AA" w:rsidRPr="00884A81">
        <w:rPr>
          <w:rFonts w:ascii="Book Antiqua" w:hAnsi="Book Antiqua"/>
        </w:rPr>
        <w:fldChar w:fldCharType="begin" w:fldLock="1"/>
      </w:r>
      <w:r w:rsidR="002548AA" w:rsidRPr="00884A81">
        <w:rPr>
          <w:rFonts w:ascii="Book Antiqua" w:hAnsi="Book Antiqua"/>
        </w:rPr>
        <w:instrText>ADDIN CSL_CITATION { "citationItems" : [ { "id" : "ITEM-1", "itemData" : { "DOI" : "10.1046/j.1537-2995.1985.25285169201.x", "ISSN" : "0041-1132", "PMID" : "3885484", "abstract" : "Liver transplantation is a relatively new procedure in which unusually large quantities of blood are used. Blood use in 68 adult and 49 pediatric liver transplants was reviewed. The median (range) intraoperative red cell use for adults and children was 28.5 (3-251) and 11 (2-55), respectively. Blood use closely correlated with the patient's primary diagnosis. Adult patients with primary biliary cirrhosis and carcinoma used about one-half as much blood as those with a diagnosis of sclerosing cholangitis, hepatitis, or cirrhosis. Patients in the former diagnostic groups also had better survival rates. Total red cell use for the patient's entire hospitalization was about twice that used during surgery. Fresh-frozen plasma use paralleled red cell transfusions, but platelet use was modest. These data can serve as a baseline in helping other hospital transfusion services prepare for the advent of liver transplantation in their institutions.", "author" : [ { "dropping-particle" : "", "family" : "Butler", "given" : "P", "non-dropping-particle" : "", "parse-names" : false, "suffix" : "" }, { "dropping-particle" : "", "family" : "Israel", "given" : "L", "non-dropping-particle" : "", "parse-names" : false, "suffix" : "" }, { "dropping-particle" : "", "family" : "Nusbacher", "given" : "J", "non-dropping-particle" : "", "parse-names" : false, "suffix" : "" }, { "dropping-particle" : "", "family" : "Jenkins", "given" : "D E", "non-dropping-particle" : "", "parse-names" : false, "suffix" : "" }, { "dropping-particle" : "", "family" : "Starzl", "given" : "T E", "non-dropping-particle" : "", "parse-names" : false, "suffix" : "" } ], "container-title" : "Transfusion", "id" : "ITEM-1", "issue" : "2", "issued" : { "date-parts" : [ [ "1985", "3" ] ] }, "page" : "120-3", "publisher-place" : "UNITED STATES", "title" : "Blood transfusion in liver transplantation.", "type" : "article-journal", "volume" : "25" }, "uris" : [ "http://www.mendeley.com/documents/?uuid=ad379149-a624-4941-b0ab-717bf0c1af58", "http://www.mendeley.com/documents/?uuid=2398b31f-fa6e-45e4-8307-571654492004" ] } ], "mendeley" : { "formattedCitation" : "&lt;sup&gt;[9]&lt;/sup&gt;", "plainTextFormattedCitation" : "[9]", "previouslyFormattedCitation" : "&lt;sup&gt;[9]&lt;/sup&gt;" }, "properties" : { "noteIndex" : 0 }, "schema" : "https://github.com/citation-style-language/schema/raw/master/csl-citation.json" }</w:instrText>
      </w:r>
      <w:r w:rsidR="002548AA" w:rsidRPr="00884A81">
        <w:rPr>
          <w:rFonts w:ascii="Book Antiqua" w:hAnsi="Book Antiqua"/>
        </w:rPr>
        <w:fldChar w:fldCharType="separate"/>
      </w:r>
      <w:r w:rsidR="002548AA" w:rsidRPr="00884A81">
        <w:rPr>
          <w:rFonts w:ascii="Book Antiqua" w:hAnsi="Book Antiqua"/>
          <w:noProof/>
          <w:vertAlign w:val="superscript"/>
        </w:rPr>
        <w:t>[9]</w:t>
      </w:r>
      <w:r w:rsidR="002548AA" w:rsidRPr="00884A81">
        <w:rPr>
          <w:rFonts w:ascii="Book Antiqua" w:hAnsi="Book Antiqua"/>
        </w:rPr>
        <w:fldChar w:fldCharType="end"/>
      </w:r>
      <w:r w:rsidRPr="00884A81">
        <w:rPr>
          <w:rFonts w:ascii="Book Antiqua" w:hAnsi="Book Antiqua"/>
        </w:rPr>
        <w:t xml:space="preserve"> reported red blood cell (RBC) transfusion rates in the range of 6-254 units per person in the first few years of their programme</w:t>
      </w:r>
      <w:r w:rsidR="0044520C" w:rsidRPr="00884A81">
        <w:rPr>
          <w:rFonts w:ascii="Book Antiqua" w:hAnsi="Book Antiqua"/>
        </w:rPr>
        <w:t>.</w:t>
      </w:r>
      <w:r w:rsidR="00402850" w:rsidRPr="00884A81">
        <w:rPr>
          <w:rFonts w:ascii="Book Antiqua" w:hAnsi="Book Antiqua"/>
        </w:rPr>
        <w:t xml:space="preserve"> </w:t>
      </w:r>
      <w:r w:rsidR="00AF56F7" w:rsidRPr="00884A81">
        <w:rPr>
          <w:rFonts w:ascii="Book Antiqua" w:hAnsi="Book Antiqua"/>
        </w:rPr>
        <w:t>W</w:t>
      </w:r>
      <w:r w:rsidR="0044520C" w:rsidRPr="00884A81">
        <w:rPr>
          <w:rFonts w:ascii="Book Antiqua" w:hAnsi="Book Antiqua"/>
        </w:rPr>
        <w:t xml:space="preserve">ith </w:t>
      </w:r>
      <w:r w:rsidR="00402850" w:rsidRPr="00884A81">
        <w:rPr>
          <w:rFonts w:ascii="Book Antiqua" w:hAnsi="Book Antiqua"/>
        </w:rPr>
        <w:t xml:space="preserve">experience </w:t>
      </w:r>
      <w:r w:rsidRPr="00884A81">
        <w:rPr>
          <w:rFonts w:ascii="Book Antiqua" w:hAnsi="Book Antiqua"/>
        </w:rPr>
        <w:t xml:space="preserve">the same group was able to reduce their mean RBC, fresh frozen plasma (FFP) and platelet transfusion rates from 40 to 20 </w:t>
      </w:r>
      <w:r w:rsidR="00A050D5" w:rsidRPr="00884A81">
        <w:rPr>
          <w:rFonts w:ascii="Book Antiqua" w:hAnsi="Book Antiqua"/>
        </w:rPr>
        <w:t xml:space="preserve">units </w:t>
      </w:r>
      <w:r w:rsidRPr="00884A81">
        <w:rPr>
          <w:rFonts w:ascii="Book Antiqua" w:hAnsi="Book Antiqua"/>
        </w:rPr>
        <w:t>per patient</w:t>
      </w:r>
      <w:r w:rsidR="002548AA" w:rsidRPr="00884A81">
        <w:rPr>
          <w:rFonts w:ascii="Book Antiqua" w:hAnsi="Book Antiqua"/>
        </w:rPr>
        <w:fldChar w:fldCharType="begin" w:fldLock="1"/>
      </w:r>
      <w:r w:rsidR="002548AA" w:rsidRPr="00884A81">
        <w:rPr>
          <w:rFonts w:ascii="Book Antiqua" w:hAnsi="Book Antiqua"/>
        </w:rPr>
        <w:instrText>ADDIN CSL_CITATION { "citationItems" : [ { "id" : "ITEM-1", "itemData" : { "DOI" : "10.1046/j.1537-2995.1987.27387235624.x", "ISSN" : "0041-1132", "PMID" : "3296340", "abstract" : "During the first 5 years (1981-1985) of the liver transplantation program in Pittsburgh, a total (preoperative, intraoperative, and postoperative) of 18,668 packed red cell units, 23,627 fresh-frozen plasma units, 20,590 platelet units, and 4241 cryoprecipitate units was transfused for the procedures. This represents 3 to 9 percent of the total of blood products supplied by the Central Blood Bank to its 32 member hospitals. Six hundred thirty-six (636) transplants were performed on 485 patients in two hospitals: the Presbyterian University Hospital (564 beds) and Children's Hospital of Pittsburgh (236 beds). All of the blood components used in the operations were procured and released by the Central Blood Bank. This report describes some of these findings.", "author" : [ { "dropping-particle" : "", "family" : "Lewis", "given" : "J H", "non-dropping-particle" : "", "parse-names" : false, "suffix" : "" }, { "dropping-particle" : "", "family" : "Bontempo", "given" : "F A", "non-dropping-particle" : "", "parse-names" : false, "suffix" : "" }, { "dropping-particle" : "", "family" : "Cornell", "given" : "F", "non-dropping-particle" : "", "parse-names" : false, "suffix" : "" }, { "dropping-particle" : "", "family" : "Kiss", "given" : "J E", "non-dropping-particle" : "", "parse-names" : false, "suffix" : "" }, { "dropping-particle" : "", "family" : "Larson", "given" : "P", "non-dropping-particle" : "", "parse-names" : false, "suffix" : "" }, { "dropping-particle" : "V", "family" : "Ragni", "given" : "M", "non-dropping-particle" : "", "parse-names" : false, "suffix" : "" }, { "dropping-particle" : "", "family" : "Rice", "given" : "E O", "non-dropping-particle" : "", "parse-names" : false, "suffix" : "" }, { "dropping-particle" : "", "family" : "Spero", "given" : "J A", "non-dropping-particle" : "", "parse-names" : false, "suffix" : "" }, { "dropping-particle" : "", "family" : "Starzl", "given" : "T E", "non-dropping-particle" : "", "parse-names" : false, "suffix" : "" } ], "container-title" : "Transfusion", "id" : "ITEM-1", "issue" : "3", "issued" : { "date-parts" : [ [ "1987", "5" ] ] }, "page" : "222-5", "publisher-place" : "UNITED STATES", "title" : "Blood use in liver transplantation.", "type" : "article-journal", "volume" : "27" }, "uris" : [ "http://www.mendeley.com/documents/?uuid=1353f41e-1600-4aa0-8a0e-20f99b0c5637", "http://www.mendeley.com/documents/?uuid=f238b0b6-2326-4b42-9f7e-836e199f5162" ] } ], "mendeley" : { "formattedCitation" : "&lt;sup&gt;[10]&lt;/sup&gt;", "plainTextFormattedCitation" : "[10]", "previouslyFormattedCitation" : "&lt;sup&gt;[10]&lt;/sup&gt;" }, "properties" : { "noteIndex" : 0 }, "schema" : "https://github.com/citation-style-language/schema/raw/master/csl-citation.json" }</w:instrText>
      </w:r>
      <w:r w:rsidR="002548AA" w:rsidRPr="00884A81">
        <w:rPr>
          <w:rFonts w:ascii="Book Antiqua" w:hAnsi="Book Antiqua"/>
        </w:rPr>
        <w:fldChar w:fldCharType="separate"/>
      </w:r>
      <w:r w:rsidR="002548AA" w:rsidRPr="00884A81">
        <w:rPr>
          <w:rFonts w:ascii="Book Antiqua" w:hAnsi="Book Antiqua"/>
          <w:noProof/>
          <w:vertAlign w:val="superscript"/>
        </w:rPr>
        <w:t>[10]</w:t>
      </w:r>
      <w:r w:rsidR="002548AA" w:rsidRPr="00884A81">
        <w:rPr>
          <w:rFonts w:ascii="Book Antiqua" w:hAnsi="Book Antiqua"/>
        </w:rPr>
        <w:fldChar w:fldCharType="end"/>
      </w:r>
      <w:r w:rsidR="0044520C" w:rsidRPr="00884A81">
        <w:rPr>
          <w:rFonts w:ascii="Book Antiqua" w:hAnsi="Book Antiqua"/>
        </w:rPr>
        <w:t>,</w:t>
      </w:r>
      <w:r w:rsidRPr="00884A81">
        <w:rPr>
          <w:rFonts w:ascii="Book Antiqua" w:hAnsi="Book Antiqua"/>
        </w:rPr>
        <w:t xml:space="preserve"> which was comparable with other groups at the time</w:t>
      </w:r>
      <w:r w:rsidR="002548AA" w:rsidRPr="00884A81">
        <w:rPr>
          <w:rFonts w:ascii="Book Antiqua" w:hAnsi="Book Antiqua"/>
        </w:rPr>
        <w:fldChar w:fldCharType="begin" w:fldLock="1"/>
      </w:r>
      <w:r w:rsidR="002548AA" w:rsidRPr="00884A81">
        <w:rPr>
          <w:rFonts w:ascii="Book Antiqua" w:hAnsi="Book Antiqua"/>
        </w:rPr>
        <w:instrText>ADDIN CSL_CITATION { "citationItems" : [ { "id" : "ITEM-1", "itemData" : { "DOI" : "10.1046/j.1537-2995.1988.28588337341.x", "ISSN" : "0041-1132", "PMID" : "3047921", "abstract" : "Blood component use during orthotopic liver transplantation (OLT) was evaluated after an initial 23-month experience with 37 consecutive transplant procedures. Blood component support of OLTs in 24 adult and 13 pediatric patients was reviewed. Adult procedures required intraoperatively a mean of 24.5 units of red cells (RBCs), 38.7 units of fresh-frozen plasma (FFP), 26.1 random-donor platelets (RDP), and 12.2 units of cryoprecipitate (Cryo); pediatric procedures required 4.8 units of RBCs, 5.8 of FFP, 3.9 of RDP, and 1.2 of Cryo. RBC salvage constituted 17 percent of the RBCs transfused intraoperatively. Intraoperative support in adult and pediatric OLT patients accounted for the majority of the total components required for the entire hospital stay. OLT blood component use constituted 1.3, 7.0, 3.6, and 8.1 percent of hospital-wide use of RBC, FFP, RDP, and Cryo, respectively, during the period of the study.", "author" : [ { "dropping-particle" : "", "family" : "Farrar", "given" : "R P", "non-dropping-particle" : "", "parse-names" : false, "suffix" : "" }, { "dropping-particle" : "", "family" : "Hanto", "given" : "D W", "non-dropping-particle" : "", "parse-names" : false, "suffix" : "" }, { "dropping-particle" : "", "family" : "Flye", "given" : "M W", "non-dropping-particle" : "", "parse-names" : false, "suffix" : "" }, { "dropping-particle" : "", "family" : "Chaplin", "given" : "H", "non-dropping-particle" : "", "parse-names" : false, "suffix" : "" } ], "container-title" : "Transfusion", "id" : "ITEM-1", "issue" : "5", "issued" : { "date-parts" : [ [ "1988", "9" ] ] }, "language" : "eng", "page" : "474-8", "publisher-place" : "UNITED STATES", "title" : "Blood component use in orthotopic liver transplantation.", "type" : "article-journal", "volume" : "28" }, "uris" : [ "http://www.mendeley.com/documents/?uuid=c0970ac9-e698-46b5-b8be-83d5aab994a3", "http://www.mendeley.com/documents/?uuid=56b81f18-13ae-4a82-9676-e423d8abcc74" ] } ], "mendeley" : { "formattedCitation" : "&lt;sup&gt;[11]&lt;/sup&gt;", "plainTextFormattedCitation" : "[11]", "previouslyFormattedCitation" : "&lt;sup&gt;[11]&lt;/sup&gt;" }, "properties" : { "noteIndex" : 0 }, "schema" : "https://github.com/citation-style-language/schema/raw/master/csl-citation.json" }</w:instrText>
      </w:r>
      <w:r w:rsidR="002548AA" w:rsidRPr="00884A81">
        <w:rPr>
          <w:rFonts w:ascii="Book Antiqua" w:hAnsi="Book Antiqua"/>
        </w:rPr>
        <w:fldChar w:fldCharType="separate"/>
      </w:r>
      <w:r w:rsidR="002548AA" w:rsidRPr="00884A81">
        <w:rPr>
          <w:rFonts w:ascii="Book Antiqua" w:hAnsi="Book Antiqua"/>
          <w:noProof/>
          <w:vertAlign w:val="superscript"/>
        </w:rPr>
        <w:t>[11]</w:t>
      </w:r>
      <w:r w:rsidR="002548AA" w:rsidRPr="00884A81">
        <w:rPr>
          <w:rFonts w:ascii="Book Antiqua" w:hAnsi="Book Antiqua"/>
        </w:rPr>
        <w:fldChar w:fldCharType="end"/>
      </w:r>
      <w:r w:rsidR="0044520C" w:rsidRPr="00884A81">
        <w:rPr>
          <w:rFonts w:ascii="Book Antiqua" w:hAnsi="Book Antiqua"/>
        </w:rPr>
        <w:t>. The reduction in transfusion rates was</w:t>
      </w:r>
      <w:r w:rsidRPr="00884A81">
        <w:rPr>
          <w:rFonts w:ascii="Book Antiqua" w:hAnsi="Book Antiqua"/>
        </w:rPr>
        <w:t xml:space="preserve"> attributed</w:t>
      </w:r>
      <w:r w:rsidR="0044520C" w:rsidRPr="00884A81">
        <w:rPr>
          <w:rFonts w:ascii="Book Antiqua" w:hAnsi="Book Antiqua"/>
        </w:rPr>
        <w:t xml:space="preserve"> to improved surgical technique</w:t>
      </w:r>
      <w:r w:rsidRPr="00884A81">
        <w:rPr>
          <w:rFonts w:ascii="Book Antiqua" w:hAnsi="Book Antiqua"/>
        </w:rPr>
        <w:t xml:space="preserve"> and faster laboratory processing times to allow more rapid diagnosis and treatment of developing coagulopathies</w:t>
      </w:r>
      <w:r w:rsidR="00DE7392" w:rsidRPr="00884A81">
        <w:rPr>
          <w:rFonts w:ascii="Book Antiqua" w:hAnsi="Book Antiqua"/>
        </w:rPr>
        <w:fldChar w:fldCharType="begin" w:fldLock="1"/>
      </w:r>
      <w:r w:rsidR="00DE7392" w:rsidRPr="00884A81">
        <w:rPr>
          <w:rFonts w:ascii="Book Antiqua" w:hAnsi="Book Antiqua"/>
        </w:rPr>
        <w:instrText>ADDIN CSL_CITATION { "citationItems" : [ { "id" : "ITEM-1", "itemData" : { "DOI" : "10.1046/j.1537-2995.1988.28588337341.x", "ISSN" : "0041-1132", "PMID" : "3047921", "abstract" : "Blood component use during orthotopic liver transplantation (OLT) was evaluated after an initial 23-month experience with 37 consecutive transplant procedures. Blood component support of OLTs in 24 adult and 13 pediatric patients was reviewed. Adult procedures required intraoperatively a mean of 24.5 units of red cells (RBCs), 38.7 units of fresh-frozen plasma (FFP), 26.1 random-donor platelets (RDP), and 12.2 units of cryoprecipitate (Cryo); pediatric procedures required 4.8 units of RBCs, 5.8 of FFP, 3.9 of RDP, and 1.2 of Cryo. RBC salvage constituted 17 percent of the RBCs transfused intraoperatively. Intraoperative support in adult and pediatric OLT patients accounted for the majority of the total components required for the entire hospital stay. OLT blood component use constituted 1.3, 7.0, 3.6, and 8.1 percent of hospital-wide use of RBC, FFP, RDP, and Cryo, respectively, during the period of the study.", "author" : [ { "dropping-particle" : "", "family" : "Farrar", "given" : "R P", "non-dropping-particle" : "", "parse-names" : false, "suffix" : "" }, { "dropping-particle" : "", "family" : "Hanto", "given" : "D W", "non-dropping-particle" : "", "parse-names" : false, "suffix" : "" }, { "dropping-particle" : "", "family" : "Flye", "given" : "M W", "non-dropping-particle" : "", "parse-names" : false, "suffix" : "" }, { "dropping-particle" : "", "family" : "Chaplin", "given" : "H", "non-dropping-particle" : "", "parse-names" : false, "suffix" : "" } ], "container-title" : "Transfusion", "id" : "ITEM-1", "issue" : "5", "issued" : { "date-parts" : [ [ "1988", "9" ] ] }, "language" : "eng", "page" : "474-8", "publisher-place" : "UNITED STATES", "title" : "Blood component use in orthotopic liver transplantation.", "type" : "article-journal", "volume" : "28" }, "uris" : [ "http://www.mendeley.com/documents/?uuid=56b81f18-13ae-4a82-9676-e423d8abcc74", "http://www.mendeley.com/documents/?uuid=c0970ac9-e698-46b5-b8be-83d5aab994a3" ] } ], "mendeley" : { "formattedCitation" : "&lt;sup&gt;[11]&lt;/sup&gt;", "plainTextFormattedCitation" : "[11]", "previouslyFormattedCitation" : "&lt;sup&gt;[11]&lt;/sup&gt;" }, "properties" : { "noteIndex" : 0 }, "schema" : "https://github.com/citation-style-language/schema/raw/master/csl-citation.json" }</w:instrText>
      </w:r>
      <w:r w:rsidR="00DE7392" w:rsidRPr="00884A81">
        <w:rPr>
          <w:rFonts w:ascii="Book Antiqua" w:hAnsi="Book Antiqua"/>
        </w:rPr>
        <w:fldChar w:fldCharType="separate"/>
      </w:r>
      <w:r w:rsidR="00DE7392" w:rsidRPr="00884A81">
        <w:rPr>
          <w:rFonts w:ascii="Book Antiqua" w:hAnsi="Book Antiqua"/>
          <w:noProof/>
          <w:vertAlign w:val="superscript"/>
        </w:rPr>
        <w:t>[11]</w:t>
      </w:r>
      <w:r w:rsidR="00DE7392" w:rsidRPr="00884A81">
        <w:rPr>
          <w:rFonts w:ascii="Book Antiqua" w:hAnsi="Book Antiqua"/>
        </w:rPr>
        <w:fldChar w:fldCharType="end"/>
      </w:r>
      <w:r w:rsidR="0044520C" w:rsidRPr="00884A81">
        <w:rPr>
          <w:rFonts w:ascii="Book Antiqua" w:hAnsi="Book Antiqua"/>
        </w:rPr>
        <w:t>.</w:t>
      </w:r>
      <w:r w:rsidR="00286155" w:rsidRPr="00884A81">
        <w:rPr>
          <w:rFonts w:ascii="Book Antiqua" w:hAnsi="Book Antiqua"/>
        </w:rPr>
        <w:t xml:space="preserve"> Despite these advances, </w:t>
      </w:r>
      <w:r w:rsidRPr="00884A81">
        <w:rPr>
          <w:rFonts w:ascii="Book Antiqua" w:hAnsi="Book Antiqua"/>
        </w:rPr>
        <w:t>liver transplant recipients accounted for up to 25% of all the blood transfused in a hospital</w:t>
      </w:r>
      <w:r w:rsidRPr="00884A81">
        <w:rPr>
          <w:rFonts w:ascii="Book Antiqua" w:hAnsi="Book Antiqua"/>
        </w:rPr>
        <w:fldChar w:fldCharType="begin" w:fldLock="1"/>
      </w:r>
      <w:r w:rsidR="009D54FC" w:rsidRPr="00884A81">
        <w:rPr>
          <w:rFonts w:ascii="Book Antiqua" w:hAnsi="Book Antiqua"/>
        </w:rPr>
        <w:instrText>ADDIN CSL_CITATION { "citationItems" : [ { "id" : "ITEM-1", "itemData" : { "DOI" : "10.1046/j.1537-2995.1987.27387235624.x", "ISSN" : "0041-1132", "PMID" : "3296340", "abstract" : "During the first 5 years (1981-1985) of the liver transplantation program in Pittsburgh, a total (preoperative, intraoperative, and postoperative) of 18,668 packed red cell units, 23,627 fresh-frozen plasma units, 20,590 platelet units, and 4241 cryoprecipitate units was transfused for the procedures. This represents 3 to 9 percent of the total of blood products supplied by the Central Blood Bank to its 32 member hospitals. Six hundred thirty-six (636) transplants were performed on 485 patients in two hospitals: the Presbyterian University Hospital (564 beds) and Children's Hospital of Pittsburgh (236 beds). All of the blood components used in the operations were procured and released by the Central Blood Bank. This report describes some of these findings.", "author" : [ { "dropping-particle" : "", "family" : "Lewis", "given" : "J H", "non-dropping-particle" : "", "parse-names" : false, "suffix" : "" }, { "dropping-particle" : "", "family" : "Bontempo", "given" : "F A", "non-dropping-particle" : "", "parse-names" : false, "suffix" : "" }, { "dropping-particle" : "", "family" : "Cornell", "given" : "F", "non-dropping-particle" : "", "parse-names" : false, "suffix" : "" }, { "dropping-particle" : "", "family" : "Kiss", "given" : "J E", "non-dropping-particle" : "", "parse-names" : false, "suffix" : "" }, { "dropping-particle" : "", "family" : "Larson", "given" : "P", "non-dropping-particle" : "", "parse-names" : false, "suffix" : "" }, { "dropping-particle" : "V", "family" : "Ragni", "given" : "M", "non-dropping-particle" : "", "parse-names" : false, "suffix" : "" }, { "dropping-particle" : "", "family" : "Rice", "given" : "E O", "non-dropping-particle" : "", "parse-names" : false, "suffix" : "" }, { "dropping-particle" : "", "family" : "Spero", "given" : "J A", "non-dropping-particle" : "", "parse-names" : false, "suffix" : "" }, { "dropping-particle" : "", "family" : "Starzl", "given" : "T E", "non-dropping-particle" : "", "parse-names" : false, "suffix" : "" } ], "container-title" : "Transfusion", "id" : "ITEM-1", "issue" : "3", "issued" : { "date-parts" : [ [ "1987", "5" ] ] }, "page" : "222-5", "publisher-place" : "UNITED STATES", "title" : "Blood use in liver transplantation.", "type" : "article-journal", "volume" : "27" }, "uris" : [ "http://www.mendeley.com/documents/?uuid=f238b0b6-2326-4b42-9f7e-836e199f5162", "http://www.mendeley.com/documents/?uuid=1353f41e-1600-4aa0-8a0e-20f99b0c5637" ] } ], "mendeley" : { "formattedCitation" : "&lt;sup&gt;[10]&lt;/sup&gt;", "plainTextFormattedCitation" : "[10]", "previouslyFormattedCitation" : "&lt;sup&gt;[10]&lt;/sup&gt;" }, "properties" : { "noteIndex" : 0 }, "schema" : "https://github.com/citation-style-language/schema/raw/master/csl-citation.json" }</w:instrText>
      </w:r>
      <w:r w:rsidRPr="00884A81">
        <w:rPr>
          <w:rFonts w:ascii="Book Antiqua" w:hAnsi="Book Antiqua"/>
        </w:rPr>
        <w:fldChar w:fldCharType="separate"/>
      </w:r>
      <w:r w:rsidR="00ED65A1" w:rsidRPr="00884A81">
        <w:rPr>
          <w:rFonts w:ascii="Book Antiqua" w:hAnsi="Book Antiqua"/>
          <w:noProof/>
          <w:vertAlign w:val="superscript"/>
        </w:rPr>
        <w:t>[10]</w:t>
      </w:r>
      <w:r w:rsidRPr="00884A81">
        <w:rPr>
          <w:rFonts w:ascii="Book Antiqua" w:hAnsi="Book Antiqua"/>
        </w:rPr>
        <w:fldChar w:fldCharType="end"/>
      </w:r>
      <w:r w:rsidRPr="00884A81">
        <w:rPr>
          <w:rFonts w:ascii="Book Antiqua" w:hAnsi="Book Antiqua"/>
        </w:rPr>
        <w:t xml:space="preserve"> and had by far the greatest requirement </w:t>
      </w:r>
      <w:r w:rsidR="00FC73A3" w:rsidRPr="00884A81">
        <w:rPr>
          <w:rFonts w:ascii="Book Antiqua" w:hAnsi="Book Antiqua"/>
        </w:rPr>
        <w:t xml:space="preserve">of </w:t>
      </w:r>
      <w:r w:rsidRPr="00884A81">
        <w:rPr>
          <w:rFonts w:ascii="Book Antiqua" w:hAnsi="Book Antiqua"/>
        </w:rPr>
        <w:t xml:space="preserve">blood products </w:t>
      </w:r>
      <w:r w:rsidR="00286155" w:rsidRPr="00884A81">
        <w:rPr>
          <w:rFonts w:ascii="Book Antiqua" w:hAnsi="Book Antiqua"/>
        </w:rPr>
        <w:t xml:space="preserve">of </w:t>
      </w:r>
      <w:r w:rsidRPr="00884A81">
        <w:rPr>
          <w:rFonts w:ascii="Book Antiqua" w:hAnsi="Book Antiqua"/>
        </w:rPr>
        <w:t>solid organ transplants</w:t>
      </w:r>
      <w:r w:rsidR="00DE7392" w:rsidRPr="00884A81">
        <w:rPr>
          <w:rFonts w:ascii="Book Antiqua" w:hAnsi="Book Antiqua"/>
        </w:rPr>
        <w:fldChar w:fldCharType="begin" w:fldLock="1"/>
      </w:r>
      <w:r w:rsidR="00DE7392" w:rsidRPr="00884A81">
        <w:rPr>
          <w:rFonts w:ascii="Book Antiqua" w:hAnsi="Book Antiqua"/>
        </w:rPr>
        <w:instrText>ADDIN CSL_CITATION { "citationItems" : [ { "id" : "ITEM-1", "itemData" : { "DOI" : "10.1046/j.1537-2995.1996.36396182147.x", "ISSN" : "0041-1132", "PMID" : "8604514", "abstract" : "BACKGROUND Solid organ allograft recipients may require large amounts of blood components. The modification of components to make them safer for iatrogenically immunosuppressed transplant patients increases workload demands on blood banks and transfusion services. STUDY DESIGN AND METHODS Institutions within the United States and Canada providing hemotherapy as support for transplant recipients were surveyed for their transfusion practices. RESULTS Responses from 25 institutions provide the data for this report. In 1991, the mean intraoperative red cell requirements ranged from &lt;1 unit for renal allograft recipients to 17.3 units for liver transplant recipients. The latter group also required the greatest amounts of platelets, fresh-frozen plasma, and cryoprecipitate. More than 75 percent of responding institutions provided either cytomegalovirus-seronegative or white cell-reduced cellular components to pediatric recipients of liver allografts and to both adult and pediatric recipients of heart, lung, and heart-lung allografts. The use of irradiated cellular blood components, although uncommon, was greatest in heart transplant recipients. The use of pretransplantation transfusions for immunomodulation was generally limited to patients awaiting a living-donor renal transplant. CONCLUSION Transfusion practices varied among the institutions, but the majority provide cytomegalovirus-safe cellular blood components to heart and lung allograft recipients and to pediatric transplant patients. Gamma-radiated cellular components are not routinely provided to patients undergoing solid organ transplantation. Liver allograft recipients require the greatest amount of hemotherapeutic support.", "author" : [ { "dropping-particle" : "", "family" : "Danielson", "given" : "C F", "non-dropping-particle" : "", "parse-names" : false, "suffix" : "" }, { "dropping-particle" : "", "family" : "Filo", "given" : "R S", "non-dropping-particle" : "", "parse-names" : false, "suffix" : "" }, { "dropping-particle" : "", "family" : "O'Donnell", "given" : "J A", "non-dropping-particle" : "", "parse-names" : false, "suffix" : "" }, { "dropping-particle" : "", "family" : "McCarthy", "given" : "L J", "non-dropping-particle" : "", "parse-names" : false, "suffix" : "" } ], "collection-title" : "[Erratum appears in Transfusion 1996 Aug;36(8):764]", "container-title" : "Transfusion", "id" : "ITEM-1", "issue" : "3", "issued" : { "date-parts" : [ [ "1996", "3" ] ] }, "page" : "263-7", "publisher" : "Danielson,C F. Department of Pathology and Laboratory Medicine, Indiana University Medical Center, USA.", "publisher-place" : "UNITED STATES", "title" : "Institutional variation in hemotherapy for solid organ transplantation.", "type" : "article-journal", "volume" : "36" }, "uris" : [ "http://www.mendeley.com/documents/?uuid=1c3dbe76-3b78-45c4-aec5-3ab959552c66", "http://www.mendeley.com/documents/?uuid=a4fdabbf-d656-485a-8572-36b780f66fc4" ] } ], "mendeley" : { "formattedCitation" : "&lt;sup&gt;[12]&lt;/sup&gt;", "plainTextFormattedCitation" : "[12]", "previouslyFormattedCitation" : "&lt;sup&gt;[12]&lt;/sup&gt;" }, "properties" : { "noteIndex" : 0 }, "schema" : "https://github.com/citation-style-language/schema/raw/master/csl-citation.json" }</w:instrText>
      </w:r>
      <w:r w:rsidR="00DE7392" w:rsidRPr="00884A81">
        <w:rPr>
          <w:rFonts w:ascii="Book Antiqua" w:hAnsi="Book Antiqua"/>
        </w:rPr>
        <w:fldChar w:fldCharType="separate"/>
      </w:r>
      <w:r w:rsidR="00DE7392" w:rsidRPr="00884A81">
        <w:rPr>
          <w:rFonts w:ascii="Book Antiqua" w:hAnsi="Book Antiqua"/>
          <w:noProof/>
          <w:vertAlign w:val="superscript"/>
        </w:rPr>
        <w:t>[12]</w:t>
      </w:r>
      <w:r w:rsidR="00DE7392" w:rsidRPr="00884A81">
        <w:rPr>
          <w:rFonts w:ascii="Book Antiqua" w:hAnsi="Book Antiqua"/>
        </w:rPr>
        <w:fldChar w:fldCharType="end"/>
      </w:r>
      <w:r w:rsidR="0044520C" w:rsidRPr="00884A81">
        <w:rPr>
          <w:rFonts w:ascii="Book Antiqua" w:hAnsi="Book Antiqua"/>
        </w:rPr>
        <w:t>.</w:t>
      </w:r>
      <w:r w:rsidR="00DE7392" w:rsidRPr="00884A81">
        <w:rPr>
          <w:rFonts w:ascii="Book Antiqua" w:hAnsi="Book Antiqua"/>
        </w:rPr>
        <w:t xml:space="preserve"> </w:t>
      </w:r>
    </w:p>
    <w:p w14:paraId="5A22591C" w14:textId="0CD8FE0A" w:rsidR="002A30AF" w:rsidRPr="00884A81" w:rsidRDefault="002A30AF" w:rsidP="00155D5F">
      <w:pPr>
        <w:spacing w:line="360" w:lineRule="auto"/>
        <w:ind w:firstLineChars="100" w:firstLine="240"/>
        <w:jc w:val="both"/>
        <w:rPr>
          <w:rFonts w:ascii="Book Antiqua" w:hAnsi="Book Antiqua"/>
        </w:rPr>
      </w:pPr>
      <w:r w:rsidRPr="00884A81">
        <w:rPr>
          <w:rFonts w:ascii="Book Antiqua" w:hAnsi="Book Antiqua"/>
        </w:rPr>
        <w:t>Outcome</w:t>
      </w:r>
      <w:r w:rsidR="002D4976" w:rsidRPr="00884A81">
        <w:rPr>
          <w:rFonts w:ascii="Book Antiqua" w:hAnsi="Book Antiqua"/>
        </w:rPr>
        <w:t xml:space="preserve">s </w:t>
      </w:r>
      <w:r w:rsidRPr="00884A81">
        <w:rPr>
          <w:rFonts w:ascii="Book Antiqua" w:hAnsi="Book Antiqua"/>
        </w:rPr>
        <w:t xml:space="preserve">following liver </w:t>
      </w:r>
      <w:r w:rsidR="00402850" w:rsidRPr="00884A81">
        <w:rPr>
          <w:rFonts w:ascii="Book Antiqua" w:hAnsi="Book Antiqua"/>
        </w:rPr>
        <w:t>transplantation</w:t>
      </w:r>
      <w:r w:rsidRPr="00884A81">
        <w:rPr>
          <w:rFonts w:ascii="Book Antiqua" w:hAnsi="Book Antiqua"/>
        </w:rPr>
        <w:t xml:space="preserve"> ha</w:t>
      </w:r>
      <w:r w:rsidR="002D4976" w:rsidRPr="00884A81">
        <w:rPr>
          <w:rFonts w:ascii="Book Antiqua" w:hAnsi="Book Antiqua"/>
        </w:rPr>
        <w:t>ve</w:t>
      </w:r>
      <w:r w:rsidRPr="00884A81">
        <w:rPr>
          <w:rFonts w:ascii="Book Antiqua" w:hAnsi="Book Antiqua"/>
        </w:rPr>
        <w:t xml:space="preserve"> dramatically improved </w:t>
      </w:r>
      <w:r w:rsidR="002D4976" w:rsidRPr="00884A81">
        <w:rPr>
          <w:rFonts w:ascii="Book Antiqua" w:hAnsi="Book Antiqua"/>
        </w:rPr>
        <w:t xml:space="preserve">with 5 year graft survival rates of </w:t>
      </w:r>
      <w:r w:rsidR="00875C6B" w:rsidRPr="00884A81">
        <w:rPr>
          <w:rFonts w:ascii="Book Antiqua" w:hAnsi="Book Antiqua"/>
        </w:rPr>
        <w:t xml:space="preserve">at least </w:t>
      </w:r>
      <w:r w:rsidR="006216F7" w:rsidRPr="00884A81">
        <w:rPr>
          <w:rFonts w:ascii="Book Antiqua" w:hAnsi="Book Antiqua"/>
        </w:rPr>
        <w:t>70% in the U</w:t>
      </w:r>
      <w:r w:rsidR="00DE7392" w:rsidRPr="00884A81">
        <w:rPr>
          <w:rFonts w:ascii="Book Antiqua" w:eastAsia="宋体" w:hAnsi="Book Antiqua"/>
          <w:lang w:eastAsia="zh-CN"/>
        </w:rPr>
        <w:t xml:space="preserve">nited </w:t>
      </w:r>
      <w:r w:rsidR="006216F7" w:rsidRPr="00884A81">
        <w:rPr>
          <w:rFonts w:ascii="Book Antiqua" w:hAnsi="Book Antiqua"/>
        </w:rPr>
        <w:t>S</w:t>
      </w:r>
      <w:r w:rsidR="00DE7392" w:rsidRPr="00884A81">
        <w:rPr>
          <w:rFonts w:ascii="Book Antiqua" w:eastAsia="宋体" w:hAnsi="Book Antiqua"/>
          <w:lang w:eastAsia="zh-CN"/>
        </w:rPr>
        <w:t>tates</w:t>
      </w:r>
      <w:r w:rsidR="006216F7" w:rsidRPr="00884A81">
        <w:rPr>
          <w:rFonts w:ascii="Book Antiqua" w:hAnsi="Book Antiqua"/>
        </w:rPr>
        <w:t xml:space="preserve"> </w:t>
      </w:r>
      <w:r w:rsidR="00875C6B" w:rsidRPr="00884A81">
        <w:rPr>
          <w:rFonts w:ascii="Book Antiqua" w:hAnsi="Book Antiqua"/>
        </w:rPr>
        <w:t xml:space="preserve">transplant centres </w:t>
      </w:r>
      <w:r w:rsidR="006216F7" w:rsidRPr="00884A81">
        <w:rPr>
          <w:rFonts w:ascii="Book Antiqua" w:hAnsi="Book Antiqua"/>
        </w:rPr>
        <w:t xml:space="preserve">despite transplants being performed on patients with a worse clinical condition due to the </w:t>
      </w:r>
      <w:r w:rsidR="00286155" w:rsidRPr="00884A81">
        <w:rPr>
          <w:rFonts w:ascii="Book Antiqua" w:hAnsi="Book Antiqua"/>
        </w:rPr>
        <w:t>Model for End-Stage Liver Disease (</w:t>
      </w:r>
      <w:r w:rsidR="006216F7" w:rsidRPr="00884A81">
        <w:rPr>
          <w:rFonts w:ascii="Book Antiqua" w:hAnsi="Book Antiqua"/>
        </w:rPr>
        <w:t>MELD</w:t>
      </w:r>
      <w:r w:rsidR="00286155" w:rsidRPr="00884A81">
        <w:rPr>
          <w:rFonts w:ascii="Book Antiqua" w:hAnsi="Book Antiqua"/>
        </w:rPr>
        <w:t>)</w:t>
      </w:r>
      <w:r w:rsidR="006216F7" w:rsidRPr="00884A81">
        <w:rPr>
          <w:rFonts w:ascii="Book Antiqua" w:hAnsi="Book Antiqua"/>
        </w:rPr>
        <w:t xml:space="preserve"> score based </w:t>
      </w:r>
      <w:r w:rsidR="006216F7" w:rsidRPr="00884A81">
        <w:rPr>
          <w:rFonts w:ascii="Book Antiqua" w:hAnsi="Book Antiqua"/>
        </w:rPr>
        <w:lastRenderedPageBreak/>
        <w:t>organ allocation system</w:t>
      </w:r>
      <w:r w:rsidR="00DE7392" w:rsidRPr="00884A81">
        <w:rPr>
          <w:rFonts w:ascii="Book Antiqua" w:hAnsi="Book Antiqua"/>
        </w:rPr>
        <w:fldChar w:fldCharType="begin" w:fldLock="1"/>
      </w:r>
      <w:r w:rsidR="00DE7392" w:rsidRPr="00884A81">
        <w:rPr>
          <w:rFonts w:ascii="Book Antiqua" w:hAnsi="Book Antiqua"/>
        </w:rPr>
        <w:instrText>ADDIN CSL_CITATION { "citationItems" : [ { "id" : "ITEM-1", "itemData" : { "DOI" : "10.1111/ajt.13197", "ISSN" : "1600-6143", "PMID" : "25626341", "abstract" : "During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 "author" : [ { "dropping-particle" : "", "family" : "Kim", "given" : "W R", "non-dropping-particle" : "", "parse-names" : false, "suffix" : "" }, { "dropping-particle" : "", "family" : "Lake", "given" : "J R", "non-dropping-particle" : "", "parse-names" : false, "suffix" : "" }, { "dropping-particle" : "", "family" : "Smith", "given" : "J M", "non-dropping-particle" : "", "parse-names" : false, "suffix" : "" }, { "dropping-particle" : "", "family" : "Skeans", "given" : "M A", "non-dropping-particle" : "", "parse-names" : false, "suffix" : "" }, { "dropping-particle" : "", "family" : "Schladt", "given" : "D P", "non-dropping-particle" : "", "parse-names" : false, "suffix" : "" }, { "dropping-particle" : "", "family" : "Edwards", "given" : "E B", "non-dropping-particle" : "", "parse-names" : false, "suffix" : "" }, { "dropping-particle" : "", "family" : "Harper", "given" : "A M", "non-dropping-particle" : "", "parse-names" : false, "suffix" : "" }, { "dropping-particle" : "", "family" : "Wainright", "given" : "J L", "non-dropping-particle" : "", "parse-names" : false, "suffix" : "" }, { "dropping-particle" : "", "family" : "Snyder", "given" : "J J", "non-dropping-particle" : "", "parse-names" : false, "suffix" : "" }, { "dropping-particle" : "", "family" : "Israni", "given" : "A K", "non-dropping-particle" : "", "parse-names" : false, "suffix" : "" }, { "dropping-particle" : "", "family" : "Kasiske", "given" : "B L", "non-dropping-particle" : "", "parse-names" : false, "suffix" : "" } ], "container-title" : "American journal of transplantation : official journal of the American Society of Transplantation and the American Society of Transplant Surgeons", "id" : "ITEM-1", "issue" : "S2", "issued" : { "date-parts" : [ [ "2015", "1", "27" ] ] }, "page" : "1-28", "title" : "OPTN/SRTR 2013 Annual Data Report: liver.", "type" : "article-journal", "volume" : "15 Suppl 2" }, "uris" : [ "http://www.mendeley.com/documents/?uuid=6058225e-3468-45d4-a453-2c0200cd4530" ] } ], "mendeley" : { "formattedCitation" : "&lt;sup&gt;[13]&lt;/sup&gt;", "plainTextFormattedCitation" : "[13]", "previouslyFormattedCitation" : "&lt;sup&gt;[13]&lt;/sup&gt;" }, "properties" : { "noteIndex" : 0 }, "schema" : "https://github.com/citation-style-language/schema/raw/master/csl-citation.json" }</w:instrText>
      </w:r>
      <w:r w:rsidR="00DE7392" w:rsidRPr="00884A81">
        <w:rPr>
          <w:rFonts w:ascii="Book Antiqua" w:hAnsi="Book Antiqua"/>
        </w:rPr>
        <w:fldChar w:fldCharType="separate"/>
      </w:r>
      <w:r w:rsidR="00DE7392" w:rsidRPr="00884A81">
        <w:rPr>
          <w:rFonts w:ascii="Book Antiqua" w:hAnsi="Book Antiqua"/>
          <w:noProof/>
          <w:vertAlign w:val="superscript"/>
        </w:rPr>
        <w:t>[13]</w:t>
      </w:r>
      <w:r w:rsidR="00DE7392" w:rsidRPr="00884A81">
        <w:rPr>
          <w:rFonts w:ascii="Book Antiqua" w:hAnsi="Book Antiqua"/>
        </w:rPr>
        <w:fldChar w:fldCharType="end"/>
      </w:r>
      <w:r w:rsidR="0044520C" w:rsidRPr="00884A81">
        <w:rPr>
          <w:rFonts w:ascii="Book Antiqua" w:hAnsi="Book Antiqua"/>
        </w:rPr>
        <w:t>.</w:t>
      </w:r>
      <w:r w:rsidRPr="00884A81">
        <w:rPr>
          <w:rFonts w:ascii="Book Antiqua" w:hAnsi="Book Antiqua"/>
        </w:rPr>
        <w:t xml:space="preserve"> </w:t>
      </w:r>
      <w:r w:rsidR="00EE464B" w:rsidRPr="00884A81">
        <w:rPr>
          <w:rFonts w:ascii="Book Antiqua" w:hAnsi="Book Antiqua" w:cs="Arial"/>
        </w:rPr>
        <w:t>MELD was adapted by the United Network for Organ Sharing (UNOS) from a survival model used for patients undergoing transjugular intrahepatic portosystemic shunts</w:t>
      </w:r>
      <w:r w:rsidR="00DE7392" w:rsidRPr="00884A81">
        <w:rPr>
          <w:rFonts w:ascii="Book Antiqua" w:hAnsi="Book Antiqua" w:cs="Arial"/>
        </w:rPr>
        <w:fldChar w:fldCharType="begin" w:fldLock="1"/>
      </w:r>
      <w:r w:rsidR="00DE7392" w:rsidRPr="00884A81">
        <w:rPr>
          <w:rFonts w:ascii="Book Antiqua" w:hAnsi="Book Antiqua" w:cs="Arial"/>
        </w:rPr>
        <w:instrText>ADDIN CSL_CITATION { "citationItems" : [ { "id" : "ITEM-1", "itemData" : { "DOI" : "10.1053/he.2000.5852", "ISBN" : "0270-9139 (Print)\\r0270-9139 (Linking)", "ISSN" : "0270-9139", "PMID" : "10733541", "abstract" : "Transjugular intrahepatic portosystemic shunts (TIPS) may worsen liver function and decrease survival in some patients. The Child-Pugh classification has several drawbacks when used to determine survival in such patients. The survival of 231 patients at 4 medical centers within the United States who underwent elective TIPS was studied to develop statistical models to (1) predict patient survival and (2) identify those patients whose liver-related mortality post-TIPS would be 3 months or less. Among these elective TIPS patients, 173 had the procedure for prevention of variceal rebleeding and 58 for treatment of refractory ascites. Death related to liver disease occurred in 110 patients, 70 within 3 months. Cox proportional-hazards regression identified serum concentrations of bilirubin and creatinine, international normalized ratio for prothrombin time (INR), and the cause of the underlying liver disease as predictors of survival in patients undergoing elective TIPS, either for prevention of variceal rebleeding or for treatment of refractory ascites. These variables can be used to calculate a risk score (R) for patients undergoing elective TIPS. Patients with R &gt; 1.8 had a median survival of 3 months or less. This model was superior to both the Child-Pugh classification, as well as the Child-Pugh score, in predicting survival. Using logistic regression and the same variables, we also developed a nomogram that indicates which patients survive less than 3 months. Finally, the model was validated among an independent set of 71 patients from the Netherlands. This Mayo TIPS model may predict early death following elective TIPS for either prevention of variceal rebleeding or for treatment of refractory ascites.", "author" : [ { "dropping-particle" : "", "family" : "Malinchoc", "given" : "M", "non-dropping-particle" : "", "parse-names" : false, "suffix" : "" }, { "dropping-particle" : "", "family" : "Kamath", "given" : "P S", "non-dropping-particle" : "", "parse-names" : false, "suffix" : "" }, { "dropping-particle" : "", "family" : "Gordon", "given" : "F D", "non-dropping-particle" : "", "parse-names" : false, "suffix" : "" }, { "dropping-particle" : "", "family" : "Peine", "given" : "C J", "non-dropping-particle" : "", "parse-names" : false, "suffix" : "" }, { "dropping-particle" : "", "family" : "Rank", "given" : "J", "non-dropping-particle" : "", "parse-names" : false, "suffix" : "" }, { "dropping-particle" : "", "family" : "Borg", "given" : "P C", "non-dropping-particle" : "ter", "parse-names" : false, "suffix" : "" } ], "container-title" : "Hepatology (Baltimore, Md.)", "id" : "ITEM-1", "issue" : "4", "issued" : { "date-parts" : [ [ "2000", "4" ] ] }, "page" : "864-71", "title" : "A model to predict poor survival in patients undergoing transjugular intrahepatic portosystemic shunts.", "type" : "article-journal", "volume" : "31" }, "uris" : [ "http://www.mendeley.com/documents/?uuid=0b12f67e-e317-44c4-9203-02dcbf86e198", "http://www.mendeley.com/documents/?uuid=335c669f-4c39-4540-a978-4d4c42ad36f0" ] }, { "id" : "ITEM-2", "itemData" : { "DOI" : "10.1053/jlts.2002.35927", "ISBN" : "1527-6465 (Print)\\r1527-6465 (Linking)", "ISSN" : "1527-6465", "PMID" : "12200791", "abstract" : "In 1999, the Institute of Medicine suggested that instituting a continuous disease severity score that de-emphasizes waiting time could improve the allocation of cadaveric livers for transplantation. This report describes the development and initial implementation of this new plan. The goal was to develop a continuous disease severity scale that uses objective, readily available variables to predict mortality risk in patients with end-stage liver disease and reduce the emphasis on waiting time. Mechanisms were also developed for inclusion of good transplant candidates who do not have high risk of death but for whom transplantation may be urgent. The Model for End-Stage Liver Disease (MELD) and Pediatric End-Stage Liver Disease (PELD) scores were selected as the basis for the new allocation policy because of their high degree of accuracy for predicting death in patients having a variety of liver disease etiologies and across a broad spectrum of liver disease severity. Except for the most urgent patients, all patients will be ranked continuously under the new policy by their MELD/PELD score. Waiting time is used only to prioritize patients with identical MELD/PELD scores. Patients who are not well served by the MELD/PELD scores can be prioritized through a regionalized peer review system. This new liver allocation plan is based on more objective, verifiable measures of disease severity with minimal emphasis on waiting time. Application of such risk models provides an evidenced-based approach on which to base further refinements and improve the model.", "author" : [ { "dropping-particle" : "", "family" : "Freeman", "given" : "Richard B.", "non-dropping-particle" : "", "parse-names" : false, "suffix" : "" }, { "dropping-particle" : "", "family" : "Wiesner", "given" : "Russell H.", "non-dropping-particle" : "", "parse-names" : false, "suffix" : "" }, { "dropping-particle" : "", "family" : "Harper", "given" : "Ann", "non-dropping-particle" : "", "parse-names" : false, "suffix" : "" }, { "dropping-particle" : "V.", "family" : "McDiarmid", "given" : "Sue", "non-dropping-particle" : "", "parse-names" : false, "suffix" : "" }, { "dropping-particle" : "", "family" : "Lake", "given" : "Jack", "non-dropping-particle" : "", "parse-names" : false, "suffix" : "" }, { "dropping-particle" : "", "family" : "Edwards", "given" : "Erick", "non-dropping-particle" : "", "parse-names" : false, "suffix" : "" }, { "dropping-particle" : "", "family" : "Merion", "given" : "Robert", "non-dropping-particle" : "", "parse-names" : false, "suffix" : "" }, { "dropping-particle" : "", "family" : "Wolfe", "given" : "Robert", "non-dropping-particle" : "", "parse-names" : false, "suffix" : "" }, { "dropping-particle" : "", "family" : "Turcotte", "given" : "Jeremiah", "non-dropping-particle" : "", "parse-names" : false, "suffix" : "" }, { "dropping-particle" : "", "family" : "Teperman", "given" : "Lewis", "non-dropping-particle" : "", "parse-names" : false, "suffix" : "" }, { "dropping-particle" : "", "family" : "UNOS/OPTN Liver Disease Severity Score, UNOS/OPTN Liver and Intestine", "given" : "and UNOS/OPTN Pediatric Transplantation Committees", "non-dropping-particle" : "", "parse-names" : false, "suffix" : "" } ], "container-title" : "Liver transplantation : official publication of the American Association for the Study of Liver Diseases and the International Liver Transplantation Society", "id" : "ITEM-2", "issue" : "9", "issued" : { "date-parts" : [ [ "2002", "9" ] ] }, "page" : "851-8", "title" : "The new liver allocation system: moving toward evidence-based transplantation policy.", "type" : "article-journal", "volume" : "8" }, "uris" : [ "http://www.mendeley.com/documents/?uuid=fcef53c8-339a-4b26-b974-09bccff49f21" ] } ], "mendeley" : { "formattedCitation" : "&lt;sup&gt;[14,15]&lt;/sup&gt;", "plainTextFormattedCitation" : "[14,15]", "previouslyFormattedCitation" : "&lt;sup&gt;[14,15]&lt;/sup&gt;" }, "properties" : { "noteIndex" : 0 }, "schema" : "https://github.com/citation-style-language/schema/raw/master/csl-citation.json" }</w:instrText>
      </w:r>
      <w:r w:rsidR="00DE7392" w:rsidRPr="00884A81">
        <w:rPr>
          <w:rFonts w:ascii="Book Antiqua" w:hAnsi="Book Antiqua" w:cs="Arial"/>
        </w:rPr>
        <w:fldChar w:fldCharType="separate"/>
      </w:r>
      <w:r w:rsidR="00DE7392" w:rsidRPr="00884A81">
        <w:rPr>
          <w:rFonts w:ascii="Book Antiqua" w:hAnsi="Book Antiqua" w:cs="Arial"/>
          <w:noProof/>
          <w:vertAlign w:val="superscript"/>
        </w:rPr>
        <w:t>[14,15]</w:t>
      </w:r>
      <w:r w:rsidR="00DE7392" w:rsidRPr="00884A81">
        <w:rPr>
          <w:rFonts w:ascii="Book Antiqua" w:hAnsi="Book Antiqua" w:cs="Arial"/>
        </w:rPr>
        <w:fldChar w:fldCharType="end"/>
      </w:r>
      <w:r w:rsidR="00502290" w:rsidRPr="00884A81">
        <w:rPr>
          <w:rFonts w:ascii="Book Antiqua" w:hAnsi="Book Antiqua" w:cs="Arial"/>
        </w:rPr>
        <w:t>,</w:t>
      </w:r>
      <w:r w:rsidR="00EE464B" w:rsidRPr="00884A81">
        <w:rPr>
          <w:rFonts w:ascii="Book Antiqua" w:hAnsi="Book Antiqua" w:cs="Arial"/>
        </w:rPr>
        <w:t xml:space="preserve"> and objectively predicts 3-mo mortality and therefore the need for transplantation</w:t>
      </w:r>
      <w:r w:rsidR="00DE7392" w:rsidRPr="00884A81">
        <w:rPr>
          <w:rFonts w:ascii="Book Antiqua" w:hAnsi="Book Antiqua" w:cs="Arial"/>
        </w:rPr>
        <w:fldChar w:fldCharType="begin" w:fldLock="1"/>
      </w:r>
      <w:r w:rsidR="00DE7392" w:rsidRPr="00884A81">
        <w:rPr>
          <w:rFonts w:ascii="Book Antiqua" w:hAnsi="Book Antiqua" w:cs="Arial"/>
        </w:rPr>
        <w:instrText>ADDIN CSL_CITATION { "citationItems" : [ { "id" : "ITEM-1", "itemData" : { "DOI" : "10.1053/gast.2003.50016", "ISSN" : "00165085", "PMID" : "12512033", "abstract" : "BACKGROUND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 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 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 CONCLUSIONS These data suggest that the MELD score is able to accurately predict 3-month mortality among patients with chronic liver disease on the liver waiting list and can be applied for allocation of donor livers.", "author" : [ { "dropping-particle" : "", "family" : "Wiesner", "given" : "Russell", "non-dropping-particle" : "", "parse-names" : false, "suffix" : "" }, { "dropping-particle" : "", "family" : "Edwards", "given" : "Erick", "non-dropping-particle" : "", "parse-names" : false, "suffix" : "" }, { "dropping-particle" : "", "family" : "Freeman", "given" : "Richard", "non-dropping-particle" : "", "parse-names" : false, "suffix" : "" }, { "dropping-particle" : "", "family" : "Harper", "given" : "Ann", "non-dropping-particle" : "", "parse-names" : false, "suffix" : "" }, { "dropping-particle" : "", "family" : "Kim", "given" : "Ray", "non-dropping-particle" : "", "parse-names" : false, "suffix" : "" }, { "dropping-particle" : "", "family" : "Kamath", "given" : "Patrick", "non-dropping-particle" : "", "parse-names" : false, "suffix" : "" }, { "dropping-particle" : "", "family" : "Kremers", "given" : "Walter", "non-dropping-particle" : "", "parse-names" : false, "suffix" : "" }, { "dropping-particle" : "", "family" : "Lake", "given" : "John", "non-dropping-particle" : "", "parse-names" : false, "suffix" : "" }, { "dropping-particle" : "", "family" : "Howard", "given" : "Todd", "non-dropping-particle" : "", "parse-names" : false, "suffix" : "" }, { "dropping-particle" : "", "family" : "Merion", "given" : "Robert M.", "non-dropping-particle" : "", "parse-names" : false, "suffix" : "" }, { "dropping-particle" : "", "family" : "Wolfe", "given" : "Robert A.", "non-dropping-particle" : "", "parse-names" : false, "suffix" : "" }, { "dropping-particle" : "", "family" : "Krom", "given" : "Ruud", "non-dropping-particle" : "", "parse-names" : false, "suffix" : "" } ], "container-title" : "Gastroenterology", "id" : "ITEM-1", "issue" : "1", "issued" : { "date-parts" : [ [ "2003", "1" ] ] }, "page" : "91-96", "title" : "Model for end-stage liver disease (MELD) and allocation of donor livers", "type" : "article-journal", "volume" : "124" }, "uris" : [ "http://www.mendeley.com/documents/?uuid=c45900a4-9a2e-4129-8367-c3803417e037" ] } ], "mendeley" : { "formattedCitation" : "&lt;sup&gt;[16]&lt;/sup&gt;", "plainTextFormattedCitation" : "[16]", "previouslyFormattedCitation" : "&lt;sup&gt;[16]&lt;/sup&gt;" }, "properties" : { "noteIndex" : 0 }, "schema" : "https://github.com/citation-style-language/schema/raw/master/csl-citation.json" }</w:instrText>
      </w:r>
      <w:r w:rsidR="00DE7392" w:rsidRPr="00884A81">
        <w:rPr>
          <w:rFonts w:ascii="Book Antiqua" w:hAnsi="Book Antiqua" w:cs="Arial"/>
        </w:rPr>
        <w:fldChar w:fldCharType="separate"/>
      </w:r>
      <w:r w:rsidR="00DE7392" w:rsidRPr="00884A81">
        <w:rPr>
          <w:rFonts w:ascii="Book Antiqua" w:hAnsi="Book Antiqua" w:cs="Arial"/>
          <w:noProof/>
          <w:vertAlign w:val="superscript"/>
        </w:rPr>
        <w:t>[16]</w:t>
      </w:r>
      <w:r w:rsidR="00DE7392" w:rsidRPr="00884A81">
        <w:rPr>
          <w:rFonts w:ascii="Book Antiqua" w:hAnsi="Book Antiqua" w:cs="Arial"/>
        </w:rPr>
        <w:fldChar w:fldCharType="end"/>
      </w:r>
      <w:r w:rsidR="00EE464B" w:rsidRPr="00884A81">
        <w:rPr>
          <w:rFonts w:ascii="Book Antiqua" w:hAnsi="Book Antiqua" w:cs="Arial"/>
        </w:rPr>
        <w:t xml:space="preserve">. </w:t>
      </w:r>
      <w:r w:rsidRPr="00884A81">
        <w:rPr>
          <w:rFonts w:ascii="Book Antiqua" w:hAnsi="Book Antiqua"/>
        </w:rPr>
        <w:t>There has been an equally impressive decline in blood product use over the same period</w:t>
      </w:r>
      <w:r w:rsidRPr="00884A81">
        <w:rPr>
          <w:rFonts w:ascii="Book Antiqua" w:hAnsi="Book Antiqua"/>
        </w:rPr>
        <w:fldChar w:fldCharType="begin" w:fldLock="1"/>
      </w:r>
      <w:r w:rsidR="00502290" w:rsidRPr="00884A81">
        <w:rPr>
          <w:rFonts w:ascii="Book Antiqua" w:hAnsi="Book Antiqua"/>
        </w:rPr>
        <w:instrText>ADDIN CSL_CITATION { "citationItems" : [ { "id" : "ITEM-1", "itemData" : { "DOI" : "10.1097/MOT.0b013e3282faa0dd", "ISSN" : "1087-2418", "PMID" : "18685322", "abstract" : "PURPOSE OF REVIEW: Prevention of excessive blood loss is an important issue in the perioperative management of liver transplantation. This review describes changing trends in blood products use, risk predicting of blood transfusion, variability in use and practices, as well as transfusion safety during liver transplantation. RECENT FINDINGS: Over the last 20 years, the average use of blood products per case has considerably decreased. There are marked interinstitutional differences in blood use. Differences in patient population characteristics and surgical techniques are a partial explanation, but differences in transfusion practices probably account for a substantial part of the variability. Recent data have sparked off ongoing controversy relating to volume replacement therapy and its impact on blood loss. New studies emphasize the risks associated with transfusion in liver transplantation. SUMMARY: Recent studies call for continuing every reasonable effort to minimize the use of blood components and can guide us in new approaches to this vital problem.", "author" : [ { "dropping-particle" : "", "family" : "Ozier", "given" : "Yves", "non-dropping-particle" : "", "parse-names" : false, "suffix" : "" }, { "dropping-particle" : "", "family" : "Tsou", "given" : "Mei-Yung", "non-dropping-particle" : "", "parse-names" : false, "suffix" : "" } ], "container-title" : "Current opinion in organ transplantation", "id" : "ITEM-1", "issue" : "3", "issued" : { "date-parts" : [ [ "2008" ] ] }, "page" : "304-309", "title" : "Changing trends in transfusion practice in liver transplantation.", "type" : "article-journal", "volume" : "13" }, "uris" : [ "http://www.mendeley.com/documents/?uuid=914093b7-e6ca-49ad-a15e-b513dc662266", "http://www.mendeley.com/documents/?uuid=832485e3-6667-47b9-9118-606775e719d7" ] }, { "id" : "ITEM-2", "itemData" : { "DOI" : "10.1053/j.jvca.2004.05.004", "ISSN" : "1053-0770", "PMID" : "15368204", "author" : [ { "dropping-particle" : "", "family" : "Porte", "given" : "Robert J.", "non-dropping-particle" : "", "parse-names" : false, "suffix" : "" }, { "dropping-particle" : "", "family" : "Hendriks", "given" : "Herman G d", "non-dropping-particle" : "", "parse-names" : false, "suffix" : "" }, { "dropping-particle" : "", "family" : "Slooff", "given" : "Maarten J h", "non-dropping-particle" : "", "parse-names" : false, "suffix" : "" } ], "container-title" : "Journal of cardiothoracic and vascular anesthesia", "id" : "ITEM-2", "issue" : "4 Suppl", "issued" : { "date-parts" : [ [ "2004", "8", "8" ] ] }, "language" : "English", "page" : "31S-37S", "publisher" : "Elsevier", "title" : "Blood conservation in liver transplantation: The role of aprotinin.", "type" : "article-journal", "volume" : "18" }, "uris" : [ "http://www.mendeley.com/documents/?uuid=3d1403db-87b1-4494-917c-18609f65c8f1", "http://www.mendeley.com/documents/?uuid=0aaffc9c-d495-412b-b622-7b7b85afed5c" ] } ], "mendeley" : { "formattedCitation" : "&lt;sup&gt;[17,18]&lt;/sup&gt;", "plainTextFormattedCitation" : "[17,18]", "previouslyFormattedCitation" : "&lt;sup&gt;[17,18]&lt;/sup&gt;" }, "properties" : { "noteIndex" : 0 }, "schema" : "https://github.com/citation-style-language/schema/raw/master/csl-citation.json" }</w:instrText>
      </w:r>
      <w:r w:rsidRPr="00884A81">
        <w:rPr>
          <w:rFonts w:ascii="Book Antiqua" w:hAnsi="Book Antiqua"/>
        </w:rPr>
        <w:fldChar w:fldCharType="separate"/>
      </w:r>
      <w:r w:rsidR="00ED65A1" w:rsidRPr="00884A81">
        <w:rPr>
          <w:rFonts w:ascii="Book Antiqua" w:hAnsi="Book Antiqua"/>
          <w:noProof/>
          <w:vertAlign w:val="superscript"/>
        </w:rPr>
        <w:t>[17,18]</w:t>
      </w:r>
      <w:r w:rsidRPr="00884A81">
        <w:rPr>
          <w:rFonts w:ascii="Book Antiqua" w:hAnsi="Book Antiqua"/>
        </w:rPr>
        <w:fldChar w:fldCharType="end"/>
      </w:r>
      <w:r w:rsidRPr="00884A81">
        <w:rPr>
          <w:rFonts w:ascii="Book Antiqua" w:hAnsi="Book Antiqua"/>
        </w:rPr>
        <w:t xml:space="preserve"> with </w:t>
      </w:r>
      <w:r w:rsidR="00286155" w:rsidRPr="00884A81">
        <w:rPr>
          <w:rFonts w:ascii="Book Antiqua" w:hAnsi="Book Antiqua"/>
        </w:rPr>
        <w:t>ca</w:t>
      </w:r>
      <w:r w:rsidR="00875C6B" w:rsidRPr="00884A81">
        <w:rPr>
          <w:rFonts w:ascii="Book Antiqua" w:hAnsi="Book Antiqua"/>
        </w:rPr>
        <w:t xml:space="preserve">se </w:t>
      </w:r>
      <w:r w:rsidRPr="00884A81">
        <w:rPr>
          <w:rFonts w:ascii="Book Antiqua" w:hAnsi="Book Antiqua"/>
        </w:rPr>
        <w:t xml:space="preserve">series </w:t>
      </w:r>
      <w:r w:rsidR="00286155" w:rsidRPr="00884A81">
        <w:rPr>
          <w:rFonts w:ascii="Book Antiqua" w:hAnsi="Book Antiqua"/>
        </w:rPr>
        <w:t xml:space="preserve">describing </w:t>
      </w:r>
      <w:r w:rsidRPr="00884A81">
        <w:rPr>
          <w:rFonts w:ascii="Book Antiqua" w:hAnsi="Book Antiqua"/>
        </w:rPr>
        <w:t>OLT</w:t>
      </w:r>
      <w:r w:rsidR="00010C30" w:rsidRPr="00884A81">
        <w:rPr>
          <w:rFonts w:ascii="Book Antiqua" w:hAnsi="Book Antiqua"/>
        </w:rPr>
        <w:t xml:space="preserve"> </w:t>
      </w:r>
      <w:r w:rsidRPr="00884A81">
        <w:rPr>
          <w:rFonts w:ascii="Book Antiqua" w:hAnsi="Book Antiqua"/>
        </w:rPr>
        <w:t>without the use of any blood products</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"10.1001/archsurg.1994.01420290074011", "ISSN" : "0004-0010", "PMID" : "8185476", "abstract" : "OBJECTIVES To examine the techniques and the outcome of liver transplantation with maximal conservation of blood products and to analyze the potential benefits or drawbacks of blood conservation and salvage techniques. DESIGN Case series survey. SETTING Tertiary care, major university teaching hospital. PATIENTS AND METHODS Four patients with religious objections to blood transfusions who were selected on the basis of restrictive criteria that would lower their risk for fatal hemorrhage, including coagulopathy, a thrombosed splanchnic venous system requiring extensive reconstruction, active bleeding and associated medical complications. All patients were pretreated with erythropoietin to increase production of red blood cells. All operations were performed at the same institution, with a 36-month follow-up. INTERVENTIONS Orthotopic liver transplantation that used blood salvage, plateletpheresis, and autotransfusion and the withholding of the use of human blood products with the exception of albumin. MAIN OUTCOME MEASURES Survival and postoperative complications, with the effectiveness of erythropoietin and plateletpheresis as secondary measures. RESULTS All patients are alive at 36 months after orthotopic liver transplantation. One patient, a minor (13 years of age), was transfused per a state court ruling. Erythropoietin increased the production of red blood cells as shown by a mean increase in hematocrit levels of 0.08. Platelet-pheresis allowed autologous, platelet-rich plasma to be available for use after allograft reperfusion. Three major complications were resolved or corrected without sequelae. Only one patient developed postoperative hemorrhage, which was corrected surgically. The mean charge for bloodless surgery was $174,000 for the three patients with United Network for Organ Sharing (UNOS) status 3 priority for transplantation. This result was statistically significant when these patients were compared with all the patients with UNOS status 3 priority during the same period who met the same restrictive guidelines (P &lt; .05). Only 19 of 1009 orthotopic liver transplantations performed at our institution were similar according to the UNOS status and the fulfillment of the guidelines. The mean charge for these comparison patients was $327,000, 3.8% of which was related to transfusions. CONCLUSIONS Orthotopic liver transplantation without the use of blood products is possible. Blood conservation techniques do not increase morbidity or mortality a\u2026", "author" : [ { "dropping-particle" : "", "family" : "Ramos", "given" : "Hector C", "non-dropping-particle" : "", "parse-names" : false, "suffix" : "" }, { "dropping-particle" : "", "family" : "Todo", "given" : "S", "non-dropping-particle" : "", "parse-names" : false, "suffix" : "" }, { "dropping-particle" : "", "family" : "Kang", "given" : "Y", "non-dropping-particle" : "", "parse-names" : false, "suffix" : "" }, { "dropping-particle" : "", "family" : "Felekouras", "given" : "E", "non-dropping-particle" : "", "parse-names" : false, "suffix" : "" }, { "dropping-particle" : "", "family" : "Doyle", "given" : "H R", "non-dropping-particle" : "", "parse-names" : false, "suffix" : "" }, { "dropping-particle" : "", "family" : "Starzl", "given" : "T E", "non-dropping-particle" : "", "parse-names" : false, "suffix" : "" } ], "container-title" : "Archives of surgery (Chicago, Ill. : 1960)", "id" : "ITEM-1", "issue" : "5", "issued" : { "date-parts" : [ [ "1994", "5", "1" ] ] }, "page" : "528-32; discussion 532-3", "publisher" : "Ramos,H C. Department of Surgery, University of Pittsburgh, School of Medicine. Pa.", "publisher-place" : "UNITED STATES", "title" : "Liver transplantation without the use of blood products.", "type" : "article-journal", "volume" : "129" }, "uris" : [ "http://www.mendeley.com/documents/?uuid=706708ab-2c43-4ab9-a384-6aa6e69a2b61", "http://www.mendeley.com/documents/?uuid=076ac385-5f78-447a-8412-379e8bea5594" ] }, { "id" : "ITEM-2", "itemData" : { "DOI" : "10.1055/s-0035-1550428", "ISSN" : "1098-9064", "PMID" : "26080304", "abstract" : "During the last decade, improved surgical and anesthetic management, such as better understanding of coagulation defects and the use of the phlebotomy, has reduced intraoperative blood product transfusions during orthotopic liver transplantation (OLT). The goal of this study was to look at the impact of initial conventional coagulation tests on blood loss and blood product requirement and to evaluate the role of the phlebotomy during liver transplantations. A total of 700 consecutive OLTs were studied. The group of patients was split into two according to the median of starting international normalized ratio to study blood losses and transfusion rate. Logistic regression was used to determine the main predictors of blood loss, intraoperative blood transfusion, and survival. There was no intergroup difference for demographic characteristics. The mean blood loss was 1,184 mL with a median of 920 mL. Overall, 77.4% of the patients did not receive any blood product and the mean transfusion rate of red blood cells (RBCs) was 0.5 \u00b1 1.4 units per patient. Severity of recipients' disease did not correlate with blood loss or transfusion rate. Starting hemoglobin value was the only biochemical variable linked to RBC transfusions. Phlebotomy was linked to decrease in blood loss, RBC transfusions, and increased survival rate. It is concluded that bleeding did not correlate with traditional coagulation defects or the severity of recipient's disease. Preemptive phlebotomy was linked to a decreased blood loss, a decreased transfusion rate, and an increased 1-year survival rate.", "author" : [ { "dropping-particle" : "", "family" : "Massicotte", "given" : "Luc", "non-dropping-particle" : "", "parse-names" : false, "suffix" : "" }, { "dropping-particle" : "", "family" : "Thibeault", "given" : "Lynda", "non-dropping-particle" : "", "parse-names" : false, "suffix" : "" }, { "dropping-particle" : "", "family" : "Roy", "given" : "Andr\u00e9", "non-dropping-particle" : "", "parse-names" : false, "suffix" : "" } ], "container-title" : "Seminars in thrombosis and hemostasis", "id" : "ITEM-2", "issue" : "5", "issued" : { "date-parts" : [ [ "2015", "7" ] ] }, "note" : "Aim of the study was to predict bleeding and provide guidance on specific therapy (FCC, PTC, coagulation concentrates) to prevent bleeding and reduce the need for conventional blood product transfusions. \n\nOnly variable linked with blood loss was use of pre-emptive phlebotomy. Performed when Hb &amp;gt;85 and creatinine values were normal. Consited of withdrawing blood from pulmonary artery catheter at beginning of surgery. (7-10ml/Kg removed) and stopped only if &amp;gt;20% drop in BP despite vasopressors. Blood returned at end of surgery or earlier of patient reached transfusion trigger.\n\nNo FFP/Cryo/platelets were given in absense of uncontrolled bleeding, trigger level of PRC's was 60-70g/L. If clinically oozing, FFP (10-15mls/kg) given of INR &amp;gt;1.5, platelets if &amp;lt;30, and cryo if Fibrinogen &amp;lt; 1.3g/L.\n\nPre-operative Hb con only lab value and PPh only clinical intervention that showed correlation with RBC transfusion. Bloodless surgery increased 1-year survial. \n\nPhlebotomy thought to reduce portal venous pressure and decreased bleeding in dissection phase. Previous studies shown no benefit from correcting pre-operative coagulopathy. Plasma admininstration was variable with strongest corrleation with increased RBC transfusion. \n\nState that there is no place for conventional coagulation tests to guide transfusion therapy in the OLT setting. \n", "page" : "538-46", "title" : "Classical Notions of Coagulation Revisited in Relation with Blood Losses, Transfusion Rate for 700 Consecutive Liver Transplantations.", "type" : "article-journal", "volume" : "41" }, "uris" : [ "http://www.mendeley.com/documents/?uuid=cdbb8a4f-2bae-3ad0-aa42-4b6ca93154cb", "http://www.mendeley.com/documents/?uuid=a490b7e7-aa56-42da-8813-4dcbf6780cfc" ] }, { "id" : "ITEM-3", "itemData" : { "DOI" : "10.1097/AIA.0b013e3181fa1482", "ISBN" : "0020-5907", "ISSN" : "1537-1913", "PMID" : "21441809", "author" : [ { "dropping-particle" : "", "family" : "Stoye", "given" : "Allen", "non-dropping-particle" : "", "parse-names" : false, "suffix" : "" }, { "dropping-particle" : "", "family" : "Chapin", "given" : "James W.", "non-dropping-particle" : "", "parse-names" : false, "suffix" : "" }, { "dropping-particle" : "", "family" : "Botha", "given" : "Jean", "non-dropping-particle" : "", "parse-names" : false, "suffix" : "" }, { "dropping-particle" : "", "family" : "Grant", "given" : "Wendy", "non-dropping-particle" : "", "parse-names" : false, "suffix" : "" } ], "container-title" : "International anesthesiology clinics", "id" : "ITEM-3", "issue" : "2", "issued" : { "date-parts" : [ [ "2011", "1" ] ] }, "page" : "108-15", "publisher" : "Lippincott Williams and Wilkins (530 Walnut Street,P O Box 327, Philadelphia PA 19106-3621, United States)", "publisher-place" : "A. Stoye, Departments of Anesthesiology and Transplantation Surgery, University of Nebraska, Medical Center, Omaha, NE, United States. E-mail: astoye@unmc.edu", "title" : "Bloodless liver transplantation in a Jehovah's Witness.", "type" : "article-journal", "volume" : "49" }, "uris" : [ "http://www.mendeley.com/documents/?uuid=831b607b-3586-4fa9-95ff-d0457fad3afd", "http://www.mendeley.com/documents/?uuid=c68679cb-c970-4df4-9d86-d5cb1e350681" ] }, { "id" : "ITEM-4", "itemData" : { "DOI" : "10.1001/archsurg.141.9.913", "ISBN" : "0004-0010", "ISSN" : "0004-0010", "PMID" : "17001788", "abstract" : "BACKGROUND Orthotopic liver transplantation (OLT) is associated with a large amount of blood loss. This article examines the impact of the initiation of a transfusion-free program in January 2000 for Jehovah's Witnesses (JWs) on the overall use of blood products in non-JW patients undergoing OLT. DESIGN Retrospective review of OLT from January 1997 through December 2004. SETTING University of Southern California University Hospital. PATIENTS A total of 272 OLTs were performed on non-JW adults. This number includes 216 (79.4%) deceased donor and 56 (20.6%) living donor liver transplantations. Thirty-three OLTs were performed before January 2000 (ie, before the initiation of a transfusion-free program) (group 1), and 239 OLTs were performed after January 2000 (group 2). In group 2, all patients underwent OLT using cell-scavenging techniques and acute normovolemic hemodilution whenever feasible. Demographic, laboratory, and clinical data were collected and matched for severity of disease (model of end-stage liver disease [MELD] score). Transfusion records of packed red blood cells (PRBCs), platelets, and fresh frozen plasma (FFP) were obtained from the University of Southern California blood bank. RESULTS In comparing group 2 with group 1, the mean MELD score was statistically significantly higher (P &lt; .001), whereas the mean number of intraoperative PRBC and FFP transfusions was significantly lower (P = .03 and P = .004, respectively). The number of preoperative and postoperative PRBC, FFP, and platelet transfusions between the 2 groups was not statistically different. CONCLUSION The development of a transfusion-free surgical program for JW patients has had a positive impact on reducing the overall blood use in non-JW patients undergoing OLT, despite the increase in MELD score.", "author" : [ { "dropping-particle" : "", "family" : "Jabbour", "given" : "Nicolas", "non-dropping-particle" : "", "parse-names" : false, "suffix" : "" }, { "dropping-particle" : "", "family" : "Gagandeep", "given" : "Singh", "non-dropping-particle" : "", "parse-names" : false, "suffix" : "" }, { "dropping-particle" : "", "family" : "Shah", "given" : "Haimesh", "non-dropping-particle" : "", "parse-names" : false, "suffix" : "" }, { "dropping-particle" : "", "family" : "Mateo", "given" : "Rod", "non-dropping-particle" : "", "parse-names" : false, "suffix" : "" }, { "dropping-particle" : "", "family" : "Stapfer", "given" : "Maria", "non-dropping-particle" : "", "parse-names" : false, "suffix" : "" }, { "dropping-particle" : "", "family" : "Genyk", "given" : "Yuri", "non-dropping-particle" : "", "parse-names" : false, "suffix" : "" }, { "dropping-particle" : "", "family" : "Sher", "given" : "Linda", "non-dropping-particle" : "", "parse-names" : false, "suffix" : "" }, { "dropping-particle" : "", "family" : "Zwierzchoniewska", "given" : "Monika", "non-dropping-particle" : "", "parse-names" : false, "suffix" : "" }, { "dropping-particle" : "", "family" : "Selby", "given" : "Rick", "non-dropping-particle" : "", "parse-names" : false, "suffix" : "" }, { "dropping-particle" : "", "family" : "Zeger", "given" : "Gary", "non-dropping-particle" : "", "parse-names" : false, "suffix" : "" } ], "container-title" : "Archives of surgery (Chicago, Ill. : 1960)", "id" : "ITEM-4", "issue" : "9", "issued" : { "date-parts" : [ [ "2006", "9", "1" ] ] }, "page" : "913-7", "publisher" : "American Medical Association", "publisher-place" : "N. Jabbour, Nazih Zuhdi Transplant Institute, INTEGRIS Baptist Medical Center, 3300 NW Expressway, 100-3443, Oklahoma City, OK 73112, United States. E-mail: nicolas.jabbour@integris-health.com", "title" : "Impact of a transfusion-free program on non-Jehovah's Witness patients undergoing liver transplantation.", "type" : "article-journal", "volume" : "141" }, "uris" : [ "http://www.mendeley.com/documents/?uuid=c271836d-5054-445c-87f9-72b6a034237c", "http://www.mendeley.com/documents/?uuid=563c4c1a-688d-4776-bf21-7ed3b237d446" ] }, { "id" : "ITEM-5", "itemData" : { "DOI" : "10.1016/S0039-6060(96)80019-5", "ISBN" : "0039-6060", "ISSN" : "0039-6060", "PMID" : "8862380", "abstract" : "BACKGROUND This study examines factors associated with the performance of orthotopic liver transplantation (OLT) without red blood cell (RBC) transfusion. METHODS Between January 1992 and December 1994, 306 primary OLTs were performed with recipients divided into two groups: group 1 patients (61 recipients, 20% of total) underwent transplantation without packed RBCs, and group 2 patients (245 recipients, 80% of cases) received a transfusion of at least 1 unit of RBCs during operation. RESULTS Recipients in group 1 compared with group 2 had less advanced liver disease (20% hospitalized and 48% Child's class C versus 58% hospitalized and 73% Child's class C, p &lt; 0.01) and lower frequency of right upper quadrant surgery (13% versus 25%, p &lt; 0.05). Group 1 recipients also had significantly higher preoperative hematocrits (38% versus 33%, p &lt; 0.01), lower prothrombin times (15.4 versus 16.7 seconds, p &lt; 0.001) and partial thromboplastin times (36.9 versus 42.2 seconds, p &lt; 0.01), a greater proportion of patients transplanted by piggyback technique (87% versus 59%, p &lt; 0.001), and shorter operative times (7.9 hours versus 9.2 hours, p &lt; 0.001). Moreover, a greater percentage of patients underwent OLT without RBC transfusion in each successive year: 9% in 1992, 21% in 1993, and 31% in 1994 (p &lt; 0.001). Logistic regression analysis showed the following factors to be independent predictors of OLT without RBC transfusion. Preoperative Hct, United Network of Organ Sharing status, piggyback technique, operative time, and year of transplantation. CONCLUSIONS OLT can be performed without transfusion of RBCs in recipients with less advanced liver disease, and surgical technique, along with increased experience by the transplant team, are important factors.", "author" : [ { "dropping-particle" : "V.", "family" : "Cacciarelli", "given" : "Thomas", "non-dropping-particle" : "", "parse-names" : false, "suffix" : "" }, { "dropping-particle" : "", "family" : "Keeffe", "given" : "Emmet B.", "non-dropping-particle" : "", "parse-names" : false, "suffix" : "" }, { "dropping-particle" : "", "family" : "Moore", "given" : "Dan H.", "non-dropping-particle" : "", "parse-names" : false, "suffix" : "" }, { "dropping-particle" : "", "family" : "Burns", "given" : "Washington", "non-dropping-particle" : "", "parse-names" : false, "suffix" : "" }, { "dropping-particle" : "", "family" : "Chuljian", "given" : "Paul", "non-dropping-particle" : "", "parse-names" : false, "suffix" : "" }, { "dropping-particle" : "", "family" : "Busque", "given" : "Stephan", "non-dropping-particle" : "", "parse-names" : false, "suffix" : "" }, { "dropping-particle" : "", "family" : "Concepcion", "given" : "Waldo", "non-dropping-particle" : "", "parse-names" : false, "suffix" : "" }, { "dropping-particle" : "", "family" : "So", "given" : "Samuel K.S.", "non-dropping-particle" : "", "parse-names" : false, "suffix" : "" }, { "dropping-particle" : "", "family" : "Esquivel", "given" : "Carlos O.", "non-dropping-particle" : "", "parse-names" : false, "suffix" : "" } ], "container-title" : "Surgery", "id" : "ITEM-5", "issue" : "4", "issued" : { "date-parts" : [ [ "1996", "10" ] ] }, "page" : "698-704; discussion 704-5", "publisher-place" : "C.O Esquivel, Stanford University Medical Center, 750 Welch Rd., Palo Alto, CA 94304, United States", "title" : "Primary liver transplantation without transfusion of red blood cells.", "type" : "article-journal", "volume" : "120" }, "uris" : [ "http://www.mendeley.com/documents/?uuid=7cacf9d7-7c00-4fac-9641-c2412c13c405", "http://www.mendeley.com/documents/?uuid=727205e1-e743-4317-be81-5102b7fb5047" ] } ], "mendeley" : { "formattedCitation" : "&lt;sup&gt;[19\u201323]&lt;/sup&gt;", "plainTextFormattedCitation" : "[19\u201323]", "previouslyFormattedCitation" : "&lt;sup&gt;[19\u201323]&lt;/sup&gt;"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[19</w:t>
      </w:r>
      <w:r w:rsidR="00884A81" w:rsidRPr="00884A81">
        <w:rPr>
          <w:rFonts w:ascii="Book Antiqua" w:eastAsia="宋体" w:hAnsi="Book Antiqua"/>
          <w:noProof/>
          <w:vertAlign w:val="superscript"/>
          <w:lang w:eastAsia="zh-CN"/>
        </w:rPr>
        <w:t>-</w:t>
      </w:r>
      <w:r w:rsidR="00884A81" w:rsidRPr="00884A81">
        <w:rPr>
          <w:rFonts w:ascii="Book Antiqua" w:hAnsi="Book Antiqua"/>
          <w:noProof/>
          <w:vertAlign w:val="superscript"/>
        </w:rPr>
        <w:t>23]</w:t>
      </w:r>
      <w:r w:rsidR="00884A81" w:rsidRPr="00884A81">
        <w:rPr>
          <w:rFonts w:ascii="Book Antiqua" w:hAnsi="Book Antiqua"/>
        </w:rPr>
        <w:fldChar w:fldCharType="end"/>
      </w:r>
      <w:r w:rsidR="0044520C" w:rsidRPr="00884A81">
        <w:rPr>
          <w:rFonts w:ascii="Book Antiqua" w:hAnsi="Book Antiqua"/>
        </w:rPr>
        <w:t>.</w:t>
      </w:r>
      <w:r w:rsidRPr="00884A81">
        <w:rPr>
          <w:rFonts w:ascii="Book Antiqua" w:hAnsi="Book Antiqua"/>
        </w:rPr>
        <w:t xml:space="preserve"> Yet despite the notable improvements made in the management of blood los</w:t>
      </w:r>
      <w:r w:rsidR="00402850" w:rsidRPr="00884A81">
        <w:rPr>
          <w:rFonts w:ascii="Book Antiqua" w:hAnsi="Book Antiqua"/>
        </w:rPr>
        <w:t>s and transfusion</w:t>
      </w:r>
      <w:r w:rsidRPr="00884A81">
        <w:rPr>
          <w:rFonts w:ascii="Book Antiqua" w:hAnsi="Book Antiqua"/>
        </w:rPr>
        <w:t xml:space="preserve"> there remains a large variability in transfusion practices</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"10.1213/01.ANE.0000073354.38695.7C", "ISSN" : "0003-2999", "PMID" : "12933381", "abstract" : "We prospectively evaluated the institutional variability in perioperative transfusion therapy in orthotopic liver transplantation (OLT). Adult OLTs completed during a 12-mo period were studied until the 48th postoperative hour at 8 centers. A multivariate analysis using mixed-effects logistic regression included variables predisposing to blood loss and a center random effect. In addition, the influence of the calculated perioperative hemoglobin (Hb) loss on the individual probability of receiving red blood cells (RBCs), fresh frozen plasma (FFP), and platelets in excess of the overall median were explored. The analysis was performed on 301 cases. The overall median numbers transfused were 5 RBC units, 6 FFP units, and the median platelet dose was 5.10(11), with significant intercentric differences in the proportions of cases given more than the overall median. Intercentric differences remained significant after adjustment for factors independently associated with a large blood component use. Intercentric differences in RBCs, FFP, and platelet use decreased but persisted after adjustment for the perioperative Hb loss. Intercentric differences in RBC use disappeared after adjustment for the postoperative Hb concentration. The significant heterogeneity in transfusion therapy mandates reassessment of the rational use of blood products in OLT.", "author" : [ { "dropping-particle" : "", "family" : "Ozier", "given" : "Yves", "non-dropping-particle" : "", "parse-names" : false, "suffix" : "" }, { "dropping-particle" : "", "family" : "Pessione", "given" : "Fabienne", "non-dropping-particle" : "", "parse-names" : false, "suffix" : "" }, { "dropping-particle" : "", "family" : "Samain", "given" : "Emmanuel", "non-dropping-particle" : "", "parse-names" : false, "suffix" : "" }, { "dropping-particle" : "", "family" : "Courtois", "given" : "Fran\u00e7oise", "non-dropping-particle" : "", "parse-names" : false, "suffix" : "" }, { "dropping-particle" : "", "family" : "French Study Group on Blood Transfusion in Liver Transplantation", "given" : "", "non-dropping-particle" : "", "parse-names" : false, "suffix" : "" } ], "container-title" : "Anesthesia and analgesia", "id" : "ITEM-1", "issue" : "3", "issued" : { "date-parts" : [ [ "2003", "9" ] ] }, "page" : "671-9", "publisher" : "Ozier,Yves. Department of Anesthesiology, Hopital Cochin (AP-HP), Universite Rene Descartes, Paris, France. yves.ozier@cch.ap-hop-paris.fr", "publisher-place" : "United States", "title" : "Institutional variability in transfusion practice for liver transplantation.", "type" : "article-journal", "volume" : "97" }, "uris" : [ "http://www.mendeley.com/documents/?uuid=997ec2cc-c751-478f-b6d0-4d96538a56f1" ] } ], "mendeley" : { "formattedCitation" : "&lt;sup&gt;[24]&lt;/sup&gt;", "plainTextFormattedCitation" : "[24]", "previouslyFormattedCitation" : "&lt;sup&gt;[24]&lt;/sup&gt;"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[24]</w:t>
      </w:r>
      <w:r w:rsidR="00884A81" w:rsidRPr="00884A81">
        <w:rPr>
          <w:rFonts w:ascii="Book Antiqua" w:hAnsi="Book Antiqua"/>
        </w:rPr>
        <w:fldChar w:fldCharType="end"/>
      </w:r>
      <w:r w:rsidR="0044520C" w:rsidRPr="00884A81">
        <w:rPr>
          <w:rFonts w:ascii="Book Antiqua" w:hAnsi="Book Antiqua"/>
        </w:rPr>
        <w:t xml:space="preserve">. </w:t>
      </w:r>
      <w:r w:rsidRPr="00884A81">
        <w:rPr>
          <w:rFonts w:ascii="Book Antiqua" w:hAnsi="Book Antiqua"/>
        </w:rPr>
        <w:t xml:space="preserve">This </w:t>
      </w:r>
      <w:r w:rsidR="00286155" w:rsidRPr="00884A81">
        <w:rPr>
          <w:rFonts w:ascii="Book Antiqua" w:hAnsi="Book Antiqua"/>
        </w:rPr>
        <w:t xml:space="preserve">variability in transfusion practice </w:t>
      </w:r>
      <w:r w:rsidR="00884AD2" w:rsidRPr="00884A81">
        <w:rPr>
          <w:rFonts w:ascii="Book Antiqua" w:hAnsi="Book Antiqua"/>
        </w:rPr>
        <w:t xml:space="preserve">of a precious resource is an important consideration as there may be implications for transplant </w:t>
      </w:r>
      <w:r w:rsidRPr="00884A81">
        <w:rPr>
          <w:rFonts w:ascii="Book Antiqua" w:hAnsi="Book Antiqua"/>
        </w:rPr>
        <w:t>morbidity and mortality</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"10.1002/lt.23695", "ISSN" : "1527-6473", "PMID" : "23813754", "abstract" : "Investigations have demonstrated conflicting results regarding the influence of the red blood cell (RBC) storage duration on outcomes. We evaluated whether graft failure or mortality after orthotopic liver transplantation (OLT) increased when recipients were transfused with older RBCs. This study included 637 patients who underwent OLT between January 2001 and June 2011. Baseline and perioperative data were obtained from our blood bank, the Unified Transplant Center database, and the United Network for Organ Sharing database. Recipients whose transfused RBCs were all stored for \u2264 15 days were grouped in a younger group, and recipients who were transfused with RBCs stored for &gt;15 days were placed in an older group. The relationship between graft survival/mortality and the age of intraoperatively transfused RBCs was studied by Kaplan-Meier estimation with a log-rank test and multivariate Cox proportional hazards regression. Three hundred thirty-four patients and 303 patients were grouped in the younger and the older RBC groups, respectively, on the basis of the ages of intraoperatively transfused RBCs. Kaplan-Meier estimates of graft survival/mortality as a function of the posttransplant time were significantly different: the older group experienced the outcome sooner than the younger group [P = 0.02 (log-rank test)]. After covariate adjustments, the risk of graft failure/mortality was significantly different at any given time after transplantation between patients receiving intraoperative transfusions of older RBC units and patients receiving intraoperative transfusions of younger RBC units (hazard ratio = 1.65, 95% confidence interval = 1.18-2.31). In conclusion, patients who received intraoperative transfusions of RBCs with longer storage times had an increased risk of adverse outcomes.", "author" : [ { "dropping-particle" : "", "family" : "Cywinski", "given" : "Jacek B", "non-dropping-particle" : "", "parse-names" : false, "suffix" : "" }, { "dropping-particle" : "", "family" : "You", "given" : "Jing", "non-dropping-particle" : "", "parse-names" : false, "suffix" : "" }, { "dropping-particle" : "", "family" : "Argalious", "given" : "Maged", "non-dropping-particle" : "", "parse-names" : false, "suffix" : "" }, { "dropping-particle" : "", "family" : "Irefin", "given" : "Samuel", "non-dropping-particle" : "", "parse-names" : false, "suffix" : "" }, { "dropping-particle" : "", "family" : "Parker", "given" : "Brian M", "non-dropping-particle" : "", "parse-names" : false, "suffix" : "" }, { "dropping-particle" : "", "family" : "Fung", "given" : "John J", "non-dropping-particle" : "", "parse-names" : false, "suffix" : "" }, { "dropping-particle" : "", "family" : "Koch", "given" : "Colleen G", "non-dropping-particle" : "", "parse-names" : false, "suffix" : "" } ], "container-title" : "Liver transplantation : official publication of the American Association for the Study of Liver Diseases and the International Liver Transplantation Society", "id" : "ITEM-1", "issue" : "11", "issued" : { "date-parts" : [ [ "2013", "11" ] ] }, "page" : "1181-8", "publisher" : "Cywinski,Jacek B. Departments of General Anesthesiology, Cleveland Clinic, Cleveland, OH; Outcomes Research, Cleveland Clinic, Cleveland, OH.", "publisher-place" : "United States", "title" : "Transfusion of older red blood cells is associated with decreased graft survival after orthotopic liver transplantation.", "type" : "article-journal", "volume" : "19" }, "uris" : [ "http://www.mendeley.com/documents/?uuid=e94487b9-80a3-471a-8f6d-68cf2c2b72ea" ] }, { "id" : "ITEM-2", "itemData" : { "DOI" : "10.1016/j.transproceed.2012.06.077", "ISSN" : "1873-2623", "PMID" : "23375307", "abstract" : "BACKGROUND Acute liver failure (ALF) is a rare and fatal disease with rapidly deteriorating clinical features. Many predictive models for ALF outcomes have been tested, but none have been adopted as definitive guidelines for prognosis because of inconsistencies in accuracy. Most prognostic models for ALF are based on preoperative patient conditions, thus ignoring various specific intraoperative features relevant to postoperative outcomes. We investigated whether intraoperative factors predicted short-term mortality due to ALF in living donor liver transplantations (LDLT). METHODS We retrospectively collected intraoperative data, including surgical time, fluctuations in mean blood pressure (MBP) and heart rate, mean pulmonary arterial pressure (PAP), central venous pressure (CVP), urine output, laboratory data, oxygen indices (PaO(2)/FiO(2)), administered drugs, and transfusion of packed red blood cells (PRBCs) from 101 patients with ALF who underwent LDLT. After simple relationships of individual intraoperative variables with 1-month posttransplant mortality were analyzed, we examined potentially significant intraoperative variables (P &lt; .10) by a multivariate adjustment process with preoperative indicators of ALF prognosis. RESULTS Intraoperative MBP fluctuations, first mean PAP and CVP, last oxygen index, administered calcium chloride, and PRBC transfusion showed individual associations with posttransplant mortality of ALF patients (P &lt; .05). After multivariate adjustment, PRBC transfusion of \u2265 10 pints (odds ratio 4.73; 95% confidence interval [CI] 1.06-21.16) and MBP fluctuations (odds ratio 1.26; 95% CI 1.00-1.58) were identified to be independent predictors of 1-month posttransplant mortality, together with preoperative factors, including severe hepatic encephalopathy, and a Model for End-stage Liver Disease score \u2265 30 points (area under the curve 0.82, P &lt; .001). CONCLUSION MBP fluctuations and large blood transfusions were intraoperative predictors of short-term mortality after LDLT due to ALF. Increased attention to intraoperative manifestations should provide valuable prognostic information for ALF.", "author" : [ { "dropping-particle" : "", "family" : "Chung", "given" : "H S", "non-dropping-particle" : "", "parse-names" : false, "suffix" : "" }, { "dropping-particle" : "", "family" : "Jung", "given" : "D H", "non-dropping-particle" : "", "parse-names" : false, "suffix" : "" }, { "dropping-particle" : "", "family" : "Park", "given" : "C S", "non-dropping-particle" : "", "parse-names" : false, "suffix" : "" } ], "container-title" : "Transplantation proceedings", "id" : "ITEM-2", "issue" : "1", "issued" : { "date-parts" : [ [ "2013" ] ] }, "page" : "236-40", "publisher" : "Chung,H S. Department of Anesthesiology and Pain Medicine, Seoul St Mary's Hospital, College of Medicine, The Catholic University of Korea, Seoul, Republic of Korea.", "publisher-place" : "United States", "title" : "Intraoperative predictors of short-term mortality in living donor liver transplantation due to acute liver failure.", "type" : "article-journal", "volume" : "45" }, "uris" : [ "http://www.mendeley.com/documents/?uuid=2584b33b-0295-4bab-aeb2-801601416ebb" ] }, { "id" : "ITEM-3", "itemData" : { "DOI" : "10.6002/ect.2012.0286", "ISSN" : "2146-8427", "PMID" : "23901878", "abstract" : "OBJECTIVES Infection is the most severe complication after an organ transplant. Blood cell transfusion is an independent risk factor for adverse events, including infection in the recipient. This study sought to evaluate the effect of blood product transfusions on nosocomial infections in liver transplant patients. MATERIALS AND METHODS Patients who underwent a liver transplant at our hospital between 2003 and 2010 were recruited for this study. Exclusion criteria were incomplete records, patients who were hospitalized for more than 48 hours during the 4 weeks before transplant, and pediatric transplants. Incidence of nosocomial infections, which were defined as infections occurring within 30 days after transplant was the primary endpoint. RESULTS The incidence of nosocomial infections was 28.7%. The number of transfusions of packed red blood cells and fresh frozen plasma was significantly higher in patients with nosocomial infection compared with patients without nosocomial infection (P = .018 and P = .039). Blood products dose-dependently contributed to nosocomial infections. Transfusions of \u2265 7.5 units of red blood cells (odds ratio: 2.8) or \u2265 12.5 units of fresh frozen plasma (odds ratio: 3.27) were associated with nosocomial infections (P = .042 and P = .015). The infection-related mortality rate was 10.3%. CONCLUSIONS Blood product transfusions are associated with an increased rate of nosocomial infections, which contributes to higher morbidity and mortality.", "author" : [ { "dropping-particle" : "", "family" : "Ozkardesler", "given" : "Sevda", "non-dropping-particle" : "", "parse-names" : false, "suffix" : "" }, { "dropping-particle" : "", "family" : "Avkan-Oguz", "given" : "Vildan", "non-dropping-particle" : "", "parse-names" : false, "suffix" : "" }, { "dropping-particle" : "", "family" : "Akan", "given" : "Mert", "non-dropping-particle" : "", "parse-names" : false, "suffix" : "" }, { "dropping-particle" : "", "family" : "Unek", "given" : "Tarkan", "non-dropping-particle" : "", "parse-names" : false, "suffix" : "" }, { "dropping-particle" : "", "family" : "Ozbilgin", "given" : "Mucahit", "non-dropping-particle" : "", "parse-names" : false, "suffix" : "" }, { "dropping-particle" : "", "family" : "Meseri", "given" : "Reci", "non-dropping-particle" : "", "parse-names" : false, "suffix" : "" }, { "dropping-particle" : "", "family" : "Cimen", "given" : "Meltem", "non-dropping-particle" : "", "parse-names" : false, "suffix" : "" }, { "dropping-particle" : "", "family" : "Karademir", "given" : "Sedat", "non-dropping-particle" : "", "parse-names" : false, "suffix" : "" } ], "container-title" : "Experimental and clinical transplantation : official journal of the Middle East Society for Organ Transplantation", "id" : "ITEM-3", "issue" : "6", "issued" : { "date-parts" : [ [ "2013", "12" ] ] }, "page" : "530-6", "publisher" : "Ozkardesler,Sevda. Department of Anesthesiology, School of Medicine, Dokuz Eylul University, Izmir, Turkey.", "publisher-place" : "Turkey", "title" : "Effects of blood products on nosocomial infections in liver transplant recipients.", "type" : "article-journal", "volume" : "11" }, "uris" : [ "http://www.mendeley.com/documents/?uuid=63a783ac-cb7e-40c3-a9b8-39907c02e6e5" ] }, { "id" : "ITEM-4", "itemData" : { "DOI" : "10.1016/j.jamcollsurg.2012.12.047", "ISSN" : "1879-1190", "PMID" : "23478547", "abstract" : "BACKGROUND Blood loss during liver transplantation is not incorporated into the dominant models for post-transplant survival. Our objective was to investigate blood transfusion requirement as a risk factor for mortality after liver transplantation, and to further analyze risk factors for intraoperative blood transfusion requirement and hepatectomy time. STUDY DESIGN We conducted a retrospective analysis of 233 consecutive liver transplant recipients over a span of 3 years by a single experienced surgeon. Mean follow-up was 2.5 years. Independent risk factors for patient survival after liver transplantation were identified using Cox proportion hazard regression. Independent risk factors for intraoperative blood transfusion requirement and hepatectomy time were identified using logistic regression. RESULTS Two factors were identified as significant predictors in multivariate analysis for survival after liver transplantation: hepatocellular carcinoma (hazard ratio [HR] 1.9, 95% CI 1.1 to 3.2) and intraoperative blood transfusion requirement per unit (HR 1.01, 95% CI 1.0 to 1.02). Threshold analysis revealed that intraoperative blood transfusion volume \u226528 units or 85(th) percentile (HR 2.5, 95% CI 1.3 to 4.7) was a significant risk factor for patient survival. Four covariates were identified as significant risk factors for intraoperative blood requirement: warm ischemia time (odds ratio [OR] 1.12, 95% CI 1.06 to 1.18), bilirubin (OR 1.04, 95% CI 1.02 to 1.08), previous surgery (OR 1.7, 95% CI 1.02 to 2.9), and hepatectomy time (OR 1.01, 95% CI 1.00 to 1.02). The only risk factor for prolonged hepatectomy time was previous major abdominal surgery (OR 4.0, 95% CI 1.7 to 9.5). CONCLUSIONS Intraoperative blood transfusion requirement is an important risk factor for mortality after liver transplantation. The strongest risk factors for intraoperative blood transfusion requirement are warm ischemia time and bilirubin levels. Intraoperative blood loss and its risk factors should be incorporated into models to predict survival after liver transplantation.", "author" : [ { "dropping-particle" : "", "family" : "Rana", "given" : "Abbas", "non-dropping-particle" : "", "parse-names" : false, "suffix" : "" }, { "dropping-particle" : "", "family" : "Petrowsky", "given" : "Henrik", "non-dropping-particle" : "", "parse-names" : false, "suffix" : "" }, { "dropping-particle" : "", "family" : "Hong", "given" : "Johnny C", "non-dropping-particle" : "", "parse-names" : false, "suffix" : "" }, { "dropping-particle" : "", "family" : "Agopian", "given" : "Vatche G", "non-dropping-particle" : "", "parse-names" : false, "suffix" : "" }, { "dropping-particle" : "", "family" : "Kaldas", "given" : "Fady M", "non-dropping-particle" : "", "parse-names" : false, "suffix" : "" }, { "dropping-particle" : "", "family" : "Farmer", "given" : "Douglas", "non-dropping-particle" : "", "parse-names" : false, "suffix" : "" }, { "dropping-particle" : "", "family" : "Yersiz", "given" : "Hasan", "non-dropping-particle" : "", "parse-names" : false, "suffix" : "" }, { "dropping-particle" : "", "family" : "Hiatt", "given" : "Jonathan R", "non-dropping-particle" : "", "parse-names" : false, "suffix" : "" }, { "dropping-particle" : "", "family" : "Busuttil", "given" : "Ronald W", "non-dropping-particle" : "", "parse-names" : false, "suffix" : "" } ], "container-title" : "Journal of the American College of Surgeons", "id" : "ITEM-4", "issue" : "5", "issued" : { "date-parts" : [ [ "2013", "5" ] ] }, "page" : "902-7", "publisher" : "Rana,Abbas. Division of Abdominal Transplantation, Department of Surgery, University of Arizona, 1501 N Campbell Ave, PO Box 245066, Tucson, AZ 85724, USA. arana@surgery.arizona.edu", "publisher-place" : "United States", "title" : "Blood transfusion requirement during liver transplantation is an important risk factor for mortality.", "type" : "article-journal", "volume" : "216" }, "uris" : [ "http://www.mendeley.com/documents/?uuid=14df21b4-46e3-4131-91fd-bc189ac0f4a4" ] }, { "id" : "ITEM-5", "itemData" : { "DOI" : "10.1007/s00423-014-1181-y", "ISSN" : "1435-2451", "PMID" : "24682384", "abstract" : "INTRODUCTION Transfusion requirements of blood products may provide useful prognostic factors for the prediction of short-term patient mortality and renal outcome after liver transplantation. PATIENTS AND METHODS Two hundred ninety-one consecutive liver transplants in adults were analysed retrospectively. Combined and living-related liver transplants were excluded. The amount of transfused packed red blood cells (PRBC) and units of platelets (UP) within the first 48 h were investigated as prognostic factors to predict short-term patient mortality and renal outcome. Receiver operating characteristic (ROC) curve analysis with area under the curve (AUC), Hosmer-Lemeshow tests and Brier scores were used to calculate overall model correctness, model calibration and accuracy of prognostic factors. Cut-off values were determined with the best Youden index. RESULTS The potential clinical usefulness of PRBC as a prognostic factor to predict 30-day mortality (cut-off 17.5 units) and post-transplant haemodialysis (cut-off 12.5 units) could be demonstrated with AUCs &gt;0.7 (0.712 and 0.794, respectively). Hosmer-Lemeshow test results and Brier scores indicated good overall model correctness, model calibration and accuracy. The UP proved as an equally clinically useful prognostic factor to predict end-stage renal disease (cut-off 3.5 units; AUC = 0.763). The association of cut-off levels of PRBC with patient survival (p &lt; 0.001, log-rank test) and dialysis-free survival (p &lt; 0.001, log-rank test) was significant (cut-off levels 17.5 and 12.5 units, respectively) as well as the association of UP with dialysis-free survival (p &lt; 0.001, log-rank test) (cut-off level 3.5 units). CONCLUSIONS The impressive discriminative power of these simple prognostic factors for the prediction of outcome after liver transplantation emphasizes the relevance of strategies to avoid excessive transfusion requirements.", "author" : [ { "dropping-particle" : "", "family" : "Reichert", "given" : "Benedikt", "non-dropping-particle" : "", "parse-names" : false, "suffix" : "" }, { "dropping-particle" : "", "family" : "Kaltenborn", "given" : "Alexander", "non-dropping-particle" : "", "parse-names" : false, "suffix" : "" }, { "dropping-particle" : "", "family" : "Becker", "given" : "Thomas", "non-dropping-particle" : "", "parse-names" : false, "suffix" : "" }, { "dropping-particle" : "", "family" : "Schiffer", "given" : "Mario", "non-dropping-particle" : "", "parse-names" : false, "suffix" : "" }, { "dropping-particle" : "", "family" : "Klempnauer", "given" : "J\u00fcrgen", "non-dropping-particle" : "", "parse-names" : false, "suffix" : "" }, { "dropping-particle" : "", "family" : "Schrem", "given" : "Harald", "non-dropping-particle" : "", "parse-names" : false, "suffix" : "" } ], "container-title" : "Langenbeck's archives of surgery / Deutsche Gesellschaft fu\u0308r Chirurgie", "id" : "ITEM-5", "issue" : "4", "issued" : { "date-parts" : [ [ "2014", "4" ] ] }, "page" : "429-40", "publisher" : "Reichert,Benedikt. General and Thoracic Surgery, Universitatsklinikum Schleswig Holstein, Kiel, Germany, benedikt.reichert@uksh-kiel.de.", "publisher-place" : "Germany", "title" : "Massive blood transfusion after the first cut in liver transplantation predicts renal outcome and survival.", "type" : "article-journal", "volume" : "399" }, "uris" : [ "http://www.mendeley.com/documents/?uuid=6e0151fa-9c33-4d2f-86da-9386331bd36d" ] } ], "mendeley" : { "formattedCitation" : "&lt;sup&gt;[25\u201329]&lt;/sup&gt;", "plainTextFormattedCitation" : "[25\u201329]", "previouslyFormattedCitation" : "&lt;sup&gt;[25\u201330]&lt;/sup&gt;"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[25</w:t>
      </w:r>
      <w:r w:rsidR="00884A81" w:rsidRPr="00884A81">
        <w:rPr>
          <w:rFonts w:ascii="Book Antiqua" w:eastAsia="宋体" w:hAnsi="Book Antiqua"/>
          <w:noProof/>
          <w:vertAlign w:val="superscript"/>
          <w:lang w:eastAsia="zh-CN"/>
        </w:rPr>
        <w:t>-</w:t>
      </w:r>
      <w:r w:rsidR="00884A81" w:rsidRPr="00884A81">
        <w:rPr>
          <w:rFonts w:ascii="Book Antiqua" w:hAnsi="Book Antiqua"/>
          <w:noProof/>
          <w:vertAlign w:val="superscript"/>
        </w:rPr>
        <w:t>29]</w:t>
      </w:r>
      <w:r w:rsidR="00884A81" w:rsidRPr="00884A81">
        <w:rPr>
          <w:rFonts w:ascii="Book Antiqua" w:hAnsi="Book Antiqua"/>
        </w:rPr>
        <w:fldChar w:fldCharType="end"/>
      </w:r>
      <w:r w:rsidR="0044520C" w:rsidRPr="00884A81">
        <w:rPr>
          <w:rFonts w:ascii="Book Antiqua" w:hAnsi="Book Antiqua"/>
        </w:rPr>
        <w:t>.</w:t>
      </w:r>
      <w:r w:rsidR="00E7752F" w:rsidRPr="00884A81">
        <w:rPr>
          <w:rFonts w:ascii="Book Antiqua" w:hAnsi="Book Antiqua"/>
        </w:rPr>
        <w:t xml:space="preserve"> </w:t>
      </w:r>
      <w:r w:rsidR="00875C6B" w:rsidRPr="00884A81">
        <w:rPr>
          <w:rFonts w:ascii="Book Antiqua" w:hAnsi="Book Antiqua"/>
        </w:rPr>
        <w:t>The impact of blood transfusion on surgical outcomes is an area of active debate, but the impact of massive transfusion is more convincing</w:t>
      </w:r>
      <w:r w:rsidR="00EB5B11" w:rsidRPr="00884A81">
        <w:rPr>
          <w:rFonts w:ascii="Book Antiqua" w:hAnsi="Book Antiqua"/>
        </w:rPr>
        <w:t>.</w:t>
      </w:r>
      <w:r w:rsidR="00E1446E" w:rsidRPr="00884A81">
        <w:rPr>
          <w:rFonts w:ascii="Book Antiqua" w:hAnsi="Book Antiqua"/>
        </w:rPr>
        <w:t xml:space="preserve"> Recent reviews have </w:t>
      </w:r>
      <w:r w:rsidR="00E7752F" w:rsidRPr="00884A81">
        <w:rPr>
          <w:rFonts w:ascii="Book Antiqua" w:hAnsi="Book Antiqua"/>
        </w:rPr>
        <w:t>discussed prediction of blood loss during liver transplantation</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"10.4254/wjh.v5.i1.1", "ISBN" : "1948-5182 (Electronic)", "ISSN" : "19485182", "PMID" : "23383361", "abstract" : "Blood loss during liver transplantation (OLTx) is a common consequence of pre-existing abnormalities of the hemostatic system, portal hypertension with multiple collateral vessels, portal vein thrombosis, previous abdominal surgery, splenomegaly, and poor \"functional\" recovery of the new liver. The intrinsic coagulopathic features of end stage cirrhosis along with surgical technical difficulties make transfusion-free liver transplantation a major challenge, and, despite the improvements in understanding of intraoperative coagulation profiles and strategies to control blood loss, the requirements for blood or blood products remains high. The impact of blood transfusion has been shown to be significant and independent of other well-known predictors of posttransplant-outcome. Negative effects on immunomodulation and an increased risk of postoperative complications and mortality have been repeatedly demonstrated. Isovolemic hemodilution, the extensive utilization of thromboelastogram and the use of autotransfusion devices are among the commonly adopted procedures to limit the amount of blood transfusion. The use of intraoperative blood salvage and autologous blood transfusion should still be considered an important method to reduce the need for allogenic blood and the associated complications. In this article we report on the common preoperative and intraoperative factors contributing to blood loss, intraoperative transfusion practices, anesthesiologic and surgical strategies to prevent blood loss, and on intraoperative blood salvaging techniques and autologous blood transfusion. Even though the advances in surgical technique and anesthetic management, as well as a better understanding of the risk factors, have resulted in a steady decrease in intraoperative bleeding, most patients still bleed extensively. Blood transfusion therapy is still a critical feature during OLTx and various studies have shown a large variability in the use of blood products among different centers and even among individual anesthesiologists within the same center. Unfortunately, despite the large number of OLTx performed each year, there is still paucity of large randomized, multicentre, and controlled studies which indicate how to prevent bleeding, the transfusion needs and thresholds, and the \"evidence based\" perioperative strategies to reduce the amount of transfusion.", "author" : [ { "dropping-particle" : "", "family" : "Feltracco", "given" : "Paolo", "non-dropping-particle" : "", "parse-names" : false, "suffix" : "" }, { "dropping-particle" : "", "family" : "Brezzi", "given" : "Maria Luisa", "non-dropping-particle" : "", "parse-names" : false, "suffix" : "" }, { "dropping-particle" : "", "family" : "Barbieri", "given" : "Stefania", "non-dropping-particle" : "", "parse-names" : false, "suffix" : "" }, { "dropping-particle" : "", "family" : "Galligioni", "given" : "Helmut", "non-dropping-particle" : "", "parse-names" : false, "suffix" : "" }, { "dropping-particle" : "", "family" : "Milevoj", "given" : "Moira", "non-dropping-particle" : "", "parse-names" : false, "suffix" : "" }, { "dropping-particle" : "", "family" : "Carollo", "given" : "Cristiana", "non-dropping-particle" : "", "parse-names" : false, "suffix" : "" }, { "dropping-particle" : "", "family" : "Ori", "given" : "Carlo", "non-dropping-particle" : "", "parse-names" : false, "suffix" : "" } ], "container-title" : "World Journal of Hepatology", "id" : "ITEM-1", "issue" : "1", "issued" : { "date-parts" : [ [ "2013" ] ] }, "page" : "1-15", "title" : "Blood loss, predictors of bleeding, transfusion practice and strategies of blood cell salvaging during liver transplantation", "type" : "article", "volume" : "5" }, "uris" : [ "http://www.mendeley.com/documents/?uuid=7b56efd5-6b07-46af-ab9d-e71f1e606494" ] }, { "id" : "ITEM-2", "itemData" : { "DOI" : "10.4240/wjgs.v7.i6.86", "ISSN" : "1948-9366", "PMID" : "26131330", "abstract" : "Liver transplantation has been associated with massive blood loss and considerable transfusion requirements. Bleeding in orthotopic liver transplantation is multifactorial. Technical difficulties inherent to this complex surgical procedure and pre operative derangements of the primary and secondary coagulation system are thought to be the principal causes of perioperative hemorrhage. Intraoperative practices such as massive fluid resuscitation and resulting hypothermia and hypocalcemia secondary to citrate toxicity further aggravate the preexisting coagulopathy and worsen the perioperative bleeding. Excessive blood loss and transfusion during orthotopic liver transplant are correlated with diminished graft survival and increased septic episodes and prolonged ICU stay. With improvements in surgical skills, anesthetic technique, graft preservation, use of intraoperative cell savers and overall perioperative management, orthotopic liver transplant is now associated with decreased intra operative blood losses. The purpose of this review is to discuss the risk factors predictive of increased intra operative bleeding in patients undergoing orthotopic liver transplant.", "author" : [ { "dropping-particle" : "", "family" : "Pandey", "given" : "Chandra Kant", "non-dropping-particle" : "", "parse-names" : false, "suffix" : "" }, { "dropping-particle" : "", "family" : "Singh", "given" : "Anshuman", "non-dropping-particle" : "", "parse-names" : false, "suffix" : "" }, { "dropping-particle" : "", "family" : "Kajal", "given" : "Kamal", "non-dropping-particle" : "", "parse-names" : false, "suffix" : "" }, { "dropping-particle" : "", "family" : "Dhankhar", "given" : "Mandeep", "non-dropping-particle" : "", "parse-names" : false, "suffix" : "" }, { "dropping-particle" : "", "family" : "Tandon", "given" : "Manish", "non-dropping-particle" : "", "parse-names" : false, "suffix" : "" }, { "dropping-particle" : "", "family" : "Pandey", "given" : "Vijay Kant", "non-dropping-particle" : "", "parse-names" : false, "suffix" : "" }, { "dropping-particle" : "", "family" : "Karna", "given" : "Sunaina Tejpal", "non-dropping-particle" : "", "parse-names" : false, "suffix" : "" } ], "container-title" : "World journal of gastrointestinal surgery", "id" : "ITEM-2", "issue" : "6", "issued" : { "date-parts" : [ [ "2015", "6", "27" ] ] }, "page" : "86-93", "title" : "Intraoperative blood loss in orthotopic liver transplantation: The predictive factors.", "type" : "article-journal", "volume" : "7" }, "uris" : [ "http://www.mendeley.com/documents/?uuid=969bbceb-a956-4b6c-9d03-a7e8067669a7" ] } ], "mendeley" : { "formattedCitation" : "&lt;sup&gt;[30,31]&lt;/sup&gt;", "plainTextFormattedCitation" : "[30,31]", "previouslyFormattedCitation" : "&lt;sup&gt;[31,32]&lt;/sup&gt;"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[30,31]</w:t>
      </w:r>
      <w:r w:rsidR="00884A81" w:rsidRPr="00884A81">
        <w:rPr>
          <w:rFonts w:ascii="Book Antiqua" w:hAnsi="Book Antiqua"/>
        </w:rPr>
        <w:fldChar w:fldCharType="end"/>
      </w:r>
      <w:r w:rsidR="00E7752F" w:rsidRPr="00884A81">
        <w:rPr>
          <w:rFonts w:ascii="Book Antiqua" w:hAnsi="Book Antiqua"/>
        </w:rPr>
        <w:t xml:space="preserve">, and </w:t>
      </w:r>
      <w:r w:rsidR="00E1446E" w:rsidRPr="00884A81">
        <w:rPr>
          <w:rFonts w:ascii="Book Antiqua" w:hAnsi="Book Antiqua"/>
        </w:rPr>
        <w:t>summarised strategies to reduce blood loss</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"10.5500/wjt.v5.i4.165", "ISSN" : "2220-3230", "PMID" : "26722645", "abstract" : "Liver transplantation (LT) was historically associated with massive blood loss and transfusion. Over the past two decades transfusion requirements have reduced dramatically and increasingly transfusion-free transplantation is a reality. Both bleeding and transfusion are associated with adverse outcomes in LT. Minimising bleeding and reducing unnecessary transfusions are therefore key goals in the perioperative period. As the understanding of the causes of bleeding has evolved so too have techniques to minimize or reduce the impact of blood loss. Surgical \"piggyback\" techniques, anaesthetic low central venous pressure and haemodilution strategies and the use of autologous cell salvage, point of care monitoring and targeted correction of coagulopathy, particularly through use of factor concentrates, have all contributed to declining reliance on allogenic blood products. Pre-emptive management of preoperative anaemia and adoption of more restrictive transfusion thresholds is increasingly common as patient blood management (PBM) gains momentum. Despite progress, increasing use of marginal grafts and transplantation of sicker recipients will continue to present new challenges in bleeding and transfusion management. Variation in practice across different centres and within the literature demonstrates the current lack of clear transfusion guidance. In this article we summarise the causes and predictors of bleeding and present the evidence for a variety of PBM strategies in LT.", "author" : [ { "dropping-particle" : "", "family" : "Donohue", "given" : "Ciara I", "non-dropping-particle" : "", "parse-names" : false, "suffix" : "" }, { "dropping-particle" : "V", "family" : "Mallett", "given" : "Susan", "non-dropping-particle" : "", "parse-names" : false, "suffix" : "" } ], "container-title" : "World journal of transplantation", "id" : "ITEM-1", "issue" : "4", "issued" : { "date-parts" : [ [ "2015", "12", "24" ] ] }, "page" : "165-82", "title" : "Reducing transfusion requirements in liver transplantation.", "type" : "article-journal", "volume" : "5" }, "uris" : [ "http://www.mendeley.com/documents/?uuid=a167366d-e109-4a2d-ba2e-ec757a7806d6" ] }, { "id" : "ITEM-2", "itemData" : { "DOI" : "10.3748/wjg.v20.i20.6146", "ISSN" : "2219-2840", "PMID" : "24876736", "abstract" : "There is wide variation in the management of coagulation and blood transfusion practice in liver transplantation. The use of blood products intraoperatively is declining and transfusion free transplantations take place ever more frequently. Allogenic blood products have been shown to increase morbidity and mortality. Primary haemostasis, coagulation and fibrinolysis are altered by liver disease. This, combined with intraoperative disturbances of coagulation, increases the risk of bleeding. Meanwhile, the rebalancing of coagulation homeostasis can put patients at risk of hypercoagulability and thrombosis. The application of the principles of patient blood management to transplantation can reduce the risk of transfusion. This includes: preoperative recognition and treatment of anaemia, reduction of perioperative blood loss and the use of restrictive haemoglobin based transfusion triggers. The use of point of care coagulation monitoring using whole blood viscoelastic testing provides a picture of the complete coagulation process by which to guide and direct coagulation management. Pharmacological methods to reduce blood loss include the use of anti-fibrinolytic drugs to reduce fibrinolysis, and rarely, the use of recombinant factor VIIa. Factor concentrates are increasingly used; fibrinogen concentrates to improve clot strength and stability, and prothrombin complex concentrates to improve thrombin generation. Non-pharmacological methods to reduce blood loss include surgical utilisation of the piggyback technique and maintenance of a low central venous pressure. The use of intraoperative cell salvage and normovolaemic haemodilution reduces allogenic blood transfusion. Further research into methods of decreasing blood loss and alternatives to blood transfusion remains necessary to continue to improve outcomes after transplantation.", "author" : [ { "dropping-particle" : "", "family" : "Clevenger", "given" : "Ben", "non-dropping-particle" : "", "parse-names" : false, "suffix" : "" }, { "dropping-particle" : "V", "family" : "Mallett", "given" : "Susan", "non-dropping-particle" : "", "parse-names" : false, "suffix" : "" } ], "container-title" : "World journal of gastroenterology", "id" : "ITEM-2", "issue" : "20", "issued" : { "date-parts" : [ [ "2014", "5", "28" ] ] }, "language" : "eng", "page" : "6146-58", "publisher-place" : "United States", "title" : "Transfusion and coagulation management in liver transplantation.", "type" : "article-journal", "volume" : "20" }, "uris" : [ "http://www.mendeley.com/documents/?uuid=ef46752c-a421-4ec2-9b45-c5adfbcb2f2a" ] } ], "mendeley" : { "formattedCitation" : "&lt;sup&gt;[32,33]&lt;/sup&gt;", "plainTextFormattedCitation" : "[32,33]", "previouslyFormattedCitation" : "&lt;sup&gt;[33,34]&lt;/sup&gt;"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[32,33]</w:t>
      </w:r>
      <w:r w:rsidR="00884A81" w:rsidRPr="00884A81">
        <w:rPr>
          <w:rFonts w:ascii="Book Antiqua" w:hAnsi="Book Antiqua"/>
        </w:rPr>
        <w:fldChar w:fldCharType="end"/>
      </w:r>
      <w:r w:rsidR="00E7752F" w:rsidRPr="00884A81">
        <w:rPr>
          <w:rFonts w:ascii="Book Antiqua" w:hAnsi="Book Antiqua"/>
        </w:rPr>
        <w:t>.</w:t>
      </w:r>
      <w:r w:rsidR="00EB5B11" w:rsidRPr="00884A81">
        <w:rPr>
          <w:rFonts w:ascii="Book Antiqua" w:hAnsi="Book Antiqua"/>
        </w:rPr>
        <w:t xml:space="preserve"> This </w:t>
      </w:r>
      <w:r w:rsidR="00875C6B" w:rsidRPr="00884A81">
        <w:rPr>
          <w:rFonts w:ascii="Book Antiqua" w:hAnsi="Book Antiqua"/>
        </w:rPr>
        <w:t xml:space="preserve">review will focus </w:t>
      </w:r>
      <w:r w:rsidR="00010C30" w:rsidRPr="00884A81">
        <w:rPr>
          <w:rFonts w:ascii="Book Antiqua" w:hAnsi="Book Antiqua"/>
        </w:rPr>
        <w:t>on m</w:t>
      </w:r>
      <w:r w:rsidRPr="00884A81">
        <w:rPr>
          <w:rFonts w:ascii="Book Antiqua" w:hAnsi="Book Antiqua"/>
        </w:rPr>
        <w:t xml:space="preserve">assive haemorrhage in </w:t>
      </w:r>
      <w:r w:rsidR="00585503" w:rsidRPr="00884A81">
        <w:rPr>
          <w:rFonts w:ascii="Book Antiqua" w:hAnsi="Book Antiqua"/>
        </w:rPr>
        <w:t xml:space="preserve">liver transplantation including consequence, </w:t>
      </w:r>
      <w:r w:rsidRPr="00884A81">
        <w:rPr>
          <w:rFonts w:ascii="Book Antiqua" w:hAnsi="Book Antiqua"/>
        </w:rPr>
        <w:t xml:space="preserve">prediction, and management as well as </w:t>
      </w:r>
      <w:r w:rsidR="00A01B1A" w:rsidRPr="00884A81">
        <w:rPr>
          <w:rFonts w:ascii="Book Antiqua" w:hAnsi="Book Antiqua"/>
        </w:rPr>
        <w:t xml:space="preserve">considering some of the </w:t>
      </w:r>
      <w:r w:rsidRPr="00884A81">
        <w:rPr>
          <w:rFonts w:ascii="Book Antiqua" w:hAnsi="Book Antiqua"/>
        </w:rPr>
        <w:t xml:space="preserve">lessons learned from other surgical specialties such as trauma and obstetrics. </w:t>
      </w:r>
    </w:p>
    <w:p w14:paraId="72C160B5" w14:textId="77777777" w:rsidR="002A30AF" w:rsidRPr="00884A81" w:rsidRDefault="002A30AF" w:rsidP="00884A81">
      <w:pPr>
        <w:spacing w:line="360" w:lineRule="auto"/>
        <w:jc w:val="both"/>
        <w:rPr>
          <w:rFonts w:ascii="Book Antiqua" w:hAnsi="Book Antiqua"/>
        </w:rPr>
      </w:pPr>
    </w:p>
    <w:p w14:paraId="49DC07D5" w14:textId="397D50E6" w:rsidR="00EA7F85" w:rsidRPr="00884A81" w:rsidRDefault="00884A81" w:rsidP="00884A81">
      <w:pPr>
        <w:spacing w:line="360" w:lineRule="auto"/>
        <w:jc w:val="both"/>
        <w:rPr>
          <w:rFonts w:ascii="Book Antiqua" w:eastAsia="宋体" w:hAnsi="Book Antiqua"/>
          <w:b/>
          <w:lang w:eastAsia="zh-CN"/>
        </w:rPr>
      </w:pPr>
      <w:r w:rsidRPr="00884A81">
        <w:rPr>
          <w:rFonts w:ascii="Book Antiqua" w:hAnsi="Book Antiqua"/>
          <w:b/>
        </w:rPr>
        <w:t>DEFINITION</w:t>
      </w:r>
    </w:p>
    <w:p w14:paraId="785D079C" w14:textId="663A3EFB" w:rsidR="00960D32" w:rsidRPr="00884A81" w:rsidRDefault="00EA7F85" w:rsidP="00884A81">
      <w:pPr>
        <w:spacing w:line="360" w:lineRule="auto"/>
        <w:jc w:val="both"/>
        <w:rPr>
          <w:rFonts w:ascii="Book Antiqua" w:hAnsi="Book Antiqua"/>
        </w:rPr>
      </w:pPr>
      <w:r w:rsidRPr="00884A81">
        <w:rPr>
          <w:rFonts w:ascii="Book Antiqua" w:hAnsi="Book Antiqua"/>
        </w:rPr>
        <w:t>The classical definition of massive haemorrhage is the loss of one blood volume within a 24-h period</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"10.1093/bja/85.3.487", "ISSN" : "0007-0912", "PMID" : "11103199", "abstract" : "The management of acute massive blood loss is considered and a template guideline is formulated, supported by a review of the key literature and current evidence. It is emphasized that, if avoidable deaths are to be prevented, surgeons, anaesthetists, haematologists and blood-bank staff need to communicate closely in order to achieve the goals of secure haemostasis, restoration of circulating volume, and effective management of blood component replacement.", "author" : [ { "dropping-particle" : "", "family" : "Stainsby", "given" : "D.", "non-dropping-particle" : "", "parse-names" : false, "suffix" : "" }, { "dropping-particle" : "", "family" : "MacLennan", "given" : "S.", "non-dropping-particle" : "", "parse-names" : false, "suffix" : "" }, { "dropping-particle" : "", "family" : "Hamilton", "given" : "P. J.", "non-dropping-particle" : "", "parse-names" : false, "suffix" : "" } ], "container-title" : "British Journal of Anaesthesia", "id" : "ITEM-1", "issue" : "3", "issued" : { "date-parts" : [ [ "2000", "9", "1" ] ] }, "page" : "487-491", "title" : "Management of massive blood loss: a template guideline", "type" : "article-journal", "volume" : "85" }, "uris" : [ "http://www.mendeley.com/documents/?uuid=96213500-8baf-47fd-a33c-c80218cfde94" ] } ], "mendeley" : { "formattedCitation" : "&lt;sup&gt;[34]&lt;/sup&gt;", "plainTextFormattedCitation" : "[34]", "previouslyFormattedCitation" : "&lt;sup&gt;[35]&lt;/sup&gt;"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[34]</w:t>
      </w:r>
      <w:r w:rsidR="00884A81" w:rsidRPr="00884A81">
        <w:rPr>
          <w:rFonts w:ascii="Book Antiqua" w:hAnsi="Book Antiqua"/>
        </w:rPr>
        <w:fldChar w:fldCharType="end"/>
      </w:r>
      <w:r w:rsidR="00A176CB" w:rsidRPr="00884A81">
        <w:rPr>
          <w:rFonts w:ascii="Book Antiqua" w:hAnsi="Book Antiqua"/>
        </w:rPr>
        <w:t xml:space="preserve">. Correspondingly massive transfusion in an adult </w:t>
      </w:r>
      <w:r w:rsidR="000749ED" w:rsidRPr="00884A81">
        <w:rPr>
          <w:rFonts w:ascii="Book Antiqua" w:hAnsi="Book Antiqua"/>
        </w:rPr>
        <w:t>has</w:t>
      </w:r>
      <w:r w:rsidR="00A176CB" w:rsidRPr="00884A81">
        <w:rPr>
          <w:rFonts w:ascii="Book Antiqua" w:hAnsi="Book Antiqua"/>
        </w:rPr>
        <w:t xml:space="preserve"> commonly been defined as 10 or more units of packed red cells in a 24-h period, which approximates to replacement of one blood volume based on the</w:t>
      </w:r>
      <w:r w:rsidR="000749ED" w:rsidRPr="00884A81">
        <w:rPr>
          <w:rFonts w:ascii="Book Antiqua" w:hAnsi="Book Antiqua"/>
        </w:rPr>
        <w:t xml:space="preserve"> approximate</w:t>
      </w:r>
      <w:r w:rsidR="00A176CB" w:rsidRPr="00884A81">
        <w:rPr>
          <w:rFonts w:ascii="Book Antiqua" w:hAnsi="Book Antiqua"/>
        </w:rPr>
        <w:t xml:space="preserve"> blood volume of a 70-</w:t>
      </w:r>
      <w:r w:rsidR="00884A81" w:rsidRPr="00884A81">
        <w:rPr>
          <w:rFonts w:ascii="Book Antiqua" w:hAnsi="Book Antiqua"/>
        </w:rPr>
        <w:t>k</w:t>
      </w:r>
      <w:r w:rsidR="00A176CB" w:rsidRPr="00884A81">
        <w:rPr>
          <w:rFonts w:ascii="Book Antiqua" w:hAnsi="Book Antiqua"/>
        </w:rPr>
        <w:t>g male</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"10.1097/TA.0b013e31828fa535", "ISSN" : "2163-0763", "PMID" : "23778506", "abstract" : "BACKGROUND The classic definition of massive transfusion, 10 or more units of red blood cells (RBCs) in 24 hours, has never been demonstrated as a valid surrogate for severe hemorrhage and can introduce survival bias. In addition, the definition fails to capture other products that the clinician may have immediately available, and may use, during the initial resuscitation. Assuming that units of resuscitative fluids reflect patient illness, our objective was to identify a rate of resuscitation intensity (RI) that could serve as an early surrogate of sickness for patients with substantial bleeding after injury. METHODS Adult patients surviving at least 30 minutes after admission and receiving one or more RBCs within 6 hours of admission from 10 US Level 1 trauma centers were enrolled in the PRospective Observational Multicenter Major Trauma Transfusion (PROMMTT) study. Total fluid units were calculated as the sum of the number of crystalloid units (1 L = 1 U), colloids (0.5 L = 1 U), and blood products (1 RBC = 1 U, 1 plasma = 1 U, 6 pack platelets = 1 U). Univariable and multivariable logistic regressions were used to evaluate associations between RI and 6-hour mortality, adjusting for age, center, penetrating injury, weighted Revised Trauma Score (RTS), and Injury Severity Score (ISS). RESULTS A total of 1,096 eligible patients received resuscitative fluids within 30 minutes, including 620 transfused with blood products. Despite varying products used, the total fluid RI was similar across all sites (3.2 \u00b1 2.5 U). Patients who received four or more units of any resuscitative fluid had a 6-hour mortality rate of 14.4% versus 4.5% in patients who received less than 4 U. The adjusted odds ratio of 6-hour mortality for patients receiving 4 U or more within 30 minutes was 2.1 (95% confidence interval, 1.2-3.5). CONCLUSION Resuscitation with four or more units of any fluid was significantly associated with 6-hour mortality. This study suggests that early RI regardless of fluid type can be used as a surrogate for sickness and mortality in severely bleeding patients.", "author" : [ { "dropping-particle" : "", "family" : "Rahbar", "given" : "Elaheh", "non-dropping-particle" : "", "parse-names" : false, "suffix" : "" }, { "dropping-particle" : "", "family" : "Fox", "given" : "Erin E", "non-dropping-particle" : "", "parse-names" : false, "suffix" : "" }, { "dropping-particle" : "", "family" : "Junco", "given" : "Deborah J", "non-dropping-particle" : "del", "parse-names" : false, "suffix" : "" }, { "dropping-particle" : "", "family" : "Harvin", "given" : "John A", "non-dropping-particle" : "", "parse-names" : false, "suffix" : "" }, { "dropping-particle" : "", "family" : "Holcomb", "given" : "John B", "non-dropping-particle" : "", "parse-names" : false, "suffix" : "" }, { "dropping-particle" : "", "family" : "Wade", "given" : "Charles E", "non-dropping-particle" : "", "parse-names" : false, "suffix" : "" }, { "dropping-particle" : "", "family" : "Schreiber", "given" : "Martin A", "non-dropping-particle" : "", "parse-names" : false, "suffix" : "" }, { "dropping-particle" : "", "family" : "Rahbar", "given" : "Mohammad H", "non-dropping-particle" : "", "parse-names" : false, "suffix" : "" }, { "dropping-particle" : "", "family" : "Bulger", "given" : "Eileen M", "non-dropping-particle" : "", "parse-names" : false, "suffix" : "" }, { "dropping-particle" : "", "family" : "Phelan", "given" : "Herb A", "non-dropping-particle" : "", "parse-names" : false, "suffix" : "" }, { "dropping-particle" : "", "family" : "Brasel", "given" : "Karen J", "non-dropping-particle" : "", "parse-names" : false, "suffix" : "" }, { "dropping-particle" : "", "family" : "Alarcon", "given" : "Louis H", "non-dropping-particle" : "", "parse-names" : false, "suffix" : "" }, { "dropping-particle" : "", "family" : "Myers", "given" : "John G", "non-dropping-particle" : "", "parse-names" : false, "suffix" : "" }, { "dropping-particle" : "", "family" : "Cohen", "given" : "Mitchell J", "non-dropping-particle" : "", "parse-names" : false, "suffix" : "" }, { "dropping-particle" : "", "family" : "Muskat", "given" : "Peter", "non-dropping-particle" : "", "parse-names" : false, "suffix" : "" }, { "dropping-particle" : "", "family" : "Cotton", "given" : "Bryan A", "non-dropping-particle" : "", "parse-names" : false, "suffix" : "" }, { "dropping-particle" : "", "family" : "PROMMTT Study Group", "given" : "", "non-dropping-particle" : "", "parse-names" : false, "suffix" : "" } ], "container-title" : "The journal of trauma and acute care surgery", "id" : "ITEM-1", "issue" : "1 Suppl 1", "issued" : { "date-parts" : [ [ "2013", "7" ] ] }, "note" : "The classical definition of MT is\nthe replacement of a patient\u2019s blood volume within a 24-hour period, commonly considered as transfusion of 10 or more.This\ndefinition is based on the approximated blood volume of a 70-kg\nmale and is flawed on multiple levels because it assumes standardized weight, sex, and achievement of hemostasis.\n\n\nof trauma coagulopathy in patients receiving MT highlighted 12 different definitions for MT. In Australia, Mitra et al redefined MT to at least 5 U of RBCs in 4 hours based on a cohort of 387 patients to capture patientswhowere immediate\nMT candidates as well as patients who develop a need for MT later during the course of their surgical and intensive care\nmanagement. Similarly, several investigators have advocated for MT to be redefined as 10 or more units of RBCs in 6hours.\n\n\nResuscitationwith four or more units of any fluidwas significantly associated with 6-hour mortality. This study suggests that early\nRI regardless of fluid type can be used as a surrogate for sickness andmortality in severely bleeding patients.", "page" : "S16-23", "publisher" : "Rahbar,Elaheh. Center for Translational Injury Research, University of Texas Health Science Center at Houston, Houston, Texas, USA.", "publisher-place" : "United States", "title" : "Early resuscitation intensity as a surrogate for bleeding severity and early mortality in the PROMMTT study.", "type" : "article-journal", "volume" : "75" }, "uris" : [ "http://www.mendeley.com/documents/?uuid=6aacce94-4240-417f-9924-17f73ce3cbc5" ] } ], "mendeley" : { "formattedCitation" : "&lt;sup&gt;[35]&lt;/sup&gt;", "plainTextFormattedCitation" : "[35]", "previouslyFormattedCitation" : "&lt;sup&gt;[36]&lt;/sup&gt;"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[35]</w:t>
      </w:r>
      <w:r w:rsidR="00884A81" w:rsidRPr="00884A81">
        <w:rPr>
          <w:rFonts w:ascii="Book Antiqua" w:hAnsi="Book Antiqua"/>
        </w:rPr>
        <w:fldChar w:fldCharType="end"/>
      </w:r>
      <w:r w:rsidR="00A176CB" w:rsidRPr="00884A81">
        <w:rPr>
          <w:rFonts w:ascii="Book Antiqua" w:hAnsi="Book Antiqua"/>
        </w:rPr>
        <w:t xml:space="preserve">. </w:t>
      </w:r>
    </w:p>
    <w:p w14:paraId="07162AD4" w14:textId="4770C6C0" w:rsidR="00F83AE4" w:rsidRPr="00884A81" w:rsidRDefault="00A176CB" w:rsidP="00884A81">
      <w:pPr>
        <w:spacing w:line="360" w:lineRule="auto"/>
        <w:ind w:firstLineChars="100" w:firstLine="240"/>
        <w:jc w:val="both"/>
        <w:rPr>
          <w:rFonts w:ascii="Book Antiqua" w:hAnsi="Book Antiqua"/>
        </w:rPr>
      </w:pPr>
      <w:r w:rsidRPr="00884A81">
        <w:rPr>
          <w:rFonts w:ascii="Book Antiqua" w:hAnsi="Book Antiqua"/>
        </w:rPr>
        <w:t>T</w:t>
      </w:r>
      <w:r w:rsidR="007961A2" w:rsidRPr="00884A81">
        <w:rPr>
          <w:rFonts w:ascii="Book Antiqua" w:hAnsi="Book Antiqua"/>
        </w:rPr>
        <w:t xml:space="preserve">hese definitions are </w:t>
      </w:r>
      <w:r w:rsidR="00B778B1" w:rsidRPr="00884A81">
        <w:rPr>
          <w:rFonts w:ascii="Book Antiqua" w:hAnsi="Book Antiqua"/>
        </w:rPr>
        <w:t xml:space="preserve">retrospective and often used as the basis for risk prediction </w:t>
      </w:r>
      <w:r w:rsidR="00741B74" w:rsidRPr="00884A81">
        <w:rPr>
          <w:rFonts w:ascii="Book Antiqua" w:hAnsi="Book Antiqua"/>
        </w:rPr>
        <w:t>models for massive blood loss and the implementation of resuscitative transfusion strategies and protocols</w:t>
      </w:r>
      <w:r w:rsidR="00B778B1" w:rsidRPr="00884A81">
        <w:rPr>
          <w:rFonts w:ascii="Book Antiqua" w:hAnsi="Book Antiqua"/>
        </w:rPr>
        <w:t xml:space="preserve">. </w:t>
      </w:r>
      <w:r w:rsidR="00F904C0" w:rsidRPr="00884A81">
        <w:rPr>
          <w:rFonts w:ascii="Book Antiqua" w:hAnsi="Book Antiqua"/>
        </w:rPr>
        <w:t>Their</w:t>
      </w:r>
      <w:r w:rsidR="00F009FF" w:rsidRPr="00884A81">
        <w:rPr>
          <w:rFonts w:ascii="Book Antiqua" w:hAnsi="Book Antiqua"/>
        </w:rPr>
        <w:t xml:space="preserve"> use has been questioned particularly in the setting of trauma as it excludes information regarding the patient’s condition, institutional transfusion practices and the risk of survival bias as patients who die from exsanguination before receiving 10 units will not be included in the massive transfusion group</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"10.1097/TA.0b013e31828fa3d3", "ISSN" : "2163-0763", "PMID" : "23778516", "abstract" : "BACKGROUND Several predictive models have been developed to identify trauma patients who have had severe hemorrhage (SH) and may need a massive transfusion (MT) protocol. However, almost all these models define SH as the transfusion of 10 or more units of red blood cells (RBCs) within 24 hours of emergency department admission (also known as MT). This definition excludes some patients with SH, especially those who die before a 10th unit of RBCs could be transfused, which calls the validity of these prediction models into question. We show how a latent class model could improve the accuracy of identifying the SH patients. METHODS Modeling SH classification as a latent variable, we estimate the posterior probability of a patient in SH based on emergency department admission variables (systolic blood pressure, heart rate, pH, hemoglobin), the 24-hour blood product use (plasma/RBC and platelet/RBC ratios), and 24-hour survival status. We define the SH subgroup as those having a posterior probability of 0.5 or greater. We compare our new classification of SH with that of the traditional MT using data from PROMMTT study. RESULTS Of the 1,245 patients, 913 had complete data, which were used in the latent class model. About 25.3% of patients were classified as SH. The overall agreement between the MT and SH classifications was 83.8%. However, among 49 patients who died before receiving the 10th unit of RBCs, 41 (84%) were classified as SH. Seven (87.5%) of the remaining eight patients who were not classified as SH had head injury. CONCLUSION Our definition of SH based on the aforementioned latent class model has an advantage of improving on the traditional MT definition by identifying SH patients who die before receiving the 10th unit of RBCs. We recommend further improvements to more accurately classify SH patients, which could replace the traditional definition of MT for use in developing prediction algorithms.", "author" : [ { "dropping-particle" : "", "family" : "Rahbar", "given" : "Mohammad H", "non-dropping-particle" : "", "parse-names" : false, "suffix" : "" }, { "dropping-particle" : "", "family" : "Junco", "given" : "Deborah J", "non-dropping-particle" : "del", "parse-names" : false, "suffix" : "" }, { "dropping-particle" : "", "family" : "Huang", "given" : "Hanwen", "non-dropping-particle" : "", "parse-names" : false, "suffix" : "" }, { "dropping-particle" : "", "family" : "Ning", "given" : "Jing", "non-dropping-particle" : "", "parse-names" : false, "suffix" : "" }, { "dropping-particle" : "", "family" : "Fox", "given" : "Erin E", "non-dropping-particle" : "", "parse-names" : false, "suffix" : "" }, { "dropping-particle" : "", "family" : "Zhang", "given" : "Xuan", "non-dropping-particle" : "", "parse-names" : false, "suffix" : "" }, { "dropping-particle" : "", "family" : "Schreiber", "given" : "Martin A", "non-dropping-particle" : "", "parse-names" : false, "suffix" : "" }, { "dropping-particle" : "", "family" : "Brasel", "given" : "Karen J", "non-dropping-particle" : "", "parse-names" : false, "suffix" : "" }, { "dropping-particle" : "", "family" : "Bulger", "given" : "Eileen M", "non-dropping-particle" : "", "parse-names" : false, "suffix" : "" }, { "dropping-particle" : "", "family" : "Wade", "given" : "Charles E", "non-dropping-particle" : "", "parse-names" : false, "suffix" : "" }, { "dropping-particle" : "", "family" : "Cotton", "given" : "Bryan A", "non-dropping-particle" : "", "parse-names" : false, "suffix" : "" }, { "dropping-particle" : "", "family" : "Phelan", "given" : "Herb A", "non-dropping-particle" : "", "parse-names" : false, "suffix" : "" }, { "dropping-particle" : "", "family" : "Cohen", "given" : "Mitchell J", "non-dropping-particle" : "", "parse-names" : false, "suffix" : "" }, { "dropping-particle" : "", "family" : "Myers", "given" : "John G", "non-dropping-particle" : "", "parse-names" : false, "suffix" : "" }, { "dropping-particle" : "", "family" : "Alarcon", "given" : "Louis H", "non-dropping-particle" : "", "parse-names" : false, "suffix" : "" }, { "dropping-particle" : "", "family" : "Muskat", "given" : "Peter", "non-dropping-particle" : "", "parse-names" : false, "suffix" : "" }, { "dropping-particle" : "", "family" : "Holcomb", "given" : "John B", "non-dropping-particle" : "", "parse-names" : false, "suffix" : "" }, { "dropping-particle" : "", "family" : "PROMMTT Study Group", "given" : "", "non-dropping-particle" : "", "parse-names" : false, "suffix" : "" } ], "container-title" : "The journal of trauma and acute care surgery", "id" : "ITEM-1", "issue" : "1 Suppl 1", "issued" : { "date-parts" : [ [ "2013", "7" ] ] }, "language" : "eng", "note" : "Prediction models of MH and activation of MTP based on definition of MH of &amp;gt;10 units/24 hours. Issues with this definition.\n- ignores variability in patients condition\n- ignores variabilty in institions transfusion stratergies.\n-Excludes patients who died before 10th unit. \n\nDue to potential impact on patient survival rates early prediction of patients in need of MT and optimal blood transfusion ratios have attracted attention.\n\nInital MT protocols started with cystalliid followied by RBC's.Plasma and platelets were not used untill 6+ RBC units transfused, persitent hypotension, abnormal coagulation lab parameters or obvious microvascular bleeding. \n\nHaemorrhagic deaths occur within 2.7 hours of injury + early initiation of MTP critical. It is therefore important that medical personell have access to avaliable physiological and laboratory data within miniutess of trauma arrical to ED to predicit who has severe haemorrhage and who needs MTP/\n\nProblem with much research is that it based on 24 hours and assumes that transfusion is a linear process during this timeframe.\n\n\nTHey used\n\n\nThese charac-teristics included systolic blood pressure (SBP) (e90 mm Hg\nor 990 mm Hg), heart rate (HR) (G120 beats per minute [bpm]\nor Q120 bpm), pH (e7.25 or 97.25), and hemoglobin (e9or 99)\nmeasured at ED admission and collectively called baseline pre-dictors (Z). Detected more people with massive haemorrhage and those who died pre 10 units.", "page" : "S82-8", "publisher-place" : "United States", "title" : "A latent class model for defining severe hemorrhage: experience from the PROMMTT study.", "type" : "article-journal", "volume" : "75" }, "uris" : [ "http://www.mendeley.com/documents/?uuid=c87b74e5-138f-4303-9c31-f23f44e31323" ] } ], "mendeley" : { "formattedCitation" : "&lt;sup&gt;[36]&lt;/sup&gt;", "plainTextFormattedCitation" : "[36]", "previouslyFormattedCitation" : "&lt;sup&gt;[37]&lt;/sup&gt;"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[36]</w:t>
      </w:r>
      <w:r w:rsidR="00884A81" w:rsidRPr="00884A81">
        <w:rPr>
          <w:rFonts w:ascii="Book Antiqua" w:hAnsi="Book Antiqua"/>
        </w:rPr>
        <w:fldChar w:fldCharType="end"/>
      </w:r>
      <w:r w:rsidR="00F009FF" w:rsidRPr="00884A81">
        <w:rPr>
          <w:rFonts w:ascii="Book Antiqua" w:hAnsi="Book Antiqua"/>
        </w:rPr>
        <w:t>.</w:t>
      </w:r>
      <w:r w:rsidR="0092178E" w:rsidRPr="00884A81">
        <w:rPr>
          <w:rFonts w:ascii="Book Antiqua" w:hAnsi="Book Antiqua"/>
        </w:rPr>
        <w:t xml:space="preserve"> </w:t>
      </w:r>
      <w:r w:rsidR="0092178E" w:rsidRPr="00884A81">
        <w:rPr>
          <w:rFonts w:ascii="Book Antiqua" w:hAnsi="Book Antiqua"/>
        </w:rPr>
        <w:lastRenderedPageBreak/>
        <w:t>Haemorrhage</w:t>
      </w:r>
      <w:r w:rsidR="00741B74" w:rsidRPr="00884A81">
        <w:rPr>
          <w:rFonts w:ascii="Book Antiqua" w:hAnsi="Book Antiqua"/>
        </w:rPr>
        <w:t xml:space="preserve"> is major cause of death following major injury in patients surviving to hospital admission with the highest incidence 1 to 3 h following admission</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"10.1097/TA.0b013e3182983876", "ISBN" : "2163-0763 (Electronic)", "ISSN" : "2163-0763", "PMID" : "23778505", "author" : [ { "dropping-particle" : "", "family" : "Holcomb", "given" : "John B", "non-dropping-particle" : "", "parse-names" : false, "suffix" : "" }, { "dropping-particle" : "", "family" : "Fox", "given" : "Erin E", "non-dropping-particle" : "", "parse-names" : false, "suffix" : "" }, { "dropping-particle" : "", "family" : "Wade", "given" : "Charles E", "non-dropping-particle" : "", "parse-names" : false, "suffix" : "" }, { "dropping-particle" : "", "family" : "PROMMTT Study Group", "given" : "", "non-dropping-particle" : "", "parse-names" : false, "suffix" : "" } ], "container-title" : "The journal of trauma and acute care surgery", "id" : "ITEM-1", "issue" : "1 Suppl 1", "issued" : { "date-parts" : [ [ "2013", "7" ] ] }, "note" : "enrollled 1245 adult trauma patient who recieved at least 1 unit of RBC's within 6 hours of admission among 10 nationwide level 1 trauma centres.\n\nResults\n1. Median time to haemorrhagic death was 2.6 hours\n2.Increased plasma: RBC ratios were associated with improved early outcomes.\n3. Rapidly bleeding patients do not recieve plasma and especially platelets for up to 3 hours after admission.\n\nInitally thought that RBC, plasma and platelets transfused in uniform ratio throughout resuscitation. \nFound to be false. Few patients recieved balanced infusion of products in any consistent ratio. Clinical practice varied among the 10 level 1 trauma centres.\nDemonstrated that prospective studies on bleeding trauma patients feasible. \nData used to inform PROPPRR trial.\nStudy design was lead from small observational studies in military, then large mulitcentre reteroscptive study then PROMMTT.", "page" : "S1-2", "title" : "The PRospective Observational Multicenter Major Trauma Transfusion (PROMMTT) study.", "type" : "article-journal", "volume" : "75" }, "uris" : [ "http://www.mendeley.com/documents/?uuid=f7b833fe-4a83-4e12-878a-63f48b5ec0d7" ] } ], "mendeley" : { "formattedCitation" : "&lt;sup&gt;[37]&lt;/sup&gt;", "plainTextFormattedCitation" : "[37]", "previouslyFormattedCitation" : "&lt;sup&gt;[38]&lt;/sup&gt;"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[37]</w:t>
      </w:r>
      <w:r w:rsidR="00884A81" w:rsidRPr="00884A81">
        <w:rPr>
          <w:rFonts w:ascii="Book Antiqua" w:hAnsi="Book Antiqua"/>
        </w:rPr>
        <w:fldChar w:fldCharType="end"/>
      </w:r>
      <w:r w:rsidR="00741B74" w:rsidRPr="00884A81">
        <w:rPr>
          <w:rFonts w:ascii="Book Antiqua" w:hAnsi="Book Antiqua"/>
        </w:rPr>
        <w:t xml:space="preserve">. </w:t>
      </w:r>
      <w:r w:rsidR="0092178E" w:rsidRPr="00884A81">
        <w:rPr>
          <w:rFonts w:ascii="Book Antiqua" w:hAnsi="Book Antiqua"/>
        </w:rPr>
        <w:t>To address this researchers in trauma suggested more dynamic definitions of massive transfusion including 4 red cell concentrates within one hour with likely on-going need</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"10.1007/s12630-012-9795-4", "ISSN" : "1496-8975", "PMID" : "23076727", "abstract" : "PURPOSE Massive transfusion has recently been given a dynamic definition, namely, the replacement of more than four red cell concentrates within an hour. The purpose of this continuing professional development module is to review the pathophysiology of hemorrhagic shock in the trauma patient and the current management strategies of the massively bleeding trauma patient. PRINCIPAL FINDINGS The massively bleeding trauma patient requires concurrent hemorrhage control and blood replacement therapy. Although there are many complications of massive transfusions, such as acid-base disturbances, electrolyte abnormalities, and hypothermia, perhaps the most difficult aspect to manage is acute trauma coagulopathy. Historically, coagulopathy was attributed to dilution of coagulation factors; however, recent accumulated evidence indicates that it is a multifactorial process associated with hypoperfusion, factor consumption, and hyperfibrinolysis. In an attempt to minimize acute trauma coagulopathy, massive transfusion protocols with equal ratios of red cell concentrates, frozen plasma, and platelets have been proposed. This type of hemostatic resuscitation, with near equal ratios of blood and blood products, has improved survival, but it is not without risk. In addition to the rapid and effective restoration of blood volume, the specific goal of transfusion management should be to maintain the patient's oxygen carrying capacity, hemostasis, and biochemistry. CONCLUSION The current literature does not permit firm conclusions to be drawn regarding optimal transfusion ratios. It remains appropriate, however, to devise a massive transfusion protocol at the institutional level that provides treating physicians with rapid delivery of a reasonable initial ratio of products. This would permit patient-centred management with an emphasis on surgical control of bleeding, maintenance of normothermia, avoidance of electrolyte abnormalities, acid-base balance, and the timely delivery of blood products. OBJECTIVES After reading this module, the reader should be able to: 1. Enumerate the complications associated with massive transfusion in the trauma context; 2. Understand how the coagulopathy present in the trauma patient differs from that seen in the elective setting; 3. Identify the modifications suggested by the recent literature for the management of massive transfusion in the trauma setting; 4. Appreciate the evidence for the institution of massive transfusion protocols.", "author" : [ { "dropping-particle" : "", "family" : "Hayter", "given" : "Megan A", "non-dropping-particle" : "", "parse-names" : false, "suffix" : "" }, { "dropping-particle" : "", "family" : "Pavenski", "given" : "Katerina", "non-dropping-particle" : "", "parse-names" : false, "suffix" : "" }, { "dropping-particle" : "", "family" : "Baker", "given" : "James", "non-dropping-particle" : "", "parse-names" : false, "suffix" : "" } ], "container-title" : "Canadian journal of anaesthesia = Journal canadien d'anesthe\u0301sie", "id" : "ITEM-1", "issue" : "12", "issued" : { "date-parts" : [ [ "2012", "12" ] ] }, "note" : "Massive transfusion defined as the replacement of one blood volume in 24 hour period.\n\nMore dynamic definition of massive transfusion include the transfusion of at least four red cell conecntrates within one hour and ongoing need for blood replacement in the foresable future.\n\nRisk of hyperkalaemia in massive transfusion\nEach RBC unit contains 3g citrate which is the maximum amount that healthy liver can metabloize every 5 minutes, can lead to metabolic alkalosis and hypocalcaemia secondary to citrate toxicity. \nHypomagnesemia seconary to infusion mag-poor fluids and citrate binding results inprolongation of QT interval during massive transfusion.\n\nAcidosis exacerbates the coagulopathy beacause platelets change their shape at a pH &amp;lt; 7.4 and thrombin generation inhibted pH &amp;lt; 7.1\nAcidosis exacerabates coagulopathy\n\nHypothermia - trauma patient at risk due to long period of exposure, infusion of unwarmed fluids, opening of body cavities. altered thermoregulatory control.\nConsequences: decreased citrate metabolism, decreased drug clearance, decreased production of clotting factors, platelet dysfuction, alters coagulation cascade enhances fibronolyis. \n\nTranfusion ratios aimed at giving products in ratios equivalent to whole blood.\nSurvivorship major obstacle in the proper interpretation of reterospective assocatations. between trasnfusion ratios and outcome. Suggestion that patients survive because they endure long enough to recieve high ratio transfusion rather than bacuase of it. \n\nMassive trasnfusion protocols provide treating physicans with reasonable and rapid inital ratio of blood products.\n\nProblems with convetional coagulation tests\n1. Blood sampling to results usually 45 mintues\n2. Coagulation tests determined from plasma rather thahn whole blood\n3. No information on platelet function\n4. Time to clot formation provides no information regarding clot strength of subseqent fibronlysis\n\nBlind resuscitation lead to insufficent amounts of plasma and platelts. \nEuropean and Nritish guidleines have included ROTEM and TEG into alogorhythm.", "page" : "1130-45", "publisher" : "Hayter,Megan A. Department of Anesthesiology, St. Michael's Hospital, University of Toronto, Toronto, ON, Canada.", "publisher-place" : "United States", "title" : "Massive transfusion in the trauma patient: Continuing Professional Development.", "type" : "article-journal", "volume" : "59" }, "uris" : [ "http://www.mendeley.com/documents/?uuid=3ac4b66b-7da6-49cd-bbb6-bef149d9ab7b" ] } ], "mendeley" : { "formattedCitation" : "&lt;sup&gt;[38]&lt;/sup&gt;", "plainTextFormattedCitation" : "[38]", "previouslyFormattedCitation" : "&lt;sup&gt;[39]&lt;/sup&gt;"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[38]</w:t>
      </w:r>
      <w:r w:rsidR="00884A81" w:rsidRPr="00884A81">
        <w:rPr>
          <w:rFonts w:ascii="Book Antiqua" w:hAnsi="Book Antiqua"/>
        </w:rPr>
        <w:fldChar w:fldCharType="end"/>
      </w:r>
      <w:r w:rsidR="0092178E" w:rsidRPr="00884A81">
        <w:rPr>
          <w:rFonts w:ascii="Book Antiqua" w:hAnsi="Book Antiqua"/>
        </w:rPr>
        <w:t>, 5-plus units within first four hours of admission</w:t>
      </w:r>
      <w:r w:rsidR="0092178E"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"10.1016/j.injury.2014.01.016", "ISSN" : "1879-0267", "PMID" : "24560872", "abstract" : "INTRODUCTION Older age and blood transfusion have both been independently associated with higher mortality post trauma and the combination is expected to be associated with catastrophic outcomes. Among patients who received a massive transfusion post trauma, we aimed to investigate mortality at hospital discharge of patients \u226565 years old and explore variables associated with poor outcomes. METHODS A retrospective review of registry data on all major trauma patients presenting to a level I trauma centre between 2006 and 2011 was conducted. Mortality at hospital discharge among patients \u226565 years old was compared to the younger cohort. A multivariable logistic regression model was constructed to determine independent risk-factors for mortality among older patients. RESULTS There were 51 (16.4%) patients of age \u226565 years who received a massive transfusion. There were 20 (39.2%) deaths, a proportion significantly higher than 55 (21.1%) deaths among younger patients (p&lt;0.01). Pre-hospital GCS, the presence of acute traumatic coagulopathy and higher systolic blood pressure on presentation were independently associated with higher mortality. Age and volume of red cells transfused were not significantly associated with higher mortality. CONCLUSIONS Survival to hospital discharge was demonstrated in elderly patients receiving massive transfusions post trauma, even in the presence of multiple risk factors for mortality. Restrictive resuscitation or transfusion on the basis of age alone cannot be supported. Early aggressive resuscitation of elderly trauma patients along specific guidelines directed at the geriatric population is justified and may further improve outcomes.", "author" : [ { "dropping-particle" : "", "family" : "Mitra", "given" : "Biswadev", "non-dropping-particle" : "", "parse-names" : false, "suffix" : "" }, { "dropping-particle" : "", "family" : "Olaussen", "given" : "Alexander", "non-dropping-particle" : "", "parse-names" : false, "suffix" : "" }, { "dropping-particle" : "", "family" : "Cameron", "given" : "Peter A", "non-dropping-particle" : "", "parse-names" : false, "suffix" : "" }, { "dropping-particle" : "", "family" : "O'Donohoe", "given" : "Tom", "non-dropping-particle" : "", "parse-names" : false, "suffix" : "" }, { "dropping-particle" : "", "family" : "Fitzgerald", "given" : "Mark", "non-dropping-particle" : "", "parse-names" : false, "suffix" : "" } ], "container-title" : "Injury", "id" : "ITEM-1", "issue" : "9", "issued" : { "date-parts" : [ [ "2014", "9" ] ] }, "note" : "mitraACute complications of masive transfusion\n\nHypothermia\nDilutional coagulopathy\nHypoclacaemia\nHypomagenesaemia\nCitrate toxicty\nLactic acidosis\nAir embolism\n\nTransfusion of over 12 units of red cells post trauma to patients over the age of 75 years has been argused to be futile and the magnitude of adverse events has been the focus of a more restritive trasnfusion policy for older patients.\n\nMassive transfusion defined as 5+ RBC's within first 4 hours from hospital arrival. Tranditional definition 10 units/24 hours not used as excluced those who died in early recieving &amp;lt;10 untis PRBC's\nThey considered loosing half a persons blood volume (approx 5 units of RBC in 7- Kg nale to be substantial haemorrhage.\n\n311/5915 major trauma ptients recieved massive tranfusion.\n\nPresence of ATC on presentation to trauma associated with poor outcomes . Massive trnasfusion protocols are targted to management of ATC, whereas coagulopathy in pre-hospital pahse remains largely untreated,", "page" : "1296-300", "publisher" : "Mitra,Biswadev. Emergency &amp; Trauma Centre, The Alfred Hospital, Australia; Department of Epidemiology &amp; Preventive Medicine, Monash University, Australia; National Trauma Research Institute, The Alfred Hospital, Australia. Electronic address: b.mitra@alfr", "publisher-place" : "Netherlands", "title" : "Massive blood transfusions post trauma in the elderly compared to younger patients.", "type" : "article-journal", "volume" : "45" }, "uris" : [ "http://www.mendeley.com/documents/?uuid=77161146-5c11-4aab-8c51-759b6219457e" ] } ], "mendeley" : { "formattedCitation" : "&lt;sup&gt;[39]&lt;/sup&gt;", "plainTextFormattedCitation" : "[39]", "previouslyFormattedCitation" : "&lt;sup&gt;[40]&lt;/sup&gt;" }, "properties" : { "noteIndex" : 0 }, "schema" : "https://github.com/citation-style-language/schema/raw/master/csl-citation.json" }</w:instrText>
      </w:r>
      <w:r w:rsidR="0092178E" w:rsidRPr="00884A81">
        <w:rPr>
          <w:rFonts w:ascii="Book Antiqua" w:hAnsi="Book Antiqua"/>
        </w:rPr>
        <w:fldChar w:fldCharType="separate"/>
      </w:r>
      <w:r w:rsidR="00217BDC" w:rsidRPr="00884A81">
        <w:rPr>
          <w:rFonts w:ascii="Book Antiqua" w:hAnsi="Book Antiqua"/>
          <w:noProof/>
          <w:vertAlign w:val="superscript"/>
        </w:rPr>
        <w:t>[39]</w:t>
      </w:r>
      <w:r w:rsidR="0092178E" w:rsidRPr="00884A81">
        <w:rPr>
          <w:rFonts w:ascii="Book Antiqua" w:hAnsi="Book Antiqua"/>
        </w:rPr>
        <w:fldChar w:fldCharType="end"/>
      </w:r>
      <w:r w:rsidR="00884A81">
        <w:rPr>
          <w:rFonts w:ascii="Book Antiqua" w:hAnsi="Book Antiqua"/>
        </w:rPr>
        <w:t xml:space="preserve"> or 10 units within 6 h</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"10.1097/TA.0b013e31828fa535", "ISSN" : "2163-0763", "PMID" : "23778506", "abstract" : "BACKGROUND The classic definition of massive transfusion, 10 or more units of red blood cells (RBCs) in 24 hours, has never been demonstrated as a valid surrogate for severe hemorrhage and can introduce survival bias. In addition, the definition fails to capture other products that the clinician may have immediately available, and may use, during the initial resuscitation. Assuming that units of resuscitative fluids reflect patient illness, our objective was to identify a rate of resuscitation intensity (RI) that could serve as an early surrogate of sickness for patients with substantial bleeding after injury. METHODS Adult patients surviving at least 30 minutes after admission and receiving one or more RBCs within 6 hours of admission from 10 US Level 1 trauma centers were enrolled in the PRospective Observational Multicenter Major Trauma Transfusion (PROMMTT) study. Total fluid units were calculated as the sum of the number of crystalloid units (1 L = 1 U), colloids (0.5 L = 1 U), and blood products (1 RBC = 1 U, 1 plasma = 1 U, 6 pack platelets = 1 U). Univariable and multivariable logistic regressions were used to evaluate associations between RI and 6-hour mortality, adjusting for age, center, penetrating injury, weighted Revised Trauma Score (RTS), and Injury Severity Score (ISS). RESULTS A total of 1,096 eligible patients received resuscitative fluids within 30 minutes, including 620 transfused with blood products. Despite varying products used, the total fluid RI was similar across all sites (3.2 \u00b1 2.5 U). Patients who received four or more units of any resuscitative fluid had a 6-hour mortality rate of 14.4% versus 4.5% in patients who received less than 4 U. The adjusted odds ratio of 6-hour mortality for patients receiving 4 U or more within 30 minutes was 2.1 (95% confidence interval, 1.2-3.5). CONCLUSION Resuscitation with four or more units of any fluid was significantly associated with 6-hour mortality. This study suggests that early RI regardless of fluid type can be used as a surrogate for sickness and mortality in severely bleeding patients.", "author" : [ { "dropping-particle" : "", "family" : "Rahbar", "given" : "Elaheh", "non-dropping-particle" : "", "parse-names" : false, "suffix" : "" }, { "dropping-particle" : "", "family" : "Fox", "given" : "Erin E", "non-dropping-particle" : "", "parse-names" : false, "suffix" : "" }, { "dropping-particle" : "", "family" : "Junco", "given" : "Deborah J", "non-dropping-particle" : "del", "parse-names" : false, "suffix" : "" }, { "dropping-particle" : "", "family" : "Harvin", "given" : "John A", "non-dropping-particle" : "", "parse-names" : false, "suffix" : "" }, { "dropping-particle" : "", "family" : "Holcomb", "given" : "John B", "non-dropping-particle" : "", "parse-names" : false, "suffix" : "" }, { "dropping-particle" : "", "family" : "Wade", "given" : "Charles E", "non-dropping-particle" : "", "parse-names" : false, "suffix" : "" }, { "dropping-particle" : "", "family" : "Schreiber", "given" : "Martin A", "non-dropping-particle" : "", "parse-names" : false, "suffix" : "" }, { "dropping-particle" : "", "family" : "Rahbar", "given" : "Mohammad H", "non-dropping-particle" : "", "parse-names" : false, "suffix" : "" }, { "dropping-particle" : "", "family" : "Bulger", "given" : "Eileen M", "non-dropping-particle" : "", "parse-names" : false, "suffix" : "" }, { "dropping-particle" : "", "family" : "Phelan", "given" : "Herb A", "non-dropping-particle" : "", "parse-names" : false, "suffix" : "" }, { "dropping-particle" : "", "family" : "Brasel", "given" : "Karen J", "non-dropping-particle" : "", "parse-names" : false, "suffix" : "" }, { "dropping-particle" : "", "family" : "Alarcon", "given" : "Louis H", "non-dropping-particle" : "", "parse-names" : false, "suffix" : "" }, { "dropping-particle" : "", "family" : "Myers", "given" : "John G", "non-dropping-particle" : "", "parse-names" : false, "suffix" : "" }, { "dropping-particle" : "", "family" : "Cohen", "given" : "Mitchell J", "non-dropping-particle" : "", "parse-names" : false, "suffix" : "" }, { "dropping-particle" : "", "family" : "Muskat", "given" : "Peter", "non-dropping-particle" : "", "parse-names" : false, "suffix" : "" }, { "dropping-particle" : "", "family" : "Cotton", "given" : "Bryan A", "non-dropping-particle" : "", "parse-names" : false, "suffix" : "" }, { "dropping-particle" : "", "family" : "PROMMTT Study Group", "given" : "", "non-dropping-particle" : "", "parse-names" : false, "suffix" : "" } ], "container-title" : "The journal of trauma and acute care surgery", "id" : "ITEM-1", "issue" : "1 Suppl 1", "issued" : { "date-parts" : [ [ "2013", "7" ] ] }, "note" : "The classical definition of MT is\nthe replacement of a patient\u2019s blood volume within a 24-hour period, commonly considered as transfusion of 10 or more.This\ndefinition is based on the approximated blood volume of a 70-kg\nmale and is flawed on multiple levels because it assumes standardized weight, sex, and achievement of hemostasis.\n\n\nof trauma coagulopathy in patients receiving MT highlighted 12 different definitions for MT. In Australia, Mitra et al redefined MT to at least 5 U of RBCs in 4 hours based on a cohort of 387 patients to capture patientswhowere immediate\nMT candidates as well as patients who develop a need for MT later during the course of their surgical and intensive care\nmanagement. Similarly, several investigators have advocated for MT to be redefined as 10 or more units of RBCs in 6hours.\n\n\nResuscitationwith four or more units of any fluidwas significantly associated with 6-hour mortality. This study suggests that early\nRI regardless of fluid type can be used as a surrogate for sickness andmortality in severely bleeding patients.", "page" : "S16-23", "publisher" : "Rahbar,Elaheh. Center for Translational Injury Research, University of Texas Health Science Center at Houston, Houston, Texas, USA.", "publisher-place" : "United States", "title" : "Early resuscitation intensity as a surrogate for bleeding severity and early mortality in the PROMMTT study.", "type" : "article-journal", "volume" : "75" }, "uris" : [ "http://www.mendeley.com/documents/?uuid=6aacce94-4240-417f-9924-17f73ce3cbc5" ] } ], "mendeley" : { "formattedCitation" : "&lt;sup&gt;[35]&lt;/sup&gt;", "plainTextFormattedCitation" : "[35]", "previouslyFormattedCitation" : "&lt;sup&gt;[36]&lt;/sup&gt;"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[35]</w:t>
      </w:r>
      <w:r w:rsidR="00884A81" w:rsidRPr="00884A81">
        <w:rPr>
          <w:rFonts w:ascii="Book Antiqua" w:hAnsi="Book Antiqua"/>
        </w:rPr>
        <w:fldChar w:fldCharType="end"/>
      </w:r>
      <w:r w:rsidR="0092178E" w:rsidRPr="00884A81">
        <w:rPr>
          <w:rFonts w:ascii="Book Antiqua" w:hAnsi="Book Antiqua"/>
        </w:rPr>
        <w:t>. The</w:t>
      </w:r>
      <w:r w:rsidR="00022830" w:rsidRPr="00884A81">
        <w:rPr>
          <w:rFonts w:ascii="Book Antiqua" w:hAnsi="Book Antiqua"/>
        </w:rPr>
        <w:t xml:space="preserve"> PROMPTT trial investiga</w:t>
      </w:r>
      <w:r w:rsidR="0092178E" w:rsidRPr="00884A81">
        <w:rPr>
          <w:rFonts w:ascii="Book Antiqua" w:hAnsi="Book Antiqua"/>
        </w:rPr>
        <w:t xml:space="preserve">tors </w:t>
      </w:r>
      <w:r w:rsidR="00022830" w:rsidRPr="00884A81">
        <w:rPr>
          <w:rFonts w:ascii="Book Antiqua" w:hAnsi="Book Antiqua"/>
        </w:rPr>
        <w:t>suggested two different approa</w:t>
      </w:r>
      <w:r w:rsidR="00884A81">
        <w:rPr>
          <w:rFonts w:ascii="Book Antiqua" w:hAnsi="Book Antiqua"/>
        </w:rPr>
        <w:t xml:space="preserve">ches. Rahbar </w:t>
      </w:r>
      <w:r w:rsidR="00884A81" w:rsidRPr="00884A81">
        <w:rPr>
          <w:rFonts w:ascii="Book Antiqua" w:hAnsi="Book Antiqua"/>
          <w:i/>
        </w:rPr>
        <w:t>et al</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"10.1097/TA.0b013e31828fa535", "ISSN" : "2163-0763", "PMID" : "23778506", "abstract" : "BACKGROUND The classic definition of massive transfusion, 10 or more units of red blood cells (RBCs) in 24 hours, has never been demonstrated as a valid surrogate for severe hemorrhage and can introduce survival bias. In addition, the definition fails to capture other products that the clinician may have immediately available, and may use, during the initial resuscitation. Assuming that units of resuscitative fluids reflect patient illness, our objective was to identify a rate of resuscitation intensity (RI) that could serve as an early surrogate of sickness for patients with substantial bleeding after injury. METHODS Adult patients surviving at least 30 minutes after admission and receiving one or more RBCs within 6 hours of admission from 10 US Level 1 trauma centers were enrolled in the PRospective Observational Multicenter Major Trauma Transfusion (PROMMTT) study. Total fluid units were calculated as the sum of the number of crystalloid units (1 L = 1 U), colloids (0.5 L = 1 U), and blood products (1 RBC = 1 U, 1 plasma = 1 U, 6 pack platelets = 1 U). Univariable and multivariable logistic regressions were used to evaluate associations between RI and 6-hour mortality, adjusting for age, center, penetrating injury, weighted Revised Trauma Score (RTS), and Injury Severity Score (ISS). RESULTS A total of 1,096 eligible patients received resuscitative fluids within 30 minutes, including 620 transfused with blood products. Despite varying products used, the total fluid RI was similar across all sites (3.2 \u00b1 2.5 U). Patients who received four or more units of any resuscitative fluid had a 6-hour mortality rate of 14.4% versus 4.5% in patients who received less than 4 U. The adjusted odds ratio of 6-hour mortality for patients receiving 4 U or more within 30 minutes was 2.1 (95% confidence interval, 1.2-3.5). CONCLUSION Resuscitation with four or more units of any fluid was significantly associated with 6-hour mortality. This study suggests that early RI regardless of fluid type can be used as a surrogate for sickness and mortality in severely bleeding patients.", "author" : [ { "dropping-particle" : "", "family" : "Rahbar", "given" : "Elaheh", "non-dropping-particle" : "", "parse-names" : false, "suffix" : "" }, { "dropping-particle" : "", "family" : "Fox", "given" : "Erin E", "non-dropping-particle" : "", "parse-names" : false, "suffix" : "" }, { "dropping-particle" : "", "family" : "Junco", "given" : "Deborah J", "non-dropping-particle" : "del", "parse-names" : false, "suffix" : "" }, { "dropping-particle" : "", "family" : "Harvin", "given" : "John A", "non-dropping-particle" : "", "parse-names" : false, "suffix" : "" }, { "dropping-particle" : "", "family" : "Holcomb", "given" : "John B", "non-dropping-particle" : "", "parse-names" : false, "suffix" : "" }, { "dropping-particle" : "", "family" : "Wade", "given" : "Charles E", "non-dropping-particle" : "", "parse-names" : false, "suffix" : "" }, { "dropping-particle" : "", "family" : "Schreiber", "given" : "Martin A", "non-dropping-particle" : "", "parse-names" : false, "suffix" : "" }, { "dropping-particle" : "", "family" : "Rahbar", "given" : "Mohammad H", "non-dropping-particle" : "", "parse-names" : false, "suffix" : "" }, { "dropping-particle" : "", "family" : "Bulger", "given" : "Eileen M", "non-dropping-particle" : "", "parse-names" : false, "suffix" : "" }, { "dropping-particle" : "", "family" : "Phelan", "given" : "Herb A", "non-dropping-particle" : "", "parse-names" : false, "suffix" : "" }, { "dropping-particle" : "", "family" : "Brasel", "given" : "Karen J", "non-dropping-particle" : "", "parse-names" : false, "suffix" : "" }, { "dropping-particle" : "", "family" : "Alarcon", "given" : "Louis H", "non-dropping-particle" : "", "parse-names" : false, "suffix" : "" }, { "dropping-particle" : "", "family" : "Myers", "given" : "John G", "non-dropping-particle" : "", "parse-names" : false, "suffix" : "" }, { "dropping-particle" : "", "family" : "Cohen", "given" : "Mitchell J", "non-dropping-particle" : "", "parse-names" : false, "suffix" : "" }, { "dropping-particle" : "", "family" : "Muskat", "given" : "Peter", "non-dropping-particle" : "", "parse-names" : false, "suffix" : "" }, { "dropping-particle" : "", "family" : "Cotton", "given" : "Bryan A", "non-dropping-particle" : "", "parse-names" : false, "suffix" : "" }, { "dropping-particle" : "", "family" : "PROMMTT Study Group", "given" : "", "non-dropping-particle" : "", "parse-names" : false, "suffix" : "" } ], "container-title" : "The journal of trauma and acute care surgery", "id" : "ITEM-1", "issue" : "1 Suppl 1", "issued" : { "date-parts" : [ [ "2013", "7" ] ] }, "note" : "The classical definition of MT is\nthe replacement of a patient\u2019s blood volume within a 24-hour period, commonly considered as transfusion of 10 or more.This\ndefinition is based on the approximated blood volume of a 70-kg\nmale and is flawed on multiple levels because it assumes standardized weight, sex, and achievement of hemostasis.\n\n\nof trauma coagulopathy in patients receiving MT highlighted 12 different definitions for MT. In Australia, Mitra et al redefined MT to at least 5 U of RBCs in 4 hours based on a cohort of 387 patients to capture patientswhowere immediate\nMT candidates as well as patients who develop a need for MT later during the course of their surgical and intensive care\nmanagement. Similarly, several investigators have advocated for MT to be redefined as 10 or more units of RBCs in 6hours.\n\n\nResuscitationwith four or more units of any fluidwas significantly associated with 6-hour mortality. This study suggests that early\nRI regardless of fluid type can be used as a surrogate for sickness andmortality in severely bleeding patients.", "page" : "S16-23", "publisher" : "Rahbar,Elaheh. Center for Translational Injury Research, University of Texas Health Science Center at Houston, Houston, Texas, USA.", "publisher-place" : "United States", "title" : "Early resuscitation intensity as a surrogate for bleeding severity and early mortality in the PROMMTT study.", "type" : "article-journal", "volume" : "75" }, "uris" : [ "http://www.mendeley.com/documents/?uuid=6aacce94-4240-417f-9924-17f73ce3cbc5" ] } ], "mendeley" : { "formattedCitation" : "&lt;sup&gt;[35]&lt;/sup&gt;", "plainTextFormattedCitation" : "[35]", "previouslyFormattedCitation" : "&lt;sup&gt;[36]&lt;/sup&gt;"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[35]</w:t>
      </w:r>
      <w:r w:rsidR="00884A81" w:rsidRPr="00884A81">
        <w:rPr>
          <w:rFonts w:ascii="Book Antiqua" w:hAnsi="Book Antiqua"/>
        </w:rPr>
        <w:fldChar w:fldCharType="end"/>
      </w:r>
      <w:r w:rsidR="00022830" w:rsidRPr="00884A81">
        <w:rPr>
          <w:rFonts w:ascii="Book Antiqua" w:hAnsi="Book Antiqua"/>
        </w:rPr>
        <w:t xml:space="preserve"> demonstrated that resuscitation of four or more units (with 1</w:t>
      </w:r>
      <w:r w:rsidR="00884A81">
        <w:rPr>
          <w:rFonts w:ascii="Book Antiqua" w:eastAsia="宋体" w:hAnsi="Book Antiqua" w:hint="eastAsia"/>
          <w:lang w:eastAsia="zh-CN"/>
        </w:rPr>
        <w:t xml:space="preserve"> </w:t>
      </w:r>
      <w:r w:rsidR="00022830" w:rsidRPr="00884A81">
        <w:rPr>
          <w:rFonts w:ascii="Book Antiqua" w:hAnsi="Book Antiqua"/>
        </w:rPr>
        <w:t>L crystalloid classed as 1 unit) of fluid within the first 30</w:t>
      </w:r>
      <w:r w:rsidR="00F004B5" w:rsidRPr="00884A81">
        <w:rPr>
          <w:rFonts w:ascii="Book Antiqua" w:hAnsi="Book Antiqua"/>
        </w:rPr>
        <w:t xml:space="preserve"> min of admission for </w:t>
      </w:r>
      <w:r w:rsidR="00022830" w:rsidRPr="00884A81">
        <w:rPr>
          <w:rFonts w:ascii="Book Antiqua" w:hAnsi="Book Antiqua"/>
        </w:rPr>
        <w:t xml:space="preserve">trauma was significantly associated with 6-h mortality </w:t>
      </w:r>
      <w:r w:rsidR="00F004B5" w:rsidRPr="00884A81">
        <w:rPr>
          <w:rFonts w:ascii="Book Antiqua" w:hAnsi="Book Antiqua"/>
        </w:rPr>
        <w:t>was a</w:t>
      </w:r>
      <w:r w:rsidR="00022830" w:rsidRPr="00884A81">
        <w:rPr>
          <w:rFonts w:ascii="Book Antiqua" w:hAnsi="Book Antiqua"/>
        </w:rPr>
        <w:t xml:space="preserve"> surrogate for sickness in severely bleeding patients.</w:t>
      </w:r>
      <w:r w:rsidR="00884A81">
        <w:rPr>
          <w:rFonts w:ascii="Book Antiqua" w:hAnsi="Book Antiqua"/>
        </w:rPr>
        <w:t xml:space="preserve"> Alternatively Rahbar </w:t>
      </w:r>
      <w:r w:rsidR="00884A81" w:rsidRPr="00884A81">
        <w:rPr>
          <w:rFonts w:ascii="Book Antiqua" w:hAnsi="Book Antiqua"/>
          <w:i/>
        </w:rPr>
        <w:t>et al</w:t>
      </w:r>
      <w:r w:rsidR="00884A81" w:rsidRPr="00884A81">
        <w:rPr>
          <w:rFonts w:ascii="Book Antiqua" w:hAnsi="Book Antiqua"/>
        </w:rPr>
        <w:fldChar w:fldCharType="begin" w:fldLock="1"/>
      </w:r>
      <w:r w:rsidR="00884A81" w:rsidRPr="00884A81">
        <w:rPr>
          <w:rFonts w:ascii="Book Antiqua" w:hAnsi="Book Antiqua"/>
        </w:rPr>
        <w:instrText>ADDIN CSL_CITATION { "citationItems" : [ { "id" : "ITEM-1", "itemData" : { "DOI" : "10.1097/TA.0b013e31828fa3d3", "ISSN" : "2163-0763", "PMID" : "23778516", "abstract" : "BACKGROUND Several predictive models have been developed to identify trauma patients who have had severe hemorrhage (SH) and may need a massive transfusion (MT) protocol. However, almost all these models define SH as the transfusion of 10 or more units of red blood cells (RBCs) within 24 hours of emergency department admission (also known as MT). This definition excludes some patients with SH, especially those who die before a 10th unit of RBCs could be transfused, which calls the validity of these prediction models into question. We show how a latent class model could improve the accuracy of identifying the SH patients. METHODS Modeling SH classification as a latent variable, we estimate the posterior probability of a patient in SH based on emergency department admission variables (systolic blood pressure, heart rate, pH, hemoglobin), the 24-hour blood product use (plasma/RBC and platelet/RBC ratios), and 24-hour survival status. We define the SH subgroup as those having a posterior probability of 0.5 or greater. We compare our new classification of SH with that of the traditional MT using data from PROMMTT study. RESULTS Of the 1,245 patients, 913 had complete data, which were used in the latent class model. About 25.3% of patients were classified as SH. The overall agreement between the MT and SH classifications was 83.8%. However, among 49 patients who died before receiving the 10th unit of RBCs, 41 (84%) were classified as SH. Seven (87.5%) of the remaining eight patients who were not classified as SH had head injury. CONCLUSION Our definition of SH based on the aforementioned latent class model has an advantage of improving on the traditional MT definition by identifying SH patients who die before receiving the 10th unit of RBCs. We recommend further improvements to more accurately classify SH patients, which could replace the traditional definition of MT for use in developing prediction algorithms.", "author" : [ { "dropping-particle" : "", "family" : "Rahbar", "given" : "Mohammad H", "non-dropping-particle" : "", "parse-names" : false, "suffix" : "" }, { "dropping-particle" : "", "family" : "Junco", "given" : "Deborah J", "non-dropping-particle" : "del", "parse-names" : false, "suffix" : "" }, { "dropping-particle" : "", "family" : "Huang", "given" : "Hanwen", "non-dropping-particle" : "", "parse-names" : false, "suffix" : "" }, { "dropping-particle" : "", "family" : "Ning", "given" : "Jing", "non-dropping-particle" : "", "parse-names" : false, "suffix" : "" }, { "dropping-particle" : "", "family" : "Fox", "given" : "Erin E", "non-dropping-particle" : "", "parse-names" : false, "suffix" : "" }, { "dropping-particle" : "", "family" : "Zhang", "given" : "Xuan", "non-dropping-particle" : "", "parse-names" : false, "suffix" : "" }, { "dropping-particle" : "", "family" : "Schreiber", "given" : "Martin A", "non-dropping-particle" : "", "parse-names" : false, "suffix" : "" }, { "dropping-particle" : "", "family" : "Brasel", "given" : "Karen J", "non-dropping-particle" : "", "parse-names" : false, "suffix" : "" }, { "dropping-particle" : "", "family" : "Bulger", "given" : "Eileen M", "non-dropping-particle" : "", "parse-names" : false, "suffix" : "" }, { "dropping-particle" : "", "family" : "Wade", "given" : "Charles E", "non-dropping-particle" : "", "parse-names" : false, "suffix" : "" }, { "dropping-particle" : "", "family" : "Cotton", "given" : "Bryan A", "non-dropping-particle" : "", "parse-names" : false, "suffix" : "" }, { "dropping-particle" : "", "family" : "Phelan", "given" : "Herb A", "non-dropping-particle" : "", "parse-names" : false, "suffix" : "" }, { "dropping-particle" : "", "family" : "Cohen", "given" : "Mitchell J", "non-dropping-particle" : "", "parse-names" : false, "suffix" : "" }, { "dropping-particle" : "", "family" : "Myers", "given" : "John G", "non-dropping-particle" : "", "parse-names" : false, "suffix" : "" }, { "dropping-particle" : "", "family" : "Alarcon", "given" : "Louis H", "non-dropping-particle" : "", "parse-names" : false, "suffix" : "" }, { "dropping-particle" : "", "family" : "Muskat", "given" : "Peter", "non-dropping-particle" : "", "parse-names" : false, "suffix" : "" }, { "dropping-particle" : "", "family" : "Holcomb", "given" : "John B", "non-dropping-particle" : "", "parse-names" : false, "suffix" : "" }, { "dropping-particle" : "", "family" : "PROMMTT Study Group", "given" : "", "non-dropping-particle" : "", "parse-names" : false, "suffix" : "" } ], "container-title" : "The journal of trauma and acute care surgery", "id" : "ITEM-1", "issue" : "1 Suppl 1", "issued" : { "date-parts" : [ [ "2013", "7" ] ] }, "language" : "eng", "note" : "Prediction models of MH and activation of MTP based on definition of MH of &amp;gt;10 units/24 hours. Issues with this definition.\n- ignores variability in patients condition\n- ignores variabilty in institions transfusion stratergies.\n-Excludes patients who died before 10th unit. \n\nDue to potential impact on patient survival rates early prediction of patients in need of MT and optimal blood transfusion ratios have attracted attention.\n\nInital MT protocols started with cystalliid followied by RBC's.Plasma and platelets were not used untill 6+ RBC units transfused, persitent hypotension, abnormal coagulation lab parameters or obvious microvascular bleeding. \n\nHaemorrhagic deaths occur within 2.7 hours of injury + early initiation of MTP critical. It is therefore important that medical personell have access to avaliable physiological and laboratory data within miniutess of trauma arrical to ED to predicit who has severe haemorrhage and who needs MTP/\n\nProblem with much research is that it based on 24 hours and assumes that transfusion is a linear process during this timeframe.\n\n\nTHey used\n\n\nThese charac-teristics included systolic blood pressure (SBP) (e90 mm Hg\nor 990 mm Hg), heart rate (HR) (G120 beats per minute [bpm]\nor Q120 bpm), pH (e7.25 or 97.25), and hemoglobin (e9or 99)\nmeasured at ED admission and collectively called baseline pre-dictors (Z). Detected more people with massive haemorrhage and those who died pre 10 units.", "page" : "S82-8", "publisher-place" : "United States", "title" : "A latent class model for defining severe hemorrhage: experience from the PROMMTT study.", "type" : "article-journal", "volume" : "75" }, "uris" : [ "http://www.mendeley.com/documents/?uuid=c87b74e5-138f-4303-9c31-f23f44e31323" ] } ], "mendeley" : { "formattedCitation" : "&lt;sup&gt;[36]&lt;/sup&gt;", "plainTextFormattedCitation" : "[36]", "previouslyFormattedCitation" : "&lt;sup&gt;[37]&lt;/sup&gt;" }, "properties" : { "noteIndex" : 0 }, "schema" : "https://github.com/citation-style-language/schema/raw/master/csl-citation.json" }</w:instrText>
      </w:r>
      <w:r w:rsidR="00884A81" w:rsidRPr="00884A81">
        <w:rPr>
          <w:rFonts w:ascii="Book Antiqua" w:hAnsi="Book Antiqua"/>
        </w:rPr>
        <w:fldChar w:fldCharType="separate"/>
      </w:r>
      <w:r w:rsidR="00884A81" w:rsidRPr="00884A81">
        <w:rPr>
          <w:rFonts w:ascii="Book Antiqua" w:hAnsi="Book Antiqua"/>
          <w:noProof/>
          <w:vertAlign w:val="superscript"/>
        </w:rPr>
        <w:t>[36]</w:t>
      </w:r>
      <w:r w:rsidR="00884A81" w:rsidRPr="00884A81">
        <w:rPr>
          <w:rFonts w:ascii="Book Antiqua" w:hAnsi="Book Antiqua"/>
        </w:rPr>
        <w:fldChar w:fldCharType="end"/>
      </w:r>
      <w:r w:rsidR="00F004B5" w:rsidRPr="00884A81">
        <w:rPr>
          <w:rFonts w:ascii="Book Antiqua" w:hAnsi="Book Antiqua"/>
        </w:rPr>
        <w:t xml:space="preserve"> </w:t>
      </w:r>
      <w:r w:rsidR="00960D32" w:rsidRPr="00884A81">
        <w:rPr>
          <w:rFonts w:ascii="Book Antiqua" w:hAnsi="Book Antiqua"/>
        </w:rPr>
        <w:t xml:space="preserve">using </w:t>
      </w:r>
      <w:r w:rsidR="00F004B5" w:rsidRPr="00884A81">
        <w:rPr>
          <w:rFonts w:ascii="Book Antiqua" w:hAnsi="Book Antiqua"/>
        </w:rPr>
        <w:t>baseline admission characteristics (systolic blood pressure &lt;</w:t>
      </w:r>
      <w:r w:rsidR="00884A81">
        <w:rPr>
          <w:rFonts w:ascii="Book Antiqua" w:eastAsia="宋体" w:hAnsi="Book Antiqua" w:hint="eastAsia"/>
          <w:lang w:eastAsia="zh-CN"/>
        </w:rPr>
        <w:t xml:space="preserve"> </w:t>
      </w:r>
      <w:r w:rsidR="00F004B5" w:rsidRPr="00884A81">
        <w:rPr>
          <w:rFonts w:ascii="Book Antiqua" w:hAnsi="Book Antiqua"/>
        </w:rPr>
        <w:t>90</w:t>
      </w:r>
      <w:r w:rsidR="00884A81">
        <w:rPr>
          <w:rFonts w:ascii="Book Antiqua" w:eastAsia="宋体" w:hAnsi="Book Antiqua" w:hint="eastAsia"/>
          <w:lang w:eastAsia="zh-CN"/>
        </w:rPr>
        <w:t xml:space="preserve"> </w:t>
      </w:r>
      <w:r w:rsidR="00F004B5" w:rsidRPr="00884A81">
        <w:rPr>
          <w:rFonts w:ascii="Book Antiqua" w:hAnsi="Book Antiqua"/>
        </w:rPr>
        <w:t>mmHg, HR &gt; 120</w:t>
      </w:r>
      <w:r w:rsidR="00884A81">
        <w:rPr>
          <w:rFonts w:ascii="Book Antiqua" w:eastAsia="宋体" w:hAnsi="Book Antiqua" w:hint="eastAsia"/>
          <w:lang w:eastAsia="zh-CN"/>
        </w:rPr>
        <w:t xml:space="preserve"> </w:t>
      </w:r>
      <w:r w:rsidR="00F004B5" w:rsidRPr="00884A81">
        <w:rPr>
          <w:rFonts w:ascii="Book Antiqua" w:hAnsi="Book Antiqua"/>
        </w:rPr>
        <w:t>bpm, pH &lt;</w:t>
      </w:r>
      <w:r w:rsidR="00884A81">
        <w:rPr>
          <w:rFonts w:ascii="Book Antiqua" w:eastAsia="宋体" w:hAnsi="Book Antiqua" w:hint="eastAsia"/>
          <w:lang w:eastAsia="zh-CN"/>
        </w:rPr>
        <w:t xml:space="preserve"> </w:t>
      </w:r>
      <w:r w:rsidR="00F004B5" w:rsidRPr="00884A81">
        <w:rPr>
          <w:rFonts w:ascii="Book Antiqua" w:hAnsi="Book Antiqua"/>
        </w:rPr>
        <w:t xml:space="preserve">7.25 and Hb &lt; 9) were </w:t>
      </w:r>
      <w:r w:rsidR="00960D32" w:rsidRPr="00884A81">
        <w:rPr>
          <w:rFonts w:ascii="Book Antiqua" w:hAnsi="Book Antiqua"/>
        </w:rPr>
        <w:t xml:space="preserve">able to develop a latent class model for those at risk of severe haemorrhage and in need a </w:t>
      </w:r>
      <w:r w:rsidR="004C4F3B">
        <w:rPr>
          <w:rFonts w:ascii="Book Antiqua" w:hAnsi="Book Antiqua"/>
        </w:rPr>
        <w:t>massive transfusion protocol</w:t>
      </w:r>
      <w:r w:rsidR="004C4F3B" w:rsidRPr="00884A81">
        <w:rPr>
          <w:rFonts w:ascii="Book Antiqua" w:hAnsi="Book Antiqua"/>
        </w:rPr>
        <w:t xml:space="preserve"> (MTP)</w:t>
      </w:r>
      <w:r w:rsidR="00960D32" w:rsidRPr="00884A81">
        <w:rPr>
          <w:rFonts w:ascii="Book Antiqua" w:hAnsi="Book Antiqua"/>
        </w:rPr>
        <w:t xml:space="preserve">. </w:t>
      </w:r>
      <w:r w:rsidR="00D77247" w:rsidRPr="00884A81">
        <w:rPr>
          <w:rFonts w:ascii="Book Antiqua" w:hAnsi="Book Antiqua"/>
        </w:rPr>
        <w:t>The British Committee for Standards in Haematology have suggested a similar dynamic definition of “bleeding which leads to a heart rate of more than 110 beats/min and/or systolic blood pressure less than 90 mmHg”</w:t>
      </w:r>
      <w:r w:rsidR="00D77247"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"10.1111/bjh.13580", "ISSN" : "1365-2141", "PMID" : "26147359", "author" : [ { "dropping-particle" : "", "family" : "Hunt", "given" : "Beverley J", "non-dropping-particle" : "", "parse-names" : false, "suffix" : "" }, { "dropping-particle" : "", "family" : "Allard", "given" : "Shubha", "non-dropping-particle" : "", "parse-names" : false, "suffix" : "" }, { "dropping-particle" : "", "family" : "Keeling", "given" : "David", "non-dropping-particle" : "", "parse-names" : false, "suffix" : "" }, { "dropping-particle" : "", "family" : "Norfolk", "given" : "Derek", "non-dropping-particle" : "", "parse-names" : false, "suffix" : "" }, { "dropping-particle" : "", "family" : "Stanworth", "given" : "Simon J", "non-dropping-particle" : "", "parse-names" : false, "suffix" : "" }, { "dropping-particle" : "", "family" : "Pendry", "given" : "Kate", "non-dropping-particle" : "", "parse-names" : false, "suffix" : "" }, { "dropping-particle" : "", "family" : "British Committee for Standards in Haematology", "given" : "", "non-dropping-particle" : "", "parse-names" : false, "suffix" : "" } ], "container-title" : "British journal of haematology", "id" : "ITEM-1", "issue" : "6", "issued" : { "date-parts" : [ [ "2015", "9", "6" ] ] }, "page" : "788-803", "title" : "A practical guideline for the haematological management of major haemorrhage.", "type" : "article-journal", "volume" : "170" }, "uris" : [ "http://www.mendeley.com/documents/?uuid=7778f0dc-e602-4340-a99f-3d8fd135ab50", "http://www.mendeley.com/documents/?uuid=7e7a3634-a9fa-4f21-846e-660f1c2df60f" ] } ], "mendeley" : { "formattedCitation" : "&lt;sup&gt;[40]&lt;/sup&gt;", "plainTextFormattedCitation" : "[40]", "previouslyFormattedCitation" : "&lt;sup&gt;[41]&lt;/sup&gt;" }, "properties" : { "noteIndex" : 0 }, "schema" : "https://github.com/citation-style-language/schema/raw/master/csl-citation.json" }</w:instrText>
      </w:r>
      <w:r w:rsidR="00D77247" w:rsidRPr="00884A81">
        <w:rPr>
          <w:rFonts w:ascii="Book Antiqua" w:hAnsi="Book Antiqua"/>
        </w:rPr>
        <w:fldChar w:fldCharType="separate"/>
      </w:r>
      <w:r w:rsidR="00217BDC" w:rsidRPr="00884A81">
        <w:rPr>
          <w:rFonts w:ascii="Book Antiqua" w:hAnsi="Book Antiqua"/>
          <w:noProof/>
          <w:vertAlign w:val="superscript"/>
        </w:rPr>
        <w:t>[40]</w:t>
      </w:r>
      <w:r w:rsidR="00D77247" w:rsidRPr="00884A81">
        <w:rPr>
          <w:rFonts w:ascii="Book Antiqua" w:hAnsi="Book Antiqua"/>
        </w:rPr>
        <w:fldChar w:fldCharType="end"/>
      </w:r>
      <w:r w:rsidR="00D77247" w:rsidRPr="00884A81">
        <w:rPr>
          <w:rFonts w:ascii="Book Antiqua" w:hAnsi="Book Antiqua"/>
        </w:rPr>
        <w:t xml:space="preserve"> in their most recent guidelines.</w:t>
      </w:r>
    </w:p>
    <w:p w14:paraId="7B035A7A" w14:textId="0F4AFCC7" w:rsidR="00960D32" w:rsidRPr="00884A81" w:rsidRDefault="00B24DD4" w:rsidP="00884A81">
      <w:pPr>
        <w:spacing w:line="360" w:lineRule="auto"/>
        <w:ind w:firstLineChars="100" w:firstLine="240"/>
        <w:jc w:val="both"/>
        <w:rPr>
          <w:rFonts w:ascii="Book Antiqua" w:hAnsi="Book Antiqua"/>
        </w:rPr>
      </w:pPr>
      <w:r w:rsidRPr="00884A81">
        <w:rPr>
          <w:rFonts w:ascii="Book Antiqua" w:hAnsi="Book Antiqua"/>
        </w:rPr>
        <w:t xml:space="preserve">In </w:t>
      </w:r>
      <w:r w:rsidR="00884A81" w:rsidRPr="00884A81">
        <w:rPr>
          <w:rFonts w:ascii="Book Antiqua" w:hAnsi="Book Antiqua"/>
        </w:rPr>
        <w:t>o</w:t>
      </w:r>
      <w:r w:rsidRPr="00884A81">
        <w:rPr>
          <w:rFonts w:ascii="Book Antiqua" w:hAnsi="Book Antiqua"/>
        </w:rPr>
        <w:t>bstetrics massive haemorrhage remains an important cause of morbidity and mortality with 13 death per 100000 maternities in the U</w:t>
      </w:r>
      <w:r w:rsidR="00884A81">
        <w:rPr>
          <w:rFonts w:ascii="Book Antiqua" w:eastAsia="宋体" w:hAnsi="Book Antiqua" w:hint="eastAsia"/>
          <w:lang w:eastAsia="zh-CN"/>
        </w:rPr>
        <w:t xml:space="preserve">nited </w:t>
      </w:r>
      <w:r w:rsidRPr="00884A81">
        <w:rPr>
          <w:rFonts w:ascii="Book Antiqua" w:hAnsi="Book Antiqua"/>
        </w:rPr>
        <w:t>K</w:t>
      </w:r>
      <w:r w:rsidR="00884A81">
        <w:rPr>
          <w:rFonts w:ascii="Book Antiqua" w:eastAsia="宋体" w:hAnsi="Book Antiqua" w:hint="eastAsia"/>
          <w:lang w:eastAsia="zh-CN"/>
        </w:rPr>
        <w:t>ingdom</w:t>
      </w:r>
      <w:r w:rsidRPr="00884A81">
        <w:rPr>
          <w:rFonts w:ascii="Book Antiqua" w:hAnsi="Book Antiqua"/>
        </w:rPr>
        <w:t xml:space="preserve"> reported in the most recent conf</w:t>
      </w:r>
      <w:r w:rsidR="000749ED" w:rsidRPr="00884A81">
        <w:rPr>
          <w:rFonts w:ascii="Book Antiqua" w:hAnsi="Book Antiqua"/>
        </w:rPr>
        <w:t xml:space="preserve">idential enquiry into Maternal </w:t>
      </w:r>
      <w:r w:rsidRPr="00884A81">
        <w:rPr>
          <w:rFonts w:ascii="Book Antiqua" w:hAnsi="Book Antiqua"/>
        </w:rPr>
        <w:t>Deaths.</w:t>
      </w:r>
      <w:r w:rsidR="000749ED" w:rsidRPr="00884A81">
        <w:rPr>
          <w:rFonts w:ascii="Book Antiqua" w:hAnsi="Book Antiqua"/>
        </w:rPr>
        <w:t xml:space="preserve"> Post-partum haemorrhage is defined as more than 500</w:t>
      </w:r>
      <w:r w:rsidR="00D400D4" w:rsidRPr="00884A81">
        <w:rPr>
          <w:rFonts w:ascii="Book Antiqua" w:hAnsi="Book Antiqua"/>
        </w:rPr>
        <w:t xml:space="preserve"> </w:t>
      </w:r>
      <w:r w:rsidR="000749ED" w:rsidRPr="00884A81">
        <w:rPr>
          <w:rFonts w:ascii="Book Antiqua" w:hAnsi="Book Antiqua"/>
        </w:rPr>
        <w:t>m</w:t>
      </w:r>
      <w:r w:rsidR="00606A2B" w:rsidRPr="00884A81">
        <w:rPr>
          <w:rFonts w:ascii="Book Antiqua" w:hAnsi="Book Antiqua"/>
        </w:rPr>
        <w:t>L</w:t>
      </w:r>
      <w:r w:rsidR="000749ED" w:rsidRPr="00884A81">
        <w:rPr>
          <w:rFonts w:ascii="Book Antiqua" w:hAnsi="Book Antiqua"/>
        </w:rPr>
        <w:t xml:space="preserve"> from the genital tract within 24 h of birth and subdivided into minor (500-1000</w:t>
      </w:r>
      <w:r w:rsidR="00606A2B">
        <w:rPr>
          <w:rFonts w:ascii="Book Antiqua" w:eastAsia="宋体" w:hAnsi="Book Antiqua" w:hint="eastAsia"/>
          <w:lang w:eastAsia="zh-CN"/>
        </w:rPr>
        <w:t xml:space="preserve"> </w:t>
      </w:r>
      <w:r w:rsidR="000749ED" w:rsidRPr="00884A81">
        <w:rPr>
          <w:rFonts w:ascii="Book Antiqua" w:hAnsi="Book Antiqua"/>
        </w:rPr>
        <w:t>m</w:t>
      </w:r>
      <w:r w:rsidR="00606A2B" w:rsidRPr="00884A81">
        <w:rPr>
          <w:rFonts w:ascii="Book Antiqua" w:hAnsi="Book Antiqua"/>
        </w:rPr>
        <w:t>L</w:t>
      </w:r>
      <w:r w:rsidR="000749ED" w:rsidRPr="00884A81">
        <w:rPr>
          <w:rFonts w:ascii="Book Antiqua" w:hAnsi="Book Antiqua"/>
        </w:rPr>
        <w:t>), moderate (1000-2000</w:t>
      </w:r>
      <w:r w:rsidR="00606A2B">
        <w:rPr>
          <w:rFonts w:ascii="Book Antiqua" w:eastAsia="宋体" w:hAnsi="Book Antiqua" w:hint="eastAsia"/>
          <w:lang w:eastAsia="zh-CN"/>
        </w:rPr>
        <w:t xml:space="preserve"> </w:t>
      </w:r>
      <w:r w:rsidR="000749ED" w:rsidRPr="00884A81">
        <w:rPr>
          <w:rFonts w:ascii="Book Antiqua" w:hAnsi="Book Antiqua"/>
        </w:rPr>
        <w:t>m</w:t>
      </w:r>
      <w:r w:rsidR="00606A2B" w:rsidRPr="00884A81">
        <w:rPr>
          <w:rFonts w:ascii="Book Antiqua" w:hAnsi="Book Antiqua"/>
        </w:rPr>
        <w:t>L</w:t>
      </w:r>
      <w:r w:rsidR="000749ED" w:rsidRPr="00884A81">
        <w:rPr>
          <w:rFonts w:ascii="Book Antiqua" w:hAnsi="Book Antiqua"/>
        </w:rPr>
        <w:t>) and severe (&gt;</w:t>
      </w:r>
      <w:r w:rsidR="00606A2B">
        <w:rPr>
          <w:rFonts w:ascii="Book Antiqua" w:eastAsia="宋体" w:hAnsi="Book Antiqua" w:hint="eastAsia"/>
          <w:lang w:eastAsia="zh-CN"/>
        </w:rPr>
        <w:t xml:space="preserve"> </w:t>
      </w:r>
      <w:r w:rsidR="000749ED" w:rsidRPr="00884A81">
        <w:rPr>
          <w:rFonts w:ascii="Book Antiqua" w:hAnsi="Book Antiqua"/>
        </w:rPr>
        <w:t>2000</w:t>
      </w:r>
      <w:r w:rsidR="00606A2B">
        <w:rPr>
          <w:rFonts w:ascii="Book Antiqua" w:eastAsia="宋体" w:hAnsi="Book Antiqua" w:hint="eastAsia"/>
          <w:lang w:eastAsia="zh-CN"/>
        </w:rPr>
        <w:t xml:space="preserve"> </w:t>
      </w:r>
      <w:r w:rsidR="000749ED" w:rsidRPr="00884A81">
        <w:rPr>
          <w:rFonts w:ascii="Book Antiqua" w:hAnsi="Book Antiqua"/>
        </w:rPr>
        <w:t>m</w:t>
      </w:r>
      <w:r w:rsidR="00606A2B" w:rsidRPr="00884A81">
        <w:rPr>
          <w:rFonts w:ascii="Book Antiqua" w:hAnsi="Book Antiqua"/>
        </w:rPr>
        <w:t>L</w:t>
      </w:r>
      <w:r w:rsidR="000749ED" w:rsidRPr="00884A81">
        <w:rPr>
          <w:rFonts w:ascii="Book Antiqua" w:hAnsi="Book Antiqua"/>
        </w:rPr>
        <w:t>)</w:t>
      </w:r>
      <w:r w:rsidR="00606A2B" w:rsidRPr="00884A81">
        <w:rPr>
          <w:rFonts w:ascii="Book Antiqua" w:hAnsi="Book Antiqua"/>
        </w:rPr>
        <w:fldChar w:fldCharType="begin" w:fldLock="1"/>
      </w:r>
      <w:r w:rsidR="00606A2B" w:rsidRPr="00884A81">
        <w:rPr>
          <w:rFonts w:ascii="Book Antiqua" w:hAnsi="Book Antiqua"/>
        </w:rPr>
        <w:instrText>ADDIN CSL_CITATION { "citationItems" : [ { "id" : "ITEM-1", "itemData" : { "abstract" : "Primary postpartum haemorrhage (PPH) is the most common form of major obstetric haemorrhage.The traditional definition of primary PPH is the loss of 500 ml or more of blood from the genital tract within 24 hours of the birth of a baby.1 PPH can be minor (500-100ml) or major (mor than 1000m). Major could be divided to moderate (1000\u20132000 ml) or severe (more than 2000 ml). The recommendations in this guideline apply to women experiencing primary PPH of 500 ml or more. Secondary PPH is defined as abnormal or excessive bleeding from the birth canal between 24 hours and 12 weeks postnatally.2 This guideline also includes recommendations specific to the management of major secondary PPH.Women with pre-existing bleeding disorders such as haemophilia and women taking therapeutic anticoagulants are at increased risk of PPH; this guideline does not include specific recommendations for the management of such situations,nor for managing haemorrhage in women who refuse blood transfusion.Guidance on these topics is available from other sources.3\u20136 The guideline has been developed primarily for clinicians working in consultant-led obstetric units in the UK; recommendations may be less appropriate for other settings where facilities, resources and routine practice differ.", "author" : [ { "dropping-particle" : "", "family" : "RCOG", "given" : "", "non-dropping-particle" : "", "parse-names" : false, "suffix" : "" }, { "dropping-particle" : "", "family" : "Royal College of Obstetricians and Gynaecologists", "given" : "", "non-dropping-particle" : "", "parse-names" : false, "suffix" : "" } ], "container-title" : "Green Top Guidelines 52", "id" : "ITEM-1", "issue" : "52", "issued" : { "date-parts" : [ [ "2011" ] ] }, "note" : "haemorrhage.The\ntraditional definition of primary PPH is the loss of 500 ml or more of blood from the genital tract within 24\nhours of the birth of a baby.1\nPPH can be minor (500\u20131000 ml) or major (more than 1000 ml).Major could\nbe divided to moderate (1000\u20132000 ml) or severe (more than 2000 ml).\n\nIn Scotland,the rate of life-threatening haemorrhage\n(blood loss 2.5 litres ormore or women who receivedmore than 5 units of blood transfusion or women who received treatment for coagulopathy after an acute event) is estimated at 3.7/1000 maternities\n\n\nIf a woman with primary PPH is continuing to bleed after an estimated blood loss of 1000 ml (or has\nclinical signs of shock or tachycardia associated with a smaller estimated loss), this should prompt a\nfull protocol ofmeasures to achieve resuscitation and haemostasis.", "page" : "1-24", "title" : "Prevention and Management of Post-Partum Haemorrhage", "type" : "article-journal" }, "uris" : [ "http://www.mendeley.com/documents/?uuid=19ed6fc9-ec26-40a6-8a0f-d08aee5813c7" ] } ], "mendeley" : { "formattedCitation" : "&lt;sup&gt;[41]&lt;/sup&gt;", "plainTextFormattedCitation" : "[41]", "previouslyFormattedCitation" : "&lt;sup&gt;[42]&lt;/sup&gt;" }, "properties" : { "noteIndex" : 0 }, "schema" : "https://github.com/citation-style-language/schema/raw/master/csl-citation.json" }</w:instrText>
      </w:r>
      <w:r w:rsidR="00606A2B" w:rsidRPr="00884A81">
        <w:rPr>
          <w:rFonts w:ascii="Book Antiqua" w:hAnsi="Book Antiqua"/>
        </w:rPr>
        <w:fldChar w:fldCharType="separate"/>
      </w:r>
      <w:r w:rsidR="00606A2B" w:rsidRPr="00884A81">
        <w:rPr>
          <w:rFonts w:ascii="Book Antiqua" w:hAnsi="Book Antiqua"/>
          <w:noProof/>
          <w:vertAlign w:val="superscript"/>
        </w:rPr>
        <w:t>[41]</w:t>
      </w:r>
      <w:r w:rsidR="00606A2B" w:rsidRPr="00884A81">
        <w:rPr>
          <w:rFonts w:ascii="Book Antiqua" w:hAnsi="Book Antiqua"/>
        </w:rPr>
        <w:fldChar w:fldCharType="end"/>
      </w:r>
      <w:r w:rsidR="000749ED" w:rsidRPr="00884A81">
        <w:rPr>
          <w:rFonts w:ascii="Book Antiqua" w:hAnsi="Book Antiqua"/>
        </w:rPr>
        <w:t>.</w:t>
      </w:r>
      <w:r w:rsidR="005F606B" w:rsidRPr="00884A81">
        <w:rPr>
          <w:rFonts w:ascii="Book Antiqua" w:hAnsi="Book Antiqua"/>
        </w:rPr>
        <w:t xml:space="preserve"> These definiti</w:t>
      </w:r>
      <w:r w:rsidR="00200BBE" w:rsidRPr="00884A81">
        <w:rPr>
          <w:rFonts w:ascii="Book Antiqua" w:hAnsi="Book Antiqua"/>
        </w:rPr>
        <w:t>ons form basis for activating protocols of resuscitation measures. The Royal College of Obstetrics and Gynaecology state that blood loss moderate PPH (1000</w:t>
      </w:r>
      <w:r w:rsidR="00D400D4" w:rsidRPr="00884A81">
        <w:rPr>
          <w:rFonts w:ascii="Book Antiqua" w:hAnsi="Book Antiqua"/>
        </w:rPr>
        <w:t xml:space="preserve"> </w:t>
      </w:r>
      <w:r w:rsidR="00200BBE" w:rsidRPr="00884A81">
        <w:rPr>
          <w:rFonts w:ascii="Book Antiqua" w:hAnsi="Book Antiqua"/>
        </w:rPr>
        <w:t>m</w:t>
      </w:r>
      <w:r w:rsidR="00606A2B" w:rsidRPr="00884A81">
        <w:rPr>
          <w:rFonts w:ascii="Book Antiqua" w:hAnsi="Book Antiqua"/>
        </w:rPr>
        <w:t>L</w:t>
      </w:r>
      <w:r w:rsidR="00D400D4" w:rsidRPr="00884A81">
        <w:rPr>
          <w:rFonts w:ascii="Book Antiqua" w:hAnsi="Book Antiqua"/>
        </w:rPr>
        <w:t xml:space="preserve"> plus</w:t>
      </w:r>
      <w:r w:rsidR="00200BBE" w:rsidRPr="00884A81">
        <w:rPr>
          <w:rFonts w:ascii="Book Antiqua" w:hAnsi="Book Antiqua"/>
        </w:rPr>
        <w:t>) with on-going bleeding or signs of shock should trigger such measures</w:t>
      </w:r>
      <w:r w:rsidR="00606A2B" w:rsidRPr="00884A81">
        <w:rPr>
          <w:rFonts w:ascii="Book Antiqua" w:hAnsi="Book Antiqua"/>
        </w:rPr>
        <w:fldChar w:fldCharType="begin" w:fldLock="1"/>
      </w:r>
      <w:r w:rsidR="00606A2B" w:rsidRPr="00884A81">
        <w:rPr>
          <w:rFonts w:ascii="Book Antiqua" w:hAnsi="Book Antiqua"/>
        </w:rPr>
        <w:instrText>ADDIN CSL_CITATION { "citationItems" : [ { "id" : "ITEM-1", "itemData" : { "abstract" : "Primary postpartum haemorrhage (PPH) is the most common form of major obstetric haemorrhage.The traditional definition of primary PPH is the loss of 500 ml or more of blood from the genital tract within 24 hours of the birth of a baby.1 PPH can be minor (500-100ml) or major (mor than 1000m). Major could be divided to moderate (1000\u20132000 ml) or severe (more than 2000 ml). The recommendations in this guideline apply to women experiencing primary PPH of 500 ml or more. Secondary PPH is defined as abnormal or excessive bleeding from the birth canal between 24 hours and 12 weeks postnatally.2 This guideline also includes recommendations specific to the management of major secondary PPH.Women with pre-existing bleeding disorders such as haemophilia and women taking therapeutic anticoagulants are at increased risk of PPH; this guideline does not include specific recommendations for the management of such situations,nor for managing haemorrhage in women who refuse blood transfusion.Guidance on these topics is available from other sources.3\u20136 The guideline has been developed primarily for clinicians working in consultant-led obstetric units in the UK; recommendations may be less appropriate for other settings where facilities, resources and routine practice differ.", "author" : [ { "dropping-particle" : "", "family" : "RCOG", "given" : "", "non-dropping-particle" : "", "parse-names" : false, "suffix" : "" }, { "dropping-particle" : "", "family" : "Royal College of Obstetricians and Gynaecologists", "given" : "", "non-dropping-particle" : "", "parse-names" : false, "suffix" : "" } ], "container-title" : "Green Top Guidelines 52", "id" : "ITEM-1", "issue" : "52", "issued" : { "date-parts" : [ [ "2011" ] ] }, "note" : "haemorrhage.The\ntraditional definition of primary PPH is the loss of 500 ml or more of blood from the genital tract within 24\nhours of the birth of a baby.1\nPPH can be minor (500\u20131000 ml) or major (more than 1000 ml).Major could\nbe divided to moderate (1000\u20132000 ml) or severe (more than 2000 ml).\n\nIn Scotland,the rate of life-threatening haemorrhage\n(blood loss 2.5 litres ormore or women who receivedmore than 5 units of blood transfusion or women who received treatment for coagulopathy after an acute event) is estimated at 3.7/1000 maternities\n\n\nIf a woman with primary PPH is continuing to bleed after an estimated blood loss of 1000 ml (or has\nclinical signs of shock or tachycardia associated with a smaller estimated loss), this should prompt a\nfull protocol ofmeasures to achieve resuscitation and haemostasis.", "page" : "1-24", "title" : "Prevention and Management of Post-Partum Haemorrhage", "type" : "article-journal" }, "uris" : [ "http://www.mendeley.com/documents/?uuid=19ed6fc9-ec26-40a6-8a0f-d08aee5813c7" ] } ], "mendeley" : { "formattedCitation" : "&lt;sup&gt;[41]&lt;/sup&gt;", "plainTextFormattedCitation" : "[41]", "previouslyFormattedCitation" : "&lt;sup&gt;[42]&lt;/sup&gt;" }, "properties" : { "noteIndex" : 0 }, "schema" : "https://github.com/citation-style-language/schema/raw/master/csl-citation.json" }</w:instrText>
      </w:r>
      <w:r w:rsidR="00606A2B" w:rsidRPr="00884A81">
        <w:rPr>
          <w:rFonts w:ascii="Book Antiqua" w:hAnsi="Book Antiqua"/>
        </w:rPr>
        <w:fldChar w:fldCharType="separate"/>
      </w:r>
      <w:r w:rsidR="00606A2B" w:rsidRPr="00884A81">
        <w:rPr>
          <w:rFonts w:ascii="Book Antiqua" w:hAnsi="Book Antiqua"/>
          <w:noProof/>
          <w:vertAlign w:val="superscript"/>
        </w:rPr>
        <w:t>[41]</w:t>
      </w:r>
      <w:r w:rsidR="00606A2B" w:rsidRPr="00884A81">
        <w:rPr>
          <w:rFonts w:ascii="Book Antiqua" w:hAnsi="Book Antiqua"/>
        </w:rPr>
        <w:fldChar w:fldCharType="end"/>
      </w:r>
      <w:r w:rsidR="00200BBE" w:rsidRPr="00884A81">
        <w:rPr>
          <w:rFonts w:ascii="Book Antiqua" w:hAnsi="Book Antiqua"/>
        </w:rPr>
        <w:t>.</w:t>
      </w:r>
      <w:r w:rsidR="00606A2B" w:rsidRPr="00884A81">
        <w:rPr>
          <w:rFonts w:ascii="Book Antiqua" w:hAnsi="Book Antiqua"/>
        </w:rPr>
        <w:t xml:space="preserve"> </w:t>
      </w:r>
    </w:p>
    <w:p w14:paraId="5A17B2D5" w14:textId="6EC5EFE8" w:rsidR="00F83AE4" w:rsidRPr="00884A81" w:rsidRDefault="00294F71" w:rsidP="00606A2B">
      <w:pPr>
        <w:spacing w:line="360" w:lineRule="auto"/>
        <w:ind w:firstLineChars="100" w:firstLine="240"/>
        <w:jc w:val="both"/>
        <w:rPr>
          <w:rFonts w:ascii="Book Antiqua" w:hAnsi="Book Antiqua"/>
        </w:rPr>
      </w:pPr>
      <w:r w:rsidRPr="00884A81">
        <w:rPr>
          <w:rFonts w:ascii="Book Antiqua" w:hAnsi="Book Antiqua"/>
        </w:rPr>
        <w:t xml:space="preserve">Liver transplantation surgery in contrast to trauma and obstetrics is largely an elective or semi-elective procedure where blood </w:t>
      </w:r>
      <w:r w:rsidR="00FC2BF6" w:rsidRPr="00884A81">
        <w:rPr>
          <w:rFonts w:ascii="Book Antiqua" w:hAnsi="Book Antiqua"/>
        </w:rPr>
        <w:t xml:space="preserve">loss </w:t>
      </w:r>
      <w:r w:rsidR="00D66D19" w:rsidRPr="00884A81">
        <w:rPr>
          <w:rFonts w:ascii="Book Antiqua" w:hAnsi="Book Antiqua"/>
        </w:rPr>
        <w:t xml:space="preserve">can be anticipated and </w:t>
      </w:r>
      <w:r w:rsidR="001C237F" w:rsidRPr="00884A81">
        <w:rPr>
          <w:rFonts w:ascii="Book Antiqua" w:hAnsi="Book Antiqua"/>
        </w:rPr>
        <w:t>a strategized around.</w:t>
      </w:r>
      <w:r w:rsidR="00884A81" w:rsidRPr="00884A81">
        <w:rPr>
          <w:rFonts w:ascii="Book Antiqua" w:hAnsi="Book Antiqua"/>
        </w:rPr>
        <w:t xml:space="preserve"> </w:t>
      </w:r>
      <w:r w:rsidR="00FC2BF6" w:rsidRPr="00884A81">
        <w:rPr>
          <w:rFonts w:ascii="Book Antiqua" w:hAnsi="Book Antiqua"/>
        </w:rPr>
        <w:t xml:space="preserve">Death from exsanguination, common in the early days of </w:t>
      </w:r>
      <w:r w:rsidR="00D3357F" w:rsidRPr="00884A81">
        <w:rPr>
          <w:rFonts w:ascii="Book Antiqua" w:hAnsi="Book Antiqua"/>
        </w:rPr>
        <w:t>transplantation is now a</w:t>
      </w:r>
      <w:r w:rsidR="00FC2BF6" w:rsidRPr="00884A81">
        <w:rPr>
          <w:rFonts w:ascii="Book Antiqua" w:hAnsi="Book Antiqua"/>
        </w:rPr>
        <w:t xml:space="preserve"> rare event and therefore the traditional </w:t>
      </w:r>
      <w:r w:rsidR="00FC2BF6" w:rsidRPr="00884A81">
        <w:rPr>
          <w:rFonts w:ascii="Book Antiqua" w:hAnsi="Book Antiqua"/>
        </w:rPr>
        <w:lastRenderedPageBreak/>
        <w:t>definitions of massive haemorrhage</w:t>
      </w:r>
      <w:r w:rsidR="009D1839" w:rsidRPr="00884A81">
        <w:rPr>
          <w:rFonts w:ascii="Book Antiqua" w:hAnsi="Book Antiqua"/>
        </w:rPr>
        <w:t>/transfusion are less at risk of survivor bias.</w:t>
      </w:r>
      <w:r w:rsidR="005F606B" w:rsidRPr="00884A81">
        <w:rPr>
          <w:rFonts w:ascii="Book Antiqua" w:hAnsi="Book Antiqua"/>
        </w:rPr>
        <w:t xml:space="preserve"> Defining massive transfusion as 6 unit or more in 24 h has been used in a number risk pre</w:t>
      </w:r>
      <w:r w:rsidR="0025525D" w:rsidRPr="00884A81">
        <w:rPr>
          <w:rFonts w:ascii="Book Antiqua" w:hAnsi="Book Antiqua"/>
        </w:rPr>
        <w:t>diction studies for transfusion</w:t>
      </w:r>
      <w:r w:rsidR="00606A2B" w:rsidRPr="00884A81">
        <w:rPr>
          <w:rFonts w:ascii="Book Antiqua" w:hAnsi="Book Antiqua"/>
        </w:rPr>
        <w:fldChar w:fldCharType="begin" w:fldLock="1"/>
      </w:r>
      <w:r w:rsidR="00606A2B"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"id" : "ITEM-2", "itemData" : { "DOI" : "10.1016/j.transproceed.2012.09.085", "ISSN" : "1873-2623", "PMID" : "23146542", "abstract" : "INTRODUCTION Advanced liver disease is characterized by prolonged global coagulation tests such as prothrombin time (PT). Using Model of End-stage Liver Disease (MELD) score-based allocation, many current transplant recipients show advanced end-stage liver disease with an elevated international normalized ratio (INR). The relationship between abnormalities in coagulation tests and the risk of bleeding has been recently challenged among liver disease patients. In this study we reassessed risk factors for bleeding and the clinical implications for patients who underwent orthotopic liver transplantation (OLT). METHODS We studied OLT patients between 2005 and 2011 excluding combined transplantations, retransplantations, or cases due to acute liver failure. We collected prospectively pre-OLT, during OLT, and post-OLT clinical and biochemical data to assess the risk for bleeding using linear regression models. RESULTS The strongest predictor of overall survival among 286 patients with a mean follow-up of 32 months was the number of blood transfusions (P = .005). The risk factor for bleeding during surgery investigated by multivariate analysis only showed the INR (P &lt; .001) and the presence of ascites (P = .003) to independently correlate with the amount of blood transfusion. Receiver operation characteristics (ROC) analysis performed to determine the risk for massive blood transfusion (more than 6 units) revealed a cut-off value for INR \u2265 1.6. Appreciation of the operative field by the surgeon during the intervention as \"wet\" versus \"dry\", amounts of blood transfusion and fresh frozen plasma, and stay in the intensive care unit (ICU) and in the hospital were all significantly different (P &lt; .001) for patients with INR &lt;1.6 versus INR \u2265 1.6. CONCLUSIONS Bleeding during OLT affects the outcome. The risk is independently influenced by the presence of ascites (probably reflecting the degree portal hypertension) and an INR \u2265 1.6. To improve survival after OLT therapeutic interventions should be further explored to reduce the need for blood transfusions.", "author" : [ { "dropping-particle" : "", "family" : "Esmat Gamil", "given" : "M", "non-dropping-particle" : "", "parse-names" : false, "suffix" : "" }, { "dropping-particle" : "", "family" : "Pirenne", "given" : "J", "non-dropping-particle" : "", "parse-names" : false, "suffix" : "" }, { "dropping-particle" : "", "family" : "Malenstein", "given" : "H", "non-dropping-particle" : "Van", "parse-names" : false, "suffix" : "" }, { "dropping-particle" : "", "family" : "Verhaegen", "given" : "M", "non-dropping-particle" : "", "parse-names" : false, "suffix" : "" }, { "dropping-particle" : "", "family" : "Desschans", "given" : "B", "non-dropping-particle" : "", "parse-names" : false, "suffix" : "" }, { "dropping-particle" : "", "family" : "Monbaliu", "given" : "D", "non-dropping-particle" : "", "parse-names" : false, "suffix" : "" }, { "dropping-particle" : "", "family" : "Aerts", "given" : "R", "non-dropping-particle" : "", "parse-names" : false, "suffix" : "" }, { "dropping-particle" : "", "family" : "Laleman", "given" : "W", "non-dropping-particle" : "", "parse-names" : false, "suffix" : "" }, { "dropping-particle" : "", "family" : "Cassiman", "given" : "D", "non-dropping-particle" : "", "parse-names" : false, "suffix" : "" }, { "dropping-particle" : "", "family" : "Verslype", "given" : "C", "non-dropping-particle" : "", "parse-names" : false, "suffix" : "" }, { "dropping-particle" : "", "family" : "Steenbergen", "given" : "W", "non-dropping-particle" : "Van", "parse-names" : false, "suffix" : "" }, { "dropping-particle" : "", "family" : "Pelt", "given" : "J", "non-dropping-particle" : "Van", "parse-names" : false, "suffix" : "" }, { "dropping-particle" : "", "family" : "Nevens", "given" : "F", "non-dropping-particle" : "", "parse-names" : false, "suffix" : "" } ], "container-title" : "Transplantation proceedings", "id" : "ITEM-2", "issue" : "9", "issued" : { "date-parts" : [ [ "2012", "11" ] ] }, "language" : "eng", "page" : "2857-60", "publisher-place" : "United States", "title" : "Risk factors for bleeding and clinical implications in patients undergoing liver transplantation.", "type" : "article-journal", "volume" : "44" }, "uris" : [ "http://www.mendeley.com/documents/?uuid=0600e584-ceb9-43b2-8453-77c235c954a4" ] }, { "id" : "ITEM-3", "itemData" : { "DOI" : "10.1016/jlts.2003.50204", "ISBN" : "1527-6465", "ISSN" : "1527-6465", "PMID" : "14625833", "abstract" : "Objectives of this study are to quantify the need for blood transfusion during liver transplantation (LT) and confirm the importance of intraoperative blood transfusion as an independent prognostic factor for postoperative outcome. Furthermore, we try to detect useful variables for the preoperative identification of patients likely to require transfusion of packed red blood cell units (PRCUs) and identify measures to reduce transfusion needs. Data were collected prospectively between September 1998 and November 2000. One hundred twenty-two LTs were included in the study. Forty-two patients (34%) did not require transfusion of PRCUs. In multivariate analysis, transfusion of more than three PRCUs was found to be the only significant variable associated with prolonged hospital stay. In addition, excluding perioperative deaths, PRCU transfusion, using a cutoff value of six units, was the only variable to reach statistical significance (P =.008; risk ratio, 4.93; 95% confidence interval, 15 to 15.9) to predict survival in a multivariate analysis that also included Child's class and United Network for Organ Sharing (UNOS) classification. Moreover, only preoperative hemoglobin (Hb) level was found to significantly predict the need for transfusion of one or more PCRUs. Finally, only UNOS classification and placement of an intraoperative portacaval shunt were found to be statistically significant to predict the need to transfuse more than six PRCUs. We found the requirement of even a moderate number of blood transfusions is associated with longer hospital stay, and transfusion of more than six PRCUs is associated with diminished survival. Preoperative normalization of Hb levels and placement of an intraoperative portacaval shunt can diminish the number of blood transfusions during LT.", "author" : [ { "dropping-particle" : "", "family" : "Ramos", "given" : "Emilio", "non-dropping-particle" : "", "parse-names" : false, "suffix" : "" }, { "dropping-particle" : "", "family" : "Dalmau", "given" : "Antonia", "non-dropping-particle" : "", "parse-names" : false, "suffix" : "" }, { "dropping-particle" : "", "family" : "Sabate", "given" : "Antonio", "non-dropping-particle" : "", "parse-names" : false, "suffix" : "" }, { "dropping-particle" : "", "family" : "Lama", "given" : "Carmen", "non-dropping-particle" : "", "parse-names" : false, "suffix" : "" }, { "dropping-particle" : "", "family" : "Llado", "given" : "Laura", "non-dropping-particle" : "", "parse-names" : false, "suffix" : "" }, { "dropping-particle" : "", "family" : "Figueras", "given" : "Juan", "non-dropping-particle" : "", "parse-names" : false, "suffix" : "" }, { "dropping-particle" : "", "family" : "Jaurrieta", "given" : "Eduardo", "non-dropping-particle" : "", "parse-names" : false, "suffix" : "" } ], "container-title" : "Liver transplantation : official publication of the American Association for the Study of Liver Diseases and the International Liver Transplantation Society", "id" : "ITEM-3", "issue" : "12", "issued" : { "date-parts" : [ [ "2003", "12" ] ] }, "page" : "1320-7", "publisher" : "Ramos,Emilio. Liver Transplantation Unit, Hospital Universitario de Bellvitge, Barcelona, Spain. eramos@csub.scs.es", "publisher-place" : "United States, Unidad de Trasplante Hepatico, Hospital Universitario de Bellvitge, L'Hospitalet, Av. Feixa Llarga s/n, 08907 Barcelona, Spain. E-mail: eramos@csub.scs.es", "title" : "Intraoperative red blood cell transfusion in liver transplantation: influence on patient outcome, prediction of requirements, and measures to reduce them.", "type" : "article-journal", "volume" : "9" }, "uris" : [ "http://www.mendeley.com/documents/?uuid=b0be0f3a-46e9-44da-95a7-b29c04077f76" ] } ], "mendeley" : { "formattedCitation" : "&lt;sup&gt;[42\u201344]&lt;/sup&gt;", "plainTextFormattedCitation" : "[42\u201344]", "previouslyFormattedCitation" : "&lt;sup&gt;[43\u201345]&lt;/sup&gt;" }, "properties" : { "noteIndex" : 0 }, "schema" : "https://github.com/citation-style-language/schema/raw/master/csl-citation.json" }</w:instrText>
      </w:r>
      <w:r w:rsidR="00606A2B" w:rsidRPr="00884A81">
        <w:rPr>
          <w:rFonts w:ascii="Book Antiqua" w:hAnsi="Book Antiqua"/>
        </w:rPr>
        <w:fldChar w:fldCharType="separate"/>
      </w:r>
      <w:r w:rsidR="00606A2B" w:rsidRPr="00884A81">
        <w:rPr>
          <w:rFonts w:ascii="Book Antiqua" w:hAnsi="Book Antiqua"/>
          <w:noProof/>
          <w:vertAlign w:val="superscript"/>
        </w:rPr>
        <w:t>[42</w:t>
      </w:r>
      <w:r w:rsidR="00606A2B">
        <w:rPr>
          <w:rFonts w:ascii="Book Antiqua" w:eastAsia="宋体" w:hAnsi="Book Antiqua" w:hint="eastAsia"/>
          <w:noProof/>
          <w:vertAlign w:val="superscript"/>
          <w:lang w:eastAsia="zh-CN"/>
        </w:rPr>
        <w:t>-</w:t>
      </w:r>
      <w:r w:rsidR="00606A2B" w:rsidRPr="00884A81">
        <w:rPr>
          <w:rFonts w:ascii="Book Antiqua" w:hAnsi="Book Antiqua"/>
          <w:noProof/>
          <w:vertAlign w:val="superscript"/>
        </w:rPr>
        <w:t>44]</w:t>
      </w:r>
      <w:r w:rsidR="00606A2B" w:rsidRPr="00884A81">
        <w:rPr>
          <w:rFonts w:ascii="Book Antiqua" w:hAnsi="Book Antiqua"/>
        </w:rPr>
        <w:fldChar w:fldCharType="end"/>
      </w:r>
      <w:r w:rsidR="005F606B" w:rsidRPr="00884A81">
        <w:rPr>
          <w:rFonts w:ascii="Book Antiqua" w:hAnsi="Book Antiqua"/>
        </w:rPr>
        <w:t>.</w:t>
      </w:r>
      <w:r w:rsidR="0025525D" w:rsidRPr="00884A81">
        <w:rPr>
          <w:rFonts w:ascii="Book Antiqua" w:hAnsi="Book Antiqua"/>
        </w:rPr>
        <w:t xml:space="preserve"> </w:t>
      </w:r>
    </w:p>
    <w:p w14:paraId="67497ED1" w14:textId="77777777" w:rsidR="007961A2" w:rsidRPr="00884A81" w:rsidRDefault="007961A2" w:rsidP="00884A81">
      <w:pPr>
        <w:spacing w:line="360" w:lineRule="auto"/>
        <w:jc w:val="both"/>
        <w:rPr>
          <w:rFonts w:ascii="Book Antiqua" w:hAnsi="Book Antiqua"/>
        </w:rPr>
      </w:pPr>
    </w:p>
    <w:p w14:paraId="24F4C5DE" w14:textId="19A18644" w:rsidR="00070FAE" w:rsidRPr="00606A2B" w:rsidRDefault="00606A2B" w:rsidP="00884A81">
      <w:pPr>
        <w:spacing w:line="360" w:lineRule="auto"/>
        <w:jc w:val="both"/>
        <w:rPr>
          <w:rFonts w:ascii="Book Antiqua" w:eastAsia="宋体" w:hAnsi="Book Antiqua" w:cs="Arial"/>
          <w:b/>
          <w:lang w:eastAsia="zh-CN"/>
        </w:rPr>
      </w:pPr>
      <w:r w:rsidRPr="00884A81">
        <w:rPr>
          <w:rFonts w:ascii="Book Antiqua" w:hAnsi="Book Antiqua" w:cs="Arial"/>
          <w:b/>
        </w:rPr>
        <w:t>EPIDEMIOLOGY OF HAEMORRHAGE</w:t>
      </w:r>
      <w:r>
        <w:rPr>
          <w:rFonts w:ascii="Book Antiqua" w:hAnsi="Book Antiqua" w:cs="Arial"/>
          <w:b/>
        </w:rPr>
        <w:t xml:space="preserve"> DURING LIVER TRANSPLANTATION</w:t>
      </w:r>
    </w:p>
    <w:p w14:paraId="7B84A545" w14:textId="639B911F" w:rsidR="00D72418" w:rsidRPr="00884A81" w:rsidRDefault="00631AA2" w:rsidP="00884A81">
      <w:pPr>
        <w:spacing w:line="360" w:lineRule="auto"/>
        <w:jc w:val="both"/>
        <w:rPr>
          <w:rFonts w:ascii="Book Antiqua" w:hAnsi="Book Antiqua" w:cs="Arial"/>
        </w:rPr>
      </w:pPr>
      <w:r w:rsidRPr="00884A81">
        <w:rPr>
          <w:rFonts w:ascii="Book Antiqua" w:hAnsi="Book Antiqua" w:cs="Arial"/>
        </w:rPr>
        <w:t>L</w:t>
      </w:r>
      <w:r w:rsidR="00070FAE" w:rsidRPr="00884A81">
        <w:rPr>
          <w:rFonts w:ascii="Book Antiqua" w:hAnsi="Book Antiqua" w:cs="Arial"/>
        </w:rPr>
        <w:t>iver transplantation</w:t>
      </w:r>
      <w:r w:rsidR="00C62D67" w:rsidRPr="00884A81">
        <w:rPr>
          <w:rFonts w:ascii="Book Antiqua" w:hAnsi="Book Antiqua" w:cs="Arial"/>
        </w:rPr>
        <w:t xml:space="preserve"> </w:t>
      </w:r>
      <w:r w:rsidRPr="00884A81">
        <w:rPr>
          <w:rFonts w:ascii="Book Antiqua" w:hAnsi="Book Antiqua" w:cs="Arial"/>
        </w:rPr>
        <w:t xml:space="preserve">requires </w:t>
      </w:r>
      <w:r w:rsidR="00C62D67" w:rsidRPr="00884A81">
        <w:rPr>
          <w:rFonts w:ascii="Book Antiqua" w:hAnsi="Book Antiqua" w:cs="Arial"/>
        </w:rPr>
        <w:t xml:space="preserve">operating on patients with the pathophysiological changes of advanced </w:t>
      </w:r>
      <w:r w:rsidRPr="00884A81">
        <w:rPr>
          <w:rFonts w:ascii="Book Antiqua" w:hAnsi="Book Antiqua" w:cs="Arial"/>
        </w:rPr>
        <w:t xml:space="preserve">cirrhotic </w:t>
      </w:r>
      <w:r w:rsidR="00C62D67" w:rsidRPr="00884A81">
        <w:rPr>
          <w:rFonts w:ascii="Book Antiqua" w:hAnsi="Book Antiqua" w:cs="Arial"/>
        </w:rPr>
        <w:t>liver disease</w:t>
      </w:r>
      <w:r w:rsidRPr="00884A81">
        <w:rPr>
          <w:rFonts w:ascii="Book Antiqua" w:hAnsi="Book Antiqua" w:cs="Arial"/>
        </w:rPr>
        <w:t xml:space="preserve">. The presence of portal hypertension and the haemostatic changes that occur both as a consequence of hepatocyte death and during the stages of liver transplantation itself are </w:t>
      </w:r>
      <w:r w:rsidR="00F904C0" w:rsidRPr="00884A81">
        <w:rPr>
          <w:rFonts w:ascii="Book Antiqua" w:hAnsi="Book Antiqua" w:cs="Arial"/>
        </w:rPr>
        <w:t>important</w:t>
      </w:r>
      <w:r w:rsidRPr="00884A81">
        <w:rPr>
          <w:rFonts w:ascii="Book Antiqua" w:hAnsi="Book Antiqua" w:cs="Arial"/>
        </w:rPr>
        <w:t xml:space="preserve"> causes of</w:t>
      </w:r>
      <w:r w:rsidR="00F904C0" w:rsidRPr="00884A81">
        <w:rPr>
          <w:rFonts w:ascii="Book Antiqua" w:hAnsi="Book Antiqua" w:cs="Arial"/>
        </w:rPr>
        <w:t xml:space="preserve"> bleeding that are unique to this</w:t>
      </w:r>
      <w:r w:rsidRPr="00884A81">
        <w:rPr>
          <w:rFonts w:ascii="Book Antiqua" w:hAnsi="Book Antiqua" w:cs="Arial"/>
        </w:rPr>
        <w:t xml:space="preserve"> procedure. </w:t>
      </w:r>
    </w:p>
    <w:p w14:paraId="31F64607" w14:textId="77777777" w:rsidR="00BB2339" w:rsidRPr="00884A81" w:rsidRDefault="00BB2339" w:rsidP="00884A81">
      <w:pPr>
        <w:spacing w:line="360" w:lineRule="auto"/>
        <w:jc w:val="both"/>
        <w:rPr>
          <w:rFonts w:ascii="Book Antiqua" w:hAnsi="Book Antiqua" w:cs="Arial"/>
        </w:rPr>
      </w:pPr>
    </w:p>
    <w:p w14:paraId="6DF30CFB" w14:textId="34F95DFC" w:rsidR="00061895" w:rsidRPr="00606A2B" w:rsidRDefault="00BE46FB" w:rsidP="00884A81">
      <w:pPr>
        <w:spacing w:line="360" w:lineRule="auto"/>
        <w:jc w:val="both"/>
        <w:rPr>
          <w:rFonts w:ascii="Book Antiqua" w:hAnsi="Book Antiqua" w:cs="Arial"/>
          <w:b/>
          <w:i/>
        </w:rPr>
      </w:pPr>
      <w:r w:rsidRPr="00606A2B">
        <w:rPr>
          <w:rFonts w:ascii="Book Antiqua" w:hAnsi="Book Antiqua" w:cs="Arial"/>
          <w:b/>
          <w:i/>
        </w:rPr>
        <w:t xml:space="preserve">Portal </w:t>
      </w:r>
      <w:r w:rsidR="00606A2B" w:rsidRPr="00606A2B">
        <w:rPr>
          <w:rFonts w:ascii="Book Antiqua" w:hAnsi="Book Antiqua" w:cs="Arial"/>
          <w:b/>
          <w:i/>
        </w:rPr>
        <w:t>h</w:t>
      </w:r>
      <w:r w:rsidRPr="00606A2B">
        <w:rPr>
          <w:rFonts w:ascii="Book Antiqua" w:hAnsi="Book Antiqua" w:cs="Arial"/>
          <w:b/>
          <w:i/>
        </w:rPr>
        <w:t>ypertension</w:t>
      </w:r>
    </w:p>
    <w:p w14:paraId="2045DABE" w14:textId="29270179" w:rsidR="00061895" w:rsidRPr="00884A81" w:rsidRDefault="00631AA2" w:rsidP="00884A81">
      <w:pPr>
        <w:spacing w:line="360" w:lineRule="auto"/>
        <w:jc w:val="both"/>
        <w:rPr>
          <w:rFonts w:ascii="Book Antiqua" w:hAnsi="Book Antiqua" w:cs="Arial"/>
        </w:rPr>
      </w:pPr>
      <w:r w:rsidRPr="00884A81">
        <w:rPr>
          <w:rFonts w:ascii="Book Antiqua" w:hAnsi="Book Antiqua" w:cs="Arial"/>
        </w:rPr>
        <w:t xml:space="preserve">As chronic liver disease progresses hepatocyte death leads to inflammation and </w:t>
      </w:r>
      <w:r w:rsidR="00BD29B5" w:rsidRPr="00884A81">
        <w:rPr>
          <w:rFonts w:ascii="Book Antiqua" w:hAnsi="Book Antiqua" w:cs="Arial"/>
        </w:rPr>
        <w:t>the subsequent generation of fibrosis that marks the onset of cirrhosis</w:t>
      </w:r>
      <w:r w:rsidR="00F9796A" w:rsidRPr="00884A81">
        <w:rPr>
          <w:rFonts w:ascii="Book Antiqua" w:hAnsi="Book Antiqua" w:cs="Arial"/>
        </w:rPr>
        <w:fldChar w:fldCharType="begin" w:fldLock="1"/>
      </w:r>
      <w:r w:rsidR="00F9796A" w:rsidRPr="00884A81">
        <w:rPr>
          <w:rFonts w:ascii="Book Antiqua" w:hAnsi="Book Antiqua" w:cs="Arial"/>
        </w:rPr>
        <w:instrText>ADDIN CSL_CITATION { "citationItems" : [ { "id" : "ITEM-1", "itemData" : { "ISSN" : "1532-0650", "PMID" : "22230269", "abstract" : "Cirrhosis is the 12th leading cause of death in the United States. It accounted for 29,165 deaths in 2007, with a mortality rate of 9.7 per 100,000 persons. Alcohol abuse and viral hepatitis are the most common causes of cirrhosis, although nonalcoholic fatty liver disease is emerging as an increasingly important cause. Primary care physicians share responsibility with specialists in managing the most common complications of the disease, screening for hepatocellular carcinoma, and preparing patients for referral to a transplant center. Patients with cirrhosis should be screened for hepatocellular carcinoma with imaging studies every six to 12 months. Causes of hepatic encephalopathy include constipation, infection, gastrointestinal bleeding, certain medications, electrolyte imbalances, and noncompliance with medical therapy. These should be sought and managed before instituting the use of lactulose or rifaximin, which is aimed at reducing serum ammonia levels. Ascites should be treated initially with salt restriction and diuresis. Patients with acute episodes of gastrointestinal bleeding should be monitored in an intensive care unit, and should have endoscopy performed within 24 hours. Physicians should also be vigilant for spontaneous bacterial peritonitis. Treating alcohol abuse, screening for viral hepatitis, and controlling risk factors for nonalcoholic fatty liver disease are mechanisms by which the primary care physician can reduce the incidence of cirrhosis.", "author" : [ { "dropping-particle" : "", "family" : "Starr", "given" : "S Paul", "non-dropping-particle" : "", "parse-names" : false, "suffix" : "" }, { "dropping-particle" : "", "family" : "Raines", "given" : "Daniel", "non-dropping-particle" : "", "parse-names" : false, "suffix" : "" } ], "container-title" : "American family physician", "id" : "ITEM-1", "issue" : "12", "issued" : { "date-parts" : [ [ "2011", "12", "15" ] ] }, "page" : "1353-9", "title" : "Cirrhosis: diagnosis, management, and prevention.", "type" : "article-journal", "volume" : "84" }, "uris" : [ "http://www.mendeley.com/documents/?uuid=71120b7a-ba8e-43d5-b0cc-345e9d312063" ] } ], "mendeley" : { "formattedCitation" : "&lt;sup&gt;[45]&lt;/sup&gt;", "plainTextFormattedCitation" : "[45]", "previouslyFormattedCitation" : "&lt;sup&gt;[46]&lt;/sup&gt;" }, "properties" : { "noteIndex" : 0 }, "schema" : "https://github.com/citation-style-language/schema/raw/master/csl-citation.json" }</w:instrText>
      </w:r>
      <w:r w:rsidR="00F9796A" w:rsidRPr="00884A81">
        <w:rPr>
          <w:rFonts w:ascii="Book Antiqua" w:hAnsi="Book Antiqua" w:cs="Arial"/>
        </w:rPr>
        <w:fldChar w:fldCharType="separate"/>
      </w:r>
      <w:r w:rsidR="00F9796A" w:rsidRPr="00884A81">
        <w:rPr>
          <w:rFonts w:ascii="Book Antiqua" w:hAnsi="Book Antiqua" w:cs="Arial"/>
          <w:noProof/>
          <w:vertAlign w:val="superscript"/>
        </w:rPr>
        <w:t>[45]</w:t>
      </w:r>
      <w:r w:rsidR="00F9796A" w:rsidRPr="00884A81">
        <w:rPr>
          <w:rFonts w:ascii="Book Antiqua" w:hAnsi="Book Antiqua" w:cs="Arial"/>
        </w:rPr>
        <w:fldChar w:fldCharType="end"/>
      </w:r>
      <w:r w:rsidR="00BD29B5" w:rsidRPr="00884A81">
        <w:rPr>
          <w:rFonts w:ascii="Book Antiqua" w:hAnsi="Book Antiqua" w:cs="Arial"/>
        </w:rPr>
        <w:t xml:space="preserve">. Increased intrahepatic vascular resistance </w:t>
      </w:r>
      <w:r w:rsidR="00B95039" w:rsidRPr="00884A81">
        <w:rPr>
          <w:rFonts w:ascii="Book Antiqua" w:hAnsi="Book Antiqua" w:cs="Arial"/>
        </w:rPr>
        <w:t xml:space="preserve">(HVR) </w:t>
      </w:r>
      <w:r w:rsidR="003A05B4" w:rsidRPr="00884A81">
        <w:rPr>
          <w:rFonts w:ascii="Book Antiqua" w:hAnsi="Book Antiqua" w:cs="Arial"/>
        </w:rPr>
        <w:t xml:space="preserve">while maintaining </w:t>
      </w:r>
      <w:r w:rsidR="00BD29B5" w:rsidRPr="00884A81">
        <w:rPr>
          <w:rFonts w:ascii="Book Antiqua" w:hAnsi="Book Antiqua" w:cs="Arial"/>
        </w:rPr>
        <w:t xml:space="preserve">portal </w:t>
      </w:r>
      <w:r w:rsidR="003A05B4" w:rsidRPr="00884A81">
        <w:rPr>
          <w:rFonts w:ascii="Book Antiqua" w:hAnsi="Book Antiqua" w:cs="Arial"/>
        </w:rPr>
        <w:t xml:space="preserve">blood </w:t>
      </w:r>
      <w:r w:rsidR="00BD29B5" w:rsidRPr="00884A81">
        <w:rPr>
          <w:rFonts w:ascii="Book Antiqua" w:hAnsi="Book Antiqua" w:cs="Arial"/>
        </w:rPr>
        <w:t xml:space="preserve">flow </w:t>
      </w:r>
      <w:r w:rsidR="003A05B4" w:rsidRPr="00884A81">
        <w:rPr>
          <w:rFonts w:ascii="Book Antiqua" w:hAnsi="Book Antiqua" w:cs="Arial"/>
        </w:rPr>
        <w:t xml:space="preserve">requires </w:t>
      </w:r>
      <w:r w:rsidR="00BD29B5" w:rsidRPr="00884A81">
        <w:rPr>
          <w:rFonts w:ascii="Book Antiqua" w:hAnsi="Book Antiqua" w:cs="Arial"/>
        </w:rPr>
        <w:t>increased portal pressures</w:t>
      </w:r>
      <w:r w:rsidR="003A05B4" w:rsidRPr="00884A81">
        <w:rPr>
          <w:rFonts w:ascii="Book Antiqua" w:hAnsi="Book Antiqua" w:cs="Arial"/>
        </w:rPr>
        <w:t>.</w:t>
      </w:r>
      <w:r w:rsidR="00884A81" w:rsidRPr="00884A81">
        <w:rPr>
          <w:rFonts w:ascii="Book Antiqua" w:hAnsi="Book Antiqua" w:cs="Arial"/>
        </w:rPr>
        <w:t xml:space="preserve"> </w:t>
      </w:r>
      <w:r w:rsidR="003A05B4" w:rsidRPr="00884A81">
        <w:rPr>
          <w:rFonts w:ascii="Book Antiqua" w:hAnsi="Book Antiqua" w:cs="Arial"/>
        </w:rPr>
        <w:t xml:space="preserve">Approximately, </w:t>
      </w:r>
      <w:r w:rsidR="00CF2492" w:rsidRPr="00884A81">
        <w:rPr>
          <w:rFonts w:ascii="Book Antiqua" w:hAnsi="Book Antiqua" w:cs="Arial"/>
        </w:rPr>
        <w:t xml:space="preserve">70% of </w:t>
      </w:r>
      <w:r w:rsidR="003A05B4" w:rsidRPr="00884A81">
        <w:rPr>
          <w:rFonts w:ascii="Book Antiqua" w:hAnsi="Book Antiqua" w:cs="Arial"/>
        </w:rPr>
        <w:t xml:space="preserve">the portal hypertension </w:t>
      </w:r>
      <w:r w:rsidR="00CF2492" w:rsidRPr="00884A81">
        <w:rPr>
          <w:rFonts w:ascii="Book Antiqua" w:hAnsi="Book Antiqua" w:cs="Arial"/>
        </w:rPr>
        <w:t xml:space="preserve">is attributed to structural factors (fibrosis, vascular remodelling, vascular occlusion, nodule formation) whilst the remaining 30% is </w:t>
      </w:r>
      <w:r w:rsidR="003A05B4" w:rsidRPr="00884A81">
        <w:rPr>
          <w:rFonts w:ascii="Book Antiqua" w:hAnsi="Book Antiqua" w:cs="Arial"/>
        </w:rPr>
        <w:t>thought t</w:t>
      </w:r>
      <w:r w:rsidR="00CF2492" w:rsidRPr="00884A81">
        <w:rPr>
          <w:rFonts w:ascii="Book Antiqua" w:hAnsi="Book Antiqua" w:cs="Arial"/>
        </w:rPr>
        <w:t xml:space="preserve">o be due to </w:t>
      </w:r>
      <w:r w:rsidR="00BD29B5" w:rsidRPr="00884A81">
        <w:rPr>
          <w:rFonts w:ascii="Book Antiqua" w:hAnsi="Book Antiqua" w:cs="Arial"/>
        </w:rPr>
        <w:t xml:space="preserve">dynamic functional </w:t>
      </w:r>
      <w:r w:rsidR="00CF2492" w:rsidRPr="00884A81">
        <w:rPr>
          <w:rFonts w:ascii="Book Antiqua" w:hAnsi="Book Antiqua" w:cs="Arial"/>
        </w:rPr>
        <w:t>abnormalities in the liver microvasculature</w:t>
      </w:r>
      <w:r w:rsidR="00F9796A" w:rsidRPr="00884A81">
        <w:rPr>
          <w:rFonts w:ascii="Book Antiqua" w:hAnsi="Book Antiqua" w:cs="Arial"/>
        </w:rPr>
        <w:fldChar w:fldCharType="begin" w:fldLock="1"/>
      </w:r>
      <w:r w:rsidR="00F9796A" w:rsidRPr="00884A81">
        <w:rPr>
          <w:rFonts w:ascii="Book Antiqua" w:hAnsi="Book Antiqua" w:cs="Arial"/>
        </w:rPr>
        <w:instrText>ADDIN CSL_CITATION { "citationItems" : [ { "id" : "ITEM-1", "itemData" : { "DOI" : "10.1016/j.jhep.2012.03.007", "ISSN" : "1600-0641", "PMID" : "22504334", "author" : [ { "dropping-particle" : "", "family" : "Garc\u00eda-Pag\u00e1n", "given" : "Juan-Carlos", "non-dropping-particle" : "", "parse-names" : false, "suffix" : "" }, { "dropping-particle" : "", "family" : "Gracia-Sancho", "given" : "Jorge", "non-dropping-particle" : "", "parse-names" : false, "suffix" : "" }, { "dropping-particle" : "", "family" : "Bosch", "given" : "Jaume", "non-dropping-particle" : "", "parse-names" : false, "suffix" : "" } ], "container-title" : "Journal of hepatology", "id" : "ITEM-1", "issue" : "2", "issued" : { "date-parts" : [ [ "2012", "8" ] ] }, "page" : "458-61", "title" : "Functional aspects on the pathophysiology of portal hypertension in cirrhosis.", "type" : "article-journal", "volume" : "57" }, "uris" : [ "http://www.mendeley.com/documents/?uuid=5af19a9e-7c42-4054-a338-e6a4266c4569" ] } ], "mendeley" : { "formattedCitation" : "&lt;sup&gt;[46]&lt;/sup&gt;", "plainTextFormattedCitation" : "[46]", "previouslyFormattedCitation" : "&lt;sup&gt;[47]&lt;/sup&gt;" }, "properties" : { "noteIndex" : 0 }, "schema" : "https://github.com/citation-style-language/schema/raw/master/csl-citation.json" }</w:instrText>
      </w:r>
      <w:r w:rsidR="00F9796A" w:rsidRPr="00884A81">
        <w:rPr>
          <w:rFonts w:ascii="Book Antiqua" w:hAnsi="Book Antiqua" w:cs="Arial"/>
        </w:rPr>
        <w:fldChar w:fldCharType="separate"/>
      </w:r>
      <w:r w:rsidR="00F9796A" w:rsidRPr="00884A81">
        <w:rPr>
          <w:rFonts w:ascii="Book Antiqua" w:hAnsi="Book Antiqua" w:cs="Arial"/>
          <w:noProof/>
          <w:vertAlign w:val="superscript"/>
        </w:rPr>
        <w:t>[46]</w:t>
      </w:r>
      <w:r w:rsidR="00F9796A" w:rsidRPr="00884A81">
        <w:rPr>
          <w:rFonts w:ascii="Book Antiqua" w:hAnsi="Book Antiqua" w:cs="Arial"/>
        </w:rPr>
        <w:fldChar w:fldCharType="end"/>
      </w:r>
      <w:r w:rsidR="00CF2492" w:rsidRPr="00884A81">
        <w:rPr>
          <w:rFonts w:ascii="Book Antiqua" w:hAnsi="Book Antiqua" w:cs="Arial"/>
        </w:rPr>
        <w:t xml:space="preserve">. </w:t>
      </w:r>
      <w:r w:rsidR="00B95039" w:rsidRPr="00884A81">
        <w:rPr>
          <w:rFonts w:ascii="Book Antiqua" w:hAnsi="Book Antiqua" w:cs="Arial"/>
        </w:rPr>
        <w:t xml:space="preserve">A reduction in intrahepatic vasodilators (of which nitric oxide </w:t>
      </w:r>
      <w:r w:rsidR="003A05B4" w:rsidRPr="00884A81">
        <w:rPr>
          <w:rFonts w:ascii="Book Antiqua" w:hAnsi="Book Antiqua" w:cs="Arial"/>
        </w:rPr>
        <w:t xml:space="preserve">may be </w:t>
      </w:r>
      <w:r w:rsidR="00B95039" w:rsidRPr="00884A81">
        <w:rPr>
          <w:rFonts w:ascii="Book Antiqua" w:hAnsi="Book Antiqua" w:cs="Arial"/>
        </w:rPr>
        <w:t>the most important) combined with an increased activity and sensitivity to endogenous vasoconstrictors contribute to the dysfunction of sinusoidal endothelial cell</w:t>
      </w:r>
      <w:r w:rsidR="00C22B86" w:rsidRPr="00884A81">
        <w:rPr>
          <w:rFonts w:ascii="Book Antiqua" w:hAnsi="Book Antiqua" w:cs="Arial"/>
        </w:rPr>
        <w:t>s with vasoconstriction of microvasculature and increased HVR</w:t>
      </w:r>
      <w:r w:rsidR="00F9796A" w:rsidRPr="00884A81">
        <w:rPr>
          <w:rFonts w:ascii="Book Antiqua" w:hAnsi="Book Antiqua" w:cs="Arial"/>
        </w:rPr>
        <w:fldChar w:fldCharType="begin" w:fldLock="1"/>
      </w:r>
      <w:r w:rsidR="00F9796A" w:rsidRPr="00884A81">
        <w:rPr>
          <w:rFonts w:ascii="Book Antiqua" w:hAnsi="Book Antiqua" w:cs="Arial"/>
        </w:rPr>
        <w:instrText>ADDIN CSL_CITATION { "citationItems" : [ { "id" : "ITEM-1", "itemData" : { "DOI" : "10.1016/j.jhep.2012.03.007", "ISSN" : "1600-0641", "PMID" : "22504334", "author" : [ { "dropping-particle" : "", "family" : "Garc\u00eda-Pag\u00e1n", "given" : "Juan-Carlos", "non-dropping-particle" : "", "parse-names" : false, "suffix" : "" }, { "dropping-particle" : "", "family" : "Gracia-Sancho", "given" : "Jorge", "non-dropping-particle" : "", "parse-names" : false, "suffix" : "" }, { "dropping-particle" : "", "family" : "Bosch", "given" : "Jaume", "non-dropping-particle" : "", "parse-names" : false, "suffix" : "" } ], "container-title" : "Journal of hepatology", "id" : "ITEM-1", "issue" : "2", "issued" : { "date-parts" : [ [ "2012", "8" ] ] }, "page" : "458-61", "title" : "Functional aspects on the pathophysiology of portal hypertension in cirrhosis.", "type" : "article-journal", "volume" : "57" }, "uris" : [ "http://www.mendeley.com/documents/?uuid=5af19a9e-7c42-4054-a338-e6a4266c4569" ] } ], "mendeley" : { "formattedCitation" : "&lt;sup&gt;[46]&lt;/sup&gt;", "plainTextFormattedCitation" : "[46]", "previouslyFormattedCitation" : "&lt;sup&gt;[47]&lt;/sup&gt;" }, "properties" : { "noteIndex" : 0 }, "schema" : "https://github.com/citation-style-language/schema/raw/master/csl-citation.json" }</w:instrText>
      </w:r>
      <w:r w:rsidR="00F9796A" w:rsidRPr="00884A81">
        <w:rPr>
          <w:rFonts w:ascii="Book Antiqua" w:hAnsi="Book Antiqua" w:cs="Arial"/>
        </w:rPr>
        <w:fldChar w:fldCharType="separate"/>
      </w:r>
      <w:r w:rsidR="00F9796A" w:rsidRPr="00884A81">
        <w:rPr>
          <w:rFonts w:ascii="Book Antiqua" w:hAnsi="Book Antiqua" w:cs="Arial"/>
          <w:noProof/>
          <w:vertAlign w:val="superscript"/>
        </w:rPr>
        <w:t>[46]</w:t>
      </w:r>
      <w:r w:rsidR="00F9796A" w:rsidRPr="00884A81">
        <w:rPr>
          <w:rFonts w:ascii="Book Antiqua" w:hAnsi="Book Antiqua" w:cs="Arial"/>
        </w:rPr>
        <w:fldChar w:fldCharType="end"/>
      </w:r>
      <w:r w:rsidR="007961A2" w:rsidRPr="00884A81">
        <w:rPr>
          <w:rFonts w:ascii="Book Antiqua" w:hAnsi="Book Antiqua" w:cs="Arial"/>
        </w:rPr>
        <w:t>.</w:t>
      </w:r>
      <w:r w:rsidR="00B95039" w:rsidRPr="00884A81">
        <w:rPr>
          <w:rFonts w:ascii="Book Antiqua" w:hAnsi="Book Antiqua" w:cs="Arial"/>
        </w:rPr>
        <w:t xml:space="preserve"> </w:t>
      </w:r>
      <w:r w:rsidR="00C22B86" w:rsidRPr="00884A81">
        <w:rPr>
          <w:rFonts w:ascii="Book Antiqua" w:hAnsi="Book Antiqua" w:cs="Arial"/>
        </w:rPr>
        <w:t>As po</w:t>
      </w:r>
      <w:r w:rsidR="003A05B4" w:rsidRPr="00884A81">
        <w:rPr>
          <w:rFonts w:ascii="Book Antiqua" w:hAnsi="Book Antiqua" w:cs="Arial"/>
        </w:rPr>
        <w:t>rtal hypertension develops porto</w:t>
      </w:r>
      <w:r w:rsidR="00C22B86" w:rsidRPr="00884A81">
        <w:rPr>
          <w:rFonts w:ascii="Book Antiqua" w:hAnsi="Book Antiqua" w:cs="Arial"/>
        </w:rPr>
        <w:t xml:space="preserve">systemic collateral vessels form and blood from the </w:t>
      </w:r>
      <w:r w:rsidR="00E64179" w:rsidRPr="00884A81">
        <w:rPr>
          <w:rFonts w:ascii="Book Antiqua" w:hAnsi="Book Antiqua" w:cs="Arial"/>
        </w:rPr>
        <w:t xml:space="preserve">splanchnic circulation </w:t>
      </w:r>
      <w:r w:rsidR="007961A2" w:rsidRPr="00884A81">
        <w:rPr>
          <w:rFonts w:ascii="Book Antiqua" w:hAnsi="Book Antiqua" w:cs="Arial"/>
        </w:rPr>
        <w:t xml:space="preserve">is </w:t>
      </w:r>
      <w:r w:rsidR="00C22B86" w:rsidRPr="00884A81">
        <w:rPr>
          <w:rFonts w:ascii="Book Antiqua" w:hAnsi="Book Antiqua" w:cs="Arial"/>
        </w:rPr>
        <w:t>divert</w:t>
      </w:r>
      <w:r w:rsidR="007961A2" w:rsidRPr="00884A81">
        <w:rPr>
          <w:rFonts w:ascii="Book Antiqua" w:hAnsi="Book Antiqua" w:cs="Arial"/>
        </w:rPr>
        <w:t>ed</w:t>
      </w:r>
      <w:r w:rsidR="00C22B86" w:rsidRPr="00884A81">
        <w:rPr>
          <w:rFonts w:ascii="Book Antiqua" w:hAnsi="Book Antiqua" w:cs="Arial"/>
        </w:rPr>
        <w:t xml:space="preserve"> into these collateral vessels</w:t>
      </w:r>
      <w:r w:rsidR="00F9796A" w:rsidRPr="00884A81">
        <w:rPr>
          <w:rFonts w:ascii="Book Antiqua" w:hAnsi="Book Antiqua" w:cs="Arial"/>
        </w:rPr>
        <w:fldChar w:fldCharType="begin" w:fldLock="1"/>
      </w:r>
      <w:r w:rsidR="00F9796A" w:rsidRPr="00884A81">
        <w:rPr>
          <w:rFonts w:ascii="Book Antiqua" w:hAnsi="Book Antiqua" w:cs="Arial"/>
        </w:rPr>
        <w:instrText>ADDIN CSL_CITATION { "citationItems" : [ { "id" : "ITEM-1", "itemData" : { "DOI" : "10.1016/j.jhep.2012.03.007", "ISSN" : "1600-0641", "PMID" : "22504334", "author" : [ { "dropping-particle" : "", "family" : "Garc\u00eda-Pag\u00e1n", "given" : "Juan-Carlos", "non-dropping-particle" : "", "parse-names" : false, "suffix" : "" }, { "dropping-particle" : "", "family" : "Gracia-Sancho", "given" : "Jorge", "non-dropping-particle" : "", "parse-names" : false, "suffix" : "" }, { "dropping-particle" : "", "family" : "Bosch", "given" : "Jaume", "non-dropping-particle" : "", "parse-names" : false, "suffix" : "" } ], "container-title" : "Journal of hepatology", "id" : "ITEM-1", "issue" : "2", "issued" : { "date-parts" : [ [ "2012", "8" ] ] }, "page" : "458-61", "title" : "Functional aspects on the pathophysiology of portal hypertension in cirrhosis.", "type" : "article-journal", "volume" : "57" }, "uris" : [ "http://www.mendeley.com/documents/?uuid=5af19a9e-7c42-4054-a338-e6a4266c4569" ] } ], "mendeley" : { "formattedCitation" : "&lt;sup&gt;[46]&lt;/sup&gt;", "plainTextFormattedCitation" : "[46]", "previouslyFormattedCitation" : "&lt;sup&gt;[47]&lt;/sup&gt;" }, "properties" : { "noteIndex" : 0 }, "schema" : "https://github.com/citation-style-language/schema/raw/master/csl-citation.json" }</w:instrText>
      </w:r>
      <w:r w:rsidR="00F9796A" w:rsidRPr="00884A81">
        <w:rPr>
          <w:rFonts w:ascii="Book Antiqua" w:hAnsi="Book Antiqua" w:cs="Arial"/>
        </w:rPr>
        <w:fldChar w:fldCharType="separate"/>
      </w:r>
      <w:r w:rsidR="00F9796A" w:rsidRPr="00884A81">
        <w:rPr>
          <w:rFonts w:ascii="Book Antiqua" w:hAnsi="Book Antiqua" w:cs="Arial"/>
          <w:noProof/>
          <w:vertAlign w:val="superscript"/>
        </w:rPr>
        <w:t>[46]</w:t>
      </w:r>
      <w:r w:rsidR="00F9796A" w:rsidRPr="00884A81">
        <w:rPr>
          <w:rFonts w:ascii="Book Antiqua" w:hAnsi="Book Antiqua" w:cs="Arial"/>
        </w:rPr>
        <w:fldChar w:fldCharType="end"/>
      </w:r>
      <w:r w:rsidR="00C22B86" w:rsidRPr="00884A81">
        <w:rPr>
          <w:rFonts w:ascii="Book Antiqua" w:hAnsi="Book Antiqua" w:cs="Arial"/>
        </w:rPr>
        <w:t xml:space="preserve">. </w:t>
      </w:r>
      <w:r w:rsidR="00E64179" w:rsidRPr="00884A81">
        <w:rPr>
          <w:rFonts w:ascii="Book Antiqua" w:hAnsi="Book Antiqua" w:cs="Arial"/>
        </w:rPr>
        <w:t xml:space="preserve">In addition to increased portal blood flow, </w:t>
      </w:r>
      <w:r w:rsidR="00D06515" w:rsidRPr="00884A81">
        <w:rPr>
          <w:rFonts w:ascii="Book Antiqua" w:hAnsi="Book Antiqua" w:cs="Arial"/>
        </w:rPr>
        <w:t>thinning of arterial walls in</w:t>
      </w:r>
      <w:r w:rsidR="00E64179" w:rsidRPr="00884A81">
        <w:rPr>
          <w:rFonts w:ascii="Book Antiqua" w:hAnsi="Book Antiqua" w:cs="Arial"/>
        </w:rPr>
        <w:t xml:space="preserve"> these circulatory beds increase the susceptibility for blood loss</w:t>
      </w:r>
      <w:r w:rsidR="007961A2" w:rsidRPr="00884A81">
        <w:rPr>
          <w:rFonts w:ascii="Book Antiqua" w:hAnsi="Book Antiqua" w:cs="Arial"/>
        </w:rPr>
        <w:t>.</w:t>
      </w:r>
      <w:r w:rsidR="00E64179" w:rsidRPr="00884A81">
        <w:rPr>
          <w:rFonts w:ascii="Book Antiqua" w:hAnsi="Book Antiqua" w:cs="Arial"/>
        </w:rPr>
        <w:t xml:space="preserve"> </w:t>
      </w:r>
    </w:p>
    <w:p w14:paraId="7459BEB6" w14:textId="77777777" w:rsidR="00BB2339" w:rsidRPr="00884A81" w:rsidRDefault="00BB2339" w:rsidP="00884A81">
      <w:pPr>
        <w:spacing w:line="360" w:lineRule="auto"/>
        <w:jc w:val="both"/>
        <w:rPr>
          <w:rFonts w:ascii="Book Antiqua" w:hAnsi="Book Antiqua" w:cs="Arial"/>
        </w:rPr>
      </w:pPr>
    </w:p>
    <w:p w14:paraId="76C613DF" w14:textId="410A16FD" w:rsidR="00384085" w:rsidRPr="00F9796A" w:rsidRDefault="00C22B86" w:rsidP="00884A81">
      <w:pPr>
        <w:spacing w:line="360" w:lineRule="auto"/>
        <w:jc w:val="both"/>
        <w:rPr>
          <w:rFonts w:ascii="Book Antiqua" w:hAnsi="Book Antiqua" w:cs="Arial"/>
          <w:b/>
        </w:rPr>
      </w:pPr>
      <w:r w:rsidRPr="00F9796A">
        <w:rPr>
          <w:rFonts w:ascii="Book Antiqua" w:hAnsi="Book Antiqua" w:cs="Arial"/>
          <w:b/>
          <w:i/>
        </w:rPr>
        <w:t>Coagulopathy of liver disease</w:t>
      </w:r>
    </w:p>
    <w:p w14:paraId="1993E054" w14:textId="2590069F" w:rsidR="001D6DC4" w:rsidRPr="00884A81" w:rsidRDefault="00657844" w:rsidP="00884A81">
      <w:pPr>
        <w:spacing w:line="360" w:lineRule="auto"/>
        <w:jc w:val="both"/>
        <w:rPr>
          <w:rFonts w:ascii="Book Antiqua" w:hAnsi="Book Antiqua" w:cs="Arial"/>
        </w:rPr>
      </w:pPr>
      <w:r w:rsidRPr="00884A81">
        <w:rPr>
          <w:rFonts w:ascii="Book Antiqua" w:hAnsi="Book Antiqua" w:cs="Arial"/>
        </w:rPr>
        <w:lastRenderedPageBreak/>
        <w:t>The liver synthesise</w:t>
      </w:r>
      <w:r w:rsidR="00E170B7" w:rsidRPr="00884A81">
        <w:rPr>
          <w:rFonts w:ascii="Book Antiqua" w:hAnsi="Book Antiqua" w:cs="Arial"/>
        </w:rPr>
        <w:t>s most of the circulating coagulation proteins needed in haemostasis</w:t>
      </w:r>
      <w:r w:rsidR="00FC452F" w:rsidRPr="00884A81">
        <w:rPr>
          <w:rFonts w:ascii="Book Antiqua" w:hAnsi="Book Antiqua" w:cs="Arial"/>
        </w:rPr>
        <w:t xml:space="preserve">, </w:t>
      </w:r>
      <w:r w:rsidR="00EE464B" w:rsidRPr="00884A81">
        <w:rPr>
          <w:rFonts w:ascii="Book Antiqua" w:hAnsi="Book Antiqua" w:cs="Arial"/>
        </w:rPr>
        <w:t>therefore</w:t>
      </w:r>
      <w:r w:rsidR="001D6DC4" w:rsidRPr="00884A81">
        <w:rPr>
          <w:rFonts w:ascii="Book Antiqua" w:hAnsi="Book Antiqua" w:cs="Arial"/>
        </w:rPr>
        <w:t xml:space="preserve"> </w:t>
      </w:r>
      <w:r w:rsidR="00223708" w:rsidRPr="00884A81">
        <w:rPr>
          <w:rFonts w:ascii="Book Antiqua" w:hAnsi="Book Antiqua" w:cs="Arial"/>
        </w:rPr>
        <w:t xml:space="preserve">there is a </w:t>
      </w:r>
      <w:r w:rsidR="001D6DC4" w:rsidRPr="00884A81">
        <w:rPr>
          <w:rFonts w:ascii="Book Antiqua" w:hAnsi="Book Antiqua" w:cs="Arial"/>
        </w:rPr>
        <w:t>decrease</w:t>
      </w:r>
      <w:r w:rsidR="00EE464B" w:rsidRPr="00884A81">
        <w:rPr>
          <w:rFonts w:ascii="Book Antiqua" w:hAnsi="Book Antiqua" w:cs="Arial"/>
        </w:rPr>
        <w:t>d</w:t>
      </w:r>
      <w:r w:rsidR="001D6DC4" w:rsidRPr="00884A81">
        <w:rPr>
          <w:rFonts w:ascii="Book Antiqua" w:hAnsi="Book Antiqua" w:cs="Arial"/>
        </w:rPr>
        <w:t xml:space="preserve"> level of many of these proteins</w:t>
      </w:r>
      <w:r w:rsidR="00D06515" w:rsidRPr="00884A81">
        <w:rPr>
          <w:rFonts w:ascii="Book Antiqua" w:hAnsi="Book Antiqua" w:cs="Arial"/>
        </w:rPr>
        <w:t xml:space="preserve"> in liver failure</w:t>
      </w:r>
      <w:r w:rsidR="00F9796A" w:rsidRPr="00884A81">
        <w:rPr>
          <w:rFonts w:ascii="Book Antiqua" w:hAnsi="Book Antiqua" w:cs="Arial"/>
        </w:rPr>
        <w:fldChar w:fldCharType="begin" w:fldLock="1"/>
      </w:r>
      <w:r w:rsidR="00F9796A" w:rsidRPr="00884A81">
        <w:rPr>
          <w:rFonts w:ascii="Book Antiqua" w:hAnsi="Book Antiqua" w:cs="Arial"/>
        </w:rPr>
        <w:instrText>ADDIN CSL_CITATION { "citationItems" : [ { "id" : "ITEM-1", "itemData" : { "DOI" : "10.1056/NEJMra1011170", "ISSN" : "1533-4406", "PMID" : "21751907", "author" : [ { "dropping-particle" : "", "family" : "Tripodi", "given" : "Armando", "non-dropping-particle" : "", "parse-names" : false, "suffix" : "" }, { "dropping-particle" : "", "family" : "Mannucci", "given" : "Pier Mannuccio", "non-dropping-particle" : "", "parse-names" : false, "suffix" : "" } ], "container-title" : "The New England journal of medicine", "id" : "ITEM-1", "issue" : "2", "issued" : { "date-parts" : [ [ "2011", "7", "14" ] ] }, "page" : "147-56", "title" : "The coagulopathy of chronic liver disease.", "type" : "article-journal", "volume" : "365" }, "uris" : [ "http://www.mendeley.com/documents/?uuid=1743fef7-b5e2-4f25-964b-58f20deb8bc3" ] } ], "mendeley" : { "formattedCitation" : "&lt;sup&gt;[47]&lt;/sup&gt;", "plainTextFormattedCitation" : "[47]", "previouslyFormattedCitation" : "&lt;sup&gt;[48]&lt;/sup&gt;" }, "properties" : { "noteIndex" : 0 }, "schema" : "https://github.com/citation-style-language/schema/raw/master/csl-citation.json" }</w:instrText>
      </w:r>
      <w:r w:rsidR="00F9796A" w:rsidRPr="00884A81">
        <w:rPr>
          <w:rFonts w:ascii="Book Antiqua" w:hAnsi="Book Antiqua" w:cs="Arial"/>
        </w:rPr>
        <w:fldChar w:fldCharType="separate"/>
      </w:r>
      <w:r w:rsidR="00F9796A" w:rsidRPr="00884A81">
        <w:rPr>
          <w:rFonts w:ascii="Book Antiqua" w:hAnsi="Book Antiqua" w:cs="Arial"/>
          <w:noProof/>
          <w:vertAlign w:val="superscript"/>
        </w:rPr>
        <w:t>[47]</w:t>
      </w:r>
      <w:r w:rsidR="00F9796A" w:rsidRPr="00884A81">
        <w:rPr>
          <w:rFonts w:ascii="Book Antiqua" w:hAnsi="Book Antiqua" w:cs="Arial"/>
        </w:rPr>
        <w:fldChar w:fldCharType="end"/>
      </w:r>
      <w:r w:rsidR="006D6B61" w:rsidRPr="00884A81">
        <w:rPr>
          <w:rFonts w:ascii="Book Antiqua" w:hAnsi="Book Antiqua" w:cs="Arial"/>
        </w:rPr>
        <w:t>.</w:t>
      </w:r>
      <w:r w:rsidR="001D6DC4" w:rsidRPr="00884A81">
        <w:rPr>
          <w:rFonts w:ascii="Book Antiqua" w:hAnsi="Book Antiqua" w:cs="Arial"/>
        </w:rPr>
        <w:t xml:space="preserve"> Conventional tests of coagulation are often deranged</w:t>
      </w:r>
      <w:r w:rsidR="00103A85" w:rsidRPr="00884A81">
        <w:rPr>
          <w:rFonts w:ascii="Book Antiqua" w:hAnsi="Book Antiqua" w:cs="Arial"/>
        </w:rPr>
        <w:t xml:space="preserve"> in advanced liver disease reflecting the deficiency in procoagulant factors</w:t>
      </w:r>
      <w:r w:rsidRPr="00884A81">
        <w:rPr>
          <w:rFonts w:ascii="Book Antiqua" w:hAnsi="Book Antiqua" w:cs="Arial"/>
        </w:rPr>
        <w:t>.</w:t>
      </w:r>
      <w:r w:rsidR="00884A81" w:rsidRPr="00884A81">
        <w:rPr>
          <w:rFonts w:ascii="Book Antiqua" w:hAnsi="Book Antiqua" w:cs="Arial"/>
        </w:rPr>
        <w:t xml:space="preserve"> </w:t>
      </w:r>
      <w:r w:rsidRPr="00884A81">
        <w:rPr>
          <w:rFonts w:ascii="Book Antiqua" w:hAnsi="Book Antiqua" w:cs="Arial"/>
        </w:rPr>
        <w:t>T</w:t>
      </w:r>
      <w:r w:rsidR="00103A85" w:rsidRPr="00884A81">
        <w:rPr>
          <w:rFonts w:ascii="Book Antiqua" w:hAnsi="Book Antiqua" w:cs="Arial"/>
        </w:rPr>
        <w:t xml:space="preserve">he </w:t>
      </w:r>
      <w:r w:rsidR="00F9796A" w:rsidRPr="00884A81">
        <w:rPr>
          <w:rFonts w:ascii="Book Antiqua" w:hAnsi="Book Antiqua" w:cs="Arial"/>
        </w:rPr>
        <w:t>prothrombin time</w:t>
      </w:r>
      <w:r w:rsidR="00103A85" w:rsidRPr="00884A81">
        <w:rPr>
          <w:rFonts w:ascii="Book Antiqua" w:hAnsi="Book Antiqua" w:cs="Arial"/>
        </w:rPr>
        <w:t xml:space="preserve"> (PT) </w:t>
      </w:r>
      <w:r w:rsidR="004519EF" w:rsidRPr="00884A81">
        <w:rPr>
          <w:rFonts w:ascii="Book Antiqua" w:hAnsi="Book Antiqua" w:cs="Arial"/>
        </w:rPr>
        <w:t>and</w:t>
      </w:r>
      <w:r w:rsidR="00103A85" w:rsidRPr="00884A81">
        <w:rPr>
          <w:rFonts w:ascii="Book Antiqua" w:hAnsi="Book Antiqua" w:cs="Arial"/>
        </w:rPr>
        <w:t xml:space="preserve"> </w:t>
      </w:r>
      <w:r w:rsidR="00F9796A" w:rsidRPr="00884A81">
        <w:rPr>
          <w:rFonts w:ascii="Book Antiqua" w:hAnsi="Book Antiqua" w:cs="Arial"/>
        </w:rPr>
        <w:t>international normalised ratio</w:t>
      </w:r>
      <w:r w:rsidR="00103A85" w:rsidRPr="00884A81">
        <w:rPr>
          <w:rFonts w:ascii="Book Antiqua" w:hAnsi="Book Antiqua" w:cs="Arial"/>
        </w:rPr>
        <w:t xml:space="preserve"> (INR) are useful markers of </w:t>
      </w:r>
      <w:r w:rsidRPr="00884A81">
        <w:rPr>
          <w:rFonts w:ascii="Book Antiqua" w:hAnsi="Book Antiqua" w:cs="Arial"/>
        </w:rPr>
        <w:t xml:space="preserve">hepatic </w:t>
      </w:r>
      <w:r w:rsidR="00103A85" w:rsidRPr="00884A81">
        <w:rPr>
          <w:rFonts w:ascii="Book Antiqua" w:hAnsi="Book Antiqua" w:cs="Arial"/>
        </w:rPr>
        <w:t>synthetic function</w:t>
      </w:r>
      <w:r w:rsidR="00FC452F" w:rsidRPr="00884A81">
        <w:rPr>
          <w:rFonts w:ascii="Book Antiqua" w:hAnsi="Book Antiqua" w:cs="Arial"/>
        </w:rPr>
        <w:t>.</w:t>
      </w:r>
      <w:r w:rsidR="00884A81" w:rsidRPr="00884A81">
        <w:rPr>
          <w:rFonts w:ascii="Book Antiqua" w:hAnsi="Book Antiqua" w:cs="Arial"/>
        </w:rPr>
        <w:t xml:space="preserve"> </w:t>
      </w:r>
      <w:r w:rsidR="00FC452F" w:rsidRPr="00884A81">
        <w:rPr>
          <w:rFonts w:ascii="Book Antiqua" w:hAnsi="Book Antiqua" w:cs="Arial"/>
        </w:rPr>
        <w:t xml:space="preserve">The </w:t>
      </w:r>
      <w:r w:rsidR="00103A85" w:rsidRPr="00884A81">
        <w:rPr>
          <w:rFonts w:ascii="Book Antiqua" w:hAnsi="Book Antiqua" w:cs="Arial"/>
        </w:rPr>
        <w:t xml:space="preserve">INR </w:t>
      </w:r>
      <w:r w:rsidR="00FC452F" w:rsidRPr="00884A81">
        <w:rPr>
          <w:rFonts w:ascii="Book Antiqua" w:hAnsi="Book Antiqua" w:cs="Arial"/>
        </w:rPr>
        <w:t xml:space="preserve">is also used </w:t>
      </w:r>
      <w:r w:rsidR="00665D35" w:rsidRPr="00884A81">
        <w:rPr>
          <w:rFonts w:ascii="Book Antiqua" w:hAnsi="Book Antiqua" w:cs="Arial"/>
        </w:rPr>
        <w:t xml:space="preserve">in combination with recipient age, bilirubin and creatinine </w:t>
      </w:r>
      <w:r w:rsidR="00103A85" w:rsidRPr="00884A81">
        <w:rPr>
          <w:rFonts w:ascii="Book Antiqua" w:hAnsi="Book Antiqua" w:cs="Arial"/>
        </w:rPr>
        <w:t xml:space="preserve">is </w:t>
      </w:r>
      <w:r w:rsidR="00665D35" w:rsidRPr="00884A81">
        <w:rPr>
          <w:rFonts w:ascii="Book Antiqua" w:hAnsi="Book Antiqua" w:cs="Arial"/>
        </w:rPr>
        <w:t>used to calculate the MELD</w:t>
      </w:r>
      <w:r w:rsidR="00EE464B" w:rsidRPr="00884A81">
        <w:rPr>
          <w:rFonts w:ascii="Book Antiqua" w:hAnsi="Book Antiqua" w:cs="Arial"/>
        </w:rPr>
        <w:t xml:space="preserve"> </w:t>
      </w:r>
      <w:r w:rsidR="00665D35" w:rsidRPr="00884A81">
        <w:rPr>
          <w:rFonts w:ascii="Book Antiqua" w:hAnsi="Book Antiqua" w:cs="Arial"/>
        </w:rPr>
        <w:t>score</w:t>
      </w:r>
      <w:r w:rsidR="00EE464B" w:rsidRPr="00884A81">
        <w:rPr>
          <w:rFonts w:ascii="Book Antiqua" w:hAnsi="Book Antiqua" w:cs="Arial"/>
        </w:rPr>
        <w:t>.</w:t>
      </w:r>
      <w:r w:rsidR="00980CE3" w:rsidRPr="00884A81">
        <w:rPr>
          <w:rFonts w:ascii="Book Antiqua" w:hAnsi="Book Antiqua" w:cs="Arial"/>
        </w:rPr>
        <w:t xml:space="preserve"> </w:t>
      </w:r>
    </w:p>
    <w:p w14:paraId="2A1B0B40" w14:textId="01E11C34" w:rsidR="00384085" w:rsidRPr="00884A81" w:rsidRDefault="009F20FD" w:rsidP="00F9796A">
      <w:pPr>
        <w:spacing w:line="360" w:lineRule="auto"/>
        <w:ind w:firstLineChars="100" w:firstLine="240"/>
        <w:jc w:val="both"/>
        <w:rPr>
          <w:rFonts w:ascii="Book Antiqua" w:hAnsi="Book Antiqua" w:cs="Arial"/>
        </w:rPr>
      </w:pPr>
      <w:r w:rsidRPr="00884A81">
        <w:rPr>
          <w:rFonts w:ascii="Book Antiqua" w:hAnsi="Book Antiqua" w:cs="Arial"/>
        </w:rPr>
        <w:t>Conventional coagulation tests</w:t>
      </w:r>
      <w:r w:rsidR="00070FAE" w:rsidRPr="00884A81">
        <w:rPr>
          <w:rFonts w:ascii="Book Antiqua" w:hAnsi="Book Antiqua" w:cs="Arial"/>
        </w:rPr>
        <w:t xml:space="preserve"> are</w:t>
      </w:r>
      <w:r w:rsidR="00D06515" w:rsidRPr="00884A81">
        <w:rPr>
          <w:rFonts w:ascii="Book Antiqua" w:hAnsi="Book Antiqua" w:cs="Arial"/>
        </w:rPr>
        <w:t>,</w:t>
      </w:r>
      <w:r w:rsidR="00070FAE" w:rsidRPr="00884A81">
        <w:rPr>
          <w:rFonts w:ascii="Book Antiqua" w:hAnsi="Book Antiqua" w:cs="Arial"/>
        </w:rPr>
        <w:t xml:space="preserve"> however</w:t>
      </w:r>
      <w:r w:rsidR="00D06515" w:rsidRPr="00884A81">
        <w:rPr>
          <w:rFonts w:ascii="Book Antiqua" w:hAnsi="Book Antiqua" w:cs="Arial"/>
        </w:rPr>
        <w:t xml:space="preserve">, </w:t>
      </w:r>
      <w:r w:rsidR="00070FAE" w:rsidRPr="00884A81">
        <w:rPr>
          <w:rFonts w:ascii="Book Antiqua" w:hAnsi="Book Antiqua" w:cs="Arial"/>
        </w:rPr>
        <w:t>poor predicator</w:t>
      </w:r>
      <w:r w:rsidR="00D06515" w:rsidRPr="00884A81">
        <w:rPr>
          <w:rFonts w:ascii="Book Antiqua" w:hAnsi="Book Antiqua" w:cs="Arial"/>
        </w:rPr>
        <w:t>s</w:t>
      </w:r>
      <w:r w:rsidR="00070FAE" w:rsidRPr="00884A81">
        <w:rPr>
          <w:rFonts w:ascii="Book Antiqua" w:hAnsi="Book Antiqua" w:cs="Arial"/>
        </w:rPr>
        <w:t xml:space="preserve"> of peri-procedural bleeding in end-stage liver disease with no increase in bleeding seen in patients undergoing cardiac catheterisation</w:t>
      </w:r>
      <w:r w:rsidR="00070FAE"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"DOI" : "10.1016/j.amjcard.2012.05.043", "ISSN" : "1879-1913", "PMID" : "22728001", "abstract" : "Patients with end-stage liver disease frequently require invasive cardiac procedures in preparation for liver transplantation. Because of the impaired hepatic function, these patients often have a prolonged prothrombin time and elevated international normalized ratio (INR). To determine whether an abnormal prothrombin time/INR is predictive of bleeding complications from invasive cardiac procedures, we retrospectively reviewed, for bleeding complications, the databases and case records of our series of patients with advanced cirrhosis who underwent cardiac catheterization. A total of 157 patients underwent isolated right-sided heart catheterization, and 83 underwent left-sided heart catheterization or combined left- and right-sided heart catheterization. The INR ranged from 0.93 to 2.35. No major procedure-related complications occurred. Several patients in each group required a blood transfusion for gastrointestinal bleeding but not for procedure-related bleeding. No significant change was found in the hemoglobin after right-sided or left-sided heart catheterization, and no correlation was found between the preprocedure INR and the change in postprocedure hemoglobin. When comparing patients with a normal (\u22641.5) and elevated (&gt;1.5) INR, no significant difference in hemoglobin after the procedure was found in either group. In conclusion, despite an elevated INR, patients with end-stage liver disease can safely undergo invasive cardiac procedures. An elevated INR does not predict catheterization-related bleeding complications in this patient population.", "author" : [ { "dropping-particle" : "", "family" : "Townsend", "given" : "Jacob C", "non-dropping-particle" : "", "parse-names" : false, "suffix" : "" }, { "dropping-particle" : "", "family" : "Heard", "given" : "Richard", "non-dropping-particle" : "", "parse-names" : false, "suffix" : "" }, { "dropping-particle" : "", "family" : "Powers", "given" : "Eric R", "non-dropping-particle" : "", "parse-names" : false, "suffix" : "" }, { "dropping-particle" : "", "family" : "Reuben", "given" : "Adrian", "non-dropping-particle" : "", "parse-names" : false, "suffix" : "" } ], "container-title" : "The American journal of cardiology", "id" : "ITEM-1", "issue" : "7", "issued" : { "date-parts" : [ [ "2012", "10", "1" ] ] }, "page" : "1062-5", "publisher" : "Townsend,Jacob C. Division of Cardiology, Medical University of South Carolina, Charleston, South Carolina, USA. townsej@musc.edu", "publisher-place" : "United States", "title" : "Usefulness of international normalized ratio to predict bleeding complications in patients with end-stage liver disease who undergo cardiac catheterization.", "type" : "article-journal", "volume" : "110" }, "uris" : [ "http://www.mendeley.com/documents/?uuid=69a4f29f-af6c-4308-976e-97d171cec478" ] } ], "mendeley" : { "formattedCitation" : "&lt;sup&gt;[48]&lt;/sup&gt;", "plainTextFormattedCitation" : "[48]", "previouslyFormattedCitation" : "&lt;sup&gt;[49]&lt;/sup&gt;" }, "properties" : { "noteIndex" : 0 }, "schema" : "https://github.com/citation-style-language/schema/raw/master/csl-citation.json" }</w:instrText>
      </w:r>
      <w:r w:rsidR="00070FAE" w:rsidRPr="00884A81">
        <w:rPr>
          <w:rFonts w:ascii="Book Antiqua" w:hAnsi="Book Antiqua" w:cs="Arial"/>
        </w:rPr>
        <w:fldChar w:fldCharType="separate"/>
      </w:r>
      <w:r w:rsidR="00217BDC" w:rsidRPr="00884A81">
        <w:rPr>
          <w:rFonts w:ascii="Book Antiqua" w:hAnsi="Book Antiqua" w:cs="Arial"/>
          <w:noProof/>
          <w:vertAlign w:val="superscript"/>
        </w:rPr>
        <w:t>[48]</w:t>
      </w:r>
      <w:r w:rsidR="00070FAE" w:rsidRPr="00884A81">
        <w:rPr>
          <w:rFonts w:ascii="Book Antiqua" w:hAnsi="Book Antiqua" w:cs="Arial"/>
        </w:rPr>
        <w:fldChar w:fldCharType="end"/>
      </w:r>
      <w:r w:rsidR="00070FAE" w:rsidRPr="00884A81">
        <w:rPr>
          <w:rFonts w:ascii="Book Antiqua" w:hAnsi="Book Antiqua" w:cs="Arial"/>
        </w:rPr>
        <w:t xml:space="preserve"> or dental extraction</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"10.1016/j.joms.2011.10.033", "ISSN" : "1531-5053", "PMID" : "22374059", "abstract" : "PURPOSE The aim of this prospective observational study was to evaluate the incidence of postoperative bleeding after dental extraction in candidates for liver transplantation and the efficacy of the association of tranexamic acid and absorbable hemostatic sponges. PATIENTS AND METHODS All individuals referred for oral health evaluation requiring extraction were considered in this study. Patients were included in the analysis when the blood examinations showed a platelet count of 30,000/mm(3) or greater and an international normalized ratio (INR) of 3.0 or less. In group 1 local pressure was applied by use of gauze soaked with tranexamic acid, and in group 2 gauze without tranexamic acid was used. Absorbable hemostatic sponges and cross sutures were used as a standard hemostatic measure. RESULTS In the 23 patients included in this study, 84 simple extractions were performed during 35 dental surgical procedures. The main preoperative blood tests found the following: a mean hematocrit level of 34.54% (SD, 5.84%; range, 21.7%-44.4%), platelet counts from 31,000/mm(3) to 160,000/mm(3), and a mean INR of 1.50 (SD, 0.39; range, 0.98-2.59). Postoperative bleeding occurred during only 1 procedure (2.9%), and local pressure with gauze was effective for achieving hemostasis. No statistically significant difference in the time to hemostasis was found between the 2 groups. CONCLUSIONS This study found a low risk of bleeding for tooth extractions in patients with liver cirrhosis, INRs of 2.50 or less, and platelet counts of 30,000/mm(3) or greater. Blood transfusions were not needed, and in the case of postoperative bleeding, the use of local hemostatic measures was satisfactory.", "author" : [ { "dropping-particle" : "", "family" : "Perdig\u00e3o", "given" : "Jo\u00e3o Paulo Veloso", "non-dropping-particle" : "", "parse-names" : false, "suffix" : "" }, { "dropping-particle" : "", "family" : "Almeida", "given" : "Paulo C\u00e9sar", "non-dropping-particle" : "de", "parse-names" : false, "suffix" : "" }, { "dropping-particle" : "", "family" : "Rocha", "given" : "Tarciso Daniel Santos", "non-dropping-particle" : "", "parse-names" : false, "suffix" : "" }, { "dropping-particle" : "", "family" : "Mota", "given" : "M\u00e1rio Rog\u00e9rio Lima", "non-dropping-particle" : "", "parse-names" : false, "suffix" : "" }, { "dropping-particle" : "", "family" : "Soares", "given" : "Eduardo Costa Studart", "non-dropping-particle" : "", "parse-names" : false, "suffix" : "" }, { "dropping-particle" : "", "family" : "Alves", "given" : "Ana Paula Negreiros Nunes", "non-dropping-particle" : "", "parse-names" : false, "suffix" : "" }, { "dropping-particle" : "", "family" : "Sousa", "given" : "Fabr\u00edcio Bitu", "non-dropping-particle" : "", "parse-names" : false, "suffix" : "" } ], "container-title" : "Journal of oral and maxillofacial surgery : official journal of the American Association of Oral and Maxillofacial Surgeons", "id" : "ITEM-1", "issue" : "3", "issued" : { "date-parts" : [ [ "2012", "3" ] ] }, "page" : "e177-84", "publisher" : "Perdigao,Joao Paulo Veloso. School of Dentistry, Federal University of Ceara, Fortaleza, Brazil.", "publisher-place" : "United States", "title" : "Postoperative bleeding after dental extraction in liver pretransplant patients.", "type" : "article-journal", "volume" : "70" }, "uris" : [ "http://www.mendeley.com/documents/?uuid=a59d6607-a390-409f-bd0e-db8ef6631221" ] } ], "mendeley" : { "formattedCitation" : "&lt;sup&gt;[49]&lt;/sup&gt;", "plainTextFormattedCitation" : "[49]", "previouslyFormattedCitation" : "&lt;sup&gt;[50]&lt;/sup&gt;"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[49]</w:t>
      </w:r>
      <w:r w:rsidR="008414CB" w:rsidRPr="00884A81">
        <w:rPr>
          <w:rFonts w:ascii="Book Antiqua" w:hAnsi="Book Antiqua" w:cs="Arial"/>
        </w:rPr>
        <w:fldChar w:fldCharType="end"/>
      </w:r>
      <w:r w:rsidR="00502290" w:rsidRPr="00884A81">
        <w:rPr>
          <w:rFonts w:ascii="Book Antiqua" w:hAnsi="Book Antiqua" w:cs="Arial"/>
        </w:rPr>
        <w:t>.</w:t>
      </w:r>
      <w:r w:rsidR="00070FAE" w:rsidRPr="00884A81">
        <w:rPr>
          <w:rFonts w:ascii="Book Antiqua" w:hAnsi="Book Antiqua" w:cs="Arial"/>
        </w:rPr>
        <w:t xml:space="preserve"> The main source of bleeding seen in liver disease</w:t>
      </w:r>
      <w:r w:rsidR="0028260B" w:rsidRPr="00884A81">
        <w:rPr>
          <w:rFonts w:ascii="Book Antiqua" w:hAnsi="Book Antiqua" w:cs="Arial"/>
        </w:rPr>
        <w:t xml:space="preserve"> pre-transplant</w:t>
      </w:r>
      <w:r w:rsidR="00070FAE" w:rsidRPr="00884A81">
        <w:rPr>
          <w:rFonts w:ascii="Book Antiqua" w:hAnsi="Book Antiqua" w:cs="Arial"/>
        </w:rPr>
        <w:t xml:space="preserve"> is secondary </w:t>
      </w:r>
      <w:r w:rsidR="0028260B" w:rsidRPr="00884A81">
        <w:rPr>
          <w:rFonts w:ascii="Book Antiqua" w:hAnsi="Book Antiqua" w:cs="Arial"/>
        </w:rPr>
        <w:t xml:space="preserve">to variceal haemorrhage, with portal hypertension and splanchnic </w:t>
      </w:r>
      <w:r w:rsidR="005E489C" w:rsidRPr="00884A81">
        <w:rPr>
          <w:rFonts w:ascii="Book Antiqua" w:hAnsi="Book Antiqua" w:cs="Arial"/>
        </w:rPr>
        <w:t>haemodynamics</w:t>
      </w:r>
      <w:r w:rsidR="0028260B" w:rsidRPr="00884A81">
        <w:rPr>
          <w:rFonts w:ascii="Book Antiqua" w:hAnsi="Book Antiqua" w:cs="Arial"/>
        </w:rPr>
        <w:t xml:space="preserve"> the</w:t>
      </w:r>
      <w:r w:rsidR="00070FAE" w:rsidRPr="00884A81">
        <w:rPr>
          <w:rFonts w:ascii="Book Antiqua" w:hAnsi="Book Antiqua" w:cs="Arial"/>
        </w:rPr>
        <w:t xml:space="preserve"> proposed mechanism </w:t>
      </w:r>
      <w:r w:rsidR="0028260B" w:rsidRPr="00884A81">
        <w:rPr>
          <w:rFonts w:ascii="Book Antiqua" w:hAnsi="Book Antiqua" w:cs="Arial"/>
        </w:rPr>
        <w:t xml:space="preserve">for bleeding rather than coagulopathy. </w:t>
      </w:r>
    </w:p>
    <w:p w14:paraId="1B7FAFD9" w14:textId="042140E4" w:rsidR="00194A54" w:rsidRPr="00884A81" w:rsidRDefault="00070FAE" w:rsidP="008414CB">
      <w:pPr>
        <w:spacing w:line="360" w:lineRule="auto"/>
        <w:ind w:firstLineChars="100" w:firstLine="240"/>
        <w:jc w:val="both"/>
        <w:rPr>
          <w:rFonts w:ascii="Book Antiqua" w:hAnsi="Book Antiqua" w:cs="Arial"/>
        </w:rPr>
      </w:pPr>
      <w:r w:rsidRPr="00884A81">
        <w:rPr>
          <w:rFonts w:ascii="Book Antiqua" w:hAnsi="Book Antiqua" w:cs="Arial"/>
        </w:rPr>
        <w:t>The haemo</w:t>
      </w:r>
      <w:r w:rsidR="00223708" w:rsidRPr="00884A81">
        <w:rPr>
          <w:rFonts w:ascii="Book Antiqua" w:hAnsi="Book Antiqua" w:cs="Arial"/>
        </w:rPr>
        <w:t xml:space="preserve">stasis in liver failure </w:t>
      </w:r>
      <w:r w:rsidR="00B90E61" w:rsidRPr="00884A81">
        <w:rPr>
          <w:rFonts w:ascii="Book Antiqua" w:hAnsi="Book Antiqua" w:cs="Arial"/>
        </w:rPr>
        <w:t xml:space="preserve">is neither </w:t>
      </w:r>
      <w:r w:rsidR="009F20FD" w:rsidRPr="00884A81">
        <w:rPr>
          <w:rFonts w:ascii="Book Antiqua" w:hAnsi="Book Antiqua" w:cs="Arial"/>
        </w:rPr>
        <w:t>shifted towards bleeding nor thrombosis</w:t>
      </w:r>
      <w:r w:rsidR="00223708" w:rsidRPr="00884A81">
        <w:rPr>
          <w:rFonts w:ascii="Book Antiqua" w:hAnsi="Book Antiqua" w:cs="Arial"/>
        </w:rPr>
        <w:t>,</w:t>
      </w:r>
      <w:r w:rsidRPr="00884A81">
        <w:rPr>
          <w:rFonts w:ascii="Book Antiqua" w:hAnsi="Book Antiqua" w:cs="Arial"/>
        </w:rPr>
        <w:t xml:space="preserve"> but </w:t>
      </w:r>
      <w:r w:rsidR="00EA175C" w:rsidRPr="00884A81">
        <w:rPr>
          <w:rFonts w:ascii="Book Antiqua" w:hAnsi="Book Antiqua" w:cs="Arial"/>
        </w:rPr>
        <w:t>has been referred to as a balanced coagulopathy</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"10.1055/s-0035-1550435", "ISBN" : "0035155043", "ISSN" : "1098-9064", "PMID" : "26049068", "abstract" : "The liver plays a key role in hemostasis as the site of synthesis of many of the proteins involved in the coagulation, antithrombotic and fibrinolytic systems that interact to both establish hemostasis, and preventing thrombosis. The common laboratory tests, prothrombin time (PT) and activated partial thromboplastin time (aPTT), evolved from studies of plasma clotting in test tubes. Such studies laid the basis for the coagulation cascade model of hemostasis. However, thought has evolved to place a greater emphasis on the active roles of cells in localizing and regulating hemostasis. The PT and aPTT do not reflect the roles of cellular elements in hemostasis, nor do they reflect the crucial roles of antithrombotic and fibrinolytic systems. Thus, though the PT may indeed reflect the synthetic capacity of the liver, it does not accurately reflect the risk of bleeding or thrombosis in patients with liver failure.", "author" : [ { "dropping-particle" : "", "family" : "Hoffman", "given" : "Maureane", "non-dropping-particle" : "", "parse-names" : false, "suffix" : "" } ], "container-title" : "Seminars in thrombosis and hemostasis", "id" : "ITEM-1", "issue" : "5", "issued" : { "date-parts" : [ [ "2015", "7", "6" ] ] }, "page" : "447-54", "title" : "Coagulation in Liver Disease.", "type" : "article-journal", "volume" : "41" }, "uris" : [ "http://www.mendeley.com/documents/?uuid=74dfbce2-00b1-46ed-95f1-ba30b472b374" ] } ], "mendeley" : { "formattedCitation" : "&lt;sup&gt;[50]&lt;/sup&gt;", "plainTextFormattedCitation" : "[50]", "previouslyFormattedCitation" : "&lt;sup&gt;[51]&lt;/sup&gt;"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[50]</w:t>
      </w:r>
      <w:r w:rsidR="008414CB" w:rsidRPr="00884A81">
        <w:rPr>
          <w:rFonts w:ascii="Book Antiqua" w:hAnsi="Book Antiqua" w:cs="Arial"/>
        </w:rPr>
        <w:fldChar w:fldCharType="end"/>
      </w:r>
      <w:r w:rsidR="006D6B61" w:rsidRPr="00884A81">
        <w:rPr>
          <w:rFonts w:ascii="Book Antiqua" w:hAnsi="Book Antiqua" w:cs="Arial"/>
        </w:rPr>
        <w:t>.</w:t>
      </w:r>
      <w:r w:rsidRPr="00884A81">
        <w:rPr>
          <w:rFonts w:ascii="Book Antiqua" w:hAnsi="Book Antiqua" w:cs="Arial"/>
        </w:rPr>
        <w:t xml:space="preserve"> </w:t>
      </w:r>
      <w:r w:rsidR="00223384" w:rsidRPr="00884A81">
        <w:rPr>
          <w:rFonts w:ascii="Book Antiqua" w:hAnsi="Book Antiqua" w:cs="Arial"/>
        </w:rPr>
        <w:t>Thrombocytopenia</w:t>
      </w:r>
      <w:r w:rsidRPr="00884A81">
        <w:rPr>
          <w:rFonts w:ascii="Book Antiqua" w:hAnsi="Book Antiqua" w:cs="Arial"/>
        </w:rPr>
        <w:t xml:space="preserve"> and reduced platelet function i</w:t>
      </w:r>
      <w:r w:rsidR="00B90E61" w:rsidRPr="00884A81">
        <w:rPr>
          <w:rFonts w:ascii="Book Antiqua" w:hAnsi="Book Antiqua" w:cs="Arial"/>
        </w:rPr>
        <w:t xml:space="preserve">s offset by elevated levels of </w:t>
      </w:r>
      <w:r w:rsidR="008414CB" w:rsidRPr="00884A81">
        <w:rPr>
          <w:rFonts w:ascii="Book Antiqua" w:hAnsi="Book Antiqua" w:cs="Arial"/>
        </w:rPr>
        <w:t>v</w:t>
      </w:r>
      <w:r w:rsidR="005506BE" w:rsidRPr="00884A81">
        <w:rPr>
          <w:rFonts w:ascii="Book Antiqua" w:hAnsi="Book Antiqua" w:cs="Arial"/>
        </w:rPr>
        <w:t xml:space="preserve">on Willebrand </w:t>
      </w:r>
      <w:r w:rsidR="008414CB" w:rsidRPr="00884A81">
        <w:rPr>
          <w:rFonts w:ascii="Book Antiqua" w:hAnsi="Book Antiqua" w:cs="Arial"/>
        </w:rPr>
        <w:t>f</w:t>
      </w:r>
      <w:r w:rsidR="005506BE" w:rsidRPr="00884A81">
        <w:rPr>
          <w:rFonts w:ascii="Book Antiqua" w:hAnsi="Book Antiqua" w:cs="Arial"/>
        </w:rPr>
        <w:t>actor (</w:t>
      </w:r>
      <w:r w:rsidR="00B90E61" w:rsidRPr="00884A81">
        <w:rPr>
          <w:rFonts w:ascii="Book Antiqua" w:hAnsi="Book Antiqua" w:cs="Arial"/>
        </w:rPr>
        <w:t>v</w:t>
      </w:r>
      <w:r w:rsidRPr="00884A81">
        <w:rPr>
          <w:rFonts w:ascii="Book Antiqua" w:hAnsi="Book Antiqua" w:cs="Arial"/>
        </w:rPr>
        <w:t>WF</w:t>
      </w:r>
      <w:r w:rsidR="005506BE" w:rsidRPr="00884A81">
        <w:rPr>
          <w:rFonts w:ascii="Book Antiqua" w:hAnsi="Book Antiqua" w:cs="Arial"/>
        </w:rPr>
        <w:t>)</w:t>
      </w:r>
      <w:r w:rsidRPr="00884A81">
        <w:rPr>
          <w:rFonts w:ascii="Book Antiqua" w:hAnsi="Book Antiqua" w:cs="Arial"/>
        </w:rPr>
        <w:t xml:space="preserve"> and decreased levels of ADAMTS</w:t>
      </w:r>
      <w:r w:rsidR="00B90E61" w:rsidRPr="00884A81">
        <w:rPr>
          <w:rFonts w:ascii="Book Antiqua" w:hAnsi="Book Antiqua" w:cs="Arial"/>
        </w:rPr>
        <w:t xml:space="preserve"> 13 (a </w:t>
      </w:r>
      <w:r w:rsidR="007961A2" w:rsidRPr="00884A81">
        <w:rPr>
          <w:rFonts w:ascii="Book Antiqua" w:hAnsi="Book Antiqua" w:cs="Arial"/>
        </w:rPr>
        <w:t>metallo</w:t>
      </w:r>
      <w:r w:rsidR="00B90E61" w:rsidRPr="00884A81">
        <w:rPr>
          <w:rFonts w:ascii="Book Antiqua" w:hAnsi="Book Antiqua" w:cs="Arial"/>
        </w:rPr>
        <w:t xml:space="preserve">protease which </w:t>
      </w:r>
      <w:r w:rsidR="007961A2" w:rsidRPr="00884A81">
        <w:rPr>
          <w:rFonts w:ascii="Book Antiqua" w:hAnsi="Book Antiqua" w:cs="Arial"/>
        </w:rPr>
        <w:t>cleaves</w:t>
      </w:r>
      <w:r w:rsidR="00B90E61" w:rsidRPr="00884A81">
        <w:rPr>
          <w:rFonts w:ascii="Book Antiqua" w:hAnsi="Book Antiqua" w:cs="Arial"/>
        </w:rPr>
        <w:t xml:space="preserve"> v</w:t>
      </w:r>
      <w:r w:rsidRPr="00884A81">
        <w:rPr>
          <w:rFonts w:ascii="Book Antiqua" w:hAnsi="Book Antiqua" w:cs="Arial"/>
        </w:rPr>
        <w:t>WF)</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"10.1055/s-0035-1550430", "ISSN" : "1098-9064", "PMID" : "26049071", "abstract" : "Patients with acute liver failure (ALF) have substantial alterations in their hemostatic system. Since an international normalized ratio of \u2265 1.5 is part of the definition of the syndrome, it has long been believed that patients with ALF had a hemostasis-related bleeding tendency. Recent data, however, show that spontaneous bleeding in ALF is rare. In addition, thrombotic complications may be more common than spontaneous bleeding complications. Laboratory studies have suggested that patients with ALF may be in hemostatic balance as a result of a commensurate decline in pro- and anti-hemostatic factors. The unstable nature of the hemostatic balance in ALF may explain the occurrence of both bleeding and thrombotic complications. The hemostatic profile of patients with ALF includes hypercoagulable features, including von Willebrand factor/a disintegrin and metalloproteinase with a thrombospondin type 1 motif, member 13 unbalance, elevated levels of highly procoagulant, platelet-derived microparticles, and a profound hypofibrinolytic status. These hypercoagulable features may contribute to systemic thrombotic complications, but may also drive intrahepatic clot formation. Studies in experimental animal models of ALF have demonstrated that intrahepatic clot formation contributes to disease progression. The clinical consequences of these new insights in the hemostatic system of patients with ALF will be discussed in this review.", "author" : [ { "dropping-particle" : "", "family" : "Lisman", "given" : "Ton", "non-dropping-particle" : "", "parse-names" : false, "suffix" : "" }, { "dropping-particle" : "", "family" : "Stravitz", "given" : "R Todd", "non-dropping-particle" : "", "parse-names" : false, "suffix" : "" } ], "container-title" : "Seminars in thrombosis and hemostasis", "id" : "ITEM-1", "issue" : "5", "issued" : { "date-parts" : [ [ "2015", "7" ] ] }, "note" : "Cirrhotic patients accepted to have rebalanced haemostasis. Depending on balance might be with at bleeding or thrombotic risk.\n\nAim to challenge dogma that ALF in contrast to cirrhosis is associated with bleeding tendency. \n\nINR &amp;gt;1.5 diagnostic criteria for acute liver failure. Therefore decreased levels of procoagulant factors are present.\nProcoagulant factors reduced in ALF: VII, IX, X, V, XI, XII and II\nAnticoagulant factors reduced in ALF: AT, protein C/S.\nONly factor VIII which syth in endothelial cells is increased. \nData on TFPI limited but suggestion that normal in cirrhosis ? in ALF. Plasma levels of fibrinogen decreased in ALF but reduction more mild than other factors. \nDecreased levels plasminogen, antiplasmin, TAFI reported in ALF but levels of PAI-1 elevated.\nPlatelet count reduced in ALF but not to same extent as in Cirrhois. Increase in procoagulant platelet derived microparticles which may cause platelet activation and clearance - thrombocyotpenia. \nHowever VWF elevated although function compromised. \nMechanisms\n1. Reduction synthetic capacity. \n2. Consumption of coagulation factors (?)\nPossible due to de-encrypting of TF in hepatocytes leading to activation of haemostatic system and deposition of fibrin. Decrease in factors VII, X, V and II more profound than IX and XI which suggests TF mediated activation of X. Appears to be mostly synthetic funciton related in cirrhosis. \nALF characterised by SIRS response causing endothelial cell activation. This could explain elevated levels of VWF and PAI-1 which in turn could account for increased levels of VIII (VWF carrier protein). \n\nPlatelets\nCirrhois - low TPO levels results in thrombcytopenia\nALF mechanism less clear, TPO levels normal/elevated. ? platelet acitvation and comsumption important.\n\nBleeding risk\n\nAlthough thought to be pro-bleeding due to deranged INR, not shown to be case in clincal practice. No evidence if correction of deficit with plasma is benefical. Thrombotic complications more frequent then bleeding complications, strongly suggests hemostasis rebalanced. Thi s has been demonstrated in ALF patients via TEG.\n\nThrombin generation in ALF patients shown to be compariable to healthy patients.\n\nConsequences of correcting INR with FFP\n1. Questionable clinical benefit in reducing INR\n2. INR important prognostic indicator\n3. Raised INR does not infere increased bleeding risk\n4. FFP can cause volume overload, exacerbation of ICH and side effects of trasnfusion.\n5. Prohaemostatic therapy with FFP/factor VII could potentially lead to generation of macro/microvascular thrombus.\nPatients recieveing FFP/Platelets have worse outcome than those who don't.", "page" : "468-73", "title" : "Rebalanced Hemostasis in Patients with Acute Liver Failure.", "type" : "article-journal", "volume" : "41" }, "uris" : [ "http://www.mendeley.com/documents/?uuid=8cab26e5-e11b-4813-98be-5afdd738366a" ] } ], "mendeley" : { "formattedCitation" : "&lt;sup&gt;[51]&lt;/sup&gt;", "plainTextFormattedCitation" : "[51]", "previouslyFormattedCitation" : "&lt;sup&gt;[52]&lt;/sup&gt;"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[51]</w:t>
      </w:r>
      <w:r w:rsidR="008414CB" w:rsidRPr="00884A81">
        <w:rPr>
          <w:rFonts w:ascii="Book Antiqua" w:hAnsi="Book Antiqua" w:cs="Arial"/>
        </w:rPr>
        <w:fldChar w:fldCharType="end"/>
      </w:r>
      <w:r w:rsidR="00502290" w:rsidRPr="00884A81">
        <w:rPr>
          <w:rFonts w:ascii="Book Antiqua" w:hAnsi="Book Antiqua" w:cs="Arial"/>
        </w:rPr>
        <w:t>.</w:t>
      </w:r>
      <w:r w:rsidRPr="00884A81">
        <w:rPr>
          <w:rFonts w:ascii="Book Antiqua" w:hAnsi="Book Antiqua" w:cs="Arial"/>
        </w:rPr>
        <w:t xml:space="preserve"> All pro</w:t>
      </w:r>
      <w:r w:rsidR="00B90E61" w:rsidRPr="00884A81">
        <w:rPr>
          <w:rFonts w:ascii="Book Antiqua" w:hAnsi="Book Antiqua" w:cs="Arial"/>
        </w:rPr>
        <w:t>-</w:t>
      </w:r>
      <w:r w:rsidRPr="00884A81">
        <w:rPr>
          <w:rFonts w:ascii="Book Antiqua" w:hAnsi="Book Antiqua" w:cs="Arial"/>
        </w:rPr>
        <w:t>coagulant proteins are reduced in hepatic insuf</w:t>
      </w:r>
      <w:r w:rsidR="00B90E61" w:rsidRPr="00884A81">
        <w:rPr>
          <w:rFonts w:ascii="Book Antiqua" w:hAnsi="Book Antiqua" w:cs="Arial"/>
        </w:rPr>
        <w:t xml:space="preserve">ficiency with the exception of </w:t>
      </w:r>
      <w:r w:rsidR="005506BE" w:rsidRPr="00884A81">
        <w:rPr>
          <w:rFonts w:ascii="Book Antiqua" w:hAnsi="Book Antiqua" w:cs="Arial"/>
        </w:rPr>
        <w:t xml:space="preserve">Factor </w:t>
      </w:r>
      <w:r w:rsidRPr="00884A81">
        <w:rPr>
          <w:rFonts w:ascii="Book Antiqua" w:hAnsi="Book Antiqua" w:cs="Arial"/>
        </w:rPr>
        <w:t>VIII, but so to</w:t>
      </w:r>
      <w:r w:rsidR="00EA175C" w:rsidRPr="00884A81">
        <w:rPr>
          <w:rFonts w:ascii="Book Antiqua" w:hAnsi="Book Antiqua" w:cs="Arial"/>
        </w:rPr>
        <w:t>o</w:t>
      </w:r>
      <w:r w:rsidRPr="00884A81">
        <w:rPr>
          <w:rFonts w:ascii="Book Antiqua" w:hAnsi="Book Antiqua" w:cs="Arial"/>
        </w:rPr>
        <w:t xml:space="preserve"> are the levels of </w:t>
      </w:r>
      <w:r w:rsidR="00B90E61" w:rsidRPr="00884A81">
        <w:rPr>
          <w:rFonts w:ascii="Book Antiqua" w:hAnsi="Book Antiqua" w:cs="Arial"/>
        </w:rPr>
        <w:t>anti-coagulants antithrombin (AT)</w:t>
      </w:r>
      <w:r w:rsidRPr="00884A81">
        <w:rPr>
          <w:rFonts w:ascii="Book Antiqua" w:hAnsi="Book Antiqua" w:cs="Arial"/>
        </w:rPr>
        <w:t xml:space="preserve"> and protein C and S</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"10.1055/s-0035-1550435", "ISBN" : "0035155043", "ISSN" : "1098-9064", "PMID" : "26049068", "abstract" : "The liver plays a key role in hemostasis as the site of synthesis of many of the proteins involved in the coagulation, antithrombotic and fibrinolytic systems that interact to both establish hemostasis, and preventing thrombosis. The common laboratory tests, prothrombin time (PT) and activated partial thromboplastin time (aPTT), evolved from studies of plasma clotting in test tubes. Such studies laid the basis for the coagulation cascade model of hemostasis. However, thought has evolved to place a greater emphasis on the active roles of cells in localizing and regulating hemostasis. The PT and aPTT do not reflect the roles of cellular elements in hemostasis, nor do they reflect the crucial roles of antithrombotic and fibrinolytic systems. Thus, though the PT may indeed reflect the synthetic capacity of the liver, it does not accurately reflect the risk of bleeding or thrombosis in patients with liver failure.", "author" : [ { "dropping-particle" : "", "family" : "Hoffman", "given" : "Maureane", "non-dropping-particle" : "", "parse-names" : false, "suffix" : "" } ], "container-title" : "Seminars in thrombosis and hemostasis", "id" : "ITEM-1", "issue" : "5", "issued" : { "date-parts" : [ [ "2015", "7", "6" ] ] }, "page" : "447-54", "title" : "Coagulation in Liver Disease.", "type" : "article-journal", "volume" : "41" }, "uris" : [ "http://www.mendeley.com/documents/?uuid=74dfbce2-00b1-46ed-95f1-ba30b472b374" ] } ], "mendeley" : { "formattedCitation" : "&lt;sup&gt;[50]&lt;/sup&gt;", "plainTextFormattedCitation" : "[50]", "previouslyFormattedCitation" : "&lt;sup&gt;[51]&lt;/sup&gt;"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[50]</w:t>
      </w:r>
      <w:r w:rsidR="008414CB" w:rsidRPr="00884A81">
        <w:rPr>
          <w:rFonts w:ascii="Book Antiqua" w:hAnsi="Book Antiqua" w:cs="Arial"/>
        </w:rPr>
        <w:fldChar w:fldCharType="end"/>
      </w:r>
      <w:r w:rsidR="009F20FD" w:rsidRPr="00884A81">
        <w:rPr>
          <w:rFonts w:ascii="Book Antiqua" w:hAnsi="Book Antiqua" w:cs="Arial"/>
        </w:rPr>
        <w:t>.</w:t>
      </w:r>
      <w:r w:rsidRPr="00884A81">
        <w:rPr>
          <w:rFonts w:ascii="Book Antiqua" w:hAnsi="Book Antiqua" w:cs="Arial"/>
        </w:rPr>
        <w:t xml:space="preserve"> It has been suggested that the relative excess</w:t>
      </w:r>
      <w:r w:rsidR="00B90E61" w:rsidRPr="00884A81">
        <w:rPr>
          <w:rFonts w:ascii="Book Antiqua" w:hAnsi="Book Antiqua" w:cs="Arial"/>
        </w:rPr>
        <w:t xml:space="preserve"> of</w:t>
      </w:r>
      <w:r w:rsidRPr="00884A81">
        <w:rPr>
          <w:rFonts w:ascii="Book Antiqua" w:hAnsi="Book Antiqua" w:cs="Arial"/>
        </w:rPr>
        <w:t xml:space="preserve"> plasma coagulation factors</w:t>
      </w:r>
      <w:r w:rsidR="00B90E61" w:rsidRPr="00884A81">
        <w:rPr>
          <w:rFonts w:ascii="Book Antiqua" w:hAnsi="Book Antiqua" w:cs="Arial"/>
        </w:rPr>
        <w:t xml:space="preserve"> in health</w:t>
      </w:r>
      <w:r w:rsidRPr="00884A81">
        <w:rPr>
          <w:rFonts w:ascii="Book Antiqua" w:hAnsi="Book Antiqua" w:cs="Arial"/>
        </w:rPr>
        <w:t xml:space="preserve"> provide</w:t>
      </w:r>
      <w:r w:rsidR="00EA175C" w:rsidRPr="00884A81">
        <w:rPr>
          <w:rFonts w:ascii="Book Antiqua" w:hAnsi="Book Antiqua" w:cs="Arial"/>
        </w:rPr>
        <w:t>s</w:t>
      </w:r>
      <w:r w:rsidRPr="00884A81">
        <w:rPr>
          <w:rFonts w:ascii="Book Antiqua" w:hAnsi="Book Antiqua" w:cs="Arial"/>
        </w:rPr>
        <w:t xml:space="preserve"> a “margin of safety” to account for physiological or pathological stresses to the system</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"10.1055/s-0035-1550435", "ISBN" : "0035155043", "ISSN" : "1098-9064", "PMID" : "26049068", "abstract" : "The liver plays a key role in hemostasis as the site of synthesis of many of the proteins involved in the coagulation, antithrombotic and fibrinolytic systems that interact to both establish hemostasis, and preventing thrombosis. The common laboratory tests, prothrombin time (PT) and activated partial thromboplastin time (aPTT), evolved from studies of plasma clotting in test tubes. Such studies laid the basis for the coagulation cascade model of hemostasis. However, thought has evolved to place a greater emphasis on the active roles of cells in localizing and regulating hemostasis. The PT and aPTT do not reflect the roles of cellular elements in hemostasis, nor do they reflect the crucial roles of antithrombotic and fibrinolytic systems. Thus, though the PT may indeed reflect the synthetic capacity of the liver, it does not accurately reflect the risk of bleeding or thrombosis in patients with liver failure.", "author" : [ { "dropping-particle" : "", "family" : "Hoffman", "given" : "Maureane", "non-dropping-particle" : "", "parse-names" : false, "suffix" : "" } ], "container-title" : "Seminars in thrombosis and hemostasis", "id" : "ITEM-1", "issue" : "5", "issued" : { "date-parts" : [ [ "2015", "7", "6" ] ] }, "page" : "447-54", "title" : "Coagulation in Liver Disease.", "type" : "article-journal", "volume" : "41" }, "uris" : [ "http://www.mendeley.com/documents/?uuid=74dfbce2-00b1-46ed-95f1-ba30b472b374" ] } ], "mendeley" : { "formattedCitation" : "&lt;sup&gt;[50]&lt;/sup&gt;", "plainTextFormattedCitation" : "[50]", "previouslyFormattedCitation" : "&lt;sup&gt;[51]&lt;/sup&gt;"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[50]</w:t>
      </w:r>
      <w:r w:rsidR="008414CB" w:rsidRPr="00884A81">
        <w:rPr>
          <w:rFonts w:ascii="Book Antiqua" w:hAnsi="Book Antiqua" w:cs="Arial"/>
        </w:rPr>
        <w:fldChar w:fldCharType="end"/>
      </w:r>
      <w:r w:rsidR="0029307E" w:rsidRPr="00884A81">
        <w:rPr>
          <w:rFonts w:ascii="Book Antiqua" w:hAnsi="Book Antiqua" w:cs="Arial"/>
        </w:rPr>
        <w:t>.</w:t>
      </w:r>
      <w:r w:rsidRPr="00884A81">
        <w:rPr>
          <w:rFonts w:ascii="Book Antiqua" w:hAnsi="Book Antiqua" w:cs="Arial"/>
        </w:rPr>
        <w:t xml:space="preserve"> With</w:t>
      </w:r>
      <w:r w:rsidR="006D6B61" w:rsidRPr="00884A81">
        <w:rPr>
          <w:rFonts w:ascii="Book Antiqua" w:hAnsi="Book Antiqua" w:cs="Arial"/>
        </w:rPr>
        <w:t xml:space="preserve">out this excess of coagulation factors the balanced coagulopathy </w:t>
      </w:r>
      <w:r w:rsidR="00223708" w:rsidRPr="00884A81">
        <w:rPr>
          <w:rFonts w:ascii="Book Antiqua" w:hAnsi="Book Antiqua" w:cs="Arial"/>
        </w:rPr>
        <w:t>of liver failure can be thought of as more susceptible to the perturbations of the associated with perioperative period</w:t>
      </w:r>
      <w:r w:rsidR="00194A54" w:rsidRPr="00884A81">
        <w:rPr>
          <w:rFonts w:ascii="Book Antiqua" w:hAnsi="Book Antiqua" w:cs="Arial"/>
        </w:rPr>
        <w:t xml:space="preserve">. </w:t>
      </w:r>
    </w:p>
    <w:p w14:paraId="58FC2473" w14:textId="22FDEB10" w:rsidR="00070FAE" w:rsidRPr="00884A81" w:rsidRDefault="00CE3550" w:rsidP="008414CB">
      <w:pPr>
        <w:spacing w:line="360" w:lineRule="auto"/>
        <w:ind w:firstLineChars="100" w:firstLine="240"/>
        <w:jc w:val="both"/>
        <w:rPr>
          <w:rFonts w:ascii="Book Antiqua" w:hAnsi="Book Antiqua" w:cs="Arial"/>
        </w:rPr>
      </w:pPr>
      <w:r w:rsidRPr="00884A81">
        <w:rPr>
          <w:rFonts w:ascii="Book Antiqua" w:hAnsi="Book Antiqua" w:cs="Arial"/>
        </w:rPr>
        <w:t>T</w:t>
      </w:r>
      <w:r w:rsidR="00070FAE" w:rsidRPr="00884A81">
        <w:rPr>
          <w:rFonts w:ascii="Book Antiqua" w:hAnsi="Book Antiqua" w:cs="Arial"/>
        </w:rPr>
        <w:t>his</w:t>
      </w:r>
      <w:r w:rsidR="00223708" w:rsidRPr="00884A81">
        <w:rPr>
          <w:rFonts w:ascii="Book Antiqua" w:hAnsi="Book Antiqua" w:cs="Arial"/>
        </w:rPr>
        <w:t xml:space="preserve"> revised</w:t>
      </w:r>
      <w:r w:rsidR="00B90E61" w:rsidRPr="00884A81">
        <w:rPr>
          <w:rFonts w:ascii="Book Antiqua" w:hAnsi="Book Antiqua" w:cs="Arial"/>
        </w:rPr>
        <w:t xml:space="preserve"> understanding </w:t>
      </w:r>
      <w:r w:rsidRPr="00884A81">
        <w:rPr>
          <w:rFonts w:ascii="Book Antiqua" w:hAnsi="Book Antiqua" w:cs="Arial"/>
        </w:rPr>
        <w:t xml:space="preserve">of the coagulopathy of liver failure </w:t>
      </w:r>
      <w:r w:rsidR="00070FAE" w:rsidRPr="00884A81">
        <w:rPr>
          <w:rFonts w:ascii="Book Antiqua" w:hAnsi="Book Antiqua" w:cs="Arial"/>
        </w:rPr>
        <w:t>challenge</w:t>
      </w:r>
      <w:r w:rsidR="00223708" w:rsidRPr="00884A81">
        <w:rPr>
          <w:rFonts w:ascii="Book Antiqua" w:hAnsi="Book Antiqua" w:cs="Arial"/>
        </w:rPr>
        <w:t xml:space="preserve">s the ubiquitous use of plasma to correct </w:t>
      </w:r>
      <w:r w:rsidR="00194A54" w:rsidRPr="00884A81">
        <w:rPr>
          <w:rFonts w:ascii="Book Antiqua" w:hAnsi="Book Antiqua" w:cs="Arial"/>
        </w:rPr>
        <w:t xml:space="preserve">abnormal blood tests and </w:t>
      </w:r>
      <w:r w:rsidR="00B417C9" w:rsidRPr="00884A81">
        <w:rPr>
          <w:rFonts w:ascii="Book Antiqua" w:hAnsi="Book Antiqua" w:cs="Arial"/>
        </w:rPr>
        <w:t xml:space="preserve">should </w:t>
      </w:r>
      <w:r w:rsidR="00194A54" w:rsidRPr="00884A81">
        <w:rPr>
          <w:rFonts w:ascii="Book Antiqua" w:hAnsi="Book Antiqua" w:cs="Arial"/>
        </w:rPr>
        <w:t>focus the use of blood products to manage overt microangiopathic bleeding</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"10.1002/bjs.1800561009", "ISSN" : "0007-1323", "PMID" : "4899842", "author" : [ { "dropping-particle" : "", "family" : "Calne", "given" : "R Y", "non-dropping-particle" : "", "parse-names" : false, "suffix" : "" } ], "container-title" : "The British journal of surgery", "id" : "ITEM-1", "issue" : "10", "issued" : { "date-parts" : [ [ "1969", "10" ] ] }, "note" : "Recipient \n\nIf clotting defects are present FFP given. \nBlood loss likely to be considerable and continue untill good liver function re-established. \nAdvises using ordinary stored blood first and fresh blood at the end. \n\nPortal hypertension results in oedema of the tissues surrounding the liver and escessive vascularity. \n\nClamping of the portal vein and IVC result in congestion of the intestinal tract and diminished venous return to the heart. Fall in BP treated with blood quickly.\n\nAll patients given IV infusion of bicarbonate, dextrose and human fibrinogen. Some recieved EACA and FFP. \n\nOf 15 patients, 1 child died immediatley after operation, 3 died of exsanguination the day after operation, 2 due to irreversible coagulatiion abnormalites. 2 patients alive at 6 and 5 months afer opearation.\n\nObjective to over-correct blood loss to maintain perfusion to new graft. Blood loss can be massive andn rapid in patients with portal hypertension. Previous surgery increased bleeding. Dilated thin walled vessels can bleed after mininmal surgical trauma. uncontrollable capillary haemorrhage of up to 1 litres every 15 minutes occured from multiple sites. Hypotension during graft revasularisation resulted in deaths of 2/15 patients.", "page" : "729-36", "publisher-place" : "ENGLAND", "title" : "Surgical aspects of clinical liver transplantation in 14 cases.", "type" : "article-journal", "volume" : "56" }, "uris" : [ "http://www.mendeley.com/documents/?uuid=f6e32dfa-b521-4919-be4d-4491e4180544" ] } ], "mendeley" : { "formattedCitation" : "&lt;sup&gt;[2]&lt;/sup&gt;", "plainTextFormattedCitation" : "[2]", "previouslyFormattedCitation" : "&lt;sup&gt;[2]&lt;/sup&gt;"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[2]</w:t>
      </w:r>
      <w:r w:rsidR="008414CB" w:rsidRPr="00884A81">
        <w:rPr>
          <w:rFonts w:ascii="Book Antiqua" w:hAnsi="Book Antiqua" w:cs="Arial"/>
        </w:rPr>
        <w:fldChar w:fldCharType="end"/>
      </w:r>
      <w:r w:rsidR="005506BE" w:rsidRPr="00884A81">
        <w:rPr>
          <w:rFonts w:ascii="Book Antiqua" w:hAnsi="Book Antiqua" w:cs="Arial"/>
        </w:rPr>
        <w:t>.</w:t>
      </w:r>
      <w:r w:rsidR="00194A54" w:rsidRPr="00884A81">
        <w:rPr>
          <w:rFonts w:ascii="Book Antiqua" w:hAnsi="Book Antiqua" w:cs="Arial"/>
        </w:rPr>
        <w:t xml:space="preserve"> In fact, t</w:t>
      </w:r>
      <w:r w:rsidRPr="00884A81">
        <w:rPr>
          <w:rFonts w:ascii="Book Antiqua" w:hAnsi="Book Antiqua" w:cs="Arial"/>
        </w:rPr>
        <w:t>he</w:t>
      </w:r>
      <w:r w:rsidR="00070FAE" w:rsidRPr="00884A81">
        <w:rPr>
          <w:rFonts w:ascii="Book Antiqua" w:hAnsi="Book Antiqua" w:cs="Arial"/>
        </w:rPr>
        <w:t xml:space="preserve"> aggressive correction of</w:t>
      </w:r>
      <w:r w:rsidR="00194A54" w:rsidRPr="00884A81">
        <w:rPr>
          <w:rFonts w:ascii="Book Antiqua" w:hAnsi="Book Antiqua" w:cs="Arial"/>
        </w:rPr>
        <w:t xml:space="preserve"> </w:t>
      </w:r>
      <w:r w:rsidRPr="00884A81">
        <w:rPr>
          <w:rFonts w:ascii="Book Antiqua" w:hAnsi="Book Antiqua" w:cs="Arial"/>
        </w:rPr>
        <w:t>derangement</w:t>
      </w:r>
      <w:r w:rsidR="00194A54" w:rsidRPr="00884A81">
        <w:rPr>
          <w:rFonts w:ascii="Book Antiqua" w:hAnsi="Book Antiqua" w:cs="Arial"/>
        </w:rPr>
        <w:t>s</w:t>
      </w:r>
      <w:r w:rsidRPr="00884A81">
        <w:rPr>
          <w:rFonts w:ascii="Book Antiqua" w:hAnsi="Book Antiqua" w:cs="Arial"/>
        </w:rPr>
        <w:t xml:space="preserve"> in INR</w:t>
      </w:r>
      <w:r w:rsidR="00323442" w:rsidRPr="00884A81">
        <w:rPr>
          <w:rFonts w:ascii="Book Antiqua" w:hAnsi="Book Antiqua" w:cs="Arial"/>
        </w:rPr>
        <w:t xml:space="preserve"> without </w:t>
      </w:r>
      <w:r w:rsidR="00B417C9" w:rsidRPr="00884A81">
        <w:rPr>
          <w:rFonts w:ascii="Book Antiqua" w:hAnsi="Book Antiqua" w:cs="Arial"/>
        </w:rPr>
        <w:t xml:space="preserve">supportive </w:t>
      </w:r>
      <w:r w:rsidR="00323442" w:rsidRPr="00884A81">
        <w:rPr>
          <w:rFonts w:ascii="Book Antiqua" w:hAnsi="Book Antiqua" w:cs="Arial"/>
        </w:rPr>
        <w:t>evidence of impaired clotting</w:t>
      </w:r>
      <w:r w:rsidRPr="00884A81">
        <w:rPr>
          <w:rFonts w:ascii="Book Antiqua" w:hAnsi="Book Antiqua" w:cs="Arial"/>
        </w:rPr>
        <w:t xml:space="preserve"> </w:t>
      </w:r>
      <w:r w:rsidR="00070FAE" w:rsidRPr="00884A81">
        <w:rPr>
          <w:rFonts w:ascii="Book Antiqua" w:hAnsi="Book Antiqua" w:cs="Arial"/>
        </w:rPr>
        <w:t>may not only be unnecessary</w:t>
      </w:r>
      <w:r w:rsidR="00194A54" w:rsidRPr="00884A81">
        <w:rPr>
          <w:rFonts w:ascii="Book Antiqua" w:hAnsi="Book Antiqua" w:cs="Arial"/>
        </w:rPr>
        <w:t>,</w:t>
      </w:r>
      <w:r w:rsidR="00070FAE" w:rsidRPr="00884A81">
        <w:rPr>
          <w:rFonts w:ascii="Book Antiqua" w:hAnsi="Book Antiqua" w:cs="Arial"/>
        </w:rPr>
        <w:t xml:space="preserve"> but harmful in </w:t>
      </w:r>
      <w:r w:rsidR="008918EE" w:rsidRPr="00884A81">
        <w:rPr>
          <w:rFonts w:ascii="Book Antiqua" w:hAnsi="Book Antiqua" w:cs="Arial"/>
        </w:rPr>
        <w:lastRenderedPageBreak/>
        <w:t xml:space="preserve">and of </w:t>
      </w:r>
      <w:r w:rsidR="00070FAE" w:rsidRPr="00884A81">
        <w:rPr>
          <w:rFonts w:ascii="Book Antiqua" w:hAnsi="Book Antiqua" w:cs="Arial"/>
        </w:rPr>
        <w:t>itself. In portal hypertensive rats subject to a period of haemorrhage</w:t>
      </w:r>
      <w:r w:rsidR="00B90E61" w:rsidRPr="00884A81">
        <w:rPr>
          <w:rFonts w:ascii="Book Antiqua" w:hAnsi="Book Antiqua" w:cs="Arial"/>
        </w:rPr>
        <w:t>,</w:t>
      </w:r>
      <w:r w:rsidR="00070FAE" w:rsidRPr="00884A81">
        <w:rPr>
          <w:rFonts w:ascii="Book Antiqua" w:hAnsi="Book Antiqua" w:cs="Arial"/>
        </w:rPr>
        <w:t xml:space="preserve"> replacing the exact volume lost with blood results in an increase in portal pressures by 20%</w:t>
      </w:r>
      <w:r w:rsidR="00070FAE"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"ISSN" : "0016-5085", "PMID" : "3956942", "abstract" : "In portal hypertension the hemodynamic events after episodes of bleeding and blood transfusions may have important pathophysiological and therapeutic implications. The present study was designed to evaluate the effect of hemorrhage and blood restitution on splanchnic and systemic hemodynamics in a rat model of portal hypertension induced by portal vein constriction. In 16 portal hypertensive rats, sequential measurements of arterial and portal pressure were obtained during withdrawal and reinfusion of 15 ml X kg-1 body wt of blood. At the completion of the hemorrhage, a decrease of 16.9% +/- 2.6% in arterial pressure and 27.3% +/- 2.2% in portal pressure was observed. After blood reinfusion, arterial pressure returned to baseline values while portal pressure increased by 20.4% +/- 3.2% (p less than 0.01). This increase in portal pressure was not observed in 5 normal rats that were subjected to the same blood volume changes. Hemodynamic studies using a radioactive microsphere technique revealed that the withdrawal of 15 ml X kg-1 body wt of blood is followed by a decrease in portal venous inflow (6.4 +/- 0.4 vs. 10.4 +/- 0.6 ml X min-1 X 100 g-1 body wt in the control group, p less than 0.01). After blood volume restitution, the portal venous inflow returned to control values while the portal-collateral resistance increased significantly (2.06 +/- 0.13 vs. 1.67 +/- 0.07 mmHg X min X ml-1. 100 g, p less than 0.05). These results indicate that during hypovolemia there is a marked reduction in portal pressure because of a reduction in portal venous inflow. Blood volume restitution returns the portal venous inflow to control values. However, the portal pressure increases beyond control values because of an increase in portal-collateral resistance.", "author" : [ { "dropping-particle" : "", "family" : "Kravetz", "given" : "D", "non-dropping-particle" : "", "parse-names" : false, "suffix" : "" }, { "dropping-particle" : "", "family" : "Sikuler", "given" : "E", "non-dropping-particle" : "", "parse-names" : false, "suffix" : "" }, { "dropping-particle" : "", "family" : "Groszmann", "given" : "R J", "non-dropping-particle" : "", "parse-names" : false, "suffix" : "" } ], "container-title" : "Gastroenterology", "id" : "ITEM-1", "issue" : "5 Pt 1", "issued" : { "date-parts" : [ [ "1986", "5" ] ] }, "page" : "1232-40", "title" : "Splanchnic and systemic hemodynamics in portal hypertensive rats during hemorrhage and blood volume restitution.", "type" : "article-journal", "volume" : "90" }, "uris" : [ "http://www.mendeley.com/documents/?uuid=de77e686-c96b-439c-b923-f9e2196cdc1a", "http://www.mendeley.com/documents/?uuid=b97002ac-29bb-4a8b-a1f9-3cc648b0a8a1" ] } ], "mendeley" : { "formattedCitation" : "&lt;sup&gt;[52]&lt;/sup&gt;", "plainTextFormattedCitation" : "[52]", "previouslyFormattedCitation" : "&lt;sup&gt;[53]&lt;/sup&gt;" }, "properties" : { "noteIndex" : 0 }, "schema" : "https://github.com/citation-style-language/schema/raw/master/csl-citation.json" }</w:instrText>
      </w:r>
      <w:r w:rsidR="00070FAE" w:rsidRPr="00884A81">
        <w:rPr>
          <w:rFonts w:ascii="Book Antiqua" w:hAnsi="Book Antiqua" w:cs="Arial"/>
        </w:rPr>
        <w:fldChar w:fldCharType="separate"/>
      </w:r>
      <w:r w:rsidR="00217BDC" w:rsidRPr="00884A81">
        <w:rPr>
          <w:rFonts w:ascii="Book Antiqua" w:hAnsi="Book Antiqua" w:cs="Arial"/>
          <w:noProof/>
          <w:vertAlign w:val="superscript"/>
        </w:rPr>
        <w:t>[52]</w:t>
      </w:r>
      <w:r w:rsidR="00070FAE" w:rsidRPr="00884A81">
        <w:rPr>
          <w:rFonts w:ascii="Book Antiqua" w:hAnsi="Book Antiqua" w:cs="Arial"/>
        </w:rPr>
        <w:fldChar w:fldCharType="end"/>
      </w:r>
      <w:r w:rsidR="00070FAE" w:rsidRPr="00884A81">
        <w:rPr>
          <w:rFonts w:ascii="Book Antiqua" w:hAnsi="Book Antiqua" w:cs="Arial"/>
        </w:rPr>
        <w:t xml:space="preserve"> and higher rates of haemorrhage and worse outcome</w:t>
      </w:r>
      <w:r w:rsidR="008414CB" w:rsidRPr="00884A81">
        <w:rPr>
          <w:rFonts w:ascii="Book Antiqua" w:hAnsi="Book Antiqua" w:cs="Arial"/>
        </w:rPr>
        <w:fldChar w:fldCharType="begin" w:fldLock="1"/>
      </w:r>
      <w:r w:rsidR="008414CB" w:rsidRPr="00884A81">
        <w:rPr>
          <w:rFonts w:ascii="Book Antiqua" w:hAnsi="Book Antiqua" w:cs="Arial"/>
        </w:rPr>
        <w:instrText>ADDIN CSL_CITATION { "citationItems" : [ { "id" : "ITEM-1", "itemData" : { "DOI" : "10.1053/jhep.2001.23437", "ISSN" : "0270-9139", "PMID" : "11283845", "abstract" : "The aim of this study was to investigate the influence of different strategies of blood volume restitution in the outcome of portal hypertension-related bleeding in anesthetized cirrhotic rats. Gastrointestinal hemorrhage was induced by sectioning a first order branch of the ileocolic vein in 38 cirrhotic rats (common bile duct ligation and occlusion). The subsequent hypovolemic shock was treated with no transfusion (n = 17), moderate transfusion (50% of expected blood loss, 5 mL, n = 11), and total transfusion (100% of expected blood loss, 10 mL, n = 10). At the end of the blood transfusion period (minute 15), mean arterial pressure (MAP) partially recovered in rats receiving moderate transfusion or no transfusion but decreased in the 10-mL transfusion group ( downward arrow 12 +/- 43%, P &lt; .05 vs. no transfusion and 5 mL transfusion). After transfusion, groups given no or 5 mL transfusion remained hemodynamically stable. However, rats receiving 10 mL transfusion continued to deteriorate with persistent bleeding and progressive fall in MAP ( downward arrow 65 +/- 12%; P &lt; .05 vs. no transfusion and 5 mL transfusion). Collected blood loss was significantly greater in the 10-mL group (20.0 +/- 1.5 g) than in groups given 5 mL (15.9 +/- 2.8 g; P &lt; .05) or no transfusion (13.2 +/- 2.1 g; P &lt; .05 vs. 10 mL and 5 mL transfusion). Survival in the no transfusion group was 47%. Rats given 5-mL transfusion had 64% survival. The worst survival was observed in the 10-mL transfusion group (0% survival; P &lt; .05). We concluded that a transfusion policy aimed at completely replacing blood loss worsens the magnitude of bleeding and mortality from portal hypertensive-related bleeding in cirrhotic rats. On the contrary, moderate blood transfusion allowed hemodynamic stabilization and increased survival.", "author" : [ { "dropping-particle" : "", "family" : "Casta\u00f1eda", "given" : "B", "non-dropping-particle" : "", "parse-names" : false, "suffix" : "" }, { "dropping-particle" : "", "family" : "Morales", "given" : "J", "non-dropping-particle" : "", "parse-names" : false, "suffix" : "" }, { "dropping-particle" : "", "family" : "Lionetti", "given" : "R", "non-dropping-particle" : "", "parse-names" : false, "suffix" : "" }, { "dropping-particle" : "", "family" : "Moitinho", "given" : "E", "non-dropping-particle" : "", "parse-names" : false, "suffix" : "" }, { "dropping-particle" : "", "family" : "Andreu", "given" : "V", "non-dropping-particle" : "", "parse-names" : false, "suffix" : "" }, { "dropping-particle" : "", "family" : "P\u00e9rez-Del-Pulgar", "given" : "S", "non-dropping-particle" : "", "parse-names" : false, "suffix" : "" }, { "dropping-particle" : "", "family" : "Pizcueta", "given" : "P", "non-dropping-particle" : "", "parse-names" : false, "suffix" : "" }, { "dropping-particle" : "", "family" : "Rod\u00e9s", "given" : "J", "non-dropping-particle" : "", "parse-names" : false, "suffix" : "" }, { "dropping-particle" : "", "family" : "Bosch", "given" : "J", "non-dropping-particle" : "", "parse-names" : false, "suffix" : "" } ], "container-title" : "Hepatology (Baltimore, Md.)", "id" : "ITEM-1", "issue" : "4", "issued" : { "date-parts" : [ [ "2001", "4" ] ] }, "page" : "821-5", "title" : "Effects of blood volume restitution following a portal hypertensive-related bleeding in anesthetized cirrhotic rats.", "type" : "article-journal", "volume" : "33" }, "uris" : [ "http://www.mendeley.com/documents/?uuid=a56e038d-dde9-4264-bef6-c3dc8a553d70" ] } ], "mendeley" : { "formattedCitation" : "&lt;sup&gt;[53]&lt;/sup&gt;", "plainTextFormattedCitation" : "[53]", "previouslyFormattedCitation" : "&lt;sup&gt;[54]&lt;/sup&gt;" }, "properties" : { "noteIndex" : 0 }, "schema" : "https://github.com/citation-style-language/schema/raw/master/csl-citation.json" }</w:instrText>
      </w:r>
      <w:r w:rsidR="008414CB" w:rsidRPr="00884A81">
        <w:rPr>
          <w:rFonts w:ascii="Book Antiqua" w:hAnsi="Book Antiqua" w:cs="Arial"/>
        </w:rPr>
        <w:fldChar w:fldCharType="separate"/>
      </w:r>
      <w:r w:rsidR="008414CB" w:rsidRPr="00884A81">
        <w:rPr>
          <w:rFonts w:ascii="Book Antiqua" w:hAnsi="Book Antiqua" w:cs="Arial"/>
          <w:noProof/>
          <w:vertAlign w:val="superscript"/>
        </w:rPr>
        <w:t>[53]</w:t>
      </w:r>
      <w:r w:rsidR="008414CB" w:rsidRPr="00884A81">
        <w:rPr>
          <w:rFonts w:ascii="Book Antiqua" w:hAnsi="Book Antiqua" w:cs="Arial"/>
        </w:rPr>
        <w:fldChar w:fldCharType="end"/>
      </w:r>
      <w:r w:rsidR="005506BE" w:rsidRPr="00884A81">
        <w:rPr>
          <w:rFonts w:ascii="Book Antiqua" w:hAnsi="Book Antiqua" w:cs="Arial"/>
        </w:rPr>
        <w:t>.</w:t>
      </w:r>
      <w:r w:rsidR="00070FAE" w:rsidRPr="00884A81">
        <w:rPr>
          <w:rFonts w:ascii="Book Antiqua" w:hAnsi="Book Antiqua" w:cs="Arial"/>
        </w:rPr>
        <w:t xml:space="preserve"> This has subsequently been demonstrated in patients</w:t>
      </w:r>
      <w:r w:rsidR="00B90E61" w:rsidRPr="00884A81">
        <w:rPr>
          <w:rFonts w:ascii="Book Antiqua" w:hAnsi="Book Antiqua" w:cs="Arial"/>
        </w:rPr>
        <w:t xml:space="preserve"> with severe acute upper GI bleeds. Those</w:t>
      </w:r>
      <w:r w:rsidR="00070FAE" w:rsidRPr="00884A81">
        <w:rPr>
          <w:rFonts w:ascii="Book Antiqua" w:hAnsi="Book Antiqua" w:cs="Arial"/>
        </w:rPr>
        <w:t xml:space="preserve"> treated with a restric</w:t>
      </w:r>
      <w:r w:rsidR="00B90E61" w:rsidRPr="00884A81">
        <w:rPr>
          <w:rFonts w:ascii="Book Antiqua" w:hAnsi="Book Antiqua" w:cs="Arial"/>
        </w:rPr>
        <w:t>tive transfusion strategy had</w:t>
      </w:r>
      <w:r w:rsidR="00070FAE" w:rsidRPr="00884A81">
        <w:rPr>
          <w:rFonts w:ascii="Book Antiqua" w:hAnsi="Book Antiqua" w:cs="Arial"/>
        </w:rPr>
        <w:t xml:space="preserve"> lower portal pressures, lower rates of further bleeding and higher rates of survival compared to those treated with a liberal stratergy</w:t>
      </w:r>
      <w:r w:rsidR="00C55BF3" w:rsidRPr="00884A81">
        <w:rPr>
          <w:rFonts w:ascii="Book Antiqua" w:hAnsi="Book Antiqua" w:cs="Arial"/>
        </w:rPr>
        <w:fldChar w:fldCharType="begin" w:fldLock="1"/>
      </w:r>
      <w:r w:rsidR="00C55BF3" w:rsidRPr="00884A81">
        <w:rPr>
          <w:rFonts w:ascii="Book Antiqua" w:hAnsi="Book Antiqua" w:cs="Arial"/>
        </w:rPr>
        <w:instrText>ADDIN CSL_CITATION { "citationItems" : [ { "id" : "ITEM-1", "itemData" : { "DOI" : "10.1056/NEJMoa1211801", "ISBN" : "1533-4406 (Electronic)\\r0028-4793 (Linking)", "ISSN" : "1533-4406", "PMID" : "23281973", "abstract" : "BACKGROUND The hemoglobin threshold for transfusion of red cells in patients with acute gastrointestinal bleeding is controversial. We compared the efficacy and safety of a restrictive transfusion strategy with those of a liberal transfusion strategy. METHODS We enrolled 921 patients with severe acute upper gastrointestinal bleeding and randomly assigned 461 of them to a restrictive strategy (transfusion when the hemoglobin level fell below 7 g per deciliter) and 460 to a liberal strategy (transfusion when the hemoglobin fell below 9 g per deciliter). Randomization was stratified according to the presence or absence of liver cirrhosis. RESULTS A total of 225 patients assigned to the restrictive strategy (51%), as compared with 61 assigned to the liberal strategy (14%), did not receive transfusions (P&lt;0.001) [corrected].The probability of survival at 6 weeks was higher in the restrictive-strategy group than in the liberal-strategy group (95% vs. 91%; hazard ratio for death with restrictive strategy, 0.55; 95% confidence interval [CI], 0.33 to 0.92; P=0.02). Further bleeding occurred in 10% of the patients in the restrictive-strategy group as compared with 16% of the patients in the liberal-strategy group (P=0.01), and adverse events occurred in 40% as compared with 48% (P=0.02). The probability of survival was slightly higher with the restrictive strategy than with the liberal strategy in the subgroup of patients who had bleeding associated with a peptic ulcer (hazard ratio, 0.70; 95% CI, 0.26 to 1.25) and was significantly higher in the subgroup of patients with cirrhosis and Child-Pugh class A or B disease (hazard ratio, 0.30; 95% CI, 0.11 to 0.85), but not in those with cirrhosis and Child-Pugh class C disease (hazard ratio, 1.04; 95% CI, 0.45 to 2.37). Within the first 5 days, the portal-pressure gradient increased significantly in patients assigned to the liberal strategy (P=0.03) but not in those assigned to the restrictive strategy. CONCLUSIONS As compared with a liberal transfusion strategy, a restrictive strategy significantly improved outcomes in patients with acute upper gastrointestinal bleeding. (Funded by Fundaci\u00f3 Investigaci\u00f3 Sant Pau; ClinicalTrials.gov number, NCT00414713.).", "author" : [ { "dropping-particle" : "", "family" : "Villanueva", "given" : "C\u00e0ndid", "non-dropping-particle" : "", "parse-names" : false, "suffix" : "" }, { "dropping-particle" : "", "family" : "Colomo", "given" : "Alan", "non-dropping-particle" : "", "parse-names" : false, "suffix" : "" }, { "dropping-particle" : "", "family" : "Bosch", "given" : "Alba", "non-dropping-particle" : "", "parse-names" : false, "suffix" : "" }, { "dropping-particle" : "", "family" : "Concepci\u00f3n", "given" : "Mar", "non-dropping-particle" : "", "parse-names" : false, "suffix" : "" }, { "dropping-particle" : "", "family" : "Hernandez-Gea", "given" : "Virginia", "non-dropping-particle" : "", "parse-names" : false, "suffix" : "" }, { "dropping-particle" : "", "family" : "Aracil", "given" : "Carles", "non-dropping-particle" : "", "parse-names" : false, "suffix" : "" }, { "dropping-particle" : "", "family" : "Graupera", "given" : "Isabel", "non-dropping-particle" : "", "parse-names" : false, "suffix" : "" }, { "dropping-particle" : "", "family" : "Poca", "given" : "Mar\u00eda", "non-dropping-particle" : "", "parse-names" : false, "suffix" : "" }, { "dropping-particle" : "", "family" : "Alvarez-Urturi", "given" : "Cristina", "non-dropping-particle" : "", "parse-names" : false, "suffix" : "" }, { "dropping-particle" : "", "family" : "Gordillo", "given" : "Jordi", "non-dropping-particle" : "", "parse-names" : false, "suffix" : "" }, { "dropping-particle" : "", "family" : "Guarner-Argente", "given" : "Carlos", "non-dropping-particle" : "", "parse-names" : false, "suffix" : "" }, { "dropping-particle" : "", "family" : "Santal\u00f3", "given" : "Miquel", "non-dropping-particle" : "", "parse-names" : false, "suffix" : "" }, { "dropping-particle" : "", "family" : "Mu\u00f1iz", "given" : "Eduardo", "non-dropping-particle" : "", "parse-names" : false, "suffix" : "" }, { "dropping-particle" : "", "family" : "Guarner", "given" : "Carlos", "non-dropping-particle" : "", "parse-names" : false, "suffix" : "" } ], "container-title" : "The New England journal of medicine", "id" : "ITEM-1", "issue" : "1", "issued" : { "date-parts" : [ [ "2013", "1", "3" ] ] }, "page" : "11-21", "title" : "Transfusion strategies for acute upper gastrointestinal bleeding.", "type" : "article-journal", "volume" : "368" }, "uris" : [ "http://www.mendeley.com/documents/?uuid=5b8e7ec0-5849-4ff3-befb-b85ae4a2de4e", "http://www.mendeley.com/documents/?uuid=121df6ad-ce30-4b47-9e79-843ad162ce6b" ] } ], "mendeley" : { "formattedCitation" : "&lt;sup&gt;[54]&lt;/sup&gt;", "plainTextFormattedCitation" : "[54]", "previouslyFormattedCitation" : "&lt;sup&gt;[55]&lt;/sup&gt;" }, "properties" : { "noteIndex" : 0 }, "schema" : "https://github.com/citation-style-language/schema/raw/master/csl-citation.json" }</w:instrText>
      </w:r>
      <w:r w:rsidR="00C55BF3" w:rsidRPr="00884A81">
        <w:rPr>
          <w:rFonts w:ascii="Book Antiqua" w:hAnsi="Book Antiqua" w:cs="Arial"/>
        </w:rPr>
        <w:fldChar w:fldCharType="separate"/>
      </w:r>
      <w:r w:rsidR="00C55BF3" w:rsidRPr="00884A81">
        <w:rPr>
          <w:rFonts w:ascii="Book Antiqua" w:hAnsi="Book Antiqua" w:cs="Arial"/>
          <w:noProof/>
          <w:vertAlign w:val="superscript"/>
        </w:rPr>
        <w:t>[54]</w:t>
      </w:r>
      <w:r w:rsidR="00C55BF3" w:rsidRPr="00884A81">
        <w:rPr>
          <w:rFonts w:ascii="Book Antiqua" w:hAnsi="Book Antiqua" w:cs="Arial"/>
        </w:rPr>
        <w:fldChar w:fldCharType="end"/>
      </w:r>
      <w:r w:rsidR="005506BE" w:rsidRPr="00884A81">
        <w:rPr>
          <w:rFonts w:ascii="Book Antiqua" w:hAnsi="Book Antiqua" w:cs="Arial"/>
        </w:rPr>
        <w:t>.</w:t>
      </w:r>
      <w:r w:rsidR="00C55BF3" w:rsidRPr="00884A81">
        <w:rPr>
          <w:rFonts w:ascii="Book Antiqua" w:hAnsi="Book Antiqua" w:cs="Arial"/>
        </w:rPr>
        <w:t xml:space="preserve"> </w:t>
      </w:r>
    </w:p>
    <w:p w14:paraId="6CFB00C7" w14:textId="77777777" w:rsidR="00BB2339" w:rsidRPr="00884A81" w:rsidRDefault="00BB2339" w:rsidP="00884A81">
      <w:pPr>
        <w:spacing w:line="360" w:lineRule="auto"/>
        <w:jc w:val="both"/>
        <w:rPr>
          <w:rFonts w:ascii="Book Antiqua" w:hAnsi="Book Antiqua" w:cs="Arial"/>
        </w:rPr>
      </w:pPr>
    </w:p>
    <w:p w14:paraId="2377E99C" w14:textId="234812A8" w:rsidR="00CE3550" w:rsidRPr="008414CB" w:rsidRDefault="00BB4346" w:rsidP="00884A81">
      <w:pPr>
        <w:spacing w:line="360" w:lineRule="auto"/>
        <w:jc w:val="both"/>
        <w:rPr>
          <w:rFonts w:ascii="Book Antiqua" w:hAnsi="Book Antiqua" w:cs="Arial"/>
          <w:b/>
          <w:i/>
        </w:rPr>
      </w:pPr>
      <w:r w:rsidRPr="008414CB">
        <w:rPr>
          <w:rFonts w:ascii="Book Antiqua" w:hAnsi="Book Antiqua" w:cs="Arial"/>
          <w:b/>
          <w:i/>
        </w:rPr>
        <w:t>Phases of</w:t>
      </w:r>
      <w:r w:rsidR="008414CB" w:rsidRPr="008414CB">
        <w:rPr>
          <w:rFonts w:ascii="Book Antiqua" w:hAnsi="Book Antiqua" w:cs="Arial"/>
          <w:b/>
          <w:i/>
        </w:rPr>
        <w:t xml:space="preserve"> t</w:t>
      </w:r>
      <w:r w:rsidR="00F5671E" w:rsidRPr="008414CB">
        <w:rPr>
          <w:rFonts w:ascii="Book Antiqua" w:hAnsi="Book Antiqua" w:cs="Arial"/>
          <w:b/>
          <w:i/>
        </w:rPr>
        <w:t>ransplantation</w:t>
      </w:r>
    </w:p>
    <w:p w14:paraId="2C02D485" w14:textId="3DA88C4B" w:rsidR="00070FAE" w:rsidRPr="00541444" w:rsidRDefault="00070FAE" w:rsidP="00884A81">
      <w:pPr>
        <w:spacing w:line="360" w:lineRule="auto"/>
        <w:jc w:val="both"/>
        <w:rPr>
          <w:rFonts w:ascii="Book Antiqua" w:eastAsia="宋体" w:hAnsi="Book Antiqua" w:cs="Arial"/>
          <w:lang w:eastAsia="zh-CN"/>
        </w:rPr>
      </w:pPr>
      <w:r w:rsidRPr="00884A81">
        <w:rPr>
          <w:rFonts w:ascii="Book Antiqua" w:hAnsi="Book Antiqua" w:cs="Arial"/>
        </w:rPr>
        <w:t>During the pre-anhepatic phase of transpla</w:t>
      </w:r>
      <w:r w:rsidR="005E489C" w:rsidRPr="00884A81">
        <w:rPr>
          <w:rFonts w:ascii="Book Antiqua" w:hAnsi="Book Antiqua" w:cs="Arial"/>
        </w:rPr>
        <w:t>ntation</w:t>
      </w:r>
      <w:r w:rsidR="00594937" w:rsidRPr="00884A81">
        <w:rPr>
          <w:rFonts w:ascii="Book Antiqua" w:hAnsi="Book Antiqua" w:cs="Arial"/>
        </w:rPr>
        <w:t xml:space="preserve"> the surgeon has to perform a hepatectomy whilst contending with the numerous porto-systemic collaterals and a hyperdynamic, dilated, thin walled splanchnic circulation</w:t>
      </w:r>
      <w:r w:rsidRPr="00884A81">
        <w:rPr>
          <w:rFonts w:ascii="Book Antiqua" w:hAnsi="Book Antiqua" w:cs="Arial"/>
        </w:rPr>
        <w:t>. Adhesions from previous surgery can also be another source of blood loss</w:t>
      </w:r>
      <w:r w:rsidR="00541444" w:rsidRPr="00884A81">
        <w:rPr>
          <w:rFonts w:ascii="Book Antiqua" w:hAnsi="Book Antiqua" w:cs="Arial"/>
        </w:rPr>
        <w:fldChar w:fldCharType="begin" w:fldLock="1"/>
      </w:r>
      <w:r w:rsidR="00541444" w:rsidRPr="00884A81">
        <w:rPr>
          <w:rFonts w:ascii="Book Antiqua" w:hAnsi="Book Antiqua" w:cs="Arial"/>
        </w:rPr>
        <w:instrText>ADDIN CSL_CITATION { "citationItems" : [ { "id" : "ITEM-1", "itemData" : { "DOI" : "10.1002/bjs.1800561009", "ISSN" : "0007-1323", "PMID" : "4899842", "author" : [ { "dropping-particle" : "", "family" : "Calne", "given" : "R Y", "non-dropping-particle" : "", "parse-names" : false, "suffix" : "" } ], "container-title" : "The British journal of surgery", "id" : "ITEM-1", "issue" : "10", "issued" : { "date-parts" : [ [ "1969", "10" ] ] }, "note" : "Recipient \n\nIf clotting defects are present FFP given. \nBlood loss likely to be considerable and continue untill good liver function re-established. \nAdvises using ordinary stored blood first and fresh blood at the end. \n\nPortal hypertension results in oedema of the tissues surrounding the liver and escessive vascularity. \n\nClamping of the portal vein and IVC result in congestion of the intestinal tract and diminished venous return to the heart. Fall in BP treated with blood quickly.\n\nAll patients given IV infusion of bicarbonate, dextrose and human fibrinogen. Some recieved EACA and FFP. \n\nOf 15 patients, 1 child died immediatley after operation, 3 died of exsanguination the day after operation, 2 due to irreversible coagulatiion abnormalites. 2 patients alive at 6 and 5 months afer opearation.\n\nObjective to over-correct blood loss to maintain perfusion to new graft. Blood loss can be massive andn rapid in patients with portal hypertension. Previous surgery increased bleeding. Dilated thin walled vessels can bleed after mininmal surgical trauma. uncontrollable capillary haemorrhage of up to 1 litres every 15 minutes occured from multiple sites. Hypotension during graft revasularisation resulted in deaths of 2/15 patients.", "page" : "729-36", "publisher-place" : "ENGLAND", "title" : "Surgical aspects of clinical liver transplantation in 14 cases.", "type" : "article-journal", "volume" : "56" }, "uris" : [ "http://www.mendeley.com/documents/?uuid=f6e32dfa-b521-4919-be4d-4491e4180544" ] } ], "mendeley" : { "formattedCitation" : "&lt;sup&gt;[2]&lt;/sup&gt;", "plainTextFormattedCitation" : "[2]", "previouslyFormattedCitation" : "&lt;sup&gt;[2]&lt;/sup&gt;" }, "properties" : { "noteIndex" : 0 }, "schema" : "https://github.com/citation-style-language/schema/raw/master/csl-citation.json" }</w:instrText>
      </w:r>
      <w:r w:rsidR="00541444" w:rsidRPr="00884A81">
        <w:rPr>
          <w:rFonts w:ascii="Book Antiqua" w:hAnsi="Book Antiqua" w:cs="Arial"/>
        </w:rPr>
        <w:fldChar w:fldCharType="separate"/>
      </w:r>
      <w:r w:rsidR="00541444" w:rsidRPr="00884A81">
        <w:rPr>
          <w:rFonts w:ascii="Book Antiqua" w:hAnsi="Book Antiqua" w:cs="Arial"/>
          <w:noProof/>
          <w:vertAlign w:val="superscript"/>
        </w:rPr>
        <w:t>[2]</w:t>
      </w:r>
      <w:r w:rsidR="00541444" w:rsidRPr="00884A81">
        <w:rPr>
          <w:rFonts w:ascii="Book Antiqua" w:hAnsi="Book Antiqua" w:cs="Arial"/>
        </w:rPr>
        <w:fldChar w:fldCharType="end"/>
      </w:r>
      <w:r w:rsidR="005506BE" w:rsidRPr="00884A81">
        <w:rPr>
          <w:rFonts w:ascii="Book Antiqua" w:hAnsi="Book Antiqua" w:cs="Arial"/>
        </w:rPr>
        <w:t>.</w:t>
      </w:r>
      <w:r w:rsidRPr="00884A81">
        <w:rPr>
          <w:rFonts w:ascii="Book Antiqua" w:hAnsi="Book Antiqua" w:cs="Arial"/>
        </w:rPr>
        <w:t xml:space="preserve"> During the anhepatic phase</w:t>
      </w:r>
      <w:r w:rsidR="00CE3550" w:rsidRPr="00884A81">
        <w:rPr>
          <w:rFonts w:ascii="Book Antiqua" w:hAnsi="Book Antiqua" w:cs="Arial"/>
        </w:rPr>
        <w:t>,</w:t>
      </w:r>
      <w:r w:rsidRPr="00884A81">
        <w:rPr>
          <w:rFonts w:ascii="Book Antiqua" w:hAnsi="Book Antiqua" w:cs="Arial"/>
        </w:rPr>
        <w:t xml:space="preserve"> hepatic synthesis and clearance is absent, and hyper</w:t>
      </w:r>
      <w:r w:rsidR="005E489C" w:rsidRPr="00884A81">
        <w:rPr>
          <w:rFonts w:ascii="Book Antiqua" w:hAnsi="Book Antiqua" w:cs="Arial"/>
        </w:rPr>
        <w:t>-</w:t>
      </w:r>
      <w:r w:rsidRPr="00884A81">
        <w:rPr>
          <w:rFonts w:ascii="Book Antiqua" w:hAnsi="Book Antiqua" w:cs="Arial"/>
        </w:rPr>
        <w:t xml:space="preserve">fibrinolysis can increase rapidly </w:t>
      </w:r>
      <w:r w:rsidR="00CE3550" w:rsidRPr="00884A81">
        <w:rPr>
          <w:rFonts w:ascii="Book Antiqua" w:hAnsi="Book Antiqua" w:cs="Arial"/>
        </w:rPr>
        <w:t xml:space="preserve">with the accumulation of </w:t>
      </w:r>
      <w:r w:rsidR="00B417C9" w:rsidRPr="00884A81">
        <w:rPr>
          <w:rFonts w:ascii="Book Antiqua" w:hAnsi="Book Antiqua" w:cs="Arial"/>
        </w:rPr>
        <w:t>tissue plasminogen (</w:t>
      </w:r>
      <w:r w:rsidR="00CE3550" w:rsidRPr="00884A81">
        <w:rPr>
          <w:rFonts w:ascii="Book Antiqua" w:hAnsi="Book Antiqua" w:cs="Arial"/>
        </w:rPr>
        <w:t>t-PA</w:t>
      </w:r>
      <w:r w:rsidR="00B417C9" w:rsidRPr="00884A81">
        <w:rPr>
          <w:rFonts w:ascii="Book Antiqua" w:hAnsi="Book Antiqua" w:cs="Arial"/>
        </w:rPr>
        <w:t>)</w:t>
      </w:r>
      <w:r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"DOI" : "10.1097/MOT.0b013e32814e6bb0", "ISSN" : "1087-2418", "author" : [ { "dropping-particle" : "", "family" : "Groenland", "given" : "Theo Hn", "non-dropping-particle" : "", "parse-names" : false, "suffix" : "" }, { "dropping-particle" : "", "family" : "Porte", "given" : "Robert J", "non-dropping-particle" : "", "parse-names" : false, "suffix" : "" }, { "dropping-particle" : "", "family" : "Metselaar", "given" : "Herold J", "non-dropping-particle" : "", "parse-names" : false, "suffix" : "" } ], "container-title" : "Current Opinion in Organ Transplantation", "id" : "ITEM-1", "issue" : "3", "issued" : { "date-parts" : [ [ "2007" ] ] }, "page" : "287-293", "title" : "Liver transplantation and risk of bleeding", "type" : "article-journal", "volume" : "12" }, "uris" : [ "http://www.mendeley.com/documents/?uuid=09fae054-2d07-483f-a28f-b6c908c30c78" ] } ], "mendeley" : { "formattedCitation" : "&lt;sup&gt;[55]&lt;/sup&gt;", "plainTextFormattedCitation" : "[55]", "previouslyFormattedCitation" : "&lt;sup&gt;[56]&lt;/sup&gt;" }, "properties" : { "noteIndex" : 0 }, "schema" : "https://github.com/citation-style-language/schema/raw/master/csl-citation.json" }</w:instrText>
      </w:r>
      <w:r w:rsidRPr="00884A81">
        <w:rPr>
          <w:rFonts w:ascii="Book Antiqua" w:hAnsi="Book Antiqua" w:cs="Arial"/>
        </w:rPr>
        <w:fldChar w:fldCharType="separate"/>
      </w:r>
      <w:r w:rsidR="00217BDC" w:rsidRPr="00884A81">
        <w:rPr>
          <w:rFonts w:ascii="Book Antiqua" w:hAnsi="Book Antiqua" w:cs="Arial"/>
          <w:noProof/>
          <w:vertAlign w:val="superscript"/>
        </w:rPr>
        <w:t>[55]</w:t>
      </w:r>
      <w:r w:rsidRPr="00884A81">
        <w:rPr>
          <w:rFonts w:ascii="Book Antiqua" w:hAnsi="Book Antiqua" w:cs="Arial"/>
        </w:rPr>
        <w:fldChar w:fldCharType="end"/>
      </w:r>
      <w:r w:rsidR="00541444">
        <w:rPr>
          <w:rFonts w:ascii="Book Antiqua" w:eastAsia="宋体" w:hAnsi="Book Antiqua" w:cs="Arial" w:hint="eastAsia"/>
          <w:lang w:eastAsia="zh-CN"/>
        </w:rPr>
        <w:t>.</w:t>
      </w:r>
      <w:r w:rsidRPr="00884A81">
        <w:rPr>
          <w:rFonts w:ascii="Book Antiqua" w:hAnsi="Book Antiqua" w:cs="Arial"/>
        </w:rPr>
        <w:t xml:space="preserve"> </w:t>
      </w:r>
      <w:r w:rsidR="00CE3550" w:rsidRPr="00884A81">
        <w:rPr>
          <w:rFonts w:ascii="Book Antiqua" w:hAnsi="Book Antiqua" w:cs="Arial"/>
        </w:rPr>
        <w:t>P</w:t>
      </w:r>
      <w:r w:rsidRPr="00884A81">
        <w:rPr>
          <w:rFonts w:ascii="Book Antiqua" w:hAnsi="Book Antiqua" w:cs="Arial"/>
        </w:rPr>
        <w:t>lasma t-PA increas</w:t>
      </w:r>
      <w:r w:rsidR="00CE3550" w:rsidRPr="00884A81">
        <w:rPr>
          <w:rFonts w:ascii="Book Antiqua" w:hAnsi="Book Antiqua" w:cs="Arial"/>
        </w:rPr>
        <w:t>e</w:t>
      </w:r>
      <w:r w:rsidR="00323442" w:rsidRPr="00884A81">
        <w:rPr>
          <w:rFonts w:ascii="Book Antiqua" w:hAnsi="Book Antiqua" w:cs="Arial"/>
        </w:rPr>
        <w:t>s</w:t>
      </w:r>
      <w:r w:rsidR="00CE3550" w:rsidRPr="00884A81">
        <w:rPr>
          <w:rFonts w:ascii="Book Antiqua" w:hAnsi="Book Antiqua" w:cs="Arial"/>
        </w:rPr>
        <w:t xml:space="preserve"> </w:t>
      </w:r>
      <w:r w:rsidRPr="00884A81">
        <w:rPr>
          <w:rFonts w:ascii="Book Antiqua" w:hAnsi="Book Antiqua" w:cs="Arial"/>
        </w:rPr>
        <w:t>the conversion of plasminogen to plasmin</w:t>
      </w:r>
      <w:r w:rsidR="00CE3550" w:rsidRPr="00884A81">
        <w:rPr>
          <w:rFonts w:ascii="Book Antiqua" w:hAnsi="Book Antiqua" w:cs="Arial"/>
        </w:rPr>
        <w:t>.</w:t>
      </w:r>
      <w:r w:rsidR="00884A81" w:rsidRPr="00884A81">
        <w:rPr>
          <w:rFonts w:ascii="Book Antiqua" w:hAnsi="Book Antiqua" w:cs="Arial"/>
        </w:rPr>
        <w:t xml:space="preserve"> </w:t>
      </w:r>
      <w:r w:rsidR="00194A54" w:rsidRPr="00884A81">
        <w:rPr>
          <w:rFonts w:ascii="Book Antiqua" w:hAnsi="Book Antiqua" w:cs="Arial"/>
        </w:rPr>
        <w:t xml:space="preserve">The </w:t>
      </w:r>
      <w:r w:rsidR="00B417C9" w:rsidRPr="00884A81">
        <w:rPr>
          <w:rFonts w:ascii="Book Antiqua" w:hAnsi="Book Antiqua" w:cs="Arial"/>
        </w:rPr>
        <w:t xml:space="preserve">end </w:t>
      </w:r>
      <w:r w:rsidR="00194A54" w:rsidRPr="00884A81">
        <w:rPr>
          <w:rFonts w:ascii="Book Antiqua" w:hAnsi="Book Antiqua" w:cs="Arial"/>
        </w:rPr>
        <w:t>result is that during the anhepatic phase fibrinogen production is stopped and the consumption of fibrin is promoted leadi</w:t>
      </w:r>
      <w:r w:rsidR="00706872" w:rsidRPr="00884A81">
        <w:rPr>
          <w:rFonts w:ascii="Book Antiqua" w:hAnsi="Book Antiqua" w:cs="Arial"/>
        </w:rPr>
        <w:t>ng to a rapid consumption of the primary building blo</w:t>
      </w:r>
      <w:r w:rsidR="00B417C9" w:rsidRPr="00884A81">
        <w:rPr>
          <w:rFonts w:ascii="Book Antiqua" w:hAnsi="Book Antiqua" w:cs="Arial"/>
        </w:rPr>
        <w:t>ck</w:t>
      </w:r>
      <w:r w:rsidR="00706872" w:rsidRPr="00884A81">
        <w:rPr>
          <w:rFonts w:ascii="Book Antiqua" w:hAnsi="Book Antiqua" w:cs="Arial"/>
        </w:rPr>
        <w:t xml:space="preserve"> of </w:t>
      </w:r>
      <w:r w:rsidR="00B417C9" w:rsidRPr="00884A81">
        <w:rPr>
          <w:rFonts w:ascii="Book Antiqua" w:hAnsi="Book Antiqua" w:cs="Arial"/>
        </w:rPr>
        <w:t>clot formation</w:t>
      </w:r>
      <w:r w:rsidR="00706872" w:rsidRPr="00884A81">
        <w:rPr>
          <w:rFonts w:ascii="Book Antiqua" w:hAnsi="Book Antiqua" w:cs="Arial"/>
        </w:rPr>
        <w:t xml:space="preserve"> and </w:t>
      </w:r>
      <w:r w:rsidR="005E489C" w:rsidRPr="00884A81">
        <w:rPr>
          <w:rFonts w:ascii="Book Antiqua" w:hAnsi="Book Antiqua" w:cs="Arial"/>
        </w:rPr>
        <w:t>increase</w:t>
      </w:r>
      <w:r w:rsidR="00706872" w:rsidRPr="00884A81">
        <w:rPr>
          <w:rFonts w:ascii="Book Antiqua" w:hAnsi="Book Antiqua" w:cs="Arial"/>
        </w:rPr>
        <w:t>d</w:t>
      </w:r>
      <w:r w:rsidRPr="00884A81">
        <w:rPr>
          <w:rFonts w:ascii="Book Antiqua" w:hAnsi="Book Antiqua" w:cs="Arial"/>
        </w:rPr>
        <w:t xml:space="preserve"> blood loss</w:t>
      </w:r>
      <w:r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"ISSN" : "1827-1596", "PMID" : "23419336", "abstract" : "BACKGROUND Disturbances in coagulation homeostasis are common in patients undergoing orthotopic liver transplantation (OLT) and anhepatic period is one of the important factors related to the coagulation abnormalities. The endothelium can regulate hemostasisby producing substances such as thrombomodulin (TM). The primary aim was to evaluate the effect of an hepatic time on the thrombomodulin-protein C system in patients undergoing OLT. METHODS Fifty patients undergoing OLT were stratified in two groups: anhepatic time \u2265 60 min (N.=18) or anhepatic stage &lt;60 min (N.=32). TM, protein C, activated protein C (APC) and (free) protein S plasma concentrations were measured by enzymelinked immunosorbent assays (ELISA) at the start of the surgery (To); immediately before the anhepatic period (A1); immediately before reperfusion (A2); 5 minutes; 15 minutes; 30 minutes after reperfusion of the graft (R1; R2; R3); at the end of operation (R4); the first day after operation (R5). RESULTS Blood loss and transfusion were significantly greater in patients whose anhepatic time \u2265 60 min during the operation. TM levels increased most in patients whose anhepatic time \u2265 60 min. Protein C levels remained low throughout the surgery and decreased significantly at other points compared with To (P&lt;0.05). There were no differences in protein C levels between groups except R5. The ratio of circulating APC activity to protein C antigen (APC/PC) increased significantly during the surgery. APC/PC ratio in the neohepatic stage increased significantly in patients whose anhepatic time \u2265 60 min (P&lt;0.05). CONCLUSION Patients with prolonged anhepatic time had greater changes in the thrombomodulin-protein C system.", "author" : [ { "dropping-particle" : "", "family" : "Kong", "given" : "H Y", "non-dropping-particle" : "", "parse-names" : false, "suffix" : "" }, { "dropping-particle" : "", "family" : "Huang", "given" : "S Q", "non-dropping-particle" : "", "parse-names" : false, "suffix" : "" }, { "dropping-particle" : "", "family" : "Zhu", "given" : "S M", "non-dropping-particle" : "", "parse-names" : false, "suffix" : "" }, { "dropping-particle" : "", "family" : "Wen", "given" : "X H", "non-dropping-particle" : "", "parse-names" : false, "suffix" : "" } ], "container-title" : "Minerva anestesiologica", "id" : "ITEM-1", "issue" : "4", "issued" : { "date-parts" : [ [ "2013", "4" ] ] }, "page" : "391-7", "publisher" : "Kong,H Y. Department of Anesthesiology, the First Affliated Hospital, Zhejiang University School of Medicine, Hangzhou, PR, China. hzkhy@163.com", "publisher-place" : "Italy", "title" : "Role of anhepatic time in endothelial-related coagulation in liver transplantation.", "type" : "article-journal", "volume" : "79" }, "uris" : [ "http://www.mendeley.com/documents/?uuid=5cc3dc87-9673-41e0-93ad-e96b5de88369" ] } ], "mendeley" : { "formattedCitation" : "&lt;sup&gt;[56]&lt;/sup&gt;", "plainTextFormattedCitation" : "[56]", "previouslyFormattedCitation" : "&lt;sup&gt;[57]&lt;/sup&gt;" }, "properties" : { "noteIndex" : 0 }, "schema" : "https://github.com/citation-style-language/schema/raw/master/csl-citation.json" }</w:instrText>
      </w:r>
      <w:r w:rsidRPr="00884A81">
        <w:rPr>
          <w:rFonts w:ascii="Book Antiqua" w:hAnsi="Book Antiqua" w:cs="Arial"/>
        </w:rPr>
        <w:fldChar w:fldCharType="separate"/>
      </w:r>
      <w:r w:rsidR="00217BDC" w:rsidRPr="00884A81">
        <w:rPr>
          <w:rFonts w:ascii="Book Antiqua" w:hAnsi="Book Antiqua" w:cs="Arial"/>
          <w:noProof/>
          <w:vertAlign w:val="superscript"/>
        </w:rPr>
        <w:t>[56]</w:t>
      </w:r>
      <w:r w:rsidRPr="00884A81">
        <w:rPr>
          <w:rFonts w:ascii="Book Antiqua" w:hAnsi="Book Antiqua" w:cs="Arial"/>
        </w:rPr>
        <w:fldChar w:fldCharType="end"/>
      </w:r>
      <w:r w:rsidR="00541444">
        <w:rPr>
          <w:rFonts w:ascii="Book Antiqua" w:eastAsia="宋体" w:hAnsi="Book Antiqua" w:cs="Arial" w:hint="eastAsia"/>
          <w:lang w:eastAsia="zh-CN"/>
        </w:rPr>
        <w:t>.</w:t>
      </w:r>
      <w:r w:rsidRPr="00884A81">
        <w:rPr>
          <w:rFonts w:ascii="Book Antiqua" w:hAnsi="Book Antiqua" w:cs="Arial"/>
        </w:rPr>
        <w:t xml:space="preserve"> In the neohepatic phase</w:t>
      </w:r>
      <w:r w:rsidR="00CE3550" w:rsidRPr="00884A81">
        <w:rPr>
          <w:rFonts w:ascii="Book Antiqua" w:hAnsi="Book Antiqua" w:cs="Arial"/>
        </w:rPr>
        <w:t>,</w:t>
      </w:r>
      <w:r w:rsidRPr="00884A81">
        <w:rPr>
          <w:rFonts w:ascii="Book Antiqua" w:hAnsi="Book Antiqua" w:cs="Arial"/>
        </w:rPr>
        <w:t xml:space="preserve"> fibrinolysis is further stimulated by the release of t-PA from the ischaemically injured endothelium of the donor liver</w:t>
      </w:r>
      <w:r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"DOI" : "10.1159/000088056", "ISSN" : "0253-4886", "PMID" : "16174983", "abstract" : "Blood loss during liver transplantation has long been recognized as an important cause of morbidity and, especially in the early days, also mortality. It is well known that blood transfusions are associated with an increased risk of postoperative complications, such as infections, pulmonary complications, protracted recovery, and a higher rate of reoperations. Many studies have been performed during the past decades to elucidate the mechanisms of increased blood loss in liver transplantation. In the late 1980s, primary hyperfibrinolysis was identified as an important mechanism of bleeding during liver transplantation. This has provided the scientific basis for the use of antifibrinolytic drugs in liver transplant recipients. Several randomized, controlled studies have shown the efficacy of these compounds in reducing blood loss and transfusion requirements during liver transplantation. In addition, increasing experience and improvements in surgical technique, anesthesiological care and better graft preservation methods have contributed to a steady decrease in blood transfusion requirements in most liver transplant programs. Several centers are now reporting liver transplantation without any need for blood transfusion in up to 30% of their patients. Despite these improvements, most patients undergoing liver transplantation still require blood transfusions that have a negative impact on outcome, emphasizing the need for further attempts to control blood loss by surgeons and anesthesiologists. This paper provides an overview of the clinical and research developments, which have contributed to a reduction in blood loss and transfusion requirements, resulting in an important reduction in morbidity and mortality after liver transplantation during the last two decades.", "author" : [ { "dropping-particle" : "", "family" : "Boer", "given" : "Marieke T", "non-dropping-particle" : "de", "parse-names" : false, "suffix" : "" }, { "dropping-particle" : "", "family" : "Molenaar", "given" : "I. Quintus", "non-dropping-particle" : "", "parse-names" : false, "suffix" : "" }, { "dropping-particle" : "", "family" : "Hendriks", "given" : "Herman G D", "non-dropping-particle" : "", "parse-names" : false, "suffix" : "" }, { "dropping-particle" : "", "family" : "Slooff", "given" : "Maarten J H", "non-dropping-particle" : "", "parse-names" : false, "suffix" : "" }, { "dropping-particle" : "", "family" : "Porte", "given" : "Robert J.", "non-dropping-particle" : "", "parse-names" : false, "suffix" : "" } ], "container-title" : "Digestive surgery", "id" : "ITEM-1", "issue" : "4", "issued" : { "date-parts" : [ [ "2005" ] ] }, "page" : "265-75", "title" : "Minimizing blood loss in liver transplantation: progress through research and evolution of techniques.", "type" : "article-journal", "volume" : "22" }, "uris" : [ "http://www.mendeley.com/documents/?uuid=4362fbd2-8e26-4481-9ff1-43dc1634e41b" ] } ], "mendeley" : { "formattedCitation" : "&lt;sup&gt;[57]&lt;/sup&gt;", "plainTextFormattedCitation" : "[57]", "previouslyFormattedCitation" : "&lt;sup&gt;[58]&lt;/sup&gt;" }, "properties" : { "noteIndex" : 0 }, "schema" : "https://github.com/citation-style-language/schema/raw/master/csl-citation.json" }</w:instrText>
      </w:r>
      <w:r w:rsidRPr="00884A81">
        <w:rPr>
          <w:rFonts w:ascii="Book Antiqua" w:hAnsi="Book Antiqua" w:cs="Arial"/>
        </w:rPr>
        <w:fldChar w:fldCharType="separate"/>
      </w:r>
      <w:r w:rsidR="00217BDC" w:rsidRPr="00884A81">
        <w:rPr>
          <w:rFonts w:ascii="Book Antiqua" w:hAnsi="Book Antiqua" w:cs="Arial"/>
          <w:noProof/>
          <w:vertAlign w:val="superscript"/>
        </w:rPr>
        <w:t>[57]</w:t>
      </w:r>
      <w:r w:rsidRPr="00884A81">
        <w:rPr>
          <w:rFonts w:ascii="Book Antiqua" w:hAnsi="Book Antiqua" w:cs="Arial"/>
        </w:rPr>
        <w:fldChar w:fldCharType="end"/>
      </w:r>
      <w:r w:rsidR="00541444">
        <w:rPr>
          <w:rFonts w:ascii="Book Antiqua" w:eastAsia="宋体" w:hAnsi="Book Antiqua" w:cs="Arial" w:hint="eastAsia"/>
          <w:lang w:eastAsia="zh-CN"/>
        </w:rPr>
        <w:t>.</w:t>
      </w:r>
      <w:r w:rsidRPr="00884A81">
        <w:rPr>
          <w:rFonts w:ascii="Book Antiqua" w:hAnsi="Book Antiqua" w:cs="Arial"/>
        </w:rPr>
        <w:t xml:space="preserve"> Platelet counts commonly decrease due to sequestration into the sinusoids, extravasation of platelets into </w:t>
      </w:r>
      <w:r w:rsidR="00902008" w:rsidRPr="00884A81">
        <w:rPr>
          <w:rFonts w:ascii="Book Antiqua" w:hAnsi="Book Antiqua" w:cs="Arial"/>
        </w:rPr>
        <w:t>d</w:t>
      </w:r>
      <w:r w:rsidRPr="00884A81">
        <w:rPr>
          <w:rFonts w:ascii="Book Antiqua" w:hAnsi="Book Antiqua" w:cs="Arial"/>
        </w:rPr>
        <w:t>isse spaces and phagocytosis by Kupffer cells</w:t>
      </w:r>
      <w:r w:rsidRPr="00884A81">
        <w:rPr>
          <w:rFonts w:ascii="Book Antiqua" w:hAnsi="Book Antiqua" w:cs="Arial"/>
        </w:rPr>
        <w:fldChar w:fldCharType="begin" w:fldLock="1"/>
      </w:r>
      <w:r w:rsidR="00217BDC" w:rsidRPr="00884A81">
        <w:rPr>
          <w:rFonts w:ascii="Book Antiqua" w:hAnsi="Book Antiqua" w:cs="Arial"/>
        </w:rPr>
        <w:instrText>ADDIN CSL_CITATION { "citationItems" : [ { "id" : "ITEM-1", "itemData" : { "DOI" : "10.1097/MOT.0b013e32814e6bb0", "ISSN" : "1087-2418", "author" : [ { "dropping-particle" : "", "family" : "Groenland", "given" : "Theo Hn", "non-dropping-particle" : "", "parse-names" : false, "suffix" : "" }, { "dropping-particle" : "", "family" : "Porte", "given" : "Robert J", "non-dropping-particle" : "", "parse-names" : false, "suffix" : "" }, { "dropping-particle" : "", "family" : "Metselaar", "given" : "Herold J", "non-dropping-particle" : "", "parse-names" : false, "suffix" : "" } ], "container-title" : "Current Opinion in Organ Transplantation", "id" : "ITEM-1", "issue" : "3", "issued" : { "date-parts" : [ [ "2007" ] ] }, "page" : "287-293", "title" : "Liver transplantation and risk of bleeding", "type" : "article-journal", "volume" : "12" }, "uris" : [ "http://www.mendeley.com/documents/?uuid=09fae054-2d07-483f-a28f-b6c908c30c78" ] } ], "mendeley" : { "formattedCitation" : "&lt;sup&gt;[55]&lt;/sup&gt;", "plainTextFormattedCitation" : "[55]", "previouslyFormattedCitation" : "&lt;sup&gt;[56]&lt;/sup&gt;" }, "properties" : { "noteIndex" : 0 }, "schema" : "https://github.com/citation-style-language/schema/raw/master/csl-citation.json" }</w:instrText>
      </w:r>
      <w:r w:rsidRPr="00884A81">
        <w:rPr>
          <w:rFonts w:ascii="Book Antiqua" w:hAnsi="Book Antiqua" w:cs="Arial"/>
        </w:rPr>
        <w:fldChar w:fldCharType="separate"/>
      </w:r>
      <w:r w:rsidR="00217BDC" w:rsidRPr="00884A81">
        <w:rPr>
          <w:rFonts w:ascii="Book Antiqua" w:hAnsi="Book Antiqua" w:cs="Arial"/>
          <w:noProof/>
          <w:vertAlign w:val="superscript"/>
        </w:rPr>
        <w:t>[55]</w:t>
      </w:r>
      <w:r w:rsidRPr="00884A81">
        <w:rPr>
          <w:rFonts w:ascii="Book Antiqua" w:hAnsi="Book Antiqua" w:cs="Arial"/>
        </w:rPr>
        <w:fldChar w:fldCharType="end"/>
      </w:r>
      <w:r w:rsidR="00541444">
        <w:rPr>
          <w:rFonts w:ascii="Book Antiqua" w:eastAsia="宋体" w:hAnsi="Book Antiqua" w:cs="Arial" w:hint="eastAsia"/>
          <w:lang w:eastAsia="zh-CN"/>
        </w:rPr>
        <w:t>.</w:t>
      </w:r>
    </w:p>
    <w:p w14:paraId="24DFA7D9" w14:textId="77777777" w:rsidR="002A30AF" w:rsidRPr="00884A81" w:rsidRDefault="002A30AF" w:rsidP="00884A81">
      <w:pPr>
        <w:spacing w:line="360" w:lineRule="auto"/>
        <w:jc w:val="both"/>
        <w:rPr>
          <w:rFonts w:ascii="Book Antiqua" w:hAnsi="Book Antiqua"/>
        </w:rPr>
      </w:pPr>
    </w:p>
    <w:p w14:paraId="18339F3B" w14:textId="5079D7DC" w:rsidR="002A30AF" w:rsidRPr="00884A81" w:rsidRDefault="00902008" w:rsidP="00884A81">
      <w:pPr>
        <w:spacing w:line="360" w:lineRule="auto"/>
        <w:jc w:val="both"/>
        <w:rPr>
          <w:rFonts w:ascii="Book Antiqua" w:hAnsi="Book Antiqua"/>
          <w:b/>
        </w:rPr>
      </w:pPr>
      <w:r w:rsidRPr="00884A81">
        <w:rPr>
          <w:rFonts w:ascii="Book Antiqua" w:hAnsi="Book Antiqua"/>
          <w:b/>
        </w:rPr>
        <w:t>CONSEQUENCES OF MASSIVE BLOOD LOSS AND MASSIVE TRANSFUSION</w:t>
      </w:r>
    </w:p>
    <w:p w14:paraId="37459859" w14:textId="5D49F670" w:rsidR="00554E99" w:rsidRPr="00884A81" w:rsidRDefault="00554E99" w:rsidP="00884A81">
      <w:pPr>
        <w:spacing w:line="360" w:lineRule="auto"/>
        <w:jc w:val="both"/>
        <w:rPr>
          <w:rFonts w:ascii="Book Antiqua" w:hAnsi="Book Antiqua"/>
        </w:rPr>
      </w:pPr>
      <w:r w:rsidRPr="00884A81">
        <w:rPr>
          <w:rFonts w:ascii="Book Antiqua" w:hAnsi="Book Antiqua"/>
        </w:rPr>
        <w:t xml:space="preserve">Transfusion of </w:t>
      </w:r>
      <w:r w:rsidR="002548AA" w:rsidRPr="00884A81">
        <w:rPr>
          <w:rFonts w:ascii="Book Antiqua" w:hAnsi="Book Antiqua"/>
        </w:rPr>
        <w:t>RBC</w:t>
      </w:r>
      <w:r w:rsidRPr="00884A81">
        <w:rPr>
          <w:rFonts w:ascii="Book Antiqua" w:hAnsi="Book Antiqua"/>
        </w:rPr>
        <w:t>s and blood products has been linked to adverse</w:t>
      </w:r>
      <w:r w:rsidR="00884A81" w:rsidRPr="00884A81">
        <w:rPr>
          <w:rFonts w:ascii="Book Antiqua" w:hAnsi="Book Antiqua"/>
        </w:rPr>
        <w:t xml:space="preserve"> </w:t>
      </w:r>
      <w:r w:rsidR="00382320">
        <w:rPr>
          <w:rFonts w:ascii="Book Antiqua" w:hAnsi="Book Antiqua"/>
        </w:rPr>
        <w:t>outcomes in OLT patients</w:t>
      </w:r>
      <w:r w:rsidR="00502290"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"10.1016/j.jamcollsurg.2012.12.047", "ISSN" : "1879-1190", "PMID" : "23478547", "abstract" : "BACKGROUND Blood loss during liver transplantation is not incorporated into the dominant models for post-transplant survival. Our objective was to investigate blood transfusion requirement as a risk factor for mortality after liver transplantation, and to further analyze risk factors for intraoperative blood transfusion requirement and hepatectomy time. STUDY DESIGN We conducted a retrospective analysis of 233 consecutive liver transplant recipients over a span of 3 years by a single experienced surgeon. Mean follow-up was 2.5 years. Independent risk factors for patient survival after liver transplantation were identified using Cox proportion hazard regression. Independent risk factors for intraoperative blood transfusion requirement and hepatectomy time were identified using logistic regression. RESULTS Two factors were identified as significant predictors in multivariate analysis for survival after liver transplantation: hepatocellular carcinoma (hazard ratio [HR] 1.9, 95% CI 1.1 to 3.2) and intraoperative blood transfusion requirement per unit (HR 1.01, 95% CI 1.0 to 1.02). Threshold analysis revealed that intraoperative blood transfusion volume \u226528 units or 85(th) percentile (HR 2.5, 95% CI 1.3 to 4.7) was a significant risk factor for patient survival. Four covariates were identified as significant risk factors for intraoperative blood requirement: warm ischemia time (odds ratio [OR] 1.12, 95% CI 1.06 to 1.18), bilirubin (OR 1.04, 95% CI 1.02 to 1.08), previous surgery (OR 1.7, 95% CI 1.02 to 2.9), and hepatectomy time (OR 1.01, 95% CI 1.00 to 1.02). The only risk factor for prolonged hepatectomy time was previous major abdominal surgery (OR 4.0, 95% CI 1.7 to 9.5). CONCLUSIONS Intraoperative blood transfusion requirement is an important risk factor for mortality after liver transplantation. The strongest risk factors for intraoperative blood transfusion requirement are warm ischemia time and bilirubin levels. Intraoperative blood loss and its risk factors should be incorporated into models to predict survival after liver transplantation.", "author" : [ { "dropping-particle" : "", "family" : "Rana", "given" : "Abbas", "non-dropping-particle" : "", "parse-names" : false, "suffix" : "" }, { "dropping-particle" : "", "family" : "Petrowsky", "given" : "Henrik", "non-dropping-particle" : "", "parse-names" : false, "suffix" : "" }, { "dropping-particle" : "", "family" : "Hong", "given" : "Johnny C", "non-dropping-particle" : "", "parse-names" : false, "suffix" : "" }, { "dropping-particle" : "", "family" : "Agopian", "given" : "Vatche G", "non-dropping-particle" : "", "parse-names" : false, "suffix" : "" }, { "dropping-particle" : "", "family" : "Kaldas", "given" : "Fady M", "non-dropping-particle" : "", "parse-names" : false, "suffix" : "" }, { "dropping-particle" : "", "family" : "Farmer", "given" : "Douglas", "non-dropping-particle" : "", "parse-names" : false, "suffix" : "" }, { "dropping-particle" : "", "family" : "Yersiz", "given" : "Hasan", "non-dropping-particle" : "", "parse-names" : false, "suffix" : "" }, { "dropping-particle" : "", "family" : "Hiatt", "given" : "Jonathan R", "non-dropping-particle" : "", "parse-names" : false, "suffix" : "" }, { "dropping-particle" : "", "family" : "Busuttil", "given" : "Ronald W", "non-dropping-particle" : "", "parse-names" : false, "suffix" : "" } ], "container-title" : "Journal of the American College of Surgeons", "id" : "ITEM-1", "issue" : "5", "issued" : { "date-parts" : [ [ "2013", "5" ] ] }, "page" : "902-7", "publisher" : "Rana,Abbas. Division of Abdominal Transplantation, Department of Surgery, University of Arizona, 1501 N Campbell Ave, PO Box 245066, Tucson, AZ 85724, USA. arana@surgery.arizona.edu", "publisher-place" : "United States", "title" : "Blood transfusion requirement during liver transplantation is an important risk factor for mortality.", "type" : "article-journal", "volume" : "216" }, "uris" : [ "http://www.mendeley.com/documents/?uuid=14df21b4-46e3-4131-91fd-bc189ac0f4a4" ] }, { "id" : "ITEM-2", "itemData" : { "DOI" : "10.1213/ane.0b013e3181948a59", "ISBN" : "0003-2999", "ISSN" : "00032999", "PMID" : "19299765", "abstract" : "BACKGROUND: Platelet transfusions have been identified as an independent risk factor for survival after orthotopic liver transplantation (OLT). In this study, we analyzed the specific causes of mortality and graft loss in relation to platelet transfusions during OLT. METHODS: In a series of 449 consecutive adult patients undergoing a first OLT, the causes of patient death and graft failure were studied in patients who did or did not receive perioperative platelet transfusions. RESULTS: Patient and graft survival were significantly reduced in patients who received platelet transfusions, compared with those who did not (74% vs 92%, and 69% vs 85%, respectively at 1 yr; P &lt; 0.001). Lower survival rates in patients who received platelets were attributed to a significantly higher rate of early mortality because of acute lung injury (4.4% vs 0.4%; P = 0.004). There were no significant differences in other causes of mortality between the two groups. The main cause of graft loss in patients receiving platelets was patient death with a functioning graft. CONCLUSIONS: These findings suggest that platelet transfusions are an important risk factor for mortality after OLT. The current study extends previous observations by identifying acute lung injury as the main determinant of increased mortality. The higher rate of graft loss in patients receiving platelets is related to the higher overall mortality rate and does not result from specific adverse effects of transfused platelets on the grafted liver.", "author" : [ { "dropping-particle" : "", "family" : "Pereboom", "given" : "Ilona T A", "non-dropping-particle" : "", "parse-names" : false, "suffix" : "" }, { "dropping-particle" : "", "family" : "Boer", "given" : "Marieke T.", "non-dropping-particle" : "De", "parse-names" : false, "suffix" : "" }, { "dropping-particle" : "", "family" : "Haagsma", "given" : "Elizabeth B.", "non-dropping-particle" : "", "parse-names" : false, "suffix" : "" }, { "dropping-particle" : "", "family" : "Hendriks", "given" : "Herman G D", "non-dropping-particle" : "", "parse-names" : false, "suffix" : "" }, { "dropping-particle" : "", "family" : "Lisman", "given" : "Ton", "non-dropping-particle" : "", "parse-names" : false, "suffix" : "" }, { "dropping-particle" : "", "family" : "Porte", "given" : "Robert J.", "non-dropping-particle" : "", "parse-names" : false, "suffix" : "" } ], "container-title" : "Anesthesia and Analgesia", "id" : "ITEM-2", "issue" : "4", "issued" : { "date-parts" : [ [ "2009" ] ] }, "page" : "1083-1091", "title" : "Platelet transfusion during liver transplantation is associated with increased postoperative mortality due to acute lung injury", "type" : "article-journal", "volume" : "108" }, "uris" : [ "http://www.mendeley.com/documents/?uuid=f9bedfcf-08c8-4767-8ffe-aec34bcd7035" ] } ], "mendeley" : { "formattedCitation" : "&lt;sup&gt;[28,58]&lt;/sup&gt;", "plainTextFormattedCitation" : "[28,58]", "previouslyFormattedCitation" : "&lt;sup&gt;[29,59]&lt;/sup&gt;" }, "properties" : { "noteIndex" : 0 }, "schema" : "https://github.com/citation-style-language/schema/raw/master/csl-citation.json" }</w:instrText>
      </w:r>
      <w:r w:rsidR="00502290" w:rsidRPr="00884A81">
        <w:rPr>
          <w:rFonts w:ascii="Book Antiqua" w:hAnsi="Book Antiqua"/>
        </w:rPr>
        <w:fldChar w:fldCharType="separate"/>
      </w:r>
      <w:r w:rsidR="00217BDC" w:rsidRPr="00884A81">
        <w:rPr>
          <w:rFonts w:ascii="Book Antiqua" w:hAnsi="Book Antiqua"/>
          <w:noProof/>
          <w:vertAlign w:val="superscript"/>
        </w:rPr>
        <w:t>[28,58]</w:t>
      </w:r>
      <w:r w:rsidR="00502290" w:rsidRPr="00884A81">
        <w:rPr>
          <w:rFonts w:ascii="Book Antiqua" w:hAnsi="Book Antiqua"/>
        </w:rPr>
        <w:fldChar w:fldCharType="end"/>
      </w:r>
      <w:r w:rsidR="00382320">
        <w:rPr>
          <w:rFonts w:ascii="Book Antiqua" w:eastAsia="宋体" w:hAnsi="Book Antiqua" w:hint="eastAsia"/>
          <w:lang w:eastAsia="zh-CN"/>
        </w:rPr>
        <w:t>.</w:t>
      </w:r>
      <w:r w:rsidRPr="00884A81">
        <w:rPr>
          <w:rFonts w:ascii="Book Antiqua" w:hAnsi="Book Antiqua"/>
        </w:rPr>
        <w:t xml:space="preserve"> Even modest transfusion requirements have been linked to prolonged lengths of </w:t>
      </w:r>
      <w:r w:rsidR="008918EE" w:rsidRPr="00884A81">
        <w:rPr>
          <w:rFonts w:ascii="Book Antiqua" w:hAnsi="Book Antiqua"/>
        </w:rPr>
        <w:t xml:space="preserve">hospital </w:t>
      </w:r>
      <w:r w:rsidRPr="00884A81">
        <w:rPr>
          <w:rFonts w:ascii="Book Antiqua" w:hAnsi="Book Antiqua"/>
        </w:rPr>
        <w:t>stay, with requirements of</w:t>
      </w:r>
      <w:r w:rsidR="00884A81" w:rsidRPr="00884A81">
        <w:rPr>
          <w:rFonts w:ascii="Book Antiqua" w:hAnsi="Book Antiqua"/>
        </w:rPr>
        <w:t xml:space="preserve"> </w:t>
      </w:r>
      <w:r w:rsidRPr="00884A81">
        <w:rPr>
          <w:rFonts w:ascii="Book Antiqua" w:hAnsi="Book Antiqua"/>
        </w:rPr>
        <w:t>more than 6 units of red cells having the greater impact in decreased survival rates</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"10.1016/jlts.2003.50204", "ISBN" : "1527-6465", "ISSN" : "1527-6465", "PMID" : "14625833", "abstract" : "Objectives of this study are to quantify the need for blood transfusion during liver transplantation (LT) and confirm the importance of intraoperative blood transfusion as an independent prognostic factor for postoperative outcome. Furthermore, we try to detect useful variables for the preoperative identification of patients likely to require transfusion of packed red blood cell units (PRCUs) and identify measures to reduce transfusion needs. Data were collected prospectively between September 1998 and November 2000. One hundred twenty-two LTs were included in the study. Forty-two patients (34%) did not require transfusion of PRCUs. In multivariate analysis, transfusion of more than three PRCUs was found to be the only significant variable associated with prolonged hospital stay. In addition, excluding perioperative deaths, PRCU transfusion, using a cutoff value of six units, was the only variable to reach statistical significance (P =.008; risk ratio, 4.93; 95% confidence interval, 15 to 15.9) to predict survival in a multivariate analysis that also included Child's class and United Network for Organ Sharing (UNOS) classification. Moreover, only preoperative hemoglobin (Hb) level was found to significantly predict the need for transfusion of one or more PCRUs. Finally, only UNOS classification and placement of an intraoperative portacaval shunt were found to be statistically significant to predict the need to transfuse more than six PRCUs. We found the requirement of even a moderate number of blood transfusions is associated with longer hospital stay, and transfusion of more than six PRCUs is associated with diminished survival. Preoperative normalization of Hb levels and placement of an intraoperative portacaval shunt can diminish the number of blood transfusions during LT.", "author" : [ { "dropping-particle" : "", "family" : "Ramos", "given" : "Emilio", "non-dropping-particle" : "", "parse-names" : false, "suffix" : "" }, { "dropping-particle" : "", "family" : "Dalmau", "given" : "Antonia", "non-dropping-particle" : "", "parse-names" : false, "suffix" : "" }, { "dropping-particle" : "", "family" : "Sabate", "given" : "Antonio", "non-dropping-particle" : "", "parse-names" : false, "suffix" : "" }, { "dropping-particle" : "", "family" : "Lama", "given" : "Carmen", "non-dropping-particle" : "", "parse-names" : false, "suffix" : "" }, { "dropping-particle" : "", "family" : "Llado", "given" : "Laura", "non-dropping-particle" : "", "parse-names" : false, "suffix" : "" }, { "dropping-particle" : "", "family" : "Figueras", "given" : "Juan", "non-dropping-particle" : "", "parse-names" : false, "suffix" : "" }, { "dropping-particle" : "", "family" : "Jaurrieta", "given" : "Eduardo", "non-dropping-particle" : "", "parse-names" : false, "suffix" : "" } ], "container-title" : "Liver transplantation : official publication of the American Association for the Study of Liver Diseases and the International Liver Transplantation Society", "id" : "ITEM-1", "issue" : "12", "issued" : { "date-parts" : [ [ "2003", "12" ] ] }, "page" : "1320-7", "publisher" : "Ramos,Emilio. Liver Transplantation Unit, Hospital Universitario de Bellvitge, Barcelona, Spain. eramos@csub.scs.es", "publisher-place" : "United States, Unidad de Trasplante Hepatico, Hospital Universitario de Bellvitge, L'Hospitalet, Av. Feixa Llarga s/n, 08907 Barcelona, Spain. E-mail: eramos@csub.scs.es", "title" : "Intraoperative red blood cell transfusion in liver transplantation: influence on patient outcome, prediction of requirements, and measures to reduce them.", "type" : "article-journal", "volume" : "9" }, "uris" : [ "http://www.mendeley.com/documents/?uuid=b0be0f3a-46e9-44da-95a7-b29c04077f76" ] } ], "mendeley" : { "formattedCitation" : "&lt;sup&gt;[44]&lt;/sup&gt;", "plainTextFormattedCitation" : "[44]", "previouslyFormattedCitation" : "&lt;sup&gt;[45]&lt;/sup&gt;"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[44]</w:t>
      </w:r>
      <w:r w:rsidRPr="00884A81">
        <w:rPr>
          <w:rFonts w:ascii="Book Antiqua" w:hAnsi="Book Antiqua"/>
        </w:rPr>
        <w:fldChar w:fldCharType="end"/>
      </w:r>
      <w:r w:rsidR="00382320">
        <w:rPr>
          <w:rFonts w:ascii="Book Antiqua" w:eastAsia="宋体" w:hAnsi="Book Antiqua" w:hint="eastAsia"/>
          <w:lang w:eastAsia="zh-CN"/>
        </w:rPr>
        <w:t>.</w:t>
      </w:r>
      <w:r w:rsidR="00884A81" w:rsidRPr="00884A81">
        <w:rPr>
          <w:rFonts w:ascii="Book Antiqua" w:hAnsi="Book Antiqua"/>
        </w:rPr>
        <w:t xml:space="preserve"> </w:t>
      </w:r>
      <w:r w:rsidRPr="00884A81">
        <w:rPr>
          <w:rFonts w:ascii="Book Antiqua" w:hAnsi="Book Antiqua"/>
        </w:rPr>
        <w:t xml:space="preserve">De Boer </w:t>
      </w:r>
      <w:r w:rsidRPr="00382320">
        <w:rPr>
          <w:rFonts w:ascii="Book Antiqua" w:hAnsi="Book Antiqua"/>
          <w:i/>
        </w:rPr>
        <w:t>et al</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"10.1213/01.ane.0000289638.26666.ed", "ISSN" : "1526-7598", "PMID" : "18165548", "abstract" : "BACKGROUND Intraoperative transfusion of red blood cells (RBC) is associated with adverse outcome after orthotopic liver transplantation (OLT). Although experimental studies have shown that platelets contribute to reperfusion injury of the liver, the influence of allogeneic platelet transfusion on outcome has not been studied in detail. In this study, we evaluate the impact of various blood products on outcome after OLT. METHODS Twenty-nine variables, including blood product transfusions, were studied in relation to outcome in 433 adult patients undergoing a first OLT between 1989 and 2004. Data were analyzed using uni- and multivariate stepwise Cox's proportional hazards analyses, as well as propensity score-adjusted analyses for platelet transfusion to control for selection bias in the use of blood products. RESULTS The proportion of patients receiving transfusion of any blood component decreased from 100% in the period 1989-1996 to 74% in the period 1997-2004. In uni- and multivariate analyses, the indication for transplantation, transfusion of platelets and RBC were highly dominant in predicting 1-yr patient survival. These risk factors were independent from well-accepted indices of disease, such as the Model for End-Stage Liver Disease score and Karnofsky score. The effect on 1-yr survival was dose-related with a hazard ratio of 1.377 per unit of platelets (P = 0.01) and 1.057 per unit of RBC (P = 0.001). The negative impact of platelet transfusion on survival was confirmed by propensity-adjusted analysis. CONCLUSION This retrospective study indicates that, in addition to RBC, platelet transfusions are an independent risk factor for survival after OLT. These findings have important implications for transfusion practice in liver transplant recipients.", "author" : [ { "dropping-particle" : "", "family" : "Boer", "given" : "Marieke T", "non-dropping-particle" : "de", "parse-names" : false, "suffix" : "" }, { "dropping-particle" : "", "family" : "Christensen", "given" : "Michael C", "non-dropping-particle" : "", "parse-names" : false, "suffix" : "" }, { "dropping-particle" : "", "family" : "Asmussen", "given" : "Mikael", "non-dropping-particle" : "", "parse-names" : false, "suffix" : "" }, { "dropping-particle" : "", "family" : "Hilst", "given" : "Christian S", "non-dropping-particle" : "van der", "parse-names" : false, "suffix" : "" }, { "dropping-particle" : "", "family" : "Hendriks", "given" : "Herman G D", "non-dropping-particle" : "", "parse-names" : false, "suffix" : "" }, { "dropping-particle" : "", "family" : "Slooff", "given" : "Maarten J H", "non-dropping-particle" : "", "parse-names" : false, "suffix" : "" }, { "dropping-particle" : "", "family" : "Porte", "given" : "Robert J", "non-dropping-particle" : "", "parse-names" : false, "suffix" : "" } ], "container-title" : "Anesthesia and analgesia", "id" : "ITEM-1", "issue" : "1", "issued" : { "date-parts" : [ [ "2008", "1" ] ] }, "note" : "Comment in: Liver Transpl. 2008 May;14(5):701-2; PMID: 18433049, Comment in: Anesth Analg. 2009 Apr;108(4):1354-5; author reply 1355; PMID: 19299817", "page" : "32-44, table of contents", "publisher" : "de Boer,Marieke T. Department of Surgery, Section of Hepatobiliary Surgery and Liver Transplantation, University Medical Center Groningen, University of Groningen, Groningen, The Netherlands.", "publisher-place" : "United States", "title" : "The impact of intraoperative transfusion of platelets and red blood cells on survival after liver transplantation.", "type" : "article-journal", "volume" : "106" }, "uris" : [ "http://www.mendeley.com/documents/?uuid=e316dace-492c-4b82-87e1-e2767b3b8886" ] } ], "mendeley" : { "formattedCitation" : "&lt;sup&gt;[59]&lt;/sup&gt;", "plainTextFormattedCitation" : "[59]", "previouslyFormattedCitation" : "&lt;sup&gt;[60]&lt;/sup&gt;"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[59]</w:t>
      </w:r>
      <w:r w:rsidR="00382320" w:rsidRPr="00884A81">
        <w:rPr>
          <w:rFonts w:ascii="Book Antiqua" w:hAnsi="Book Antiqua"/>
        </w:rPr>
        <w:fldChar w:fldCharType="end"/>
      </w:r>
      <w:r w:rsidRPr="00884A81">
        <w:rPr>
          <w:rFonts w:ascii="Book Antiqua" w:hAnsi="Book Antiqua"/>
        </w:rPr>
        <w:t xml:space="preserve"> demonstrated a dose related effect in one year survival rates, with a </w:t>
      </w:r>
      <w:r w:rsidRPr="00884A81">
        <w:rPr>
          <w:rFonts w:ascii="Book Antiqua" w:hAnsi="Book Antiqua"/>
        </w:rPr>
        <w:lastRenderedPageBreak/>
        <w:t>hazard ratio of 1.37 per unit of platelets and 1.07 per unit of PRC,</w:t>
      </w:r>
      <w:r w:rsidR="00884A81" w:rsidRPr="00884A81">
        <w:rPr>
          <w:rFonts w:ascii="Book Antiqua" w:hAnsi="Book Antiqua"/>
        </w:rPr>
        <w:t xml:space="preserve"> </w:t>
      </w:r>
      <w:r w:rsidRPr="00884A81">
        <w:rPr>
          <w:rFonts w:ascii="Book Antiqua" w:hAnsi="Book Antiqua"/>
        </w:rPr>
        <w:t>in their multivariate analysis of a cohort of</w:t>
      </w:r>
      <w:r w:rsidR="00884A81" w:rsidRPr="00884A81">
        <w:rPr>
          <w:rFonts w:ascii="Book Antiqua" w:hAnsi="Book Antiqua"/>
        </w:rPr>
        <w:t xml:space="preserve"> </w:t>
      </w:r>
      <w:r w:rsidRPr="00884A81">
        <w:rPr>
          <w:rFonts w:ascii="Book Antiqua" w:hAnsi="Book Antiqua"/>
        </w:rPr>
        <w:t>433 adult OLT patients</w:t>
      </w:r>
      <w:r w:rsidR="00502290" w:rsidRPr="00884A81">
        <w:rPr>
          <w:rFonts w:ascii="Book Antiqua" w:hAnsi="Book Antiqua"/>
        </w:rPr>
        <w:t>.</w:t>
      </w:r>
      <w:r w:rsidR="00884A81" w:rsidRPr="00884A81">
        <w:rPr>
          <w:rFonts w:ascii="Book Antiqua" w:hAnsi="Book Antiqua"/>
        </w:rPr>
        <w:t xml:space="preserve"> </w:t>
      </w:r>
    </w:p>
    <w:p w14:paraId="281390D3" w14:textId="6B3FA123" w:rsidR="002A30AF" w:rsidRPr="00884A81" w:rsidRDefault="002A30AF" w:rsidP="00382320">
      <w:pPr>
        <w:spacing w:line="360" w:lineRule="auto"/>
        <w:ind w:firstLineChars="100" w:firstLine="240"/>
        <w:jc w:val="both"/>
        <w:rPr>
          <w:rFonts w:ascii="Book Antiqua" w:hAnsi="Book Antiqua"/>
        </w:rPr>
      </w:pPr>
      <w:r w:rsidRPr="00884A81">
        <w:rPr>
          <w:rFonts w:ascii="Book Antiqua" w:hAnsi="Book Antiqua"/>
        </w:rPr>
        <w:t>Both short and long</w:t>
      </w:r>
      <w:r w:rsidR="003844A6" w:rsidRPr="00884A81">
        <w:rPr>
          <w:rFonts w:ascii="Book Antiqua" w:hAnsi="Book Antiqua"/>
        </w:rPr>
        <w:t>-</w:t>
      </w:r>
      <w:r w:rsidRPr="00884A81">
        <w:rPr>
          <w:rFonts w:ascii="Book Antiqua" w:hAnsi="Book Antiqua"/>
        </w:rPr>
        <w:t>term survival appears to be affected by intraoperative massive blood transfusion.</w:t>
      </w:r>
      <w:r w:rsidR="00884A81" w:rsidRPr="00884A81">
        <w:rPr>
          <w:rFonts w:ascii="Book Antiqua" w:hAnsi="Book Antiqua"/>
        </w:rPr>
        <w:t xml:space="preserve"> </w:t>
      </w:r>
      <w:r w:rsidRPr="00884A81">
        <w:rPr>
          <w:rFonts w:ascii="Book Antiqua" w:hAnsi="Book Antiqua"/>
        </w:rPr>
        <w:t xml:space="preserve">Rana </w:t>
      </w:r>
      <w:r w:rsidRPr="00382320">
        <w:rPr>
          <w:rFonts w:ascii="Book Antiqua" w:hAnsi="Book Antiqua"/>
          <w:i/>
        </w:rPr>
        <w:t>et al</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"10.1016/j.jamcollsurg.2012.12.047", "ISSN" : "1879-1190", "PMID" : "23478547", "abstract" : "BACKGROUND Blood loss during liver transplantation is not incorporated into the dominant models for post-transplant survival. Our objective was to investigate blood transfusion requirement as a risk factor for mortality after liver transplantation, and to further analyze risk factors for intraoperative blood transfusion requirement and hepatectomy time. STUDY DESIGN We conducted a retrospective analysis of 233 consecutive liver transplant recipients over a span of 3 years by a single experienced surgeon. Mean follow-up was 2.5 years. Independent risk factors for patient survival after liver transplantation were identified using Cox proportion hazard regression. Independent risk factors for intraoperative blood transfusion requirement and hepatectomy time were identified using logistic regression. RESULTS Two factors were identified as significant predictors in multivariate analysis for survival after liver transplantation: hepatocellular carcinoma (hazard ratio [HR] 1.9, 95% CI 1.1 to 3.2) and intraoperative blood transfusion requirement per unit (HR 1.01, 95% CI 1.0 to 1.02). Threshold analysis revealed that intraoperative blood transfusion volume \u226528 units or 85(th) percentile (HR 2.5, 95% CI 1.3 to 4.7) was a significant risk factor for patient survival. Four covariates were identified as significant risk factors for intraoperative blood requirement: warm ischemia time (odds ratio [OR] 1.12, 95% CI 1.06 to 1.18), bilirubin (OR 1.04, 95% CI 1.02 to 1.08), previous surgery (OR 1.7, 95% CI 1.02 to 2.9), and hepatectomy time (OR 1.01, 95% CI 1.00 to 1.02). The only risk factor for prolonged hepatectomy time was previous major abdominal surgery (OR 4.0, 95% CI 1.7 to 9.5). CONCLUSIONS Intraoperative blood transfusion requirement is an important risk factor for mortality after liver transplantation. The strongest risk factors for intraoperative blood transfusion requirement are warm ischemia time and bilirubin levels. Intraoperative blood loss and its risk factors should be incorporated into models to predict survival after liver transplantation.", "author" : [ { "dropping-particle" : "", "family" : "Rana", "given" : "Abbas", "non-dropping-particle" : "", "parse-names" : false, "suffix" : "" }, { "dropping-particle" : "", "family" : "Petrowsky", "given" : "Henrik", "non-dropping-particle" : "", "parse-names" : false, "suffix" : "" }, { "dropping-particle" : "", "family" : "Hong", "given" : "Johnny C", "non-dropping-particle" : "", "parse-names" : false, "suffix" : "" }, { "dropping-particle" : "", "family" : "Agopian", "given" : "Vatche G", "non-dropping-particle" : "", "parse-names" : false, "suffix" : "" }, { "dropping-particle" : "", "family" : "Kaldas", "given" : "Fady M", "non-dropping-particle" : "", "parse-names" : false, "suffix" : "" }, { "dropping-particle" : "", "family" : "Farmer", "given" : "Douglas", "non-dropping-particle" : "", "parse-names" : false, "suffix" : "" }, { "dropping-particle" : "", "family" : "Yersiz", "given" : "Hasan", "non-dropping-particle" : "", "parse-names" : false, "suffix" : "" }, { "dropping-particle" : "", "family" : "Hiatt", "given" : "Jonathan R", "non-dropping-particle" : "", "parse-names" : false, "suffix" : "" }, { "dropping-particle" : "", "family" : "Busuttil", "given" : "Ronald W", "non-dropping-particle" : "", "parse-names" : false, "suffix" : "" } ], "container-title" : "Journal of the American College of Surgeons", "id" : "ITEM-1", "issue" : "5", "issued" : { "date-parts" : [ [ "2013", "5" ] ] }, "page" : "902-7", "publisher" : "Rana,Abbas. Division of Abdominal Transplantation, Department of Surgery, University of Arizona, 1501 N Campbell Ave, PO Box 245066, Tucson, AZ 85724, USA. arana@surgery.arizona.edu", "publisher-place" : "United States", "title" : "Blood transfusion requirement during liver transplantation is an important risk factor for mortality.", "type" : "article-journal", "volume" : "216" }, "uris" : [ "http://www.mendeley.com/documents/?uuid=14df21b4-46e3-4131-91fd-bc189ac0f4a4" ] } ], "mendeley" : { "formattedCitation" : "&lt;sup&gt;[28]&lt;/sup&gt;", "plainTextFormattedCitation" : "[28]", "previouslyFormattedCitation" : "&lt;sup&gt;[29]&lt;/sup&gt;"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[28]</w:t>
      </w:r>
      <w:r w:rsidR="00382320" w:rsidRPr="00884A81">
        <w:rPr>
          <w:rFonts w:ascii="Book Antiqua" w:hAnsi="Book Antiqua"/>
        </w:rPr>
        <w:fldChar w:fldCharType="end"/>
      </w:r>
      <w:r w:rsidRPr="00884A81">
        <w:rPr>
          <w:rFonts w:ascii="Book Antiqua" w:hAnsi="Book Antiqua"/>
        </w:rPr>
        <w:t xml:space="preserve"> found that an intraoperative blood transfusion of &gt; 28 units was as significant risk factor for decreased 3 mo survival in a study of 233 consecutive liver transplant recipients performed by the same experienced surgeon</w:t>
      </w:r>
      <w:r w:rsidR="005B0A14" w:rsidRPr="00884A81">
        <w:rPr>
          <w:rFonts w:ascii="Book Antiqua" w:hAnsi="Book Antiqua"/>
        </w:rPr>
        <w:t>.</w:t>
      </w:r>
      <w:r w:rsidRPr="00884A81">
        <w:rPr>
          <w:rFonts w:ascii="Book Antiqua" w:hAnsi="Book Antiqua"/>
        </w:rPr>
        <w:t xml:space="preserve"> Intraoperative blood transfusion greater than 5 units was independently associated with reduced 3 and 5 years survival in a study of 102 Living donor liver transplant patients</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"ITEM-1",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"mendeley" : { "formattedCitation" : "&lt;sup&gt;[60]&lt;/sup&gt;", "plainTextFormattedCitation" : "[60]", "previouslyFormattedCitation" : "&lt;sup&gt;[61]&lt;/sup&gt;"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[60]</w:t>
      </w:r>
      <w:r w:rsidR="00382320" w:rsidRPr="00884A81">
        <w:rPr>
          <w:rFonts w:ascii="Book Antiqua" w:hAnsi="Book Antiqua"/>
        </w:rPr>
        <w:fldChar w:fldCharType="end"/>
      </w:r>
      <w:r w:rsidR="005B0A14" w:rsidRPr="00884A81">
        <w:rPr>
          <w:rFonts w:ascii="Book Antiqua" w:hAnsi="Book Antiqua"/>
        </w:rPr>
        <w:t>.</w:t>
      </w:r>
      <w:r w:rsidRPr="00884A81">
        <w:rPr>
          <w:rFonts w:ascii="Book Antiqua" w:hAnsi="Book Antiqua"/>
        </w:rPr>
        <w:t xml:space="preserve"> </w:t>
      </w:r>
    </w:p>
    <w:p w14:paraId="0311E023" w14:textId="5C0FDD59" w:rsidR="00554E99" w:rsidRPr="00884A81" w:rsidRDefault="00CE77AD" w:rsidP="00382320">
      <w:pPr>
        <w:spacing w:line="360" w:lineRule="auto"/>
        <w:ind w:firstLineChars="100" w:firstLine="240"/>
        <w:jc w:val="both"/>
        <w:rPr>
          <w:rFonts w:ascii="Book Antiqua" w:hAnsi="Book Antiqua"/>
        </w:rPr>
      </w:pPr>
      <w:r w:rsidRPr="00884A81">
        <w:rPr>
          <w:rFonts w:ascii="Book Antiqua" w:hAnsi="Book Antiqua"/>
        </w:rPr>
        <w:t>Observational studies have demonstrated a link between b</w:t>
      </w:r>
      <w:r w:rsidR="00743536" w:rsidRPr="00884A81">
        <w:rPr>
          <w:rFonts w:ascii="Book Antiqua" w:hAnsi="Book Antiqua"/>
        </w:rPr>
        <w:t>lood loss and transfusion requirements</w:t>
      </w:r>
      <w:r w:rsidRPr="00884A81">
        <w:rPr>
          <w:rFonts w:ascii="Book Antiqua" w:hAnsi="Book Antiqua"/>
        </w:rPr>
        <w:t xml:space="preserve"> and</w:t>
      </w:r>
      <w:r w:rsidR="00743536" w:rsidRPr="00884A81">
        <w:rPr>
          <w:rFonts w:ascii="Book Antiqua" w:hAnsi="Book Antiqua"/>
        </w:rPr>
        <w:t xml:space="preserve"> increased morbidity in OLT patients</w:t>
      </w:r>
      <w:r w:rsidR="002A30AF" w:rsidRPr="00884A81">
        <w:rPr>
          <w:rFonts w:ascii="Book Antiqua" w:hAnsi="Book Antiqua"/>
        </w:rPr>
        <w:t xml:space="preserve">. Transfusion </w:t>
      </w:r>
      <w:r w:rsidR="003844A6" w:rsidRPr="00884A81">
        <w:rPr>
          <w:rFonts w:ascii="Book Antiqua" w:hAnsi="Book Antiqua"/>
        </w:rPr>
        <w:t xml:space="preserve">requirements </w:t>
      </w:r>
      <w:r w:rsidR="002A30AF" w:rsidRPr="00884A81">
        <w:rPr>
          <w:rFonts w:ascii="Book Antiqua" w:hAnsi="Book Antiqua"/>
        </w:rPr>
        <w:t>of &gt;</w:t>
      </w:r>
      <w:r w:rsidR="00382320">
        <w:rPr>
          <w:rFonts w:ascii="Book Antiqua" w:eastAsia="宋体" w:hAnsi="Book Antiqua" w:hint="eastAsia"/>
          <w:lang w:eastAsia="zh-CN"/>
        </w:rPr>
        <w:t xml:space="preserve"> </w:t>
      </w:r>
      <w:r w:rsidR="002A30AF" w:rsidRPr="00884A81">
        <w:rPr>
          <w:rFonts w:ascii="Book Antiqua" w:hAnsi="Book Antiqua"/>
        </w:rPr>
        <w:t xml:space="preserve">17.5 </w:t>
      </w:r>
      <w:r w:rsidR="003844A6" w:rsidRPr="00884A81">
        <w:rPr>
          <w:rFonts w:ascii="Book Antiqua" w:hAnsi="Book Antiqua"/>
        </w:rPr>
        <w:t xml:space="preserve">packed red cell </w:t>
      </w:r>
      <w:r w:rsidR="002A30AF" w:rsidRPr="00884A81">
        <w:rPr>
          <w:rFonts w:ascii="Book Antiqua" w:hAnsi="Book Antiqua"/>
        </w:rPr>
        <w:t>units and &gt;</w:t>
      </w:r>
      <w:r w:rsidR="00382320">
        <w:rPr>
          <w:rFonts w:ascii="Book Antiqua" w:eastAsia="宋体" w:hAnsi="Book Antiqua" w:hint="eastAsia"/>
          <w:lang w:eastAsia="zh-CN"/>
        </w:rPr>
        <w:t xml:space="preserve"> </w:t>
      </w:r>
      <w:r w:rsidR="002A30AF" w:rsidRPr="00884A81">
        <w:rPr>
          <w:rFonts w:ascii="Book Antiqua" w:hAnsi="Book Antiqua"/>
        </w:rPr>
        <w:t xml:space="preserve">3.5 </w:t>
      </w:r>
      <w:r w:rsidR="003844A6" w:rsidRPr="00884A81">
        <w:rPr>
          <w:rFonts w:ascii="Book Antiqua" w:hAnsi="Book Antiqua"/>
        </w:rPr>
        <w:t xml:space="preserve">platelet </w:t>
      </w:r>
      <w:r w:rsidR="002A30AF" w:rsidRPr="00884A81">
        <w:rPr>
          <w:rFonts w:ascii="Book Antiqua" w:hAnsi="Book Antiqua"/>
        </w:rPr>
        <w:t>units in a study including 291 consecutive OLT patients were found to accurately predict the requirement for post-transplant renal replacement therapy</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"10.1007/s00423-014-1181-y", "ISSN" : "1435-2451", "PMID" : "24682384", "abstract" : "INTRODUCTION Transfusion requirements of blood products may provide useful prognostic factors for the prediction of short-term patient mortality and renal outcome after liver transplantation. PATIENTS AND METHODS Two hundred ninety-one consecutive liver transplants in adults were analysed retrospectively. Combined and living-related liver transplants were excluded. The amount of transfused packed red blood cells (PRBC) and units of platelets (UP) within the first 48 h were investigated as prognostic factors to predict short-term patient mortality and renal outcome. Receiver operating characteristic (ROC) curve analysis with area under the curve (AUC), Hosmer-Lemeshow tests and Brier scores were used to calculate overall model correctness, model calibration and accuracy of prognostic factors. Cut-off values were determined with the best Youden index. RESULTS The potential clinical usefulness of PRBC as a prognostic factor to predict 30-day mortality (cut-off 17.5 units) and post-transplant haemodialysis (cut-off 12.5 units) could be demonstrated with AUCs &gt;0.7 (0.712 and 0.794, respectively). Hosmer-Lemeshow test results and Brier scores indicated good overall model correctness, model calibration and accuracy. The UP proved as an equally clinically useful prognostic factor to predict end-stage renal disease (cut-off 3.5 units; AUC = 0.763). The association of cut-off levels of PRBC with patient survival (p &lt; 0.001, log-rank test) and dialysis-free survival (p &lt; 0.001, log-rank test) was significant (cut-off levels 17.5 and 12.5 units, respectively) as well as the association of UP with dialysis-free survival (p &lt; 0.001, log-rank test) (cut-off level 3.5 units). CONCLUSIONS The impressive discriminative power of these simple prognostic factors for the prediction of outcome after liver transplantation emphasizes the relevance of strategies to avoid excessive transfusion requirements.", "author" : [ { "dropping-particle" : "", "family" : "Reichert", "given" : "Benedikt", "non-dropping-particle" : "", "parse-names" : false, "suffix" : "" }, { "dropping-particle" : "", "family" : "Kaltenborn", "given" : "Alexander", "non-dropping-particle" : "", "parse-names" : false, "suffix" : "" }, { "dropping-particle" : "", "family" : "Becker", "given" : "Thomas", "non-dropping-particle" : "", "parse-names" : false, "suffix" : "" }, { "dropping-particle" : "", "family" : "Schiffer", "given" : "Mario", "non-dropping-particle" : "", "parse-names" : false, "suffix" : "" }, { "dropping-particle" : "", "family" : "Klempnauer", "given" : "J\u00fcrgen", "non-dropping-particle" : "", "parse-names" : false, "suffix" : "" }, { "dropping-particle" : "", "family" : "Schrem", "given" : "Harald", "non-dropping-particle" : "", "parse-names" : false, "suffix" : "" } ], "container-title" : "Langenbeck's archives of surgery / Deutsche Gesellschaft fu\u0308r Chirurgie", "id" : "ITEM-1", "issue" : "4", "issued" : { "date-parts" : [ [ "2014", "4" ] ] }, "page" : "429-40", "publisher" : "Reichert,Benedikt. General and Thoracic Surgery, Universitatsklinikum Schleswig Holstein, Kiel, Germany, benedikt.reichert@uksh-kiel.de.", "publisher-place" : "Germany", "title" : "Massive blood transfusion after the first cut in liver transplantation predicts renal outcome and survival.", "type" : "article-journal", "volume" : "399" }, "uris" : [ "http://www.mendeley.com/documents/?uuid=6e0151fa-9c33-4d2f-86da-9386331bd36d" ] } ], "mendeley" : { "formattedCitation" : "&lt;sup&gt;[29]&lt;/sup&gt;", "plainTextFormattedCitation" : "[29]", "previouslyFormattedCitation" : "&lt;sup&gt;[30]&lt;/sup&gt;"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[29]</w:t>
      </w:r>
      <w:r w:rsidR="00382320" w:rsidRPr="00884A81">
        <w:rPr>
          <w:rFonts w:ascii="Book Antiqua" w:hAnsi="Book Antiqua"/>
        </w:rPr>
        <w:fldChar w:fldCharType="end"/>
      </w:r>
      <w:r w:rsidR="005B0A14" w:rsidRPr="00884A81">
        <w:rPr>
          <w:rFonts w:ascii="Book Antiqua" w:hAnsi="Book Antiqua"/>
        </w:rPr>
        <w:t>.</w:t>
      </w:r>
      <w:r w:rsidR="002A30AF" w:rsidRPr="00884A81">
        <w:rPr>
          <w:rFonts w:ascii="Book Antiqua" w:hAnsi="Book Antiqua"/>
        </w:rPr>
        <w:t xml:space="preserve"> </w:t>
      </w:r>
      <w:r w:rsidR="00743536" w:rsidRPr="00884A81">
        <w:rPr>
          <w:rFonts w:ascii="Book Antiqua" w:hAnsi="Book Antiqua"/>
        </w:rPr>
        <w:t>Transfusion of &gt;</w:t>
      </w:r>
      <w:r w:rsidR="00382320">
        <w:rPr>
          <w:rFonts w:ascii="Book Antiqua" w:eastAsia="宋体" w:hAnsi="Book Antiqua" w:hint="eastAsia"/>
          <w:lang w:eastAsia="zh-CN"/>
        </w:rPr>
        <w:t xml:space="preserve"> </w:t>
      </w:r>
      <w:r w:rsidR="00743536" w:rsidRPr="00884A81">
        <w:rPr>
          <w:rFonts w:ascii="Book Antiqua" w:hAnsi="Book Antiqua"/>
        </w:rPr>
        <w:t xml:space="preserve">2 units of packed red cells was identified as a risk factor for development of </w:t>
      </w:r>
      <w:r w:rsidR="002A30AF" w:rsidRPr="00884A81">
        <w:rPr>
          <w:rFonts w:ascii="Book Antiqua" w:hAnsi="Book Antiqua"/>
        </w:rPr>
        <w:t>surgical site infections in liver transplant recipients</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"10.1002/lt.23682", "ISSN" : "1527-6473", "PMID" : "23744748", "abstract" : "In recipients of liver transplantation (LT), surgical site infection (SSIs) are among the most common types of infection occurring in the first 60 days after LT. In 2007, the Model for End-Stage Liver Disease (MELD) scoring system was adopted as the basis for prioritizing organ allocation. Patients with higher MELD scores are at higher risk for developing SSIs as well as other health care-associated infections. However, there have been no studies comparing the incidence of SSIs in the pre-MELD era with the incidence in the period since its adoption. Therefore, the objectives of this study were to evaluate the incidence, etiology, epidemiology, and outcomes of post-LT SSIs in those 2 periods and to identify risk factors for SSIs. We evaluated all patients who underwent LT over a 10-year period (2002-2011). SSI cases were identified through active surveillance. The primary outcome measure was an SSI during the first 60 days after LT. Risk factors were analyzed via logistic regression, and 60-day survival rates were evaluated via Cox regression. We evaluated 543 patients who underwent LT 597 times. The SSI rates in the 2002-2006 and 2007-2011 periods were 30% and 24%, respectively (P = 0.21). We identified the following risk factors for SSIs: retransplantation, the transfusion of more than 2 U of blood during LT, dialysis, cold ischemia for &gt;400 minutes, and a cytomegalovirus infection. The overall 60-day survival rate was 79%. Risk factors for 60-day mortality were retransplantation, dialysis, and a longer surgical time. The use of the MELD score modified the incidence and epidemiology of SSIs only during the first year after its adoption. Risks for SSIs were related more to intraoperative conditions and intercurrences after LT than to a patient's status before LT.", "author" : [ { "dropping-particle" : "", "family" : "Freire", "given" : "Maristela Pinheiro", "non-dropping-particle" : "", "parse-names" : false, "suffix" : "" }, { "dropping-particle" : "V", "family" : "Soares Oshiro", "given" : "Isabel C", "non-dropping-particle" : "", "parse-names" : false, "suffix" : "" }, { "dropping-particle" : "", "family" : "Bonazzi", "given" : "Patricia Rodrigues", "non-dropping-particle" : "", "parse-names" : false, "suffix" : "" }, { "dropping-particle" : "", "family" : "Guimar\u00e3es", "given" : "Thais", "non-dropping-particle" : "", "parse-names" : false, "suffix" : "" }, { "dropping-particle" : "", "family" : "Ramos Figueira", "given" : "Estela Regina", "non-dropping-particle" : "", "parse-names" : false, "suffix" : "" }, { "dropping-particle" : "", "family" : "Bacchella", "given" : "Tel\u00e9sforo", "non-dropping-particle" : "", "parse-names" : false, "suffix" : "" }, { "dropping-particle" : "", "family" : "Costa", "given" : "Silvia Figueiredo", "non-dropping-particle" : "", "parse-names" : false, "suffix" : "" }, { "dropping-particle" : "", "family" : "Carneiro D'Albuquerque", "given" : "Luiz Augusto", "non-dropping-particle" : "", "parse-names" : false, "suffix" : "" }, { "dropping-particle" : "", "family" : "Abdala", "given" : "Edson", "non-dropping-particle" : "", "parse-names" : false, "suffix" : "" } ], "container-title" : "Liver transplantation : official publication of the American Association for the Study of Liver Diseases and the International Liver Transplantation Society", "id" : "ITEM-1", "issue" : "9", "issued" : { "date-parts" : [ [ "2013", "9" ] ] }, "page" : "1011-9", "publisher" : "Freire,Maristela Pinheiro. Infection Control Team, Clinical Hospital, Sao Paulo, Brazil.", "publisher-place" : "United States", "title" : "Surgical site infections in liver transplant recipients in the model for end-stage liver disease era: an analysis of the epidemiology, risk factors, and outcomes.", "type" : "article-journal", "volume" : "19" }, "uris" : [ "http://www.mendeley.com/documents/?uuid=41fa55f8-6aa4-4d5b-9f90-153705d6830e" ] } ], "mendeley" : { "formattedCitation" : "&lt;sup&gt;[61]&lt;/sup&gt;", "plainTextFormattedCitation" : "[61]", "previouslyFormattedCitation" : "&lt;sup&gt;[62]&lt;/sup&gt;"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[61]</w:t>
      </w:r>
      <w:r w:rsidR="00382320" w:rsidRPr="00884A81">
        <w:rPr>
          <w:rFonts w:ascii="Book Antiqua" w:hAnsi="Book Antiqua"/>
        </w:rPr>
        <w:fldChar w:fldCharType="end"/>
      </w:r>
      <w:r w:rsidR="005B0A14" w:rsidRPr="00884A81">
        <w:rPr>
          <w:rFonts w:ascii="Book Antiqua" w:hAnsi="Book Antiqua"/>
        </w:rPr>
        <w:t>.</w:t>
      </w:r>
      <w:r w:rsidR="002A30AF" w:rsidRPr="00884A81">
        <w:rPr>
          <w:rFonts w:ascii="Book Antiqua" w:hAnsi="Book Antiqua"/>
        </w:rPr>
        <w:t xml:space="preserve"> Intraoperative </w:t>
      </w:r>
      <w:r w:rsidR="00743536" w:rsidRPr="00884A81">
        <w:rPr>
          <w:rFonts w:ascii="Book Antiqua" w:hAnsi="Book Antiqua"/>
        </w:rPr>
        <w:t>blood loss</w:t>
      </w:r>
      <w:r w:rsidR="002A30AF" w:rsidRPr="00884A81">
        <w:rPr>
          <w:rFonts w:ascii="Book Antiqua" w:hAnsi="Book Antiqua"/>
        </w:rPr>
        <w:t xml:space="preserve"> was also found to be the main determinant of early surgical re-intervention after OLT</w:t>
      </w:r>
      <w:r w:rsidR="00382320" w:rsidRPr="00884A81">
        <w:rPr>
          <w:rFonts w:ascii="Book Antiqua" w:hAnsi="Book Antiqua"/>
        </w:rPr>
        <w:fldChar w:fldCharType="begin" w:fldLock="1"/>
      </w:r>
      <w:r w:rsidR="00382320" w:rsidRPr="00884A81">
        <w:rPr>
          <w:rFonts w:ascii="Book Antiqua" w:hAnsi="Book Antiqua"/>
        </w:rPr>
        <w:instrText>ADDIN CSL_CITATION { "citationItems" : [ { "id" : "ITEM-1", "itemData" : { "DOI" : "10.1007/s00147-004-0793-5", "ISSN" : "0934-0874", "PMID" : "15717214", "abstract" : "Liver transplantation is the treatment of choice in selected patients with end-stage liver disease. Postoperative complications often require surgical re-intervention. This study is a retrospective single-centre study to assess the incidence and type of surgical re-intervention during the in-hospital period after liver transplantation and to identify predictors of this re-intervention. From 1994 to 2002, 231 consecutive adult liver transplantations were performed. Re-intervention was classified as biliary, vascular, bleeding, septicaemia, re-transplantation or as miscellaneous. One hundred and thirty-nine surgical re-interventions were performed in 79 of 231 patients (34%). Septicaemia (44%) and bleeding (27%) were the most frequent indications for re-intervention, followed by biliary (10%) re-intervention. Vascular re-intervention, re-transplantation, and re-intervention for miscellaneous reasons, were performed in 7% each. Of all analysed variables (gender, age, diagnosis, acute liver failure, Child-Pugh classification, Karnofsky score, previous abdominal surgery, creatinine clearance, prothrombin time, anti-thrombin, platelet count, surgical technique, cold ischaemia time, warm ischaemia time, functional anhepatic time, anatomic anhepatic time, revascularisation time, year of transplantation, aprotinin administration, transfused platelet concentrate, and red blood cell transfusion requirements), only the number of transfused red blood cell concentrates (RBCs) was identified as a predictor of surgical re-intervention. Median RBC transfusion requirement during liver transplantation was 2.9 l (range 0-18.8 l) in the re-intervention group compared with 1.5 l (range 0-13.4 l) in the non-re-intervention group (P&lt;0.001). This study revealed intraoperative blood loss as the main determinant of early surgical re-intervention after liver transplantation and emphasises the need for further attempts to control blood loss during liver transplantation.", "author" : [ { "dropping-particle" : "", "family" : "Hendriks", "given" : "H G D", "non-dropping-particle" : "", "parse-names" : false, "suffix" : "" }, { "dropping-particle" : "", "family" : "Meer", "given" : "J", "non-dropping-particle" : "van der", "parse-names" : false, "suffix" : "" }, { "dropping-particle" : "", "family" : "Wolf", "given" : "J T M", "non-dropping-particle" : "de", "parse-names" : false, "suffix" : "" }, { "dropping-particle" : "", "family" : "Peeters", "given" : "P M J G", "non-dropping-particle" : "", "parse-names" : false, "suffix" : "" }, { "dropping-particle" : "", "family" : "Porte", "given" : "R J", "non-dropping-particle" : "", "parse-names" : false, "suffix" : "" }, { "dropping-particle" : "", "family" : "Jong", "given" : "K", "non-dropping-particle" : "de", "parse-names" : false, "suffix" : "" }, { "dropping-particle" : "", "family" : "Lip", "given" : "H", "non-dropping-particle" : "", "parse-names" : false, "suffix" : "" }, { "dropping-particle" : "", "family" : "Post", "given" : "W J", "non-dropping-particle" : "", "parse-names" : false, "suffix" : "" }, { "dropping-particle" : "", "family" : "Slooff", "given" : "M J H", "non-dropping-particle" : "", "parse-names" : false, "suffix" : "" } ], "container-title" : "Transplant international : official journal of the European Society for Organ Transplantation", "id" : "ITEM-1", "issue" : "11", "issued" : { "date-parts" : [ [ "2005", "1" ] ] }, "page" : "673-9", "publisher" : "Hendriks,H G D. Department of Anaesthesiology, University Hospital of Groningen, Hanzeplein 1, P.O. Box 30.001, 9700 RB, Groningen, The Netherlands. h.g.d.hendriks@anest.azg.nl", "publisher-place" : "Germany", "title" : "Intraoperative blood transfusion requirement is the main determinant of early surgical re-intervention after orthotopic liver transplantation.", "type" : "article-journal", "volume" : "17" }, "uris" : [ "http://www.mendeley.com/documents/?uuid=6de3c38b-a2a1-4901-a993-e24d6d1b134e" ] } ], "mendeley" : { "formattedCitation" : "&lt;sup&gt;[62]&lt;/sup&gt;", "plainTextFormattedCitation" : "[62]", "previouslyFormattedCitation" : "&lt;sup&gt;[63]&lt;/sup&gt;" }, "properties" : { "noteIndex" : 0 }, "schema" : "https://github.com/citation-style-language/schema/raw/master/csl-citation.json" }</w:instrText>
      </w:r>
      <w:r w:rsidR="00382320" w:rsidRPr="00884A81">
        <w:rPr>
          <w:rFonts w:ascii="Book Antiqua" w:hAnsi="Book Antiqua"/>
        </w:rPr>
        <w:fldChar w:fldCharType="separate"/>
      </w:r>
      <w:r w:rsidR="00382320" w:rsidRPr="00884A81">
        <w:rPr>
          <w:rFonts w:ascii="Book Antiqua" w:hAnsi="Book Antiqua"/>
          <w:noProof/>
          <w:vertAlign w:val="superscript"/>
        </w:rPr>
        <w:t>[62]</w:t>
      </w:r>
      <w:r w:rsidR="00382320" w:rsidRPr="00884A81">
        <w:rPr>
          <w:rFonts w:ascii="Book Antiqua" w:hAnsi="Book Antiqua"/>
        </w:rPr>
        <w:fldChar w:fldCharType="end"/>
      </w:r>
      <w:r w:rsidR="005B0A14" w:rsidRPr="00884A81">
        <w:rPr>
          <w:rFonts w:ascii="Book Antiqua" w:hAnsi="Book Antiqua"/>
        </w:rPr>
        <w:t>.</w:t>
      </w:r>
      <w:r w:rsidR="00884A81" w:rsidRPr="00884A81">
        <w:rPr>
          <w:rFonts w:ascii="Book Antiqua" w:hAnsi="Book Antiqua"/>
        </w:rPr>
        <w:t xml:space="preserve"> </w:t>
      </w:r>
    </w:p>
    <w:p w14:paraId="095FB166" w14:textId="5FD03E55" w:rsidR="002A30AF" w:rsidRPr="00884A81" w:rsidRDefault="00CE77AD" w:rsidP="00382320">
      <w:pPr>
        <w:spacing w:line="360" w:lineRule="auto"/>
        <w:ind w:firstLineChars="100" w:firstLine="240"/>
        <w:jc w:val="both"/>
        <w:rPr>
          <w:rFonts w:ascii="Book Antiqua" w:hAnsi="Book Antiqua"/>
        </w:rPr>
      </w:pPr>
      <w:r w:rsidRPr="00884A81">
        <w:rPr>
          <w:rFonts w:ascii="Book Antiqua" w:hAnsi="Book Antiqua"/>
        </w:rPr>
        <w:t xml:space="preserve">It is important to highlight that </w:t>
      </w:r>
      <w:r w:rsidR="001B2D60" w:rsidRPr="00884A81">
        <w:rPr>
          <w:rFonts w:ascii="Book Antiqua" w:hAnsi="Book Antiqua"/>
        </w:rPr>
        <w:t>studies investigating outcomes following</w:t>
      </w:r>
      <w:r w:rsidR="00114AAF" w:rsidRPr="00884A81">
        <w:rPr>
          <w:rFonts w:ascii="Book Antiqua" w:hAnsi="Book Antiqua"/>
        </w:rPr>
        <w:t xml:space="preserve"> liver transplantation are limited by their observational nature in that they</w:t>
      </w:r>
      <w:r w:rsidR="001B2D60" w:rsidRPr="00884A81">
        <w:rPr>
          <w:rFonts w:ascii="Book Antiqua" w:hAnsi="Book Antiqua"/>
        </w:rPr>
        <w:t xml:space="preserve"> </w:t>
      </w:r>
      <w:r w:rsidR="00114AAF" w:rsidRPr="00884A81">
        <w:rPr>
          <w:rFonts w:ascii="Book Antiqua" w:hAnsi="Book Antiqua"/>
        </w:rPr>
        <w:t>demonstrate</w:t>
      </w:r>
      <w:r w:rsidR="001B2D60" w:rsidRPr="00884A81">
        <w:rPr>
          <w:rFonts w:ascii="Book Antiqua" w:hAnsi="Book Antiqua"/>
        </w:rPr>
        <w:t xml:space="preserve"> association and not causality between blood loss, transfusion requirements and morbidity and mortality outcomes.</w:t>
      </w:r>
    </w:p>
    <w:p w14:paraId="75E22E3B" w14:textId="77777777" w:rsidR="00712DBF" w:rsidRPr="00884A81" w:rsidRDefault="00712DBF" w:rsidP="00884A81">
      <w:pPr>
        <w:spacing w:line="360" w:lineRule="auto"/>
        <w:jc w:val="both"/>
        <w:rPr>
          <w:rFonts w:ascii="Book Antiqua" w:hAnsi="Book Antiqua"/>
          <w:b/>
        </w:rPr>
      </w:pPr>
    </w:p>
    <w:p w14:paraId="28C3AE99" w14:textId="6295047B" w:rsidR="002A30AF" w:rsidRPr="00884A81" w:rsidRDefault="00382320" w:rsidP="00884A81">
      <w:pPr>
        <w:spacing w:line="360" w:lineRule="auto"/>
        <w:jc w:val="both"/>
        <w:rPr>
          <w:rFonts w:ascii="Book Antiqua" w:hAnsi="Book Antiqua"/>
          <w:b/>
        </w:rPr>
      </w:pPr>
      <w:r w:rsidRPr="00884A81">
        <w:rPr>
          <w:rFonts w:ascii="Book Antiqua" w:hAnsi="Book Antiqua"/>
          <w:b/>
        </w:rPr>
        <w:t>PREDICTION OF MASSIVE TRANSFUSION IN LIVER TRANSPLANTATION</w:t>
      </w:r>
    </w:p>
    <w:p w14:paraId="0B570E7F" w14:textId="092ACA66" w:rsidR="002A30AF" w:rsidRPr="00884A81" w:rsidRDefault="002A30AF" w:rsidP="00884A81">
      <w:pPr>
        <w:spacing w:line="360" w:lineRule="auto"/>
        <w:jc w:val="both"/>
        <w:rPr>
          <w:rFonts w:ascii="Book Antiqua" w:hAnsi="Book Antiqua"/>
        </w:rPr>
      </w:pPr>
      <w:r w:rsidRPr="00884A81">
        <w:rPr>
          <w:rFonts w:ascii="Book Antiqua" w:hAnsi="Book Antiqua"/>
        </w:rPr>
        <w:t xml:space="preserve">A number of studies have identified </w:t>
      </w:r>
      <w:r w:rsidR="00712DBF" w:rsidRPr="00884A81">
        <w:rPr>
          <w:rFonts w:ascii="Book Antiqua" w:hAnsi="Book Antiqua"/>
        </w:rPr>
        <w:t>factor</w:t>
      </w:r>
      <w:r w:rsidR="00CB0CB1" w:rsidRPr="00884A81">
        <w:rPr>
          <w:rFonts w:ascii="Book Antiqua" w:hAnsi="Book Antiqua"/>
        </w:rPr>
        <w:t>s</w:t>
      </w:r>
      <w:r w:rsidR="00712DBF" w:rsidRPr="00884A81">
        <w:rPr>
          <w:rFonts w:ascii="Book Antiqua" w:hAnsi="Book Antiqua"/>
        </w:rPr>
        <w:t xml:space="preserve"> associated with massive </w:t>
      </w:r>
      <w:r w:rsidRPr="00884A81">
        <w:rPr>
          <w:rFonts w:ascii="Book Antiqua" w:hAnsi="Book Antiqua"/>
        </w:rPr>
        <w:t>blood loss and transfusion requirements in liver transplant patient populations</w:t>
      </w:r>
      <w:r w:rsidR="000F0F2B" w:rsidRPr="00884A81">
        <w:rPr>
          <w:rFonts w:ascii="Book Antiqua" w:hAnsi="Book Antiqua"/>
        </w:rPr>
        <w:t xml:space="preserve"> (T</w:t>
      </w:r>
      <w:r w:rsidR="00712DBF" w:rsidRPr="00884A81">
        <w:rPr>
          <w:rFonts w:ascii="Book Antiqua" w:hAnsi="Book Antiqua"/>
        </w:rPr>
        <w:t>able 1)</w:t>
      </w:r>
      <w:r w:rsidR="00915B70"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"id" : "ITEM-2", "itemData" : { "DOI" : "10.1016/j.transproceed.2012.09.085", "ISSN" : "1873-2623", "PMID" : "23146542", "abstract" : "INTRODUCTION Advanced liver disease is characterized by prolonged global coagulation tests such as prothrombin time (PT). Using Model of End-stage Liver Disease (MELD) score-based allocation, many current transplant recipients show advanced end-stage liver disease with an elevated international normalized ratio (INR). The relationship between abnormalities in coagulation tests and the risk of bleeding has been recently challenged among liver disease patients. In this study we reassessed risk factors for bleeding and the clinical implications for patients who underwent orthotopic liver transplantation (OLT). METHODS We studied OLT patients between 2005 and 2011 excluding combined transplantations, retransplantations, or cases due to acute liver failure. We collected prospectively pre-OLT, during OLT, and post-OLT clinical and biochemical data to assess the risk for bleeding using linear regression models. RESULTS The strongest predictor of overall survival among 286 patients with a mean follow-up of 32 months was the number of blood transfusions (P = .005). The risk factor for bleeding during surgery investigated by multivariate analysis only showed the INR (P &lt; .001) and the presence of ascites (P = .003) to independently correlate with the amount of blood transfusion. Receiver operation characteristics (ROC) analysis performed to determine the risk for massive blood transfusion (more than 6 units) revealed a cut-off value for INR \u2265 1.6. Appreciation of the operative field by the surgeon during the intervention as \"wet\" versus \"dry\", amounts of blood transfusion and fresh frozen plasma, and stay in the intensive care unit (ICU) and in the hospital were all significantly different (P &lt; .001) for patients with INR &lt;1.6 versus INR \u2265 1.6. CONCLUSIONS Bleeding during OLT affects the outcome. The risk is independently influenced by the presence of ascites (probably reflecting the degree portal hypertension) and an INR \u2265 1.6. To improve survival after OLT therapeutic interventions should be further explored to reduce the need for blood transfusions.", "author" : [ { "dropping-particle" : "", "family" : "Esmat Gamil", "given" : "M", "non-dropping-particle" : "", "parse-names" : false, "suffix" : "" }, { "dropping-particle" : "", "family" : "Pirenne", "given" : "J", "non-dropping-particle" : "", "parse-names" : false, "suffix" : "" }, { "dropping-particle" : "", "family" : "Malenstein", "given" : "H", "non-dropping-particle" : "Van", "parse-names" : false, "suffix" : "" }, { "dropping-particle" : "", "family" : "Verhaegen", "given" : "M", "non-dropping-particle" : "", "parse-names" : false, "suffix" : "" }, { "dropping-particle" : "", "family" : "Desschans", "given" : "B", "non-dropping-particle" : "", "parse-names" : false, "suffix" : "" }, { "dropping-particle" : "", "family" : "Monbaliu", "given" : "D", "non-dropping-particle" : "", "parse-names" : false, "suffix" : "" }, { "dropping-particle" : "", "family" : "Aerts", "given" : "R", "non-dropping-particle" : "", "parse-names" : false, "suffix" : "" }, { "dropping-particle" : "", "family" : "Laleman", "given" : "W", "non-dropping-particle" : "", "parse-names" : false, "suffix" : "" }, { "dropping-particle" : "", "family" : "Cassiman", "given" : "D", "non-dropping-particle" : "", "parse-names" : false, "suffix" : "" }, { "dropping-particle" : "", "family" : "Verslype", "given" : "C", "non-dropping-particle" : "", "parse-names" : false, "suffix" : "" }, { "dropping-particle" : "", "family" : "Steenbergen", "given" : "W", "non-dropping-particle" : "Van", "parse-names" : false, "suffix" : "" }, { "dropping-particle" : "", "family" : "Pelt", "given" : "J", "non-dropping-particle" : "Van", "parse-names" : false, "suffix" : "" }, { "dropping-particle" : "", "family" : "Nevens", "given" : "F", "non-dropping-particle" : "", "parse-names" : false, "suffix" : "" } ], "container-title" : "Transplantation proceedings", "id" : "ITEM-2", "issue" : "9", "issued" : { "date-parts" : [ [ "2012", "11" ] ] }, "language" : "eng", "page" : "2857-60", "publisher-place" : "United States", "title" : "Risk factors for bleeding and clinical implications in patients undergoing liver transplantation.", "type" : "article-journal", "volume" : "44" }, "uris" : [ "http://www.mendeley.com/documents/?uuid=0600e584-ceb9-43b2-8453-77c235c954a4" ] }, { "id" : "ITEM-3", "itemData" : { "DOI" : "10.1016/jlts.2003.50204", "ISBN" : "1527-6465", "ISSN" : "1527-6465", "PMID" : "14625833", "abstract" : "Objectives of this study are to quantify the need for blood transfusion during liver transplantation (LT) and confirm the importance of intraoperative blood transfusion as an independent prognostic factor for postoperative outcome. Furthermore, we try to detect useful variables for the preoperative identification of patients likely to require transfusion of packed red blood cell units (PRCUs) and identify measures to reduce transfusion needs. Data were collected prospectively between September 1998 and November 2000. One hundred twenty-two LTs were included in the study. Forty-two patients (34%) did not require transfusion of PRCUs. In multivariate analysis, transfusion of more than three PRCUs was found to be the only significant variable associated with prolonged hospital stay. In addition, excluding perioperative deaths, PRCU transfusion, using a cutoff value of six units, was the only variable to reach statistical significance (P =.008; risk ratio, 4.93; 95% confidence interval, 15 to 15.9) to predict survival in a multivariate analysis that also included Child's class and United Network for Organ Sharing (UNOS) classification. Moreover, only preoperative hemoglobin (Hb) level was found to significantly predict the need for transfusion of one or more PCRUs. Finally, only UNOS classification and placement of an intraoperative portacaval shunt were found to be statistically significant to predict the need to transfuse more than six PRCUs. We found the requirement of even a moderate number of blood transfusions is associated with longer hospital stay, and transfusion of more than six PRCUs is associated with diminished survival. Preoperative normalization of Hb levels and placement of an intraoperative portacaval shunt can diminish the number of blood transfusions during LT.", "author" : [ { "dropping-particle" : "", "family" : "Ramos", "given" : "Emilio", "non-dropping-particle" : "", "parse-names" : false, "suffix" : "" }, { "dropping-particle" : "", "family" : "Dalmau", "given" : "Antonia", "non-dropping-particle" : "", "parse-names" : false, "suffix" : "" }, { "dropping-particle" : "", "family" : "Sabate", "given" : "Antonio", "non-dropping-particle" : "", "parse-names" : false, "suffix" : "" }, { "dropping-particle" : "", "family" : "Lama", "given" : "Carmen", "non-dropping-particle" : "", "parse-names" : false, "suffix" : "" }, { "dropping-particle" : "", "family" : "Llado", "given" : "Laura", "non-dropping-particle" : "", "parse-names" : false, "suffix" : "" }, { "dropping-particle" : "", "family" : "Figueras", "given" : "Juan", "non-dropping-particle" : "", "parse-names" : false, "suffix" : "" }, { "dropping-particle" : "", "family" : "Jaurrieta", "given" : "Eduardo", "non-dropping-particle" : "", "parse-names" : false, "suffix" : "" } ], "container-title" : "Liver transplantation : official publication of the American Association for the Study of Liver Diseases and the International Liver Transplantation Society", "id" : "ITEM-3", "issue" : "12", "issued" : { "date-parts" : [ [ "2003", "12" ] ] }, "page" : "1320-7", "publisher" : "Ramos,Emilio. Liver Transplantation Unit, Hospital Universitario de Bellvitge, Barcelona, Spain. eramos@csub.scs.es", "publisher-place" : "United States, Unidad de Trasplante Hepatico, Hospital Universitario de Bellvitge, L'Hospitalet, Av. Feixa Llarga s/n, 08907 Barcelona, Spain. E-mail: eramos@csub.scs.es", "title" : "Intraoperative red blood cell transfusion in liver transplantation: influence on patient outcome, prediction of requirements, and measures to reduce them.", "type" : "article-journal", "volume" : "9" }, "uris" : [ "http://www.mendeley.com/documents/?uuid=b0be0f3a-46e9-44da-95a7-b29c04077f76" ] }, { "id" : "ITEM-4",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"ITEM-4",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"id" : "ITEM-5", "itemData" : { "DOI" : "10.1016/S0025-6196(12)65256-2", "ISSN" : "0025-6196", "PMID" : "2539541", "abstract" : "We reviewed the records of 83 patients who underwent 100 orthotopic liver transplantations in order to determine the following: (1) the methods to predict blood usage, (2) the consequences of an ABO-incompatible transplant, (3) the benefit of providing cytomegalovirus (CMV)-negative blood products to CMV-negative patients receiving a liver from a CMV-negative donor, (4) the association of donor anti-hepatitis B core antigens and subsequent hepatitis B, and (5) the prognostic consequences of rouleaux observed in pretransplant blood compatibility testing. Patient diagnosis, the presence of ascites, a preoperative prothrombin time greater than 15 seconds, and a multifactorial \"risk category\" were all predictive of intraoperative blood loss. A history of previous gastrointestinal bleeding or an operation that involved the right upper abdominal quadrant was not predictive of intraoperative blood loss. Although CMV infection is common after liver transplantation, the prophylactic use of CMV antibody-negative blood products in CMV-negative recipients receiving a liver from a CMV-negative donor in our series was not associated with postoperative CMV infection. The transplantation of a liver positive for anti-hepatitis B core antigen was associated with subsequent hepatitis B surface antigen seroconversion in two of four cases. Transplantation of an ABO-incompatible liver and the presence of rouleaux observed in pretransplant blood compatibility testing were both associated with a significantly higher mortality. A careful review of laboratory data and medical records of patients undergoing liver transplantation should enhance the ability to modify the approach to the allocation of limited blood resources and the care and management of these patients.", "author" : [ { "dropping-particle" : "", "family" : "Motschman", "given" : "T L", "non-dropping-particle" : "", "parse-names" : false, "suffix" : "" }, { "dropping-particle" : "", "family" : "Taswell", "given" : "H F", "non-dropping-particle" : "", "parse-names" : false, "suffix" : "" }, { "dropping-particle" : "", "family" : "Brecher", "given" : "M E", "non-dropping-particle" : "", "parse-names" : false, "suffix" : "" }, { "dropping-particle" : "", "family" : "Rakela", "given" : "J", "non-dropping-particle" : "", "parse-names" : false, "suffix" : "" }, { "dropping-particle" : "", "family" : "Grambsch", "given" : "P M", "non-dropping-particle" : "", "parse-names" : false, "suffix" : "" }, { "dropping-particle" : "", "family" : "Larson-Keller", "given" : "J J", "non-dropping-particle" : "", "parse-names" : false, "suffix" : "" }, { "dropping-particle" : "", "family" : "Rettke", "given" : "S R", "non-dropping-particle" : "", "parse-names" : false, "suffix" : "" }, { "dropping-particle" : "", "family" : "Krom", "given" : "R A", "non-dropping-particle" : "", "parse-names" : false, "suffix" : "" } ], "container-title" : "Mayo Clinic proceedings", "id" : "ITEM-5", "issue" : "3", "issued" : { "date-parts" : [ [ "1989", "3" ] ] }, "page" : "346-55", "publisher" : "Motschman,T L. Blood Bank Service, Mayo Clinic, Rochester, MN 55905.", "publisher-place" : "UNITED STATES", "title" : "Intraoperative blood loss and patient and graft survival in orthotopic liver transplantation: their relationship to clinical and laboratory data.", "type" : "article-journal", "volume" : "64" }, "uris" : [ "http://www.mendeley.com/documents/?uuid=ddde3bf4-fdd2-4d0f-a47b-19955fb595fe" ] }, { "id" : "ITEM-6", "itemData" : { "ISSN" : "0035-8843", "PMID" : "8215151", "abstract" : "From 1982 to 1990, 300 adults received liver transplants in Birmingham UK with a median intraoperative blood transfusion rate of 23.5 units for the first 50 patients falling to 8 units for the last 50. The major factors in the reduction of blood usage were the experience of the team, the use of venovenous bypass and the use of an argon beam coagulator. Univariate analysis of preoperative factors in an attempt to predict patients at risk of excessive intraoperative transfusion showed that levels of serum sodium, urea, creatinine, haemoglobin, patient weight and the presence of ascites were significantly related to the quantity of blood transfused, although stepwise discriminant analysis showed that only blood urea and platelet count had an independent association with transfusion. The final model was poorly predictive of intraoperative transfusion requirements. Technical factors rather than patient-related factors are more important in the control of intraoperative bleeding in newly established transplant programmes.", "author" : [ { "dropping-particle" : "", "family" : "Deakin", "given" : "M.", "non-dropping-particle" : "", "parse-names" : false, "suffix" : "" }, { "dropping-particle" : "", "family" : "Gunson", "given" : "B. K.", "non-dropping-particle" : "", "parse-names" : false, "suffix" : "" }, { "dropping-particle" : "", "family" : "Dunn", "given" : "J. A.", "non-dropping-particle" : "", "parse-names" : false, "suffix" : "" }, { "dropping-particle" : "", "family" : "McMaster", "given" : "P.", "non-dropping-particle" : "", "parse-names" : false, "suffix" : "" }, { "dropping-particle" : "", "family" : "Tisone", "given" : "G.", "non-dropping-particle" : "", "parse-names" : false, "suffix" : "" }, { "dropping-particle" : "", "family" : "Warwick", "given" : "J.", "non-dropping-particle" : "", "parse-names" : false, "suffix" : "" }, { "dropping-particle" : "", "family" : "Buckels", "given" : "J A", "non-dropping-particle" : "", "parse-names" : false, "suffix" : "" } ], "container-title" : "Annals of the Royal College of Surgeons of England", "id" : "ITEM-6", "issue" : "5", "issued" : { "date-parts" : [ [ "1993", "9" ] ] }, "page" : "339-44", "publisher" : "Deakin,M. Liver Unit, Queen Elizabeth Hospital, Birmingham.", "publisher-place" : "ENGLAND", "title" : "Factors influencing blood transfusion during adult liver transplantation.", "type" : "article-journal", "volume" : "75" }, "uris" : [ "http://www.mendeley.com/documents/?uuid=4e7fc93f-9035-4529-b505-5502e850b4be" ] }, { "id" : "ITEM-7", "itemData" : { "DOI" : "10.1097/00132586-200104000-00049", "ISSN" : "0952-8180", "PMID" : "10960206", "abstract" : "STUDY OBJECTIVE To assess the ability of preoperative information to predict intraoperative blood transfusion requirements in adult orthotopic liver transplantation. DESIGN Retrospective review. SETTING Liver transplantation program in a referral center. PATIENTS 583 sequential adult patients undergoing orthotopic liver transplantation. MEASUREMENTS Preoperative variables with a previously demonstrated relationship to intraoperative transfusion were identified from the literature. These variables were then collected retrospectively from 583 consecutive liver transplantations. Relationships between these and intraoperative blood transfusion requirements were examined by both univariate analyses and multiple linear regression analysis. RESULTS Univariate analysis revealed significant associations between blood transfused and the following preoperative variables: age, gender, diagnosis, presence of grade 3 or 4 encephalopathy, pseudocholinesterase, creatinine, bilirubin, mean pulmonary artery pressure, activated partial thromboplastin time, and platelet count. Multiple linear regression analysis with correction for diagnosis identified age, creatinine, bilirubin, and pseudocholinesterase as independent predictors; for the final model r(2) = 0.22. CONCLUSION Preoperative variables are poor predictors of intraoperative transfusion requirements even when significant associations exist, identifying a small proportion of the variability observed. A predictive approach based on this method would be too inaccurate to be of clinical use. The majority of the variability in transfusion requirements during liver transplantation most likely results from intraoperative and donor organ factors.", "author" : [ { "dropping-particle" : "", "family" : "Findlay", "given" : "J Y", "non-dropping-particle" : "", "parse-names" : false, "suffix" : "" }, { "dropping-particle" : "", "family" : "Rettke", "given" : "S R", "non-dropping-particle" : "", "parse-names" : false, "suffix" : "" } ], "container-title" : "Journal of clinical anesthesia", "id" : "ITEM-7", "issue" : "4", "issued" : { "date-parts" : [ [ "2000", "6" ] ] }, "page" : "319-23", "publisher" : "Findlay,J Y. Department of Anesthesiology, Mayo Clinic and Foundation, Rochester, MN 55902, USA. findlay.james@mayo.edu", "publisher-place" : "UNITED STATES", "title" : "Poor prediction of blood transfusion requirements in adult liver transplantations from preoperative variables.", "type" : "article-journal", "volume" : "12" }, "uris" : [ "http://www.mendeley.com/documents/?uuid=70540be3-e7b1-449c-8b6b-b5a825be9dfb" ] }, { "id" : "ITEM-8", "itemData" : { "DOI" : "10.1007/BF03020372", "ISSN" : "0832-610X", "PMID" : "11744582", "abstract" : "PURPOSE To identify preoperative factors associated with high blood losses during liver transplantation for chronic end-stage liver disease. METHODS Four hundred and ten consecutive patients were included in this retrospective study. Blood losses were calculated, based on transfusion requirements. The population was divided into two groups: the upper quartile was defined as the high blood loss (HBL) group and the lower three quartiles as the low blood loss group. Fourteen preoperative variables were collected. Qualitative variables consisted of the type of hepatopathy, Child-Pugh's classification, sex, the surgical team's experience, previous abdominal surgery and portal hypertension. Quantitative variables were age, hemoglobin concentration Hb, platelet count, prothrombin time, activated partial thromboplastin time, fibrinogen concentration, fibrin degradation products (FDP) and euglobulin lysis time. Univariate analysis and stepwise multivariate analysis were conducted. RESULTS Patients in the HBL group required 12 units of red blood cell or more to maintain a Hb &gt;/= 100g*L(-1). HBL was associated with severe liver disease, previous abdominal surgery, use of a venovenous bypass and little surgical experience in orthotopic liver transplantation (OLT). In the HBL group several hemostatic parameters were more disturbed before surgery. The multivariate analysis disclosed three independent variables associated with HBL: Hb and FDP concentrations and previous upper abdominal surgery. When combined, these resulted in a high specificity (98%) but low sensitivity to predict blood loss. CONCLUSION Despite our efforts we were unable to identify predictive risk factors of bleeding during OLT even in a homogeneous population. Centres should evaluate their practice individually in an attempt to identify patients at high risk of being transfused.", "author" : [ { "dropping-particle" : "", "family" : "Steib", "given" : "A", "non-dropping-particle" : "", "parse-names" : false, "suffix" : "" }, { "dropping-particle" : "", "family" : "Freys", "given" : "G", "non-dropping-particle" : "", "parse-names" : false, "suffix" : "" }, { "dropping-particle" : "", "family" : "Lehmann", "given" : "C", "non-dropping-particle" : "", "parse-names" : false, "suffix" : "" }, { "dropping-particle" : "", "family" : "Meyer", "given" : "C", "non-dropping-particle" : "", "parse-names" : false, "suffix" : "" }, { "dropping-particle" : "", "family" : "Mahoudeau", "given" : "G", "non-dropping-particle" : "", "parse-names" : false, "suffix" : "" } ], "container-title" : "Canadian journal of anaesthesia = Journal canadien d'anesthe\u0301sie", "id" : "ITEM-8", "issue" : "11", "issued" : { "date-parts" : [ [ "2001", "12" ] ] }, "page" : "1075-9", "publisher" : "Steib,A. Departments of Anaesthesia, and Transplantation, Hopitaux Universitaires, Strasbourg, France. Annick.Steib@chru-strasbourg.fr", "publisher-place" : "Canada", "title" : "Intraoperative blood losses and transfusion requirements during adult liver transplantation remain difficult to predict.", "type" : "article-journal", "volume" : "48" }, "uris" : [ "http://www.mendeley.com/documents/?uuid=5e65a6b3-0f72-4001-9165-bcc394046a8b" ] }, { "id" : "ITEM-9", "itemData" : { "DOI" : "10.1016/s0041-1345(02)02887-7", "ISSN" : "0041-1345", "PMID" : "12270349", "author" : [ { "dropping-particle" : "", "family" : "Pirat", "given" : "A", "non-dropping-particle" : "", "parse-names" : false, "suffix" : "" }, { "dropping-particle" : "", "family" : "Sargin", "given" : "D", "non-dropping-particle" : "", "parse-names" : false, "suffix" : "" }, { "dropping-particle" : "", "family" : "Torgay", "given" : "A", "non-dropping-particle" : "", "parse-names" : false, "suffix" : "" }, { "dropping-particle" : "", "family" : "Arslan", "given" : "G", "non-dropping-particle" : "", "parse-names" : false, "suffix" : "" } ], "container-title" : "Transplantation proceedings", "id" : "ITEM-9", "issue" : "6", "issued" : { "date-parts" : [ [ "2002", "9" ] ] }, "page" : "2153-5", "publisher" : "Pirat,A. Baskent University Faculty of Medicine, Ankara, Turkey.", "publisher-place" : "United States", "title" : "Identification of preoperative predictors of intraoperative blood transfusion requirement in orthotopic liver transplantation.", "type" : "article-journal", "volume" : "34" }, "uris" : [ "http://www.mendeley.com/documents/?uuid=b13eb272-719b-449a-a279-c3f79dbf8647" ] }, { "id" : "ITEM-10", "itemData" : { "DOI" : "10.1213/01.ANE.0000111184.21278.07", "ISSN" : "0003-2999", "PMID" : "15105195", "abstract" : "UNLABELLED In this study we sought to determine the factors influencing red blood cell (RBC) transfusions and to study the transfusion practice of anesthesiologists during liver transplants. A retrospective study of 206 successive liver transplants was undertaken during a period of 52 mo. Transfused blood products were identified. Twenty variables were analyzed in a univariate fashion. For the multivariate analysis, the cases were divided in 2 subgroups: more than 4 RBC units transfused and 4 or less RBC units transfused. The average number of RBC units transfused during a liver transplant was 2.8 (+/- 3.5) per patient, 32.0% did not receive any RBC, and 19.4% did not receive any blood products during the transplant. Three variables were related to the number of RBC units transfused: the starting International Normalized Ratio value, the starting platelet count, and the duration of surgery. We found that there was a wide difference in the transfusion practice of the anesthesiologists involved in this series of liver transplants. It was difficult to identify predictive factors for RBC transfusions when the transfusion rate was small and because of the variability in human factors. Plasma transfusion did not decrease the rate of RBC transfusions; sometimes it was the contrary. IMPLICATIONS This is a retrospective study of 206 liver transplants over 52 mo to identify the predictive factors of red blood cell transfusions and the anesthesiologists' transfusion strategies. We conclude that there is a wide difference in transfusion practices among anesthesiologists.", "author" : [ { "dropping-particle" : "", "family" : "Massicotte", "given" : "Luc", "non-dropping-particle" : "", "parse-names" : false, "suffix" : "" }, { "dropping-particle" : "", "family" : "Sassine", "given" : "Marie-Pascale", "non-dropping-particle" : "", "parse-names" : false, "suffix" : "" }, { "dropping-particle" : "", "family" : "Lenis", "given" : "Serge", "non-dropping-particle" : "", "parse-names" : false, "suffix" : "" }, { "dropping-particle" : "", "family" : "Roy", "given" : "Andr\u00e9", "non-dropping-particle" : "", "parse-names" : false, "suffix" : "" } ], "container-title" : "Anesthesia and analgesia", "id" : "ITEM-10", "issue" : "5", "issued" : { "date-parts" : [ [ "2004", "5" ] ] }, "page" : "1245-51, table of contents", "publisher" : "Massicotte,Luc. Anesthesiology Department, Centre Hospitalier de l'Universite de Montreal, Montreal, Canada. massicotte@hotmail.com", "publisher-place" : "United States", "title" : "Transfusion predictors in liver transplant.", "type" : "article-journal", "volume" : "98" }, "uris" : [ "http://www.mendeley.com/documents/?uuid=5581ecb1-4a7d-4464-b624-7a90e75bb2ef" ] }, { "id" : "ITEM-11", "itemData" : { "DOI" : "10.1111/j.1537-2995.2005.04330.x", "ISBN" : "0041-1132", "ISSN" : "0041-1132", "PMID" : "15934985", "abstract" : "BACKGROUND Living-donor liver transplantation (LDLT) has been an important option in the treatment of patients with end-stage liver disease. Massive intraoperative blood loss can occur during LDLT, necessitating blood transfusion. The purpose of this study was to present blood loss data from the recipients of LDLT, to assess the effect of massive intraoperative blood loss on prognosis, and to assess the reliability of preoperative information in predicting intraoperative blood transfusion requirements in LDLT. STUDY DESIGN AND METHODS A total of 635 patients who underwent LDLTs between January 1995 and March 2002 at a university hospital were retro- spectively investigated. The volume of blood loss, prognosis, and preoperative variables were analyzed statistically. RESULTS Intraoperative blood loss ranged from 5.15 to 1980 mL per kg (mean, 136 mL/kg). Massive blood loss negatively affected survival not only immediately after operation (high blood loss [HBL]:low blood loss [LBL] ratio, 85.5%:93.9% at 1 month) but also over the long term (HBL:LBL, 61.4%:76.8% at 5 years). Preoperative risk factors for massive blood loss were determined to be recipient age (&lt;1 years), weight (&lt;10 kg), C-reactive protein (&gt;2 mg/dL), hematocrit (&lt;30%), total bilirubin (&gt;20.0 mg/dL), direct bilirubin (&gt;16.0 mg/dL), and blood urea nitrogen levels (&gt;30.0 mg/dL). CONCLUSIONS The risk factors associated with massive intraoperative blood loss during LDLT were identified. This is the first analysis of blood loss during LDLT at a single center. Massive blood loss is a predictor of poor prognosis in LDLT patients.", "author" : [ { "dropping-particle" : "", "family" : "Yuasa", "given" : "Takeshi", "non-dropping-particle" : "", "parse-names" : false, "suffix" : "" }, { "dropping-particle" : "", "family" : "Niwa", "given" : "Norimi", "non-dropping-particle" : "", "parse-names" : false, "suffix" : "" }, { "dropping-particle" : "", "family" : "Kimura", "given" : "Shinya", "non-dropping-particle" : "", "parse-names" : false, "suffix" : "" }, { "dropping-particle" : "", "family" : "Tsuji", "given" : "Hiroaki", "non-dropping-particle" : "", "parse-names" : false, "suffix" : "" }, { "dropping-particle" : "", "family" : "Yurugi", "given" : "Kimiko", "non-dropping-particle" : "", "parse-names" : false, "suffix" : "" }, { "dropping-particle" : "", "family" : "Egawa", "given" : "Hiroto", "non-dropping-particle" : "", "parse-names" : false, "suffix" : "" }, { "dropping-particle" : "", "family" : "Tanaka", "given" : "Koichi", "non-dropping-particle" : "", "parse-names" : false, "suffix" : "" }, { "dropping-particle" : "", "family" : "Asano", "given" : "Hiroaki", "non-dropping-particle" : "", "parse-names" : false, "suffix" : "" }, { "dropping-particle" : "", "family" : "Maekawa", "given" : "Taira", "non-dropping-particle" : "", "parse-names" : false, "suffix" : "" } ], "container-title" : "Transfusion", "id" : "ITEM-11", "issue" : "6", "issued" : { "date-parts" : [ [ "2005", "6" ] ] }, "page" : "879-84", "title" : "Intraoperative blood loss during living donor liver transplantation: an analysis of 635 recipients at a single center.", "type" : "article-journal", "volume" : "45" }, "uris" : [ "http://www.mendeley.com/documents/?uuid=7dbd83d4-6049-4c98-8bd2-17abf79dac87" ] }, { "id" : "ITEM-12", "itemData" : { "DOI" : "10.1016/j.transproceed.2007.09.029", "ISSN" : "0041-1345", "PMID" : "18089355", "abstract" : "UNLABELLED Orthotopic liver transplantation (OLT) has historically been associated with massive blood loss and hemodynamic instability related to the coexistence of varices, coagulopathy, thrombocytopenia, and portal hypertension. Piggyback hepatectomy (PGB) is a technique increasingly utilized in OLT to avoid veno-venous bypass and vena cava clamping. This study evaluated the factors associated with blood loss and blood product requirement in PGB. METHODS This study is a retrospective review of the anesthesia preoperative and operative notes and computerized lab values for all adult cadaveric liver transplants over a 42-month period. These data were combined with the liver transplant database for analysis. Approximately 98% of the transplants were performed using a standard piggyback approach with no use of veno-venous bypass. RESULTS Data were included for all 526 transplants performed during this time period. Estimated blood loss (EBL) was 1000 cc. Median transfusion requirement was 3 units packed red blood cells, 7 units fresh frozen plasma, and 6 units platelets. Multivariate linear regression demonstrated that predictors of EBL were age, MELD score, preoperative hemoglobin, initial fibrinogen, initial central venous pressure, and total anesthesia time. Predictors of PRBC useage were age, MELD score, preoperative hemoglobin, initial fibrinogen, and anesthesia time. Postoperatively increased transfusion requirement was associated with increased length of hospital stay and lower 90-day and 1-year graft and patient survivals. CONCLUSION These results demonstrate that PGB can be safely accomplished in nearly all liver transplant patients without venovenous bypass or vena cava clamping and with less warm ischemia, which may ultimately be associated with less perioperative morbidity and improved outcomes.", "author" : [ { "dropping-particle" : "", "family" : "Mangus", "given" : "R S", "non-dropping-particle" : "", "parse-names" : false, "suffix" : "" }, { "dropping-particle" : "", "family" : "Kinsella", "given" : "S B", "non-dropping-particle" : "", "parse-names" : false, "suffix" : "" }, { "dropping-particle" : "", "family" : "Nobari", "given" : "M M", "non-dropping-particle" : "", "parse-names" : false, "suffix" : "" }, { "dropping-particle" : "", "family" : "Fridell", "given" : "J A", "non-dropping-particle" : "", "parse-names" : false, "suffix" : "" }, { "dropping-particle" : "", "family" : "Vianna", "given" : "R M", "non-dropping-particle" : "", "parse-names" : false, "suffix" : "" }, { "dropping-particle" : "", "family" : "Ward", "given" : "E S", "non-dropping-particle" : "", "parse-names" : false, "suffix" : "" }, { "dropping-particle" : "", "family" : "Nobari", "given" : "R", "non-dropping-particle" : "", "parse-names" : false, "suffix" : "" }, { "dropping-particle" : "", "family" : "Tector", "given" : "A J", "non-dropping-particle" : "", "parse-names" : false, "suffix" : "" } ], "container-title" : "Transplantation proceedings", "id" : "ITEM-12", "issue" : "10", "issued" : { "date-parts" : [ [ "2007", "12" ] ] }, "page" : "3207-13", "publisher" : "Mangus,R S. Department of Surgery, Transplantation Section, Indiana University School of Medicine, Indianapolis, Indiana 46202-5250, USA. mangus@iupui.edu", "publisher-place" : "United States", "title" : "Predictors of blood product use in orthotopic liver transplantation using the piggyback hepatectomy technique.", "type" : "article-journal", "volume" : "39" }, "uris" : [ "http://www.mendeley.com/documents/?uuid=ff63eea3-9193-4d0a-9919-b3d5dfd742a2" ] }, { "id" : "ITEM-13", "itemData" : { "DOI" : "10.1097/TP.0b013e3181a5e5f1", "ISSN" : "1534-6080", "PMID" : "19502961", "abstract" : "BACKGROUND Orthotopic liver transplantation has been traditionally associated with major blood loss and the need for allogenic blood product transfusions. In recent years, improvements in surgical and anesthetic techniques have greatly decreased the amount of blood products transfused. We have published a median of 0 for all intraoperative blood products transfused. Some authors argue that these results could be possible merely because of the relatively healthy cohort in terms of model of end-stage liver disease (MELD) score. The MELD score could be adjusted by some conditions (hepatocellular carcinoma, hemodialysis, hepatopulmonary syndrome, and amyloidosis) and was not adjusted in these series. The goal of this work was to verify the MELD score according to US standards and to find any link between the MELD score and the transfusion rate. METHOD Three hundred fifty consecutive liver transplantations were studied. The MELD score was adjusted according to US standards. Patients were divided into two groups according to the median of the MELD score. Blood loss and transfusion rate were determined for these two groups. Logistic regression models were used to find any link with transfusion of red blood cell (RBC) units. RESULT The MELD score before adjusting was 19+/-9 and 22+/-10 after. A mean of 0.5+/-1.3 RBC units/patient intraoperative were transfused with 80.6% of cases without any blood products. There was no difference for the blood loss (999+/-670 mL vs. 1017+/-885 mL) or the transfusion rate (0.4+/-1.2 vs. 0.5+/-1.4 RBC/patient) between two groups of MELD (&lt;21 or &gt;or=21) or any of its component (creatinine, bilirubin, and international normalized ratio). The logistic regression analysis found that only two variables were linked to RBC transfusion; starting hemoglobin value and phlebotomy. CONCLUSION In this series, the MELD score was as high as US series and did not predict blood losses and blood product requirement during liver transplantation. If the MELD system has to be implemented to prioritize orthotopic liver transplantation, it should be revisited, and the starting hemoglobin value should be added to the equation.", "author" : [ { "dropping-particle" : "", "family" : "Massicotte", "given" : "Luc", "non-dropping-particle" : "", "parse-names" : false, "suffix" : "" }, { "dropping-particle" : "", "family" : "Beaulieu", "given" : "Danielle", "non-dropping-particle" : "", "parse-names" : false, "suffix" : "" }, { "dropping-particle" : "", "family" : "Roy", "given" : "Jean-Denis", "non-dropping-particle" : "", "parse-names" : false, "suffix" : "" }, { "dropping-particle" : "", "family" : "Marleau", "given" : "Denis", "non-dropping-particle" : "", "parse-names" : false, "suffix" : "" }, { "dropping-particle" : "", "family" : "Vandenbroucke", "given" : "Frank", "non-dropping-particle" : "", "parse-names" : false, "suffix" : "" }, { "dropping-particle" : "", "family" : "Dagenais", "given" : "Michel", "non-dropping-particle" : "", "parse-names" : false, "suffix" : "" }, { "dropping-particle" : "", "family" : "Lapointe", "given" : "R\u00e9al", "non-dropping-particle" : "", "parse-names" : false, "suffix" : "" }, { "dropping-particle" : "", "family" : "Roy", "given" : "Andr\u00e9", "non-dropping-particle" : "", "parse-names" : false, "suffix" : "" } ], "container-title" : "Transplantation", "id" : "ITEM-13", "issue" : "11", "issued" : { "date-parts" : [ [ "2009", "6", "15" ] ] }, "page" : "1689-94", "publisher" : "Massicotte,Luc. Department of Anesthesiology, Centre hospitalier de l'Universite de Montreal (CHUM), Hopital St-Luc, Montreal, QC, Canada. luc.massicotte@umontreal.ca", "publisher-place" : "United States", "title" : "MELD score and blood product requirements during liver transplantation: no link.", "type" : "article-journal", "volume" : "87" }, "uris" : [ "http://www.mendeley.com/documents/?uuid=b5c3f641-6a10-4549-a873-01f9c376bf2c" ] }, { "id" : "ITEM-14", "itemData" : { "DOI" : "10.1016/j.transproceed.2009.10.007", "ISBN" : "0041-1345", "ISSN" : "1873-2623", "PMID" : "20620517", "abstract" : "INTRODUCTION AND AIMS Adult orthotopic liver transplantation (OLT) is associated with considerable blood product requirements. The aim of this study was to assess the ability of preoperative information to predict intraoperative red blood cell (RBC) transfusion requirements among adult liver recipients. METHODS Preoperative variables with previously demonstrated relationships to intraoperative RBC transfusion were identified from the literature: sex, age, pathology, prothrombin time (PT), factor V, hemoglobin (Hb), and platelet count (plt). These variables were then retrospectively collected from 758 consecutive adult patients undergoing OLT from 1997 to 2007. Relationships between these variables and intraoperative blood transfusion requirements were examined by both univariate analysis and multiple linear regression analysis. RESULTS Univariate analysis confirmed significant associations between RBC transfusion and PT, factor V, Hb, Plt, pathology, and age (P values all &lt; .001). However, stepwise backward multivariate analysis excluded variables Plt and factor V from the multiple regression linear model. The variables included in the final predictive model were PT, Hb, age, and pathology. Patients suffering from liver carcinoma required more blood products than those suffering from other pathologies. Yet, the overall predictive power of the final model was limited (R(2) = .308; adjusted R(2) = .30). CONCLUSION Preoperative variables have limited predictive power for intraoperative RBC transfusion requirements even when significant statistical associations exist, identifying only a small portion of the observed total transfusion variability. Preoperative PT, Hb, age, and liver pathology seem to be the most significant predictive factors but other factors like severity of liver disease, surgical technique, medical experience in liver transplantation, and other noncontrollable human variables may play important roles to determine the final transfusion requirements.", "author" : [ { "dropping-particle" : "", "family" : "Ara\u00fajo", "given" : "T.", "non-dropping-particle" : "", "parse-names" : false, "suffix" : "" }, { "dropping-particle" : "", "family" : "Cordeiro", "given" : "A.", "non-dropping-particle" : "", "parse-names" : false, "suffix" : "" }, { "dropping-particle" : "", "family" : "Proen\u00e7a", "given" : "P.", "non-dropping-particle" : "", "parse-names" : false, "suffix" : "" }, { "dropping-particle" : "", "family" : "Perdigoto", "given" : "R.", "non-dropping-particle" : "", "parse-names" : false, "suffix" : "" }, { "dropping-particle" : "", "family" : "Martins", "given" : "A.", "non-dropping-particle" : "", "parse-names" : false, "suffix" : "" }, { "dropping-particle" : "", "family" : "Barroso", "given" : "E.", "non-dropping-particle" : "", "parse-names" : false, "suffix" : "" } ], "container-title" : "Transplantation proceedings", "id" : "ITEM-14", "issue" : "5", "issued" : { "date-parts" : [ [ "2010", "6" ] ] }, "page" : "1758-9", "publisher" : "Araujo,T. Servico de Imunohemoterapia, Hospital Curry Cabral, Lisboa, Portugal. mtaraujo@hccabral.min-saude.pt", "publisher-place" : "United States", "title" : "Predictive variables affecting transfusion requirements in orthotopic liver transplantation.", "type" : "article-journal", "volume" : "42" }, "uris" : [ "http://www.mendeley.com/documents/?uuid=f7798c1a-1856-40d6-9926-03f7b9916bcb" ] }, { "id" : "ITEM-15", "itemData" : { "DOI" : "10.1016/j.transproceed.2010.10.017", "ISSN" : "1873-2623", "PMID" : "21168648", "abstract" : "We conducted a risk factor analysis for high intraoperative blood loss (IBL) in 555 living donor liver transplantation (LDLT) cases with a simple and objective method of IBL estimation based on the concept of red cell mass (RCM): Lost RCM (mL) = patient's estimated blood volume (mL) \u00d7 (preoperative hematocrit in % - postoperative hematocrit in %) + (transfused leukocyte-depleted red blood cell in units \u00d7 213 \u00d7 70%) + (transfused Cell Saver blood in mL \u00d7 55%). Analysis of 33 preoperative variables revealed that Model for End-stage Liver Disease (MELD) score, albumin, the presence of ascites, and previous abdominal surgery were correlated with high IBL (lost RCM &gt; 1000 mL) in multivariate logistical regression analysis. In conclusion, we found that MELD score, albumin, the presence of ascites, and previous abdominal surgery were significantly correlated with high IBL during adult LDLT.", "author" : [ { "dropping-particle" : "", "family" : "Bang", "given" : "S R", "non-dropping-particle" : "", "parse-names" : false, "suffix" : "" }, { "dropping-particle" : "", "family" : "Ahn", "given" : "H J", "non-dropping-particle" : "", "parse-names" : false, "suffix" : "" }, { "dropping-particle" : "", "family" : "Kim", "given" : "G S", "non-dropping-particle" : "", "parse-names" : false, "suffix" : "" }, { "dropping-particle" : "", "family" : "Yang", "given" : "M", "non-dropping-particle" : "", "parse-names" : false, "suffix" : "" }, { "dropping-particle" : "", "family" : "Gwak", "given" : "M S", "non-dropping-particle" : "", "parse-names" : false, "suffix" : "" }, { "dropping-particle" : "", "family" : "Ko", "given" : "J S", "non-dropping-particle" : "", "parse-names" : false, "suffix" : "" }, { "dropping-particle" : "", "family" : "Kim", "given" : "S H", "non-dropping-particle" : "", "parse-names" : false, "suffix" : "" }, { "dropping-particle" : "", "family" : "Lee", "given" : "S K", "non-dropping-particle" : "", "parse-names" : false, "suffix" : "" } ], "container-title" : "Transplantation proceedings", "id" : "ITEM-15", "issue" : "10", "issued" : { "date-parts" : [ [ "2010", "12" ] ] }, "page" : "4148-50", "publisher" : "Bang,S R. Department of Anesthesiology and Pain Medicine, Samsung Medical Center, Sungkyunkwan University School of Medicine, Seoul, Korea.", "publisher-place" : "United States", "title" : "Predictors of high intraoperative blood loss derived by simple and objective method in adult living donor liver transplantation.", "type" : "article-journal", "volume" : "42" }, "uris" : [ "http://www.mendeley.com/documents/?uuid=f223ff20-17a8-440a-a012-50dceff0ae6e" ] }, { "id" : "ITEM-16", "itemData" : { "DOI" : "10.1016/j.annfar.2011.01.008", "ISSN" : "1769-6623", "PMID" : "21353450", "abstract" : "OBJECTIVE While orthotopic liver transplantation (OLT) can be associated with haemorrhage, the risk factors for bleeding and transfusion remain difficult to predict. Perioperative transfusion has potentially deleterious side effects and impairs graft and patient survival. Preoperative identification of patients at high risk of bleeding is of clinical interest to manage perioperative transfusion and blood product storage. STUDY DESIGN Retrospective study. PATIENTS AND METHODS All OLT conducted between 2004 and 2008 in the University Hospital of Bordeaux were studied. Risk factors for bleeding greater than one blood volume and for massive red blood cell (RBC) transfusion were determined using univariate and multivariate analysis. Thresholds were determined with ROC curve analysis. RESULTS One hundred and forty-eight transplantations were studied. Preoperative haemoglobin and Child class A were independent protective risk factors for bleeding greater than one blood volume (OR 0.81 [0.67-0.98] and 0.27 [0.10-0.72], respectively). Preoperative Hb was a protective risk factor (OR 0.71 [0.58-0.88]) whereas history of oesophageal varicose bleeding was a risk factor (OR 4.67 [1.45-15.05]) for transfusion of more than eight RBC. CONCLUSION Risk factors for bleeding and transfusion during OLT identified in this study were of little clinical usefulness so blood products should always be available during the procedure.", "author" : [ { "dropping-particle" : "", "family" : "Roullet", "given" : "S", "non-dropping-particle" : "", "parse-names" : false, "suffix" : "" }, { "dropping-particle" : "", "family" : "Biais", "given" : "M", "non-dropping-particle" : "", "parse-names" : false, "suffix" : "" }, { "dropping-particle" : "", "family" : "Millas", "given" : "E", "non-dropping-particle" : "", "parse-names" : false, "suffix" : "" }, { "dropping-particle" : "", "family" : "Revel", "given" : "P", "non-dropping-particle" : "", "parse-names" : false, "suffix" : "" }, { "dropping-particle" : "", "family" : "Quinart", "given" : "A", "non-dropping-particle" : "", "parse-names" : false, "suffix" : "" }, { "dropping-particle" : "", "family" : "Sztark", "given" : "F", "non-dropping-particle" : "", "parse-names" : false, "suffix" : "" } ], "container-title" : "Annales franc\u0327aises d'anesthe\u0300sie et de re\u0300animation", "id" : "ITEM-16", "issue" : "4", "issued" : { "date-parts" : [ [ "2011", "4" ] ] }, "language" : "eng", "page" : "349-52", "publisher-place" : "France", "title" : "Risk factors for bleeding and transfusion during orthotopic liver transplantation.", "type" : "article-journal", "volume" : "30" }, "uris" : [ "http://www.mendeley.com/documents/?uuid=915e4b00-cfa3-478c-ab29-163220800429" ] }, { "id" : "ITEM-17", "itemData" : { "DOI" : "10.12659/aot.883696", "ISSN" : "2329-0358", "PMID" : "23274326", "abstract" : "BACKGROUND After liver transplantation (LT), re-exploration of the abdomen to check for bleeding is sometime required. Our study aimed to identify the predictive factors by analysis of preoperative and intraoperative presentations that may impact the re-exploration for hemostasis. MATERIAL/METHODS We selected 522 consecutive recipients from the Liver Transplant Program database and medical records between January 1, 1994 and December 1, 2009 in our hospital. Demographic data (age, sex, body mass index, weight, MELD score), preoperative laboratory tests (Hb, platelet, albumin, bilirubin, INR, APTT), and intraoperative presentations (ascites and blood loss, crystalloids, 5% albumin infused, blood products used (such as LPRBC, RBC, FFP, platelet, cryoprecipitate), urine output, Hb at end of operation, and anesthesia) were collected for primary comparison. Potential predictors found by univariate comparison at p&lt;0.1 were put into a multiple binary logistic regression model. RESULTS Thirty-eight (7.3%) recipients required re-exploration for hemostasis after LDLT; 80% needed re-exploration only once. In univariate analysis, recipients transfused with FFP &gt;10 ml/kg had a 4.2-fold increased risk of re-exploration (p&lt;0.001). Thirteen potential predictors by univariate comparison at p&lt;0.1 were selected into a multiple binary logistic regression. Fresh frozen plasma (FFP) transfused was the sole predictor. CONCLUSIONS Each elevation of 1ml of transfused FFP per kg is associated with a 1.033-fold increased incidence of re-exploration for hemostasis. Patients transfused with more than 10 ml/kg FFP during LT require more intensive management within 72 hours due to increase risk of postoperative bleeding.", "author" : [ { "dropping-particle" : "", "family" : "Wu", "given" : "Shao-Chun", "non-dropping-particle" : "", "parse-names" : false, "suffix" : "" }, { "dropping-particle" : "", "family" : "Chen", "given" : "Chao-Long", "non-dropping-particle" : "", "parse-names" : false, "suffix" : "" }, { "dropping-particle" : "", "family" : "Wang", "given" : "Chih-Hsien", "non-dropping-particle" : "", "parse-names" : false, "suffix" : "" }, { "dropping-particle" : "", "family" : "Huang", "given" : "Chia-Jung", "non-dropping-particle" : "", "parse-names" : false, "suffix" : "" }, { "dropping-particle" : "", "family" : "Cheng", "given" : "Kwok-Wai", "non-dropping-particle" : "", "parse-names" : false, "suffix" : "" }, { "dropping-particle" : "", "family" : "Shih", "given" : "Tsung-Hsiao", "non-dropping-particle" : "", "parse-names" : false, "suffix" : "" }, { "dropping-particle" : "", "family" : "Yang", "given" : "Johnson Chia-Shen", "non-dropping-particle" : "", "parse-names" : false, "suffix" : "" }, { "dropping-particle" : "", "family" : "Jawan", "given" : "Bruno", "non-dropping-particle" : "", "parse-names" : false, "suffix" : "" } ], "container-title" : "Annals of transplantation", "id" : "ITEM-17", "issue" : "4", "issued" : { "date-parts" : [ [ "2012", "12", "31" ] ] }, "page" : "64-71", "publisher" : "Wu,Shao-Chun. Department of Anesthesiology, Kaohsiung Chang Gung Memorial Hospital, Chang Gung University College of Medicine, No. 123 Dapi Road, Niaosong, Kaohsiung, Taiwan.", "publisher-place" : "Poland", "title" : "Predictive factors associated with re-exploration for hemostasis in living donor liver transplantation.", "type" : "article-journal", "volume" : "17" }, "uris" : [ "http://www.mendeley.com/documents/?uuid=c06994c1-79d7-4653-8022-1c0fc42d3fe8" ] }, { "id" : "ITEM-18", "itemData" : { "DOI" : "10.1016/j.transproceed.2013.07.006", "ISSN" : "1873-2623", "PMID" : "24034024", "abstract" : "BACKGROUND Liver transplantation (OLT) can entail a high risk of blood loss requiring transfusions, which increase morbidity and mortality. In recent years many efforts have been spent to improve the surgical and anesthetic management to decrease transfusion rates during OLT. Preoperative predictors for transfusion in OLT, remain uncertain. METHODS We retrospectively reviewed the 219 OLT performed from 2005 to 2011 focusing on blood product (BP) transfusions. Statistical analysis sought the impact of transfusions on OLT outcomes to identify possible independent predictors of higher BP requirements. RESULTS The 1- and 3-year survival rates were 86.6% and 76.45% for patients and 81.0% and 71.8% for grafts respectively. The mean intra- and perioperative red blood cell (RBC) transfusion rates were 12.3 \u00b1 11.7 U and 15.5 \u00b1 13.0 U respectively. A statistical analysis demonstrated a significant influence of BP transfusion on post-OLT complications and survivals. Multivariate logistic regression analysis showed the Model for End-Stage Liver Disease (MELD) score to be the only independent predictor of perioperative RBC transfusions. CONCLUSIONS Our results confirmed the link between intra- and perioperative transfusions and outcome of OLT patients. MELD score resulted the only independent variable associated with increased perioperative RBC transfusions.", "author" : [ { "dropping-particle" : "", "family" : "Varotti", "given" : "G", "non-dropping-particle" : "", "parse-names" : false, "suffix" : "" }, { "dropping-particle" : "", "family" : "Santori", "given" : "G", "non-dropping-particle" : "", "parse-names" : false, "suffix" : "" }, { "dropping-particle" : "", "family" : "Andorno", "given" : "E", "non-dropping-particle" : "", "parse-names" : false, "suffix" : "" }, { "dropping-particle" : "", "family" : "Morelli", "given" : "N", "non-dropping-particle" : "", "parse-names" : false, "suffix" : "" }, { "dropping-particle" : "", "family" : "Ertreo", "given" : "M", "non-dropping-particle" : "", "parse-names" : false, "suffix" : "" }, { "dropping-particle" : "", "family" : "Strada", "given" : "P", "non-dropping-particle" : "", "parse-names" : false, "suffix" : "" }, { "dropping-particle" : "", "family" : "Porcile", "given" : "E", "non-dropping-particle" : "", "parse-names" : false, "suffix" : "" }, { "dropping-particle" : "", "family" : "Casaccia", "given" : "M", "non-dropping-particle" : "", "parse-names" : false, "suffix" : "" }, { "dropping-particle" : "", "family" : "Centanaro", "given" : "M", "non-dropping-particle" : "", "parse-names" : false, "suffix" : "" }, { "dropping-particle" : "", "family" : "Valente", "given" : "U", "non-dropping-particle" : "", "parse-names" : false, "suffix" : "" } ], "container-title" : "Transplantation proceedings", "id" : "ITEM-18", "issue" : "7", "issued" : { "date-parts" : [ [ "2013", "9" ] ] }, "page" : "2684-8", "publisher" : "Varotti,G. General Surgery and Organ Transplantation Unit, IRCCS San Martino University Hospital, IST National Institute for Cancer Research, San Martino, Italy. Electronic address: gvarotti@hotmail.com.", "publisher-place" : "United States", "title" : "Impact of Model for End-Stage Liver Disease score on transfusion rates in liver transplantation.", "type" : "article-journal", "volume" : "45" }, "uris" : [ "http://www.mendeley.com/documents/?uuid=215e903c-ba05-4d08-bbe3-3ccfae26bd5d" ] }, { "id" : "ITEM-19", "itemData" : { "DOI" : "10.1002/lt.23661", "ISBN" : "1527-6465", "ISSN" : "1527-6473", "PMID" : "23716446", "abstract" : "Background. A great decrease of transfusion requirements has been noted in the liver transplantation (LT). However, risk factors for transfusion remain difficult to establish partway by the heterogeneity of recipients. Factors associated with intraoperative transfusion in a group of recipients with advanced hepatocellular disease were identified. Material and methods. Data from 291 LT performed from January 2008 to December 2011 in our Institution were analyzed. Only whose patients with hepatocellular cirrhosis without hepatocarcinoma as diagnostic, were included. Re-transplant, and combined transplants, were excluded. All grafts came from brain death donors. Patient characteristics, biological data, and intraoperative transfusion requirements were prospectively recorded. A fluid restrictive policy was followed. Mc-Whitney, and logistic regression analysis were used as needed. Results. 86 adult patients, 63 M/23F, [median (IQR)], 54 (48-61) yrs. old, MELD 21 (18-24), Child 11 (10-12) fulfilled the inclusion criteria. Ninety one per cent of patients (78) received any blood product whereas 8 patients (9%) did not: 78 patients (91%) red blood cells (RBC) 3 (2-4) u, 62 patients (72%) fresh frozen plasma (FFP)4(0-6)u, 14 patients (16%) platelets, and 32 patients (37%) fibrinogen. In a multiple logistic regression, basal hemoglobin [OR (CI)], 0.34 (0.02-0.57) and Child, 1.45(1.01-2.09) reached significance on RBC intraoperative transfusion. Ratio, 2.75 (1.10-6.84) and fibrinogen baseline value, 0.12 (0.04-0.33) reached significance on FFP and fibrinogen transfusion, respectively. Conclusions. Hemoglobin and fibrinogen baseline value were the strongest predictor of intraoperative transfusion in patients with hepatocellular cirrhosis without hepatocarcinoma, in the LT", "author" : [ { "dropping-particle" : "", "family" : "Blasi", "given" : "A", "non-dropping-particle" : "", "parse-names" : false, "suffix" : "" }, { "dropping-particle" : "", "family" : "Beltran", "given" : "J", "non-dropping-particle" : "", "parse-names" : false, "suffix" : "" }, { "dropping-particle" : "", "family" : "Martinez-Palli", "given" : "G", "non-dropping-particle" : "", "parse-names" : false, "suffix" : "" }, { "dropping-particle" : "", "family" : "Jaume", "given" : "B", "non-dropping-particle" : "", "parse-names" : false, "suffix" : "" }, { "dropping-particle" : "", "family" : "Pilar", "given" : "T", "non-dropping-particle" : "", "parse-names" : false, "suffix" : "" }, { "dropping-particle" : "", "family" : "Carlos", "given" : "G.-V.", "non-dropping-particle" : "", "parse-names" : false, "suffix" : "" } ], "container-title" : "Liver transplantation : official publication of the American Association for the Study of Liver Diseases and the International Liver Transplantation Society", "id" : "ITEM-19", "issue" : "6 SUPPL. 1", "issued" : { "date-parts" : [ [ "2013", "6" ] ] }, "page" : "S86-334", "publisher" : "John Wiley and Sons Ltd", "title" : "Predictive factors for intraoperative transfusion requirements in liver transplantation", "type" : "article-journal", "volume" : "19 Suppl 1" }, "uris" : [ "http://www.mendeley.com/documents/?uuid=91a5a662-7975-4119-b7e1-2264e411b2ed" ] }, { "id" : "ITEM-20", "itemData" : { "DOI" : "10.1016/j.transci.2013.10.006", "ISSN" : "1473-0502", "PMID" : "24291115", "abstract" : "BACKGROUND Patients with end-stage chronic liver disease (CLD) and submitted to orthotopic liver transplantation (OLT) usually require blood transfusion during the procedure or in the post-operative period due to hemorrhage. Risk factors for transfusion need are not fully known. This study aimed to identify the factors associated with blood components requirements. METHODS In this retrospective study a total of 166 consecutive patients submitted to OLT with the piggyback technique, between 2001 and 2011, were evaluated for number of blood components transfused during surgical procedure and the four subsequent days (total of 5 days). We evaluated the association between the number of units transfused and clinical variables, such as: Child-Turcotte-Pugh (CTP) and MELD scores, hemoglobin concentration (Hb), INR, serum creatinine, bilirubin and albumin concentrations, and total, hypothermic and normothermic time of graft ischemia. RESULTS 152 (91.6%) Patients were transfused (median of 24 units of blood components). Risk factors for higher blood transfusion requirements were CTP, INR, Hb and total time of graft ischemia. The group with CTP-A score received less blood components than CTP-B/C (11.5 vs 27; P=0.002). The group with Hb&lt;10 required a higher number of blood units (34.5 vs 23; P=0.003). The group with INR&lt;1.5 received less blood units (20.5 vs 31; P=0.012). The group transplanted with a graft exposed to less than the median of 555 min of ischemia received less transfusion (21 vs 27; P=0.03). MELD score and the other factors were not associated with blood requirements. CONCLUSION These results demonstrate that CTP, but not MELD score, hemoglobin concentration, INR, and total time of graft ischemia are preoperative variables associated with blood requirements during OLT and in the subsequent days.", "author" : [ { "dropping-particle" : "", "family" : "Santis", "given" : "Gil Cunha", "non-dropping-particle" : "De", "parse-names" : false, "suffix" : "" }, { "dropping-particle" : "", "family" : "Brunetta", "given" : "Denise Menezes", "non-dropping-particle" : "", "parse-names" : false, "suffix" : "" }, { "dropping-particle" : "", "family" : "Nardo", "given" : "Mirella", "non-dropping-particle" : "", "parse-names" : false, "suffix" : "" }, { "dropping-particle" : "", "family" : "Oliveira", "given" : "Luciana Correa", "non-dropping-particle" : "", "parse-names" : false, "suffix" : "" }, { "dropping-particle" : "", "family" : "Souza", "given" : "Fernanda Fernandes", "non-dropping-particle" : "", "parse-names" : false, "suffix" : "" }, { "dropping-particle" : "", "family" : "Cagnolati", "given" : "Daniel", "non-dropping-particle" : "", "parse-names" : false, "suffix" : "" }, { "dropping-particle" : "", "family" : "Mente", "given" : "\u00canio David", "non-dropping-particle" : "", "parse-names" : false, "suffix" : "" }, { "dropping-particle" : "", "family" : "Sankarankutty", "given" : "Ajith Kumar", "non-dropping-particle" : "", "parse-names" : false, "suffix" : "" }, { "dropping-particle" : "", "family" : "Covas", "given" : "Dimas Tadeu", "non-dropping-particle" : "", "parse-names" : false, "suffix" : "" }, { "dropping-particle" : "", "family" : "Castro e Silva", "given" : "Orlando", "non-dropping-particle" : "de", "parse-names" : false, "suffix" : "" } ], "container-title" : "Transfusion and apheresis science : official journal of the World Apheresis Association : official journal of the European Society for Haemapheresis", "id" : "ITEM-20", "issue" : "1", "issued" : { "date-parts" : [ [ "2014", "2" ] ] }, "page" : "99-105", "publisher" : "De Santis,Gil Cunha. Center for Cell-Based Therapy, Medical School of Ribeirao Preto, University of Sao Paulo, Brazil. Electronic address: gil@hemocentro.fmrp.usp.br.", "publisher-place" : "England", "title" : "Preoperative variables associated with transfusion requirements in orthotopic liver transplantation.", "type" : "article-journal", "volume" : "50" }, "uris" : [ "http://www.mendeley.com/documents/?uuid=fc236f4d-4126-4019-b192-e0cd2e7cf351" ] }, { "id" : "ITEM-21",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"ITEM-21",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"mendeley" : { "formattedCitation" : "&lt;sup&gt;[42\u201344,60,63\u201379]&lt;/sup&gt;", "plainTextFormattedCitation" : "[42\u201344,60,63\u201379]", "previouslyFormattedCitation" : "&lt;sup&gt;[43\u201345,61,64\u201380]&lt;/sup&gt;" }, "properties" : { "noteIndex" : 0 }, "schema" : "https://github.com/citation-style-language/schema/raw/master/csl-citation.json" }</w:instrText>
      </w:r>
      <w:r w:rsidR="00915B70" w:rsidRPr="00884A81">
        <w:rPr>
          <w:rFonts w:ascii="Book Antiqua" w:hAnsi="Book Antiqua"/>
        </w:rPr>
        <w:fldChar w:fldCharType="separate"/>
      </w:r>
      <w:r w:rsidR="00217BDC" w:rsidRPr="00884A81">
        <w:rPr>
          <w:rFonts w:ascii="Book Antiqua" w:hAnsi="Book Antiqua"/>
          <w:noProof/>
          <w:vertAlign w:val="superscript"/>
        </w:rPr>
        <w:t>[42</w:t>
      </w:r>
      <w:r w:rsidR="00382320">
        <w:rPr>
          <w:rFonts w:ascii="Book Antiqua" w:eastAsia="宋体" w:hAnsi="Book Antiqua" w:hint="eastAsia"/>
          <w:noProof/>
          <w:vertAlign w:val="superscript"/>
          <w:lang w:eastAsia="zh-CN"/>
        </w:rPr>
        <w:t>-</w:t>
      </w:r>
      <w:r w:rsidR="00217BDC" w:rsidRPr="00884A81">
        <w:rPr>
          <w:rFonts w:ascii="Book Antiqua" w:hAnsi="Book Antiqua"/>
          <w:noProof/>
          <w:vertAlign w:val="superscript"/>
        </w:rPr>
        <w:t>44,60,63</w:t>
      </w:r>
      <w:r w:rsidR="00382320">
        <w:rPr>
          <w:rFonts w:ascii="Book Antiqua" w:eastAsia="宋体" w:hAnsi="Book Antiqua" w:hint="eastAsia"/>
          <w:noProof/>
          <w:vertAlign w:val="superscript"/>
          <w:lang w:eastAsia="zh-CN"/>
        </w:rPr>
        <w:t>-</w:t>
      </w:r>
      <w:r w:rsidR="00217BDC" w:rsidRPr="00884A81">
        <w:rPr>
          <w:rFonts w:ascii="Book Antiqua" w:hAnsi="Book Antiqua"/>
          <w:noProof/>
          <w:vertAlign w:val="superscript"/>
        </w:rPr>
        <w:t>79]</w:t>
      </w:r>
      <w:r w:rsidR="00915B70" w:rsidRPr="00884A81">
        <w:rPr>
          <w:rFonts w:ascii="Book Antiqua" w:hAnsi="Book Antiqua"/>
        </w:rPr>
        <w:fldChar w:fldCharType="end"/>
      </w:r>
      <w:r w:rsidR="00382320">
        <w:rPr>
          <w:rFonts w:ascii="Book Antiqua" w:eastAsia="宋体" w:hAnsi="Book Antiqua" w:hint="eastAsia"/>
          <w:lang w:eastAsia="zh-CN"/>
        </w:rPr>
        <w:t>.</w:t>
      </w:r>
      <w:r w:rsidRPr="00884A81">
        <w:rPr>
          <w:rFonts w:ascii="Book Antiqua" w:hAnsi="Book Antiqua"/>
        </w:rPr>
        <w:t xml:space="preserve"> Risk factors can be classified </w:t>
      </w:r>
      <w:r w:rsidR="000F0F2B" w:rsidRPr="00884A81">
        <w:rPr>
          <w:rFonts w:ascii="Book Antiqua" w:hAnsi="Book Antiqua"/>
        </w:rPr>
        <w:t xml:space="preserve">based on the perioperative period and </w:t>
      </w:r>
      <w:r w:rsidRPr="00884A81">
        <w:rPr>
          <w:rFonts w:ascii="Book Antiqua" w:hAnsi="Book Antiqua"/>
        </w:rPr>
        <w:t xml:space="preserve">surgical </w:t>
      </w:r>
      <w:r w:rsidR="000F0F2B" w:rsidRPr="00884A81">
        <w:rPr>
          <w:rFonts w:ascii="Book Antiqua" w:hAnsi="Book Antiqua"/>
        </w:rPr>
        <w:t>factors</w:t>
      </w:r>
      <w:r w:rsidRPr="00884A81">
        <w:rPr>
          <w:rFonts w:ascii="Book Antiqua" w:hAnsi="Book Antiqua"/>
        </w:rPr>
        <w:t>.</w:t>
      </w:r>
      <w:r w:rsidR="000122D5" w:rsidRPr="00884A81">
        <w:rPr>
          <w:rFonts w:ascii="Book Antiqua" w:hAnsi="Book Antiqua"/>
        </w:rPr>
        <w:t xml:space="preserve"> </w:t>
      </w:r>
    </w:p>
    <w:p w14:paraId="6FCB8004" w14:textId="77777777" w:rsidR="00BB2339" w:rsidRPr="00884A81" w:rsidRDefault="00BB2339" w:rsidP="00884A81">
      <w:pPr>
        <w:spacing w:line="360" w:lineRule="auto"/>
        <w:jc w:val="both"/>
        <w:rPr>
          <w:rFonts w:ascii="Book Antiqua" w:hAnsi="Book Antiqua"/>
        </w:rPr>
      </w:pPr>
    </w:p>
    <w:p w14:paraId="4C9E48DE" w14:textId="1C31D049" w:rsidR="002A30AF" w:rsidRPr="00382320" w:rsidRDefault="004574AB" w:rsidP="00884A81">
      <w:pPr>
        <w:spacing w:line="360" w:lineRule="auto"/>
        <w:jc w:val="both"/>
        <w:rPr>
          <w:rFonts w:ascii="Book Antiqua" w:eastAsia="宋体" w:hAnsi="Book Antiqua"/>
          <w:b/>
          <w:i/>
          <w:lang w:eastAsia="zh-CN"/>
        </w:rPr>
      </w:pPr>
      <w:r w:rsidRPr="00382320">
        <w:rPr>
          <w:rFonts w:ascii="Book Antiqua" w:hAnsi="Book Antiqua"/>
          <w:b/>
          <w:i/>
        </w:rPr>
        <w:t xml:space="preserve">Preoperative risk </w:t>
      </w:r>
      <w:r w:rsidR="00382320" w:rsidRPr="00382320">
        <w:rPr>
          <w:rFonts w:ascii="Book Antiqua" w:hAnsi="Book Antiqua"/>
          <w:b/>
          <w:i/>
        </w:rPr>
        <w:t>factors</w:t>
      </w:r>
    </w:p>
    <w:p w14:paraId="5731775C" w14:textId="69CE333C" w:rsidR="002A30AF" w:rsidRPr="00884A81" w:rsidRDefault="008416B7" w:rsidP="00884A81">
      <w:pPr>
        <w:spacing w:line="360" w:lineRule="auto"/>
        <w:jc w:val="both"/>
        <w:rPr>
          <w:rFonts w:ascii="Book Antiqua" w:hAnsi="Book Antiqua"/>
        </w:rPr>
      </w:pPr>
      <w:r w:rsidRPr="00884A81">
        <w:rPr>
          <w:rFonts w:ascii="Book Antiqua" w:hAnsi="Book Antiqua"/>
        </w:rPr>
        <w:lastRenderedPageBreak/>
        <w:t>Patient, donor organ or other factors that increase the duration or technical difficulty of the surgical procedure such as previous abdominal surgery</w:t>
      </w:r>
      <w:r w:rsidR="007E6418"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"10.1002/lt.23695", "ISSN" : "1527-6473", "PMID" : "23813754", "abstract" : "Investigations have demonstrated conflicting results regarding the influence of the red blood cell (RBC) storage duration on outcomes. We evaluated whether graft failure or mortality after orthotopic liver transplantation (OLT) increased when recipients were transfused with older RBCs. This study included 637 patients who underwent OLT between January 2001 and June 2011. Baseline and perioperative data were obtained from our blood bank, the Unified Transplant Center database, and the United Network for Organ Sharing database. Recipients whose transfused RBCs were all stored for \u2264 15 days were grouped in a younger group, and recipients who were transfused with RBCs stored for &gt;15 days were placed in an older group. The relationship between graft survival/mortality and the age of intraoperatively transfused RBCs was studied by Kaplan-Meier estimation with a log-rank test and multivariate Cox proportional hazards regression. Three hundred thirty-four patients and 303 patients were grouped in the younger and the older RBC groups, respectively, on the basis of the ages of intraoperatively transfused RBCs. Kaplan-Meier estimates of graft survival/mortality as a function of the posttransplant time were significantly different: the older group experienced the outcome sooner than the younger group [P = 0.02 (log-rank test)]. After covariate adjustments, the risk of graft failure/mortality was significantly different at any given time after transplantation between patients receiving intraoperative transfusions of older RBC units and patients receiving intraoperative transfusions of younger RBC units (hazard ratio = 1.65, 95% confidence interval = 1.18-2.31). In conclusion, patients who received intraoperative transfusions of RBCs with longer storage times had an increased risk of adverse outcomes.", "author" : [ { "dropping-particle" : "", "family" : "Cywinski", "given" : "Jacek B", "non-dropping-particle" : "", "parse-names" : false, "suffix" : "" }, { "dropping-particle" : "", "family" : "You", "given" : "Jing", "non-dropping-particle" : "", "parse-names" : false, "suffix" : "" }, { "dropping-particle" : "", "family" : "Argalious", "given" : "Maged", "non-dropping-particle" : "", "parse-names" : false, "suffix" : "" }, { "dropping-particle" : "", "family" : "Irefin", "given" : "Samuel", "non-dropping-particle" : "", "parse-names" : false, "suffix" : "" }, { "dropping-particle" : "", "family" : "Parker", "given" : "Brian M", "non-dropping-particle" : "", "parse-names" : false, "suffix" : "" }, { "dropping-particle" : "", "family" : "Fung", "given" : "John J", "non-dropping-particle" : "", "parse-names" : false, "suffix" : "" }, { "dropping-particle" : "", "family" : "Koch", "given" : "Colleen G", "non-dropping-particle" : "", "parse-names" : false, "suffix" : "" } ], "container-title" : "Liver transplantation : official publication of the American Association for the Study of Liver Diseases and the International Liver Transplantation Society", "id" : "ITEM-1", "issue" : "11", "issued" : { "date-parts" : [ [ "2013", "11" ] ] }, "page" : "1181-8", "publisher" : "Cywinski,Jacek B. Departments of General Anesthesiology, Cleveland Clinic, Cleveland, OH; Outcomes Research, Cleveland Clinic, Cleveland, OH.", "publisher-place" : "United States", "title" : "Transfusion of older red blood cells is associated with decreased graft survival after orthotopic liver transplantation.", "type" : "article-journal", "volume" : "19" }, "uris" : [ "http://www.mendeley.com/documents/?uuid=e94487b9-80a3-471a-8f6d-68cf2c2b72ea" ] }, { "id" : "ITEM-2",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"ITEM-2",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"id" : "ITEM-3", "itemData" : { "ISBN" : "1499-3872 (Print)", "ISSN" : "1499-3872", "PMID" : "19208512", "abstract" : "BACKGROUND Portal vein thrombosis (PVT) used to be a contraindication for liver transplantation (LT). This obstacle has been delt with following the improvement of LT-related techniques and therapeutic approaches to thrombosis. But the effect of PVT on LT outcomes is still controversial. We reviewed retrospectively the outcome of LT patients with PVT as well as risk factors and surgical management according to PVT grades. METHODS A total of 465 adult LTs were performed from December 2002 through December 2006. Operative findings and the result of preoperative ultrasonography and imaging were reviewed for PVT grading (Yerdel grading). Comparison of risk factors, variables associated with perioperative period and prognosis between recipients with and without PVT is based on the grades. RESULTS In the 465 LTs, 42 were operatively confirmed to have PVT (9.0%) (19 recipients with grade 1, 14 with grade 2, 7 with grade 3, and 2 with grade 4). Increased age and treatment of portal hypertension were associated with PVT. Grade 1 or 2 PVT was treated by direct anastomosis or single thrombectomy. In grade 3 PVT patients, the donor PV was directly anastomosed to the dilated branch of the recipient portal venous system or to the distal open superior mesenteric vein through an interposition vein graft if needed. Grade 4 PVT was managed by our modified cavoportal hemitransposition technique. The comparison between PVT patients and controls showed no significant difference in operative duration and blood transfusion (P&gt;0.05). The flow rate of the PV was lower in the PVT patients (48.881+/-12.788 cm/s) than in the controls (57.172+/-21.715 cm/s, P&lt;0.05). The PVT patients had such postoperative complications as renal failure and PV rethrombosis (P&lt;0.05). The 1-year survival rates in PVT and non-PVT patients were 78.6% and 76.4% respectively (P&gt;0.05); the 3-year survival rates were 58.8% and 56.4% respectively (P&gt;0.05). CONCLUSIONS PVT is not contraindicated for LT if it is graded. PVT recipients may have post-transplantation complications like renal failure and PV rethrombosis, and operative difficulty and patient survival are similar to those in recipients without PVT. Development of therapeutic approaches and accumulation of experience in dealing with PVT further improve the outcomes of LT in PVT recipients.", "author" : [ { "dropping-particle" : "", "family" : "Tao", "given" : "Yi-Feng", "non-dropping-particle" : "", "parse-names" : false, "suffix" : "" }, { "dropping-particle" : "", "family" : "Teng", "given" : "Fei", "non-dropping-particle" : "", "parse-names" : false, "suffix" : "" }, { "dropping-particle" : "", "family" : "Wang", "given" : "Zheng-Xin", "non-dropping-particle" : "", "parse-names" : false, "suffix" : "" }, { "dropping-particle" : "", "family" : "Guo", "given" : "Wen-Yuan", "non-dropping-particle" : "", "parse-names" : false, "suffix" : "" }, { "dropping-particle" : "", "family" : "Shi", "given" : "Xiao-Min", "non-dropping-particle" : "", "parse-names" : false, "suffix" : "" }, { "dropping-particle" : "", "family" : "Wang", "given" : "Gui-Hua", "non-dropping-particle" : "", "parse-names" : false, "suffix" : "" }, { "dropping-particle" : "", "family" : "Ding", "given" : "Guo-Shan", "non-dropping-particle" : "", "parse-names" : false, "suffix" : "" }, { "dropping-particle" : "", "family" : "Fu", "given" : "Zhi-Ren", "non-dropping-particle" : "", "parse-names" : false, "suffix" : "" } ], "container-title" : "Hepatobiliary &amp; pancreatic diseases international : HBPD INT", "id" : "ITEM-3", "issue" : "1", "issued" : { "date-parts" : [ [ "2009", "2" ] ] }, "page" : "34-9", "publisher" : "Tao,Yi-Feng. Organ Transplantation Center, Changzheng Hospital, Second Military Medical University, Shanghai 200003, China.", "publisher-place" : "China", "title" : "Liver transplant recipients with portal vein thrombosis: a single center retrospective study.", "type" : "article-journal", "volume" : "8" }, "uris" : [ "http://www.mendeley.com/documents/?uuid=6baeb8e0-f244-435b-a1ab-9cb78dddb5b5" ] }, { "id" : "ITEM-4", "itemData" : { "DOI" : "10.1016/j.transproceed.2010.10.017", "ISSN" : "1873-2623", "PMID" : "21168648", "abstract" : "We conducted a risk factor analysis for high intraoperative blood loss (IBL) in 555 living donor liver transplantation (LDLT) cases with a simple and objective method of IBL estimation based on the concept of red cell mass (RCM): Lost RCM (mL) = patient's estimated blood volume (mL) \u00d7 (preoperative hematocrit in % - postoperative hematocrit in %) + (transfused leukocyte-depleted red blood cell in units \u00d7 213 \u00d7 70%) + (transfused Cell Saver blood in mL \u00d7 55%). Analysis of 33 preoperative variables revealed that Model for End-stage Liver Disease (MELD) score, albumin, the presence of ascites, and previous abdominal surgery were correlated with high IBL (lost RCM &gt; 1000 mL) in multivariate logistical regression analysis. In conclusion, we found that MELD score, albumin, the presence of ascites, and previous abdominal surgery were significantly correlated with high IBL during adult LDLT.", "author" : [ { "dropping-particle" : "", "family" : "Bang", "given" : "S R", "non-dropping-particle" : "", "parse-names" : false, "suffix" : "" }, { "dropping-particle" : "", "family" : "Ahn", "given" : "H J", "non-dropping-particle" : "", "parse-names" : false, "suffix" : "" }, { "dropping-particle" : "", "family" : "Kim", "given" : "G S", "non-dropping-particle" : "", "parse-names" : false, "suffix" : "" }, { "dropping-particle" : "", "family" : "Yang", "given" : "M", "non-dropping-particle" : "", "parse-names" : false, "suffix" : "" }, { "dropping-particle" : "", "family" : "Gwak", "given" : "M S", "non-dropping-particle" : "", "parse-names" : false, "suffix" : "" }, { "dropping-particle" : "", "family" : "Ko", "given" : "J S", "non-dropping-particle" : "", "parse-names" : false, "suffix" : "" }, { "dropping-particle" : "", "family" : "Kim", "given" : "S H", "non-dropping-particle" : "", "parse-names" : false, "suffix" : "" }, { "dropping-particle" : "", "family" : "Lee", "given" : "S K", "non-dropping-particle" : "", "parse-names" : false, "suffix" : "" } ], "container-title" : "Transplantation proceedings", "id" : "ITEM-4", "issue" : "10", "issued" : { "date-parts" : [ [ "2010", "12" ] ] }, "page" : "4148-50", "publisher" : "Bang,S R. Department of Anesthesiology and Pain Medicine, Samsung Medical Center, Sungkyunkwan University School of Medicine, Seoul, Korea.", "publisher-place" : "United States", "title" : "Predictors of high intraoperative blood loss derived by simple and objective method in adult living donor liver transplantation.", "type" : "article-journal", "volume" : "42" }, "uris" : [ "http://www.mendeley.com/documents/?uuid=f223ff20-17a8-440a-a012-50dceff0ae6e" ] } ], "mendeley" : { "formattedCitation" : "&lt;sup&gt;[25,60,73,80]&lt;/sup&gt;", "plainTextFormattedCitation" : "[25,60,73,80]", "previouslyFormattedCitation" : "&lt;sup&gt;[25,61,74,81]&lt;/sup&gt;" }, "properties" : { "noteIndex" : 0 }, "schema" : "https://github.com/citation-style-language/schema/raw/master/csl-citation.json" }</w:instrText>
      </w:r>
      <w:r w:rsidR="007E6418" w:rsidRPr="00884A81">
        <w:rPr>
          <w:rFonts w:ascii="Book Antiqua" w:hAnsi="Book Antiqua"/>
          <w:vertAlign w:val="superscript"/>
        </w:rPr>
        <w:fldChar w:fldCharType="separate"/>
      </w:r>
      <w:r w:rsidR="00217BDC" w:rsidRPr="00884A81">
        <w:rPr>
          <w:rFonts w:ascii="Book Antiqua" w:hAnsi="Book Antiqua"/>
          <w:noProof/>
          <w:vertAlign w:val="superscript"/>
        </w:rPr>
        <w:t>[25,60,73,80]</w:t>
      </w:r>
      <w:r w:rsidR="007E6418" w:rsidRPr="00884A81">
        <w:rPr>
          <w:rFonts w:ascii="Book Antiqua" w:hAnsi="Book Antiqua"/>
          <w:vertAlign w:val="superscript"/>
        </w:rPr>
        <w:fldChar w:fldCharType="end"/>
      </w:r>
      <w:r w:rsidRPr="00884A81">
        <w:rPr>
          <w:rFonts w:ascii="Book Antiqua" w:hAnsi="Book Antiqua"/>
        </w:rPr>
        <w:t xml:space="preserve"> and redo transplantation</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"mendeley" : { "formattedCitation" : "&lt;sup&gt;[42]&lt;/sup&gt;", "plainTextFormattedCitation" : "[42]", "previouslyFormattedCitation" : "&lt;sup&gt;[43]&lt;/sup&gt;"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[42]</w:t>
      </w:r>
      <w:r w:rsidRPr="00884A81">
        <w:rPr>
          <w:rFonts w:ascii="Book Antiqua" w:hAnsi="Book Antiqua"/>
        </w:rPr>
        <w:fldChar w:fldCharType="end"/>
      </w:r>
      <w:r w:rsidRPr="00884A81">
        <w:rPr>
          <w:rFonts w:ascii="Book Antiqua" w:hAnsi="Book Antiqua"/>
        </w:rPr>
        <w:t xml:space="preserve"> are</w:t>
      </w:r>
      <w:r w:rsidR="00502290" w:rsidRPr="00884A81">
        <w:rPr>
          <w:rFonts w:ascii="Book Antiqua" w:hAnsi="Book Antiqua"/>
        </w:rPr>
        <w:t xml:space="preserve"> </w:t>
      </w:r>
      <w:r w:rsidRPr="00884A81">
        <w:rPr>
          <w:rFonts w:ascii="Book Antiqua" w:hAnsi="Book Antiqua"/>
        </w:rPr>
        <w:t xml:space="preserve">independently associated with higher blood loss and transfusion requirements. </w:t>
      </w:r>
      <w:r w:rsidR="002A30AF" w:rsidRPr="00884A81">
        <w:rPr>
          <w:rFonts w:ascii="Book Antiqua" w:hAnsi="Book Antiqua"/>
        </w:rPr>
        <w:t>Observational studies suggest that h</w:t>
      </w:r>
      <w:r w:rsidR="00D70D9D" w:rsidRPr="00884A81">
        <w:rPr>
          <w:rFonts w:ascii="Book Antiqua" w:hAnsi="Book Antiqua"/>
        </w:rPr>
        <w:t>a</w:t>
      </w:r>
      <w:r w:rsidR="002A30AF" w:rsidRPr="00884A81">
        <w:rPr>
          <w:rFonts w:ascii="Book Antiqua" w:hAnsi="Book Antiqua"/>
        </w:rPr>
        <w:t>emostasis, coagulopa</w:t>
      </w:r>
      <w:r w:rsidR="00712DBF" w:rsidRPr="00884A81">
        <w:rPr>
          <w:rFonts w:ascii="Book Antiqua" w:hAnsi="Book Antiqua"/>
        </w:rPr>
        <w:t>thy and risk of bleeding differ</w:t>
      </w:r>
      <w:r w:rsidR="002A30AF" w:rsidRPr="00884A81">
        <w:rPr>
          <w:rFonts w:ascii="Book Antiqua" w:hAnsi="Book Antiqua"/>
        </w:rPr>
        <w:t xml:space="preserve"> according to the cause of liver failure. For instance, patients with primary biliary cirrhosis exhibit a preserved capacity for thrombin generation and less fibrinol</w:t>
      </w:r>
      <w:r w:rsidR="00D70D9D" w:rsidRPr="00884A81">
        <w:rPr>
          <w:rFonts w:ascii="Book Antiqua" w:hAnsi="Book Antiqua"/>
        </w:rPr>
        <w:t>ytic</w:t>
      </w:r>
      <w:r w:rsidR="002A30AF" w:rsidRPr="00884A81">
        <w:rPr>
          <w:rFonts w:ascii="Book Antiqua" w:hAnsi="Book Antiqua"/>
        </w:rPr>
        <w:t xml:space="preserve"> activation during the anhepatic phase compared with other cirrhotic states</w:t>
      </w:r>
      <w:r w:rsidR="002A30AF"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"10.1002/hep.510250332", "ISSN" : "0270-9139", "PMID" : "9049219", "abstract" : "Cirrhosis is associated with compromised hemostasis and coagulopathy during orthotopic liver transplantation (OLT). It has been suggested that hemostasis is better preserved during OLT in primary biliary cirrhosis (PBC) than other cirrhotic states. The aim of this study was to compare coagulation and fibrinolysis in 15 patients with PBC with 31 patients with other liver disease before and during OLT. Preoperatively, both groups had subnormal mean levels of prekallikrein, factor XIIa, antithrombin III (ATIII), plasminogen, and alpha2-antiplasmin. C1 esterase inhibitor and kallikrein inhibition in PBC was higher than the normal range (P &lt; .01), but not in non-PBC. Non-PBC had lower median fibrinogen levels and shorter euglobulin clot lysis times (ECLT) (P &lt; .05). Tissue plasminogen activator (tPA) antigen levels did not differ between groups but were elevated from the normal range, as were median thrombin-antithrombin complexes (TAT). Plasminogen activator inhibitor (PAI) activity was significantly higher in PBC (0.0041). Perioperatively in the PBC group during the early anhepatic phase of OLT, there was more thrombin generation, as evidenced by higher TAT levels (P = .0455) and less hyperfibrinolysis with longer ECLTs. We hypothesize that there is a preserved capacity to generate thrombin and less fibrinolytic activation during the anhepatic phase of OLT, and we suggest that, in PBC, the use of antifibrinolytic agents may have an adverse effect.", "author" : [ { "dropping-particle" : "", "family" : "Segal", "given" : "H", "non-dropping-particle" : "", "parse-names" : false, "suffix" : "" }, { "dropping-particle" : "", "family" : "Cottam", "given" : "S", "non-dropping-particle" : "", "parse-names" : false, "suffix" : "" }, { "dropping-particle" : "", "family" : "Potter", "given" : "D", "non-dropping-particle" : "", "parse-names" : false, "suffix" : "" }, { "dropping-particle" : "", "family" : "Hunt", "given" : "B J", "non-dropping-particle" : "", "parse-names" : false, "suffix" : "" } ], "container-title" : "Hepatology", "id" : "ITEM-1", "issue" : "3", "issued" : { "date-parts" : [ [ "1997", "3" ] ] }, "page" : "683-688", "title" : "Coagulation and fibrinolysis in primary biliary cirrhosis compared with other liver disease and during orthotopic liver transplantation", "type" : "article-journal", "volume" : "25" }, "uris" : [ "http://www.mendeley.com/documents/?uuid=64f3c169-2cff-43a1-914b-d6fc36df8919" ] } ], "mendeley" : { "formattedCitation" : "&lt;sup&gt;[81]&lt;/sup&gt;", "plainTextFormattedCitation" : "[81]", "previouslyFormattedCitation" : "&lt;sup&gt;[82]&lt;/sup&gt;" }, "properties" : { "noteIndex" : 0 }, "schema" : "https://github.com/citation-style-language/schema/raw/master/csl-citation.json" }</w:instrText>
      </w:r>
      <w:r w:rsidR="002A30AF" w:rsidRPr="00884A81">
        <w:rPr>
          <w:rFonts w:ascii="Book Antiqua" w:hAnsi="Book Antiqua"/>
        </w:rPr>
        <w:fldChar w:fldCharType="separate"/>
      </w:r>
      <w:r w:rsidR="00217BDC" w:rsidRPr="00884A81">
        <w:rPr>
          <w:rFonts w:ascii="Book Antiqua" w:hAnsi="Book Antiqua"/>
          <w:noProof/>
          <w:vertAlign w:val="superscript"/>
        </w:rPr>
        <w:t>[81]</w:t>
      </w:r>
      <w:r w:rsidR="002A30AF" w:rsidRPr="00884A81">
        <w:rPr>
          <w:rFonts w:ascii="Book Antiqua" w:hAnsi="Book Antiqua"/>
        </w:rPr>
        <w:fldChar w:fldCharType="end"/>
      </w:r>
      <w:r w:rsidR="00E03242">
        <w:rPr>
          <w:rFonts w:ascii="Book Antiqua" w:eastAsia="宋体" w:hAnsi="Book Antiqua" w:hint="eastAsia"/>
          <w:lang w:eastAsia="zh-CN"/>
        </w:rPr>
        <w:t>.</w:t>
      </w:r>
      <w:r w:rsidR="002A30AF" w:rsidRPr="00884A81">
        <w:rPr>
          <w:rFonts w:ascii="Book Antiqua" w:hAnsi="Book Antiqua"/>
        </w:rPr>
        <w:t xml:space="preserve"> </w:t>
      </w:r>
      <w:r w:rsidRPr="00884A81">
        <w:rPr>
          <w:rFonts w:ascii="Book Antiqua" w:hAnsi="Book Antiqua"/>
        </w:rPr>
        <w:t>Case series of patient with portal vein thrombosis undergoing liver transplantation report greater operation times an</w:t>
      </w:r>
      <w:r w:rsidR="00E03242">
        <w:rPr>
          <w:rFonts w:ascii="Book Antiqua" w:hAnsi="Book Antiqua"/>
        </w:rPr>
        <w:t>d consumption of blood products</w:t>
      </w:r>
      <w:r w:rsidR="00502290"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"10.1016/j.transproceed.2010.05.057", "ISSN" : "1873-2623", "PMID" : "20970634", "abstract" : "OBJECTIVE The objective of the present study was to analyze the incidence of portal vein thrombosis (PVT), comparing morbidity and mortality rates among those affected with and those free of this complication. In the PVT group, we also analyzed mortality related to partial (PPVT) and total (TPVT) thrombosis. METHODS We undertook a retrospective study of orthotopic liver transplantations from deceased donors in 617 recipients from January 1991 until October 2008. Recipients were classified according to whether they had PVT. In all cases, we considered age, sex, Model for End-stage Liver Disease score, Child-Pugh score, indication for transplantation, type of thrombosis, surgical technique blood product transfusion, and survival rate. RESULTS There were 48 patients with PVT (7.78%) among 670 transplantations in 617 recipients in our institution. Concerning the type of thrombosis, 28 (58.3%) were partial and 20 (41.7%) total with complete occlusion of the portal vein lumen. CONCLUSION PVT in liver transplant candidates is a rare event (7.8%) that entails greater difficulty in the procedure, expressed as a longer operative time, greater consumption of blood products, and complex surgical techniques. The prognosis for these patients depends on the type of thrombosis: patients with TPVT showed a higher mortality, whereas those with PPVT had survival rates comparable to those of candidates with a permeable portal vein.", "author" : [ { "dropping-particle" : "", "family" : "Suarez Artacho", "given" : "G", "non-dropping-particle" : "", "parse-names" : false, "suffix" : "" }, { "dropping-particle" : "", "family" : "Barrera Pulido", "given" : "L", "non-dropping-particle" : "", "parse-names" : false, "suffix" : "" }, { "dropping-particle" : "", "family" : "Alamo Martinez", "given" : "J M", "non-dropping-particle" : "", "parse-names" : false, "suffix" : "" }, { "dropping-particle" : "", "family" : "Serrano Diez-Canedo", "given" : "J", "non-dropping-particle" : "", "parse-names" : false, "suffix" : "" }, { "dropping-particle" : "", "family" : "Bernal Bellido", "given" : "C", "non-dropping-particle" : "", "parse-names" : false, "suffix" : "" }, { "dropping-particle" : "", "family" : "Mar\u00edn Gomez", "given" : "L M", "non-dropping-particle" : "", "parse-names" : false, "suffix" : "" }, { "dropping-particle" : "", "family" : "Padillo Ruiz", "given" : "J", "non-dropping-particle" : "", "parse-names" : false, "suffix" : "" }, { "dropping-particle" : "", "family" : "G\u00f3mez Bravo", "given" : "M A", "non-dropping-particle" : "", "parse-names" : false, "suffix" : "" } ], "container-title" : "Transplantation proceedings", "id" : "ITEM-1", "issue" : "8", "issued" : { "date-parts" : [ [ "2010", "10" ] ] }, "page" : "3156-8", "publisher" : "Suarez Artacho,G. Hepatobiliary and Liver Transplantation Service, Hospital Universitario Virgen del Rocio, Seville, Spain. gonzalosuarezartacho@hotmail.com", "publisher-place" : "United States", "title" : "Outcomes of liver transplantation in candidates with portal vein thrombosis.", "type" : "article-journal", "volume" : "42" }, "uris" : [ "http://www.mendeley.com/documents/?uuid=d6fca165-8b70-4636-a61b-36767b270da1" ] }, { "id" : "ITEM-2", "itemData" : { "ISBN" : "1499-3872 (Print)", "ISSN" : "1499-3872", "PMID" : "19208512", "abstract" : "BACKGROUND Portal vein thrombosis (PVT) used to be a contraindication for liver transplantation (LT). This obstacle has been delt with following the improvement of LT-related techniques and therapeutic approaches to thrombosis. But the effect of PVT on LT outcomes is still controversial. We reviewed retrospectively the outcome of LT patients with PVT as well as risk factors and surgical management according to PVT grades. METHODS A total of 465 adult LTs were performed from December 2002 through December 2006. Operative findings and the result of preoperative ultrasonography and imaging were reviewed for PVT grading (Yerdel grading). Comparison of risk factors, variables associated with perioperative period and prognosis between recipients with and without PVT is based on the grades. RESULTS In the 465 LTs, 42 were operatively confirmed to have PVT (9.0%) (19 recipients with grade 1, 14 with grade 2, 7 with grade 3, and 2 with grade 4). Increased age and treatment of portal hypertension were associated with PVT. Grade 1 or 2 PVT was treated by direct anastomosis or single thrombectomy. In grade 3 PVT patients, the donor PV was directly anastomosed to the dilated branch of the recipient portal venous system or to the distal open superior mesenteric vein through an interposition vein graft if needed. Grade 4 PVT was managed by our modified cavoportal hemitransposition technique. The comparison between PVT patients and controls showed no significant difference in operative duration and blood transfusion (P&gt;0.05). The flow rate of the PV was lower in the PVT patients (48.881+/-12.788 cm/s) than in the controls (57.172+/-21.715 cm/s, P&lt;0.05). The PVT patients had such postoperative complications as renal failure and PV rethrombosis (P&lt;0.05). The 1-year survival rates in PVT and non-PVT patients were 78.6% and 76.4% respectively (P&gt;0.05); the 3-year survival rates were 58.8% and 56.4% respectively (P&gt;0.05). CONCLUSIONS PVT is not contraindicated for LT if it is graded. PVT recipients may have post-transplantation complications like renal failure and PV rethrombosis, and operative difficulty and patient survival are similar to those in recipients without PVT. Development of therapeutic approaches and accumulation of experience in dealing with PVT further improve the outcomes of LT in PVT recipients.", "author" : [ { "dropping-particle" : "", "family" : "Tao", "given" : "Yi-Feng", "non-dropping-particle" : "", "parse-names" : false, "suffix" : "" }, { "dropping-particle" : "", "family" : "Teng", "given" : "Fei", "non-dropping-particle" : "", "parse-names" : false, "suffix" : "" }, { "dropping-particle" : "", "family" : "Wang", "given" : "Zheng-Xin", "non-dropping-particle" : "", "parse-names" : false, "suffix" : "" }, { "dropping-particle" : "", "family" : "Guo", "given" : "Wen-Yuan", "non-dropping-particle" : "", "parse-names" : false, "suffix" : "" }, { "dropping-particle" : "", "family" : "Shi", "given" : "Xiao-Min", "non-dropping-particle" : "", "parse-names" : false, "suffix" : "" }, { "dropping-particle" : "", "family" : "Wang", "given" : "Gui-Hua", "non-dropping-particle" : "", "parse-names" : false, "suffix" : "" }, { "dropping-particle" : "", "family" : "Ding", "given" : "Guo-Shan", "non-dropping-particle" : "", "parse-names" : false, "suffix" : "" }, { "dropping-particle" : "", "family" : "Fu", "given" : "Zhi-Ren", "non-dropping-particle" : "", "parse-names" : false, "suffix" : "" } ], "container-title" : "Hepatobiliary &amp; pancreatic diseases international : HBPD INT", "id" : "ITEM-2", "issue" : "1", "issued" : { "date-parts" : [ [ "2009", "2" ] ] }, "page" : "34-9", "publisher" : "Tao,Yi-Feng. Organ Transplantation Center, Changzheng Hospital, Second Military Medical University, Shanghai 200003, China.", "publisher-place" : "China", "title" : "Liver transplant recipients with portal vein thrombosis: a single center retrospective study.", "type" : "article-journal", "volume" : "8" }, "uris" : [ "http://www.mendeley.com/documents/?uuid=6baeb8e0-f244-435b-a1ab-9cb78dddb5b5" ] } ], "mendeley" : { "formattedCitation" : "&lt;sup&gt;[80,82]&lt;/sup&gt;", "plainTextFormattedCitation" : "[80,82]", "previouslyFormattedCitation" : "&lt;sup&gt;[81,83]&lt;/sup&gt;" }, "properties" : { "noteIndex" : 0 }, "schema" : "https://github.com/citation-style-language/schema/raw/master/csl-citation.json" }</w:instrText>
      </w:r>
      <w:r w:rsidR="00502290" w:rsidRPr="00884A81">
        <w:rPr>
          <w:rFonts w:ascii="Book Antiqua" w:hAnsi="Book Antiqua"/>
        </w:rPr>
        <w:fldChar w:fldCharType="separate"/>
      </w:r>
      <w:r w:rsidR="00217BDC" w:rsidRPr="00884A81">
        <w:rPr>
          <w:rFonts w:ascii="Book Antiqua" w:hAnsi="Book Antiqua"/>
          <w:noProof/>
          <w:vertAlign w:val="superscript"/>
        </w:rPr>
        <w:t>[80,82]</w:t>
      </w:r>
      <w:r w:rsidR="00502290" w:rsidRPr="00884A81">
        <w:rPr>
          <w:rFonts w:ascii="Book Antiqua" w:hAnsi="Book Antiqua"/>
        </w:rPr>
        <w:fldChar w:fldCharType="end"/>
      </w:r>
      <w:r w:rsidR="00E03242">
        <w:rPr>
          <w:rFonts w:ascii="Book Antiqua" w:eastAsia="宋体" w:hAnsi="Book Antiqua" w:hint="eastAsia"/>
          <w:lang w:eastAsia="zh-CN"/>
        </w:rPr>
        <w:t xml:space="preserve">. </w:t>
      </w:r>
      <w:r w:rsidR="002A30AF" w:rsidRPr="00884A81">
        <w:rPr>
          <w:rFonts w:ascii="Book Antiqua" w:hAnsi="Book Antiqua"/>
        </w:rPr>
        <w:t>Increasing age of the recipient has been reported as predictor of MBT in a number of studies</w:t>
      </w:r>
      <w:r w:rsidR="00E37C65"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"id" : "ITEM-2",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"ITEM-2",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"id" : "ITEM-3", "itemData" : { "DOI" : "10.1016/j.transproceed.2009.10.007", "ISBN" : "0041-1345", "ISSN" : "1873-2623", "PMID" : "20620517", "abstract" : "INTRODUCTION AND AIMS Adult orthotopic liver transplantation (OLT) is associated with considerable blood product requirements. The aim of this study was to assess the ability of preoperative information to predict intraoperative red blood cell (RBC) transfusion requirements among adult liver recipients. METHODS Preoperative variables with previously demonstrated relationships to intraoperative RBC transfusion were identified from the literature: sex, age, pathology, prothrombin time (PT), factor V, hemoglobin (Hb), and platelet count (plt). These variables were then retrospectively collected from 758 consecutive adult patients undergoing OLT from 1997 to 2007. Relationships between these variables and intraoperative blood transfusion requirements were examined by both univariate analysis and multiple linear regression analysis. RESULTS Univariate analysis confirmed significant associations between RBC transfusion and PT, factor V, Hb, Plt, pathology, and age (P values all &lt; .001). However, stepwise backward multivariate analysis excluded variables Plt and factor V from the multiple regression linear model. The variables included in the final predictive model were PT, Hb, age, and pathology. Patients suffering from liver carcinoma required more blood products than those suffering from other pathologies. Yet, the overall predictive power of the final model was limited (R(2) = .308; adjusted R(2) = .30). CONCLUSION Preoperative variables have limited predictive power for intraoperative RBC transfusion requirements even when significant statistical associations exist, identifying only a small portion of the observed total transfusion variability. Preoperative PT, Hb, age, and liver pathology seem to be the most significant predictive factors but other factors like severity of liver disease, surgical technique, medical experience in liver transplantation, and other noncontrollable human variables may play important roles to determine the final transfusion requirements.", "author" : [ { "dropping-particle" : "", "family" : "Ara\u00fajo", "given" : "T.", "non-dropping-particle" : "", "parse-names" : false, "suffix" : "" }, { "dropping-particle" : "", "family" : "Cordeiro", "given" : "A.", "non-dropping-particle" : "", "parse-names" : false, "suffix" : "" }, { "dropping-particle" : "", "family" : "Proen\u00e7a", "given" : "P.", "non-dropping-particle" : "", "parse-names" : false, "suffix" : "" }, { "dropping-particle" : "", "family" : "Perdigoto", "given" : "R.", "non-dropping-particle" : "", "parse-names" : false, "suffix" : "" }, { "dropping-particle" : "", "family" : "Martins", "given" : "A.", "non-dropping-particle" : "", "parse-names" : false, "suffix" : "" }, { "dropping-particle" : "", "family" : "Barroso", "given" : "E.", "non-dropping-particle" : "", "parse-names" : false, "suffix" : "" } ], "container-title" : "Transplantation proceedings", "id" : "ITEM-3", "issue" : "5", "issued" : { "date-parts" : [ [ "2010", "6" ] ] }, "page" : "1758-9", "publisher" : "Araujo,T. Servico de Imunohemoterapia, Hospital Curry Cabral, Lisboa, Portugal. mtaraujo@hccabral.min-saude.pt", "publisher-place" : "United States", "title" : "Predictive variables affecting transfusion requirements in orthotopic liver transplantation.", "type" : "article-journal", "volume" : "42" }, "uris" : [ "http://www.mendeley.com/documents/?uuid=f7798c1a-1856-40d6-9926-03f7b9916bcb" ] } ], "mendeley" : { "formattedCitation" : "&lt;sup&gt;[42,72,79]&lt;/sup&gt;", "plainTextFormattedCitation" : "[42,72,79]", "previouslyFormattedCitation" : "&lt;sup&gt;[43,73,80]&lt;/sup&gt;" }, "properties" : { "noteIndex" : 0 }, "schema" : "https://github.com/citation-style-language/schema/raw/master/csl-citation.json" }</w:instrText>
      </w:r>
      <w:r w:rsidR="00E37C65" w:rsidRPr="00884A81">
        <w:rPr>
          <w:rFonts w:ascii="Book Antiqua" w:hAnsi="Book Antiqua"/>
        </w:rPr>
        <w:fldChar w:fldCharType="separate"/>
      </w:r>
      <w:r w:rsidR="00217BDC" w:rsidRPr="00884A81">
        <w:rPr>
          <w:rFonts w:ascii="Book Antiqua" w:hAnsi="Book Antiqua"/>
          <w:noProof/>
          <w:vertAlign w:val="superscript"/>
        </w:rPr>
        <w:t>[42,72,79]</w:t>
      </w:r>
      <w:r w:rsidR="00E37C65" w:rsidRPr="00884A81">
        <w:rPr>
          <w:rFonts w:ascii="Book Antiqua" w:hAnsi="Book Antiqua"/>
        </w:rPr>
        <w:fldChar w:fldCharType="end"/>
      </w:r>
      <w:r w:rsidR="00FA2931">
        <w:rPr>
          <w:rFonts w:ascii="Book Antiqua" w:eastAsia="宋体" w:hAnsi="Book Antiqua" w:hint="eastAsia"/>
          <w:lang w:eastAsia="zh-CN"/>
        </w:rPr>
        <w:t xml:space="preserve">. </w:t>
      </w:r>
      <w:r w:rsidR="002A30AF" w:rsidRPr="00884A81">
        <w:rPr>
          <w:rFonts w:ascii="Book Antiqua" w:hAnsi="Book Antiqua"/>
        </w:rPr>
        <w:t xml:space="preserve">McCluskey </w:t>
      </w:r>
      <w:r w:rsidR="002A30AF" w:rsidRPr="00FA2931">
        <w:rPr>
          <w:rFonts w:ascii="Book Antiqua" w:hAnsi="Book Antiqua"/>
          <w:i/>
        </w:rPr>
        <w:t>et al</w:t>
      </w:r>
      <w:r w:rsidR="00FA2931" w:rsidRPr="00884A81">
        <w:rPr>
          <w:rFonts w:ascii="Book Antiqua" w:hAnsi="Book Antiqua"/>
        </w:rPr>
        <w:fldChar w:fldCharType="begin" w:fldLock="1"/>
      </w:r>
      <w:r w:rsidR="00FA2931"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"mendeley" : { "formattedCitation" : "&lt;sup&gt;[42]&lt;/sup&gt;", "plainTextFormattedCitation" : "[42]", "previouslyFormattedCitation" : "&lt;sup&gt;[43]&lt;/sup&gt;" }, "properties" : { "noteIndex" : 0 }, "schema" : "https://github.com/citation-style-language/schema/raw/master/csl-citation.json" }</w:instrText>
      </w:r>
      <w:r w:rsidR="00FA2931" w:rsidRPr="00884A81">
        <w:rPr>
          <w:rFonts w:ascii="Book Antiqua" w:hAnsi="Book Antiqua"/>
        </w:rPr>
        <w:fldChar w:fldCharType="separate"/>
      </w:r>
      <w:r w:rsidR="00FA2931" w:rsidRPr="00884A81">
        <w:rPr>
          <w:rFonts w:ascii="Book Antiqua" w:hAnsi="Book Antiqua"/>
          <w:noProof/>
          <w:vertAlign w:val="superscript"/>
        </w:rPr>
        <w:t>[42]</w:t>
      </w:r>
      <w:r w:rsidR="00FA2931" w:rsidRPr="00884A81">
        <w:rPr>
          <w:rFonts w:ascii="Book Antiqua" w:hAnsi="Book Antiqua"/>
        </w:rPr>
        <w:fldChar w:fldCharType="end"/>
      </w:r>
      <w:r w:rsidR="002A30AF" w:rsidRPr="00884A81">
        <w:rPr>
          <w:rFonts w:ascii="Book Antiqua" w:hAnsi="Book Antiqua"/>
        </w:rPr>
        <w:t xml:space="preserve"> found age to be a weak predictor and the authors remarked that age is likely to be a surrogate for other unidentified risk factors</w:t>
      </w:r>
      <w:r w:rsidR="0045485A" w:rsidRPr="00884A81">
        <w:rPr>
          <w:rFonts w:ascii="Book Antiqua" w:hAnsi="Book Antiqua"/>
        </w:rPr>
        <w:t>.</w:t>
      </w:r>
      <w:r w:rsidR="00FA2931" w:rsidRPr="00884A81">
        <w:rPr>
          <w:rFonts w:ascii="Book Antiqua" w:hAnsi="Book Antiqua"/>
        </w:rPr>
        <w:t xml:space="preserve"> </w:t>
      </w:r>
    </w:p>
    <w:p w14:paraId="2B73C457" w14:textId="07247BF7" w:rsidR="002A30AF" w:rsidRPr="00884A81" w:rsidRDefault="002A30AF" w:rsidP="00FA2931">
      <w:pPr>
        <w:spacing w:line="360" w:lineRule="auto"/>
        <w:ind w:firstLineChars="100" w:firstLine="240"/>
        <w:jc w:val="both"/>
        <w:rPr>
          <w:rFonts w:ascii="Book Antiqua" w:hAnsi="Book Antiqua"/>
        </w:rPr>
      </w:pPr>
      <w:r w:rsidRPr="00884A81">
        <w:rPr>
          <w:rFonts w:ascii="Book Antiqua" w:hAnsi="Book Antiqua"/>
        </w:rPr>
        <w:t xml:space="preserve">Severity indexes of liver disease have been investigated as predictors of blood loss during liver transplant surgery. The Child-Turcotte-Pugh (CTP) score uses levels of serum bilirubin, albumin, </w:t>
      </w:r>
      <w:r w:rsidR="00F9796A" w:rsidRPr="00884A81">
        <w:rPr>
          <w:rFonts w:ascii="Book Antiqua" w:hAnsi="Book Antiqua" w:cs="Arial"/>
        </w:rPr>
        <w:t>PT</w:t>
      </w:r>
      <w:r w:rsidRPr="00884A81">
        <w:rPr>
          <w:rFonts w:ascii="Book Antiqua" w:hAnsi="Book Antiqua"/>
        </w:rPr>
        <w:t xml:space="preserve"> and</w:t>
      </w:r>
      <w:r w:rsidR="00D70D9D" w:rsidRPr="00884A81">
        <w:rPr>
          <w:rFonts w:ascii="Book Antiqua" w:hAnsi="Book Antiqua"/>
        </w:rPr>
        <w:t xml:space="preserve"> the</w:t>
      </w:r>
      <w:r w:rsidRPr="00884A81">
        <w:rPr>
          <w:rFonts w:ascii="Book Antiqua" w:hAnsi="Book Antiqua"/>
        </w:rPr>
        <w:t xml:space="preserve"> presence of ascites and encephalopathy to quantify of disease severity.</w:t>
      </w:r>
      <w:r w:rsidR="00884A81" w:rsidRPr="00884A81">
        <w:rPr>
          <w:rFonts w:ascii="Book Antiqua" w:hAnsi="Book Antiqua"/>
        </w:rPr>
        <w:t xml:space="preserve"> </w:t>
      </w:r>
      <w:r w:rsidRPr="00884A81">
        <w:rPr>
          <w:rFonts w:ascii="Book Antiqua" w:hAnsi="Book Antiqua"/>
        </w:rPr>
        <w:t>Multiple studies have included the CTP score in multivariate analyses of factors associated with increased blood loss during liver transplantation with diverging results</w:t>
      </w:r>
      <w:r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"10.1016/jlts.2003.50204", "ISBN" : "1527-6465", "ISSN" : "1527-6465", "PMID" : "14625833", "abstract" : "Objectives of this study are to quantify the need for blood transfusion during liver transplantation (LT) and confirm the importance of intraoperative blood transfusion as an independent prognostic factor for postoperative outcome. Furthermore, we try to detect useful variables for the preoperative identification of patients likely to require transfusion of packed red blood cell units (PRCUs) and identify measures to reduce transfusion needs. Data were collected prospectively between September 1998 and November 2000. One hundred twenty-two LTs were included in the study. Forty-two patients (34%) did not require transfusion of PRCUs. In multivariate analysis, transfusion of more than three PRCUs was found to be the only significant variable associated with prolonged hospital stay. In addition, excluding perioperative deaths, PRCU transfusion, using a cutoff value of six units, was the only variable to reach statistical significance (P =.008; risk ratio, 4.93; 95% confidence interval, 15 to 15.9) to predict survival in a multivariate analysis that also included Child's class and United Network for Organ Sharing (UNOS) classification. Moreover, only preoperative hemoglobin (Hb) level was found to significantly predict the need for transfusion of one or more PCRUs. Finally, only UNOS classification and placement of an intraoperative portacaval shunt were found to be statistically significant to predict the need to transfuse more than six PRCUs. We found the requirement of even a moderate number of blood transfusions is associated with longer hospital stay, and transfusion of more than six PRCUs is associated with diminished survival. Preoperative normalization of Hb levels and placement of an intraoperative portacaval shunt can diminish the number of blood transfusions during LT.", "author" : [ { "dropping-particle" : "", "family" : "Ramos", "given" : "Emilio", "non-dropping-particle" : "", "parse-names" : false, "suffix" : "" }, { "dropping-particle" : "", "family" : "Dalmau", "given" : "Antonia", "non-dropping-particle" : "", "parse-names" : false, "suffix" : "" }, { "dropping-particle" : "", "family" : "Sabate", "given" : "Antonio", "non-dropping-particle" : "", "parse-names" : false, "suffix" : "" }, { "dropping-particle" : "", "family" : "Lama", "given" : "Carmen", "non-dropping-particle" : "", "parse-names" : false, "suffix" : "" }, { "dropping-particle" : "", "family" : "Llado", "given" : "Laura", "non-dropping-particle" : "", "parse-names" : false, "suffix" : "" }, { "dropping-particle" : "", "family" : "Figueras", "given" : "Juan", "non-dropping-particle" : "", "parse-names" : false, "suffix" : "" }, { "dropping-particle" : "", "family" : "Jaurrieta", "given" : "Eduardo", "non-dropping-particle" : "", "parse-names" : false, "suffix" : "" } ], "container-title" : "Liver transplantation : official publication of the American Association for the Study of Liver Diseases and the International Liver Transplantation Society", "id" : "ITEM-1", "issue" : "12", "issued" : { "date-parts" : [ [ "2003", "12" ] ] }, "page" : "1320-7", "publisher" : "Ramos,Emilio. Liver Transplantation Unit, Hospital Universitario de Bellvitge, Barcelona, Spain. eramos@csub.scs.es", "publisher-place" : "United States, Unidad de Trasplante Hepatico, Hospital Universitario de Bellvitge, L'Hospitalet, Av. Feixa Llarga s/n, 08907 Barcelona, Spain. E-mail: eramos@csub.scs.es", "title" : "Intraoperative red blood cell transfusion in liver transplantation: influence on patient outcome, prediction of requirements, and measures to reduce them.", "type" : "article-journal", "volume" : "9" }, "uris" : [ "http://www.mendeley.com/documents/?uuid=b0be0f3a-46e9-44da-95a7-b29c04077f76" ] } ], "mendeley" : { "formattedCitation" : "&lt;sup&gt;[44]&lt;/sup&gt;", "plainTextFormattedCitation" : "[44]", "previouslyFormattedCitation" : "&lt;sup&gt;[45]&lt;/sup&gt;" }, "properties" : { "noteIndex" : 0 }, "schema" : "https://github.com/citation-style-language/schema/raw/master/csl-citation.json" }</w:instrText>
      </w:r>
      <w:r w:rsidRPr="00884A81">
        <w:rPr>
          <w:rFonts w:ascii="Book Antiqua" w:hAnsi="Book Antiqua"/>
          <w:vertAlign w:val="superscript"/>
        </w:rPr>
        <w:fldChar w:fldCharType="separate"/>
      </w:r>
      <w:r w:rsidR="00217BDC" w:rsidRPr="00884A81">
        <w:rPr>
          <w:rFonts w:ascii="Book Antiqua" w:hAnsi="Book Antiqua"/>
          <w:noProof/>
          <w:vertAlign w:val="superscript"/>
        </w:rPr>
        <w:t>[44</w:t>
      </w:r>
      <w:r w:rsidR="009E5AAC">
        <w:rPr>
          <w:rFonts w:ascii="Book Antiqua" w:eastAsia="宋体" w:hAnsi="Book Antiqua" w:hint="eastAsia"/>
          <w:noProof/>
          <w:vertAlign w:val="superscript"/>
          <w:lang w:eastAsia="zh-CN"/>
        </w:rPr>
        <w:t>,60,68,78</w:t>
      </w:r>
      <w:r w:rsidR="00217BDC" w:rsidRPr="00884A81">
        <w:rPr>
          <w:rFonts w:ascii="Book Antiqua" w:hAnsi="Book Antiqua"/>
          <w:noProof/>
          <w:vertAlign w:val="superscript"/>
        </w:rPr>
        <w:t>]</w:t>
      </w:r>
      <w:r w:rsidRPr="00884A81">
        <w:rPr>
          <w:rFonts w:ascii="Book Antiqua" w:hAnsi="Book Antiqua"/>
          <w:vertAlign w:val="superscript"/>
        </w:rPr>
        <w:fldChar w:fldCharType="end"/>
      </w:r>
      <w:r w:rsidR="009E5AAC">
        <w:rPr>
          <w:rFonts w:ascii="Book Antiqua" w:eastAsia="宋体" w:hAnsi="Book Antiqua" w:hint="eastAsia"/>
          <w:lang w:eastAsia="zh-CN"/>
        </w:rPr>
        <w:t>.</w:t>
      </w:r>
      <w:r w:rsidR="00884A81" w:rsidRPr="00884A81">
        <w:rPr>
          <w:rFonts w:ascii="Book Antiqua" w:hAnsi="Book Antiqua"/>
        </w:rPr>
        <w:t xml:space="preserve"> </w:t>
      </w:r>
      <w:r w:rsidRPr="00884A81">
        <w:rPr>
          <w:rFonts w:ascii="Book Antiqua" w:hAnsi="Book Antiqua"/>
        </w:rPr>
        <w:t>De Santis</w:t>
      </w:r>
      <w:r w:rsidR="009E5AAC">
        <w:rPr>
          <w:rFonts w:ascii="Book Antiqua" w:eastAsia="宋体" w:hAnsi="Book Antiqua" w:hint="eastAsia"/>
          <w:lang w:eastAsia="zh-CN"/>
        </w:rPr>
        <w:t xml:space="preserve"> </w:t>
      </w:r>
      <w:r w:rsidR="009E5AAC">
        <w:rPr>
          <w:rFonts w:ascii="Book Antiqua" w:eastAsia="宋体" w:hAnsi="Book Antiqua" w:hint="eastAsia"/>
          <w:i/>
          <w:lang w:eastAsia="zh-CN"/>
        </w:rPr>
        <w:t>et al</w:t>
      </w:r>
      <w:r w:rsidR="009E5AAC" w:rsidRPr="00884A81">
        <w:rPr>
          <w:rFonts w:ascii="Book Antiqua" w:hAnsi="Book Antiqua"/>
        </w:rPr>
        <w:fldChar w:fldCharType="begin" w:fldLock="1"/>
      </w:r>
      <w:r w:rsidR="009E5AAC" w:rsidRPr="00884A81">
        <w:rPr>
          <w:rFonts w:ascii="Book Antiqua" w:hAnsi="Book Antiqua"/>
        </w:rPr>
        <w:instrText>ADDIN CSL_CITATION { "citationItems" : [ { "id" : "ITEM-1", "itemData" : { "DOI" : "10.1016/j.transci.2013.10.006", "ISSN" : "1473-0502", "PMID" : "24291115", "abstract" : "BACKGROUND Patients with end-stage chronic liver disease (CLD) and submitted to orthotopic liver transplantation (OLT) usually require blood transfusion during the procedure or in the post-operative period due to hemorrhage. Risk factors for transfusion need are not fully known. This study aimed to identify the factors associated with blood components requirements. METHODS In this retrospective study a total of 166 consecutive patients submitted to OLT with the piggyback technique, between 2001 and 2011, were evaluated for number of blood components transfused during surgical procedure and the four subsequent days (total of 5 days). We evaluated the association between the number of units transfused and clinical variables, such as: Child-Turcotte-Pugh (CTP) and MELD scores, hemoglobin concentration (Hb), INR, serum creatinine, bilirubin and albumin concentrations, and total, hypothermic and normothermic time of graft ischemia. RESULTS 152 (91.6%) Patients were transfused (median of 24 units of blood components). Risk factors for higher blood transfusion requirements were CTP, INR, Hb and total time of graft ischemia. The group with CTP-A score received less blood components than CTP-B/C (11.5 vs 27; P=0.002). The group with Hb&lt;10 required a higher number of blood units (34.5 vs 23; P=0.003). The group with INR&lt;1.5 received less blood units (20.5 vs 31; P=0.012). The group transplanted with a graft exposed to less than the median of 555 min of ischemia received less transfusion (21 vs 27; P=0.03). MELD score and the other factors were not associated with blood requirements. CONCLUSION These results demonstrate that CTP, but not MELD score, hemoglobin concentration, INR, and total time of graft ischemia are preoperative variables associated with blood requirements during OLT and in the subsequent days.", "author" : [ { "dropping-particle" : "", "family" : "Santis", "given" : "Gil Cunha", "non-dropping-particle" : "De", "parse-names" : false, "suffix" : "" }, { "dropping-particle" : "", "family" : "Brunetta", "given" : "Denise Menezes", "non-dropping-particle" : "", "parse-names" : false, "suffix" : "" }, { "dropping-particle" : "", "family" : "Nardo", "given" : "Mirella", "non-dropping-particle" : "", "parse-names" : false, "suffix" : "" }, { "dropping-particle" : "", "family" : "Oliveira", "given" : "Luciana Correa", "non-dropping-particle" : "", "parse-names" : false, "suffix" : "" }, { "dropping-particle" : "", "family" : "Souza", "given" : "Fernanda Fernandes", "non-dropping-particle" : "", "parse-names" : false, "suffix" : "" }, { "dropping-particle" : "", "family" : "Cagnolati", "given" : "Daniel", "non-dropping-particle" : "", "parse-names" : false, "suffix" : "" }, { "dropping-particle" : "", "family" : "Mente", "given" : "\u00canio David", "non-dropping-particle" : "", "parse-names" : false, "suffix" : "" }, { "dropping-particle" : "", "family" : "Sankarankutty", "given" : "Ajith Kumar", "non-dropping-particle" : "", "parse-names" : false, "suffix" : "" }, { "dropping-particle" : "", "family" : "Covas", "given" : "Dimas Tadeu", "non-dropping-particle" : "", "parse-names" : false, "suffix" : "" }, { "dropping-particle" : "", "family" : "Castro e Silva", "given" : "Orlando", "non-dropping-particle" : "de", "parse-names" : false, "suffix" : "" } ], "container-title" : "Transfusion and apheresis science : official journal of the World Apheresis Association : official journal of the European Society for Haemapheresis", "id" : "ITEM-1", "issue" : "1", "issued" : { "date-parts" : [ [ "2014", "2" ] ] }, "page" : "99-105", "publisher" : "De Santis,Gil Cunha. Center for Cell-Based Therapy, Medical School of Ribeirao Preto, University of Sao Paulo, Brazil. Electronic address: gil@hemocentro.fmrp.usp.br.", "publisher-place" : "England", "title" : "Preoperative variables associated with transfusion requirements in orthotopic liver transplantation.", "type" : "article-journal", "volume" : "50" }, "uris" : [ "http://www.mendeley.com/documents/?uuid=fc236f4d-4126-4019-b192-e0cd2e7cf351" ] } ], "mendeley" : { "formattedCitation" : "&lt;sup&gt;[78]&lt;/sup&gt;", "plainTextFormattedCitation" : "[78]", "previouslyFormattedCitation" : "&lt;sup&gt;[79]&lt;/sup&gt;" }, "properties" : { "noteIndex" : 0 }, "schema" : "https://github.com/citation-style-language/schema/raw/master/csl-citation.json" }</w:instrText>
      </w:r>
      <w:r w:rsidR="009E5AAC" w:rsidRPr="00884A81">
        <w:rPr>
          <w:rFonts w:ascii="Book Antiqua" w:hAnsi="Book Antiqua"/>
        </w:rPr>
        <w:fldChar w:fldCharType="separate"/>
      </w:r>
      <w:r w:rsidR="009E5AAC" w:rsidRPr="00884A81">
        <w:rPr>
          <w:rFonts w:ascii="Book Antiqua" w:hAnsi="Book Antiqua"/>
          <w:noProof/>
          <w:vertAlign w:val="superscript"/>
        </w:rPr>
        <w:t>[78]</w:t>
      </w:r>
      <w:r w:rsidR="009E5AAC" w:rsidRPr="00884A81">
        <w:rPr>
          <w:rFonts w:ascii="Book Antiqua" w:hAnsi="Book Antiqua"/>
        </w:rPr>
        <w:fldChar w:fldCharType="end"/>
      </w:r>
      <w:r w:rsidRPr="00884A81">
        <w:rPr>
          <w:rFonts w:ascii="Book Antiqua" w:hAnsi="Book Antiqua"/>
        </w:rPr>
        <w:t xml:space="preserve"> found in a population of 166 </w:t>
      </w:r>
      <w:r w:rsidR="009E5AAC">
        <w:rPr>
          <w:rFonts w:ascii="Book Antiqua" w:eastAsia="宋体" w:hAnsi="Book Antiqua"/>
          <w:lang w:eastAsia="zh-CN"/>
        </w:rPr>
        <w:t>“</w:t>
      </w:r>
      <w:r w:rsidRPr="00884A81">
        <w:rPr>
          <w:rFonts w:ascii="Book Antiqua" w:hAnsi="Book Antiqua"/>
        </w:rPr>
        <w:t>piggy-back</w:t>
      </w:r>
      <w:r w:rsidR="009E5AAC">
        <w:rPr>
          <w:rFonts w:ascii="Book Antiqua" w:eastAsia="宋体" w:hAnsi="Book Antiqua"/>
          <w:lang w:eastAsia="zh-CN"/>
        </w:rPr>
        <w:t>”</w:t>
      </w:r>
      <w:r w:rsidRPr="00884A81">
        <w:rPr>
          <w:rFonts w:ascii="Book Antiqua" w:hAnsi="Book Antiqua"/>
        </w:rPr>
        <w:t xml:space="preserve"> OLT that the CTP score together with haemoglobin and graft ischaemia time to be associated with blood and blood products transfusion requirements</w:t>
      </w:r>
      <w:r w:rsidR="0045485A" w:rsidRPr="00884A81">
        <w:rPr>
          <w:rFonts w:ascii="Book Antiqua" w:hAnsi="Book Antiqua"/>
        </w:rPr>
        <w:t>.</w:t>
      </w:r>
      <w:r w:rsidR="00884A81" w:rsidRPr="00884A81">
        <w:rPr>
          <w:rFonts w:ascii="Book Antiqua" w:hAnsi="Book Antiqua"/>
        </w:rPr>
        <w:t xml:space="preserve"> </w:t>
      </w:r>
      <w:r w:rsidRPr="00884A81">
        <w:rPr>
          <w:rFonts w:ascii="Book Antiqua" w:hAnsi="Book Antiqua"/>
        </w:rPr>
        <w:t>A CTP class A was found to be a protective risk factor for bleeding more than one blood volume in a study including 148 OLT patients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"10.1016/j.annfar.2011.01.008", "ISSN" : "1769-6623", "PMID" : "21353450", "abstract" : "OBJECTIVE While orthotopic liver transplantation (OLT) can be associated with haemorrhage, the risk factors for bleeding and transfusion remain difficult to predict. Perioperative transfusion has potentially deleterious side effects and impairs graft and patient survival. Preoperative identification of patients at high risk of bleeding is of clinical interest to manage perioperative transfusion and blood product storage. STUDY DESIGN Retrospective study. PATIENTS AND METHODS All OLT conducted between 2004 and 2008 in the University Hospital of Bordeaux were studied. Risk factors for bleeding greater than one blood volume and for massive red blood cell (RBC) transfusion were determined using univariate and multivariate analysis. Thresholds were determined with ROC curve analysis. RESULTS One hundred and forty-eight transplantations were studied. Preoperative haemoglobin and Child class A were independent protective risk factors for bleeding greater than one blood volume (OR 0.81 [0.67-0.98] and 0.27 [0.10-0.72], respectively). Preoperative Hb was a protective risk factor (OR 0.71 [0.58-0.88]) whereas history of oesophageal varicose bleeding was a risk factor (OR 4.67 [1.45-15.05]) for transfusion of more than eight RBC. CONCLUSION Risk factors for bleeding and transfusion during OLT identified in this study were of little clinical usefulness so blood products should always be available during the procedure.", "author" : [ { "dropping-particle" : "", "family" : "Roullet", "given" : "S", "non-dropping-particle" : "", "parse-names" : false, "suffix" : "" }, { "dropping-particle" : "", "family" : "Biais", "given" : "M", "non-dropping-particle" : "", "parse-names" : false, "suffix" : "" }, { "dropping-particle" : "", "family" : "Millas", "given" : "E", "non-dropping-particle" : "", "parse-names" : false, "suffix" : "" }, { "dropping-particle" : "", "family" : "Revel", "given" : "P", "non-dropping-particle" : "", "parse-names" : false, "suffix" : "" }, { "dropping-particle" : "", "family" : "Quinart", "given" : "A", "non-dropping-particle" : "", "parse-names" : false, "suffix" : "" }, { "dropping-particle" : "", "family" : "Sztark", "given" : "F", "non-dropping-particle" : "", "parse-names" : false, "suffix" : "" } ], "container-title" : "Annales franc\u0327aises d'anesthe\u0300sie et de re\u0300animation", "id" : "ITEM-1", "issue" : "4", "issued" : { "date-parts" : [ [ "2011", "4" ] ] }, "language" : "eng", "page" : "349-52", "publisher-place" : "France", "title" : "Risk factors for bleeding and transfusion during orthotopic liver transplantation.", "type" : "article-journal", "volume" : "30" }, "uris" : [ "http://www.mendeley.com/documents/?uuid=915e4b00-cfa3-478c-ab29-163220800429" ] } ], "mendeley" : { "formattedCitation" : "&lt;sup&gt;[74]&lt;/sup&gt;", "plainTextFormattedCitation" : "[74]", "previouslyFormattedCitation" : "&lt;sup&gt;[75]&lt;/sup&gt;"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[74]</w:t>
      </w:r>
      <w:r w:rsidR="00AD756C" w:rsidRPr="00884A81">
        <w:rPr>
          <w:rFonts w:ascii="Book Antiqua" w:hAnsi="Book Antiqua"/>
        </w:rPr>
        <w:fldChar w:fldCharType="end"/>
      </w:r>
      <w:r w:rsidRPr="00884A81">
        <w:rPr>
          <w:rFonts w:ascii="Book Antiqua" w:hAnsi="Book Antiqua"/>
        </w:rPr>
        <w:t>.</w:t>
      </w:r>
      <w:r w:rsidR="00884A81" w:rsidRPr="00884A81">
        <w:rPr>
          <w:rFonts w:ascii="Book Antiqua" w:hAnsi="Book Antiqua"/>
        </w:rPr>
        <w:t xml:space="preserve"> </w:t>
      </w:r>
    </w:p>
    <w:p w14:paraId="1C5D4743" w14:textId="23B9575C" w:rsidR="002A30AF" w:rsidRPr="00884A81" w:rsidRDefault="002A30AF" w:rsidP="00AD756C">
      <w:pPr>
        <w:spacing w:line="360" w:lineRule="auto"/>
        <w:ind w:firstLineChars="100" w:firstLine="240"/>
        <w:jc w:val="both"/>
        <w:rPr>
          <w:rFonts w:ascii="Book Antiqua" w:hAnsi="Book Antiqua"/>
        </w:rPr>
      </w:pPr>
      <w:r w:rsidRPr="00884A81">
        <w:rPr>
          <w:rFonts w:ascii="Book Antiqua" w:hAnsi="Book Antiqua"/>
        </w:rPr>
        <w:t>Multivariate analysis found association between pre-operative MELD scores and blood products usage or massive blood loss in different liver transplant patient populations such as hepatitis B related cirrhosis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"ISSN" : "0376-2491", "PMID" : "19192401", "abstract" : "OBJECTIVE To identify the predictors of massive blood transfusion in liver transplantation for patients with benign end-stage liver disease (ESLD). METHODS The clinical data of 268 patients with ESLD mainly caused by hepatitis B who were to receive cadaver liver transplantation performed by 5 groups of anesthesiologists respectively were retrospectively reviewed. The patients were divided into 2 groups according to the transfusion amount: massive blood transfusion (MBT) group (n = 120) receiving the blood transfusion of more than 12 units of red blood cells (RBCs) during the operation, and non-massive blood transfusion (NBT) group (n = 148). Univariate analysis and stepwise logistic regression were used. The influence of anesthesiologists on administration of blood cells was analyzed. RESULTS During the liver transplantation, 98.13% of the patients received RBC transfusion of the mean dose of 13.32 units. Different group of anesthesiologists exerted no influence on the amount of RBC transfusion. Logistic regression showed that the preoperative MELD score, hemoglobin, platelet, interactional normalized ratio of prothrombin time, kaolin partial thromboplastin time, total protein, serum creatinine, total bilirubin, ascite, and severity of hepatitis were risk factors of MBT. Multivariable logistic regression showed that 2 independent predictors of MBT were identified: preoperative MELD score and hemoglobin. Accordingly, MBT during liver transplantation was predicted by 0.593 - 0.049 x preoperative hemoglobin + 0.137 x preoperative MELD score, with a cut off value of -0.67, a sensitivity of 84.1% and a specify of 71.2%. The area under receiver operating characteristic curves of prognostic score was 0.832. CONCLUSION MBT during liver transplantation can be predicted by preoperative MELD score and hemoglobin value in patients with ESLD secondary to type B hepatitis.", "author" : [ { "dropping-particle" : "", "family" : "Feng", "given" : "Zhi-Ying", "non-dropping-particle" : "", "parse-names" : false, "suffix" : "" }, { "dropping-particle" : "", "family" : "Jin", "given" : "Xu-Dong", "non-dropping-particle" : "", "parse-names" : false, "suffix" : "" }, { "dropping-particle" : "", "family" : "Chen", "given" : "Yi-Zhong", "non-dropping-particle" : "", "parse-names" : false, "suffix" : "" } ], "container-title" : "Zhonghua yi xue za zhi", "id" : "ITEM-1", "issue" : "43", "issued" : { "date-parts" : [ [ "2008", "11", "25" ] ] }, "page" : "3040-4", "publisher" : "Feng,Zhi-Ying. Department of Anesthesiology, First Affiliated Hospital, Medical College of Zhejiang University, Hangzhou 310003, China.", "publisher-place" : "China", "title" : "[Predictors of massive blood transfusion in liver transplantation for patients with benign end-stage liver disease].", "type" : "article-journal", "volume" : "88" }, "uris" : [ "http://www.mendeley.com/documents/?uuid=d6b24510-060b-4f88-b5c3-6253d339a019" ] } ], "mendeley" : { "formattedCitation" : "&lt;sup&gt;[83]&lt;/sup&gt;", "plainTextFormattedCitation" : "[83]", "previouslyFormattedCitation" : "&lt;sup&gt;[84]&lt;/sup&gt;"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[83]</w:t>
      </w:r>
      <w:r w:rsidR="00AD756C" w:rsidRPr="00884A81">
        <w:rPr>
          <w:rFonts w:ascii="Book Antiqua" w:hAnsi="Book Antiqua"/>
        </w:rPr>
        <w:fldChar w:fldCharType="end"/>
      </w:r>
      <w:r w:rsidR="000D2F02" w:rsidRPr="00884A81">
        <w:rPr>
          <w:rFonts w:ascii="Book Antiqua" w:hAnsi="Book Antiqua"/>
        </w:rPr>
        <w:t>,</w:t>
      </w:r>
      <w:r w:rsidRPr="00884A81">
        <w:rPr>
          <w:rFonts w:ascii="Book Antiqua" w:hAnsi="Book Antiqua"/>
        </w:rPr>
        <w:t xml:space="preserve"> living donor</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"10.1016/j.transproceed.2010.10.017", "ISSN" : "1873-2623", "PMID" : "21168648", "abstract" : "We conducted a risk factor analysis for high intraoperative blood loss (IBL) in 555 living donor liver transplantation (LDLT) cases with a simple and objective method of IBL estimation based on the concept of red cell mass (RCM): Lost RCM (mL) = patient's estimated blood volume (mL) \u00d7 (preoperative hematocrit in % - postoperative hematocrit in %) + (transfused leukocyte-depleted red blood cell in units \u00d7 213 \u00d7 70%) + (transfused Cell Saver blood in mL \u00d7 55%). Analysis of 33 preoperative variables revealed that Model for End-stage Liver Disease (MELD) score, albumin, the presence of ascites, and previous abdominal surgery were correlated with high IBL (lost RCM &gt; 1000 mL) in multivariate logistical regression analysis. In conclusion, we found that MELD score, albumin, the presence of ascites, and previous abdominal surgery were significantly correlated with high IBL during adult LDLT.", "author" : [ { "dropping-particle" : "", "family" : "Bang", "given" : "S R", "non-dropping-particle" : "", "parse-names" : false, "suffix" : "" }, { "dropping-particle" : "", "family" : "Ahn", "given" : "H J", "non-dropping-particle" : "", "parse-names" : false, "suffix" : "" }, { "dropping-particle" : "", "family" : "Kim", "given" : "G S", "non-dropping-particle" : "", "parse-names" : false, "suffix" : "" }, { "dropping-particle" : "", "family" : "Yang", "given" : "M", "non-dropping-particle" : "", "parse-names" : false, "suffix" : "" }, { "dropping-particle" : "", "family" : "Gwak", "given" : "M S", "non-dropping-particle" : "", "parse-names" : false, "suffix" : "" }, { "dropping-particle" : "", "family" : "Ko", "given" : "J S", "non-dropping-particle" : "", "parse-names" : false, "suffix" : "" }, { "dropping-particle" : "", "family" : "Kim", "given" : "S H", "non-dropping-particle" : "", "parse-names" : false, "suffix" : "" }, { "dropping-particle" : "", "family" : "Lee", "given" : "S K", "non-dropping-particle" : "", "parse-names" : false, "suffix" : "" } ], "container-title" : "Transplantation proceedings", "id" : "ITEM-1", "issue" : "10", "issued" : { "date-parts" : [ [ "2010", "12" ] ] }, "page" : "4148-50", "publisher" : "Bang,S R. Department of Anesthesiology and Pain Medicine, Samsung Medical Center, Sungkyunkwan University School of Medicine, Seoul, Korea.", "publisher-place" : "United States", "title" : "Predictors of high intraoperative blood loss derived by simple and objective method in adult living donor liver transplantation.", "type" : "article-journal", "volume" : "42" }, "uris" : [ "http://www.mendeley.com/documents/?uuid=f223ff20-17a8-440a-a012-50dceff0ae6e" ] } ], "mendeley" : { "formattedCitation" : "&lt;sup&gt;[73]&lt;/sup&gt;", "plainTextFormattedCitation" : "[73]", "previouslyFormattedCitation" : "&lt;sup&gt;[74]&lt;/sup&gt;"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[73]</w:t>
      </w:r>
      <w:r w:rsidR="00AD756C" w:rsidRPr="00884A81">
        <w:rPr>
          <w:rFonts w:ascii="Book Antiqua" w:hAnsi="Book Antiqua"/>
        </w:rPr>
        <w:fldChar w:fldCharType="end"/>
      </w:r>
      <w:r w:rsidR="000D2F02" w:rsidRPr="00884A81">
        <w:rPr>
          <w:rFonts w:ascii="Book Antiqua" w:hAnsi="Book Antiqua"/>
        </w:rPr>
        <w:t>,</w:t>
      </w:r>
      <w:r w:rsidRPr="00884A81">
        <w:rPr>
          <w:rFonts w:ascii="Book Antiqua" w:hAnsi="Book Antiqua"/>
        </w:rPr>
        <w:t xml:space="preserve"> piggyback</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"10.1016/j.transproceed.2007.09.029", "ISSN" : "0041-1345", "PMID" : "18089355", "abstract" : "UNLABELLED Orthotopic liver transplantation (OLT) has historically been associated with massive blood loss and hemodynamic instability related to the coexistence of varices, coagulopathy, thrombocytopenia, and portal hypertension. Piggyback hepatectomy (PGB) is a technique increasingly utilized in OLT to avoid veno-venous bypass and vena cava clamping. This study evaluated the factors associated with blood loss and blood product requirement in PGB. METHODS This study is a retrospective review of the anesthesia preoperative and operative notes and computerized lab values for all adult cadaveric liver transplants over a 42-month period. These data were combined with the liver transplant database for analysis. Approximately 98% of the transplants were performed using a standard piggyback approach with no use of veno-venous bypass. RESULTS Data were included for all 526 transplants performed during this time period. Estimated blood loss (EBL) was 1000 cc. Median transfusion requirement was 3 units packed red blood cells, 7 units fresh frozen plasma, and 6 units platelets. Multivariate linear regression demonstrated that predictors of EBL were age, MELD score, preoperative hemoglobin, initial fibrinogen, initial central venous pressure, and total anesthesia time. Predictors of PRBC useage were age, MELD score, preoperative hemoglobin, initial fibrinogen, and anesthesia time. Postoperatively increased transfusion requirement was associated with increased length of hospital stay and lower 90-day and 1-year graft and patient survivals. CONCLUSION These results demonstrate that PGB can be safely accomplished in nearly all liver transplant patients without venovenous bypass or vena cava clamping and with less warm ischemia, which may ultimately be associated with less perioperative morbidity and improved outcomes.", "author" : [ { "dropping-particle" : "", "family" : "Mangus", "given" : "R S", "non-dropping-particle" : "", "parse-names" : false, "suffix" : "" }, { "dropping-particle" : "", "family" : "Kinsella", "given" : "S B", "non-dropping-particle" : "", "parse-names" : false, "suffix" : "" }, { "dropping-particle" : "", "family" : "Nobari", "given" : "M M", "non-dropping-particle" : "", "parse-names" : false, "suffix" : "" }, { "dropping-particle" : "", "family" : "Fridell", "given" : "J A", "non-dropping-particle" : "", "parse-names" : false, "suffix" : "" }, { "dropping-particle" : "", "family" : "Vianna", "given" : "R M", "non-dropping-particle" : "", "parse-names" : false, "suffix" : "" }, { "dropping-particle" : "", "family" : "Ward", "given" : "E S", "non-dropping-particle" : "", "parse-names" : false, "suffix" : "" }, { "dropping-particle" : "", "family" : "Nobari", "given" : "R", "non-dropping-particle" : "", "parse-names" : false, "suffix" : "" }, { "dropping-particle" : "", "family" : "Tector", "given" : "A J", "non-dropping-particle" : "", "parse-names" : false, "suffix" : "" } ], "container-title" : "Transplantation proceedings", "id" : "ITEM-1", "issue" : "10", "issued" : { "date-parts" : [ [ "2007", "12" ] ] }, "page" : "3207-13", "publisher" : "Mangus,R S. Department of Surgery, Transplantation Section, Indiana University School of Medicine, Indianapolis, Indiana 46202-5250, USA. mangus@iupui.edu", "publisher-place" : "United States", "title" : "Predictors of blood product use in orthotopic liver transplantation using the piggyback hepatectomy technique.", "type" : "article-journal", "volume" : "39" }, "uris" : [ "http://www.mendeley.com/documents/?uuid=ff63eea3-9193-4d0a-9919-b3d5dfd742a2" ] } ], "mendeley" : { "formattedCitation" : "&lt;sup&gt;[70]&lt;/sup&gt;", "plainTextFormattedCitation" : "[70]", "previouslyFormattedCitation" : "&lt;sup&gt;[71]&lt;/sup&gt;"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[70]</w:t>
      </w:r>
      <w:r w:rsidRPr="00884A81">
        <w:rPr>
          <w:rFonts w:ascii="Book Antiqua" w:hAnsi="Book Antiqua"/>
        </w:rPr>
        <w:fldChar w:fldCharType="end"/>
      </w:r>
      <w:r w:rsidRPr="00884A81">
        <w:rPr>
          <w:rFonts w:ascii="Book Antiqua" w:hAnsi="Book Antiqua"/>
        </w:rPr>
        <w:t xml:space="preserve"> and mixed OLT populations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"10.1016/j.transproceed.2013.07.006", "ISSN" : "1873-2623", "PMID" : "24034024", "abstract" : "BACKGROUND Liver transplantation (OLT) can entail a high risk of blood loss requiring transfusions, which increase morbidity and mortality. In recent years many efforts have been spent to improve the surgical and anesthetic management to decrease transfusion rates during OLT. Preoperative predictors for transfusion in OLT, remain uncertain. METHODS We retrospectively reviewed the 219 OLT performed from 2005 to 2011 focusing on blood product (BP) transfusions. Statistical analysis sought the impact of transfusions on OLT outcomes to identify possible independent predictors of higher BP requirements. RESULTS The 1- and 3-year survival rates were 86.6% and 76.45% for patients and 81.0% and 71.8% for grafts respectively. The mean intra- and perioperative red blood cell (RBC) transfusion rates were 12.3 \u00b1 11.7 U and 15.5 \u00b1 13.0 U respectively. A statistical analysis demonstrated a significant influence of BP transfusion on post-OLT complications and survivals. Multivariate logistic regression analysis showed the Model for End-Stage Liver Disease (MELD) score to be the only independent predictor of perioperative RBC transfusions. CONCLUSIONS Our results confirmed the link between intra- and perioperative transfusions and outcome of OLT patients. MELD score resulted the only independent variable associated with increased perioperative RBC transfusions.", "author" : [ { "dropping-particle" : "", "family" : "Varotti", "given" : "G", "non-dropping-particle" : "", "parse-names" : false, "suffix" : "" }, { "dropping-particle" : "", "family" : "Santori", "given" : "G", "non-dropping-particle" : "", "parse-names" : false, "suffix" : "" }, { "dropping-particle" : "", "family" : "Andorno", "given" : "E", "non-dropping-particle" : "", "parse-names" : false, "suffix" : "" }, { "dropping-particle" : "", "family" : "Morelli", "given" : "N", "non-dropping-particle" : "", "parse-names" : false, "suffix" : "" }, { "dropping-particle" : "", "family" : "Ertreo", "given" : "M", "non-dropping-particle" : "", "parse-names" : false, "suffix" : "" }, { "dropping-particle" : "", "family" : "Strada", "given" : "P", "non-dropping-particle" : "", "parse-names" : false, "suffix" : "" }, { "dropping-particle" : "", "family" : "Porcile", "given" : "E", "non-dropping-particle" : "", "parse-names" : false, "suffix" : "" }, { "dropping-particle" : "", "family" : "Casaccia", "given" : "M", "non-dropping-particle" : "", "parse-names" : false, "suffix" : "" }, { "dropping-particle" : "", "family" : "Centanaro", "given" : "M", "non-dropping-particle" : "", "parse-names" : false, "suffix" : "" }, { "dropping-particle" : "", "family" : "Valente", "given" : "U", "non-dropping-particle" : "", "parse-names" : false, "suffix" : "" } ], "container-title" : "Transplantation proceedings", "id" : "ITEM-1", "issue" : "7", "issued" : { "date-parts" : [ [ "2013", "9" ] ] }, "page" : "2684-8", "publisher" : "Varotti,G. General Surgery and Organ Transplantation Unit, IRCCS San Martino University Hospital, IST National Institute for Cancer Research, San Martino, Italy. Electronic address: gvarotti@hotmail.com.", "publisher-place" : "United States", "title" : "Impact of Model for End-Stage Liver Disease score on transfusion rates in liver transplantation.", "type" : "article-journal", "volume" : "45" }, "uris" : [ "http://www.mendeley.com/documents/?uuid=215e903c-ba05-4d08-bbe3-3ccfae26bd5d" ] }, { "id" : "ITEM-2",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"ITEM-2",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"mendeley" : { "formattedCitation" : "&lt;sup&gt;[76,79]&lt;/sup&gt;", "plainTextFormattedCitation" : "[76,79]", "previouslyFormattedCitation" : "&lt;sup&gt;[77,80]&lt;/sup&gt;"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[76,79]</w:t>
      </w:r>
      <w:r w:rsidR="00AD756C" w:rsidRPr="00884A81">
        <w:rPr>
          <w:rFonts w:ascii="Book Antiqua" w:hAnsi="Book Antiqua"/>
        </w:rPr>
        <w:fldChar w:fldCharType="end"/>
      </w:r>
      <w:r w:rsidR="0045485A" w:rsidRPr="00884A81">
        <w:rPr>
          <w:rFonts w:ascii="Book Antiqua" w:hAnsi="Book Antiqua"/>
        </w:rPr>
        <w:t>.</w:t>
      </w:r>
      <w:r w:rsidR="00AD756C" w:rsidRPr="00884A81">
        <w:rPr>
          <w:rFonts w:ascii="Book Antiqua" w:hAnsi="Book Antiqua"/>
        </w:rPr>
        <w:t xml:space="preserve"> </w:t>
      </w:r>
      <w:r w:rsidRPr="00884A81">
        <w:rPr>
          <w:rFonts w:ascii="Book Antiqua" w:hAnsi="Book Antiqua"/>
        </w:rPr>
        <w:t>MELD was significantly associated with patients requiring blood product usage</w:t>
      </w:r>
      <w:r w:rsidR="000D2F02" w:rsidRPr="00884A81">
        <w:rPr>
          <w:rFonts w:ascii="Book Antiqua" w:hAnsi="Book Antiqua"/>
        </w:rPr>
        <w:t>,</w:t>
      </w:r>
      <w:r w:rsidRPr="00884A81">
        <w:rPr>
          <w:rFonts w:ascii="Book Antiqua" w:hAnsi="Book Antiqua"/>
        </w:rPr>
        <w:t xml:space="preserve"> but failed to predict those requiring massive blood transfusions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"ITEM-1",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"mendeley" : { "formattedCitation" : "&lt;sup&gt;[79]&lt;/sup&gt;", "plainTextFormattedCitation" : "[79]", "previouslyFormattedCitation" : "&lt;sup&gt;[80]&lt;/sup&gt;"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[79]</w:t>
      </w:r>
      <w:r w:rsidR="00AD756C"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MELD was also a poor predictor of blood loss or blood transfusion requirement in a </w:t>
      </w:r>
      <w:r w:rsidRPr="00884A81">
        <w:rPr>
          <w:rFonts w:ascii="Book Antiqua" w:hAnsi="Book Antiqua"/>
        </w:rPr>
        <w:lastRenderedPageBreak/>
        <w:t>series of 350 patients with mean MELD scores of 20</w:t>
      </w:r>
      <w:r w:rsidR="007C0213" w:rsidRPr="00884A81">
        <w:rPr>
          <w:rFonts w:ascii="Book Antiqua" w:hAnsi="Book Antiqua"/>
        </w:rPr>
        <w:t xml:space="preserve"> </w:t>
      </w:r>
      <w:r w:rsidRPr="00884A81">
        <w:rPr>
          <w:rFonts w:ascii="Book Antiqua" w:hAnsi="Book Antiqua"/>
        </w:rPr>
        <w:t>±</w:t>
      </w:r>
      <w:r w:rsidR="007C0213" w:rsidRPr="00884A81">
        <w:rPr>
          <w:rFonts w:ascii="Book Antiqua" w:hAnsi="Book Antiqua"/>
        </w:rPr>
        <w:t xml:space="preserve"> </w:t>
      </w:r>
      <w:r w:rsidRPr="00884A81">
        <w:rPr>
          <w:rFonts w:ascii="Book Antiqua" w:hAnsi="Book Antiqua"/>
        </w:rPr>
        <w:t>10</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"10.1097/TP.0b013e3181a5e5f1", "ISSN" : "1534-6080", "PMID" : "19502961", "abstract" : "BACKGROUND Orthotopic liver transplantation has been traditionally associated with major blood loss and the need for allogenic blood product transfusions. In recent years, improvements in surgical and anesthetic techniques have greatly decreased the amount of blood products transfused. We have published a median of 0 for all intraoperative blood products transfused. Some authors argue that these results could be possible merely because of the relatively healthy cohort in terms of model of end-stage liver disease (MELD) score. The MELD score could be adjusted by some conditions (hepatocellular carcinoma, hemodialysis, hepatopulmonary syndrome, and amyloidosis) and was not adjusted in these series. The goal of this work was to verify the MELD score according to US standards and to find any link between the MELD score and the transfusion rate. METHOD Three hundred fifty consecutive liver transplantations were studied. The MELD score was adjusted according to US standards. Patients were divided into two groups according to the median of the MELD score. Blood loss and transfusion rate were determined for these two groups. Logistic regression models were used to find any link with transfusion of red blood cell (RBC) units. RESULT The MELD score before adjusting was 19+/-9 and 22+/-10 after. A mean of 0.5+/-1.3 RBC units/patient intraoperative were transfused with 80.6% of cases without any blood products. There was no difference for the blood loss (999+/-670 mL vs. 1017+/-885 mL) or the transfusion rate (0.4+/-1.2 vs. 0.5+/-1.4 RBC/patient) between two groups of MELD (&lt;21 or &gt;or=21) or any of its component (creatinine, bilirubin, and international normalized ratio). The logistic regression analysis found that only two variables were linked to RBC transfusion; starting hemoglobin value and phlebotomy. CONCLUSION In this series, the MELD score was as high as US series and did not predict blood losses and blood product requirement during liver transplantation. If the MELD system has to be implemented to prioritize orthotopic liver transplantation, it should be revisited, and the starting hemoglobin value should be added to the equation.", "author" : [ { "dropping-particle" : "", "family" : "Massicotte", "given" : "Luc", "non-dropping-particle" : "", "parse-names" : false, "suffix" : "" }, { "dropping-particle" : "", "family" : "Beaulieu", "given" : "Danielle", "non-dropping-particle" : "", "parse-names" : false, "suffix" : "" }, { "dropping-particle" : "", "family" : "Roy", "given" : "Jean-Denis", "non-dropping-particle" : "", "parse-names" : false, "suffix" : "" }, { "dropping-particle" : "", "family" : "Marleau", "given" : "Denis", "non-dropping-particle" : "", "parse-names" : false, "suffix" : "" }, { "dropping-particle" : "", "family" : "Vandenbroucke", "given" : "Frank", "non-dropping-particle" : "", "parse-names" : false, "suffix" : "" }, { "dropping-particle" : "", "family" : "Dagenais", "given" : "Michel", "non-dropping-particle" : "", "parse-names" : false, "suffix" : "" }, { "dropping-particle" : "", "family" : "Lapointe", "given" : "R\u00e9al", "non-dropping-particle" : "", "parse-names" : false, "suffix" : "" }, { "dropping-particle" : "", "family" : "Roy", "given" : "Andr\u00e9", "non-dropping-particle" : "", "parse-names" : false, "suffix" : "" } ], "container-title" : "Transplantation", "id" : "ITEM-1", "issue" : "11", "issued" : { "date-parts" : [ [ "2009", "6", "15" ] ] }, "page" : "1689-94", "publisher" : "Massicotte,Luc. Department of Anesthesiology, Centre hospitalier de l'Universite de Montreal (CHUM), Hopital St-Luc, Montreal, QC, Canada. luc.massicotte@umontreal.ca", "publisher-place" : "United States", "title" : "MELD score and blood product requirements during liver transplantation: no link.", "type" : "article-journal", "volume" : "87" }, "uris" : [ "http://www.mendeley.com/documents/?uuid=b5c3f641-6a10-4549-a873-01f9c376bf2c" ] } ], "mendeley" : { "formattedCitation" : "&lt;sup&gt;[71]&lt;/sup&gt;", "plainTextFormattedCitation" : "[71]", "previouslyFormattedCitation" : "&lt;sup&gt;[72]&lt;/sup&gt;"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[71]</w:t>
      </w:r>
      <w:r w:rsidR="00AD756C" w:rsidRPr="00884A81">
        <w:rPr>
          <w:rFonts w:ascii="Book Antiqua" w:hAnsi="Book Antiqua"/>
        </w:rPr>
        <w:fldChar w:fldCharType="end"/>
      </w:r>
      <w:r w:rsidR="00FF4C65" w:rsidRPr="00884A81">
        <w:rPr>
          <w:rFonts w:ascii="Book Antiqua" w:hAnsi="Book Antiqua"/>
        </w:rPr>
        <w:t>,</w:t>
      </w:r>
      <w:r w:rsidRPr="00884A81">
        <w:rPr>
          <w:rFonts w:ascii="Book Antiqua" w:hAnsi="Book Antiqua"/>
        </w:rPr>
        <w:t xml:space="preserve"> it is important to note to mention that the reported mean transfusion requirement was only 0.5</w:t>
      </w:r>
      <w:r w:rsidR="007C0213" w:rsidRPr="00884A81">
        <w:rPr>
          <w:rFonts w:ascii="Book Antiqua" w:hAnsi="Book Antiqua"/>
        </w:rPr>
        <w:t xml:space="preserve"> </w:t>
      </w:r>
      <w:r w:rsidRPr="00884A81">
        <w:rPr>
          <w:rFonts w:ascii="Book Antiqua" w:hAnsi="Book Antiqua"/>
        </w:rPr>
        <w:t>±</w:t>
      </w:r>
      <w:r w:rsidR="007C0213" w:rsidRPr="00884A81">
        <w:rPr>
          <w:rFonts w:ascii="Book Antiqua" w:hAnsi="Book Antiqua"/>
        </w:rPr>
        <w:t xml:space="preserve"> </w:t>
      </w:r>
      <w:r w:rsidRPr="00884A81">
        <w:rPr>
          <w:rFonts w:ascii="Book Antiqua" w:hAnsi="Book Antiqua"/>
        </w:rPr>
        <w:t>1.3 unit which is lower than the reported by other studies in similar populations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"10.1016/j.transproceed.2013.07.006", "ISSN" : "1873-2623", "PMID" : "24034024", "abstract" : "BACKGROUND Liver transplantation (OLT) can entail a high risk of blood loss requiring transfusions, which increase morbidity and mortality. In recent years many efforts have been spent to improve the surgical and anesthetic management to decrease transfusion rates during OLT. Preoperative predictors for transfusion in OLT, remain uncertain. METHODS We retrospectively reviewed the 219 OLT performed from 2005 to 2011 focusing on blood product (BP) transfusions. Statistical analysis sought the impact of transfusions on OLT outcomes to identify possible independent predictors of higher BP requirements. RESULTS The 1- and 3-year survival rates were 86.6% and 76.45% for patients and 81.0% and 71.8% for grafts respectively. The mean intra- and perioperative red blood cell (RBC) transfusion rates were 12.3 \u00b1 11.7 U and 15.5 \u00b1 13.0 U respectively. A statistical analysis demonstrated a significant influence of BP transfusion on post-OLT complications and survivals. Multivariate logistic regression analysis showed the Model for End-Stage Liver Disease (MELD) score to be the only independent predictor of perioperative RBC transfusions. CONCLUSIONS Our results confirmed the link between intra- and perioperative transfusions and outcome of OLT patients. MELD score resulted the only independent variable associated with increased perioperative RBC transfusions.", "author" : [ { "dropping-particle" : "", "family" : "Varotti", "given" : "G", "non-dropping-particle" : "", "parse-names" : false, "suffix" : "" }, { "dropping-particle" : "", "family" : "Santori", "given" : "G", "non-dropping-particle" : "", "parse-names" : false, "suffix" : "" }, { "dropping-particle" : "", "family" : "Andorno", "given" : "E", "non-dropping-particle" : "", "parse-names" : false, "suffix" : "" }, { "dropping-particle" : "", "family" : "Morelli", "given" : "N", "non-dropping-particle" : "", "parse-names" : false, "suffix" : "" }, { "dropping-particle" : "", "family" : "Ertreo", "given" : "M", "non-dropping-particle" : "", "parse-names" : false, "suffix" : "" }, { "dropping-particle" : "", "family" : "Strada", "given" : "P", "non-dropping-particle" : "", "parse-names" : false, "suffix" : "" }, { "dropping-particle" : "", "family" : "Porcile", "given" : "E", "non-dropping-particle" : "", "parse-names" : false, "suffix" : "" }, { "dropping-particle" : "", "family" : "Casaccia", "given" : "M", "non-dropping-particle" : "", "parse-names" : false, "suffix" : "" }, { "dropping-particle" : "", "family" : "Centanaro", "given" : "M", "non-dropping-particle" : "", "parse-names" : false, "suffix" : "" }, { "dropping-particle" : "", "family" : "Valente", "given" : "U", "non-dropping-particle" : "", "parse-names" : false, "suffix" : "" } ], "container-title" : "Transplantation proceedings", "id" : "ITEM-1", "issue" : "7", "issued" : { "date-parts" : [ [ "2013", "9" ] ] }, "page" : "2684-8", "publisher" : "Varotti,G. General Surgery and Organ Transplantation Unit, IRCCS San Martino University Hospital, IST National Institute for Cancer Research, San Martino, Italy. Electronic address: gvarotti@hotmail.com.", "publisher-place" : "United States", "title" : "Impact of Model for End-Stage Liver Disease score on transfusion rates in liver transplantation.", "type" : "article-journal", "volume" : "45" }, "uris" : [ "http://www.mendeley.com/documents/?uuid=215e903c-ba05-4d08-bbe3-3ccfae26bd5d" ] } ], "mendeley" : { "formattedCitation" : "&lt;sup&gt;[76]&lt;/sup&gt;", "plainTextFormattedCitation" : "[76]", "previouslyFormattedCitation" : "&lt;sup&gt;[77]&lt;/sup&gt;"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[76]</w:t>
      </w:r>
      <w:r w:rsidR="00AD756C" w:rsidRPr="00884A81">
        <w:rPr>
          <w:rFonts w:ascii="Book Antiqua" w:hAnsi="Book Antiqua"/>
        </w:rPr>
        <w:fldChar w:fldCharType="end"/>
      </w:r>
      <w:r w:rsidR="0045485A" w:rsidRPr="00884A81">
        <w:rPr>
          <w:rFonts w:ascii="Book Antiqua" w:hAnsi="Book Antiqua"/>
        </w:rPr>
        <w:t>.</w:t>
      </w:r>
      <w:r w:rsidR="00AD756C" w:rsidRPr="00884A81">
        <w:rPr>
          <w:rFonts w:ascii="Book Antiqua" w:hAnsi="Book Antiqua"/>
        </w:rPr>
        <w:t xml:space="preserve"> </w:t>
      </w:r>
    </w:p>
    <w:p w14:paraId="6FC838B7" w14:textId="4F6427B7" w:rsidR="002A30AF" w:rsidRPr="00884A81" w:rsidRDefault="002A30AF" w:rsidP="00AD756C">
      <w:pPr>
        <w:spacing w:line="360" w:lineRule="auto"/>
        <w:ind w:firstLineChars="100" w:firstLine="240"/>
        <w:jc w:val="both"/>
        <w:rPr>
          <w:rFonts w:ascii="Book Antiqua" w:hAnsi="Book Antiqua"/>
        </w:rPr>
      </w:pPr>
      <w:r w:rsidRPr="00884A81">
        <w:rPr>
          <w:rFonts w:ascii="Book Antiqua" w:hAnsi="Book Antiqua"/>
        </w:rPr>
        <w:t>Preoperative h</w:t>
      </w:r>
      <w:r w:rsidR="00990D51" w:rsidRPr="00884A81">
        <w:rPr>
          <w:rFonts w:ascii="Book Antiqua" w:hAnsi="Book Antiqua"/>
        </w:rPr>
        <w:t>a</w:t>
      </w:r>
      <w:r w:rsidRPr="00884A81">
        <w:rPr>
          <w:rFonts w:ascii="Book Antiqua" w:hAnsi="Book Antiqua"/>
        </w:rPr>
        <w:t xml:space="preserve">emoglobin </w:t>
      </w:r>
      <w:r w:rsidR="003B2D80" w:rsidRPr="00884A81">
        <w:rPr>
          <w:rFonts w:ascii="Book Antiqua" w:hAnsi="Book Antiqua"/>
        </w:rPr>
        <w:t xml:space="preserve">is an important </w:t>
      </w:r>
      <w:r w:rsidRPr="00884A81">
        <w:rPr>
          <w:rFonts w:ascii="Book Antiqua" w:hAnsi="Book Antiqua"/>
        </w:rPr>
        <w:t>predictor of blood transfusion in a number of multivariate models</w:t>
      </w:r>
      <w:r w:rsidR="0071422F"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"id" : "ITEM-2",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"ITEM-2",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"id" : "ITEM-3", "itemData" : { "DOI" : "10.1007/BF03020372", "ISSN" : "0832-610X", "PMID" : "11744582", "abstract" : "PURPOSE To identify preoperative factors associated with high blood losses during liver transplantation for chronic end-stage liver disease. METHODS Four hundred and ten consecutive patients were included in this retrospective study. Blood losses were calculated, based on transfusion requirements. The population was divided into two groups: the upper quartile was defined as the high blood loss (HBL) group and the lower three quartiles as the low blood loss group. Fourteen preoperative variables were collected. Qualitative variables consisted of the type of hepatopathy, Child-Pugh's classification, sex, the surgical team's experience, previous abdominal surgery and portal hypertension. Quantitative variables were age, hemoglobin concentration Hb, platelet count, prothrombin time, activated partial thromboplastin time, fibrinogen concentration, fibrin degradation products (FDP) and euglobulin lysis time. Univariate analysis and stepwise multivariate analysis were conducted. RESULTS Patients in the HBL group required 12 units of red blood cell or more to maintain a Hb &gt;/= 100g*L(-1). HBL was associated with severe liver disease, previous abdominal surgery, use of a venovenous bypass and little surgical experience in orthotopic liver transplantation (OLT). In the HBL group several hemostatic parameters were more disturbed before surgery. The multivariate analysis disclosed three independent variables associated with HBL: Hb and FDP concentrations and previous upper abdominal surgery. When combined, these resulted in a high specificity (98%) but low sensitivity to predict blood loss. CONCLUSION Despite our efforts we were unable to identify predictive risk factors of bleeding during OLT even in a homogeneous population. Centres should evaluate their practice individually in an attempt to identify patients at high risk of being transfused.", "author" : [ { "dropping-particle" : "", "family" : "Steib", "given" : "A", "non-dropping-particle" : "", "parse-names" : false, "suffix" : "" }, { "dropping-particle" : "", "family" : "Freys", "given" : "G", "non-dropping-particle" : "", "parse-names" : false, "suffix" : "" }, { "dropping-particle" : "", "family" : "Lehmann", "given" : "C", "non-dropping-particle" : "", "parse-names" : false, "suffix" : "" }, { "dropping-particle" : "", "family" : "Meyer", "given" : "C", "non-dropping-particle" : "", "parse-names" : false, "suffix" : "" }, { "dropping-particle" : "", "family" : "Mahoudeau", "given" : "G", "non-dropping-particle" : "", "parse-names" : false, "suffix" : "" } ], "container-title" : "Canadian journal of anaesthesia = Journal canadien d'anesthe\u0301sie", "id" : "ITEM-3", "issue" : "11", "issued" : { "date-parts" : [ [ "2001", "12" ] ] }, "page" : "1075-9", "publisher" : "Steib,A. Departments of Anaesthesia, and Transplantation, Hopitaux Universitaires, Strasbourg, France. Annick.Steib@chru-strasbourg.fr", "publisher-place" : "Canada", "title" : "Intraoperative blood losses and transfusion requirements during adult liver transplantation remain difficult to predict.", "type" : "article-journal", "volume" : "48" }, "uris" : [ "http://www.mendeley.com/documents/?uuid=5e65a6b3-0f72-4001-9165-bcc394046a8b" ] }, { "id" : "ITEM-4", "itemData" : { "DOI" : "10.1016/j.transproceed.2007.09.029", "ISSN" : "0041-1345", "PMID" : "18089355", "abstract" : "UNLABELLED Orthotopic liver transplantation (OLT) has historically been associated with massive blood loss and hemodynamic instability related to the coexistence of varices, coagulopathy, thrombocytopenia, and portal hypertension. Piggyback hepatectomy (PGB) is a technique increasingly utilized in OLT to avoid veno-venous bypass and vena cava clamping. This study evaluated the factors associated with blood loss and blood product requirement in PGB. METHODS This study is a retrospective review of the anesthesia preoperative and operative notes and computerized lab values for all adult cadaveric liver transplants over a 42-month period. These data were combined with the liver transplant database for analysis. Approximately 98% of the transplants were performed using a standard piggyback approach with no use of veno-venous bypass. RESULTS Data were included for all 526 transplants performed during this time period. Estimated blood loss (EBL) was 1000 cc. Median transfusion requirement was 3 units packed red blood cells, 7 units fresh frozen plasma, and 6 units platelets. Multivariate linear regression demonstrated that predictors of EBL were age, MELD score, preoperative hemoglobin, initial fibrinogen, initial central venous pressure, and total anesthesia time. Predictors of PRBC useage were age, MELD score, preoperative hemoglobin, initial fibrinogen, and anesthesia time. Postoperatively increased transfusion requirement was associated with increased length of hospital stay and lower 90-day and 1-year graft and patient survivals. CONCLUSION These results demonstrate that PGB can be safely accomplished in nearly all liver transplant patients without venovenous bypass or vena cava clamping and with less warm ischemia, which may ultimately be associated with less perioperative morbidity and improved outcomes.", "author" : [ { "dropping-particle" : "", "family" : "Mangus", "given" : "R S", "non-dropping-particle" : "", "parse-names" : false, "suffix" : "" }, { "dropping-particle" : "", "family" : "Kinsella", "given" : "S B", "non-dropping-particle" : "", "parse-names" : false, "suffix" : "" }, { "dropping-particle" : "", "family" : "Nobari", "given" : "M M", "non-dropping-particle" : "", "parse-names" : false, "suffix" : "" }, { "dropping-particle" : "", "family" : "Fridell", "given" : "J A", "non-dropping-particle" : "", "parse-names" : false, "suffix" : "" }, { "dropping-particle" : "", "family" : "Vianna", "given" : "R M", "non-dropping-particle" : "", "parse-names" : false, "suffix" : "" }, { "dropping-particle" : "", "family" : "Ward", "given" : "E S", "non-dropping-particle" : "", "parse-names" : false, "suffix" : "" }, { "dropping-particle" : "", "family" : "Nobari", "given" : "R", "non-dropping-particle" : "", "parse-names" : false, "suffix" : "" }, { "dropping-particle" : "", "family" : "Tector", "given" : "A J", "non-dropping-particle" : "", "parse-names" : false, "suffix" : "" } ], "container-title" : "Transplantation proceedings", "id" : "ITEM-4", "issue" : "10", "issued" : { "date-parts" : [ [ "2007", "12" ] ] }, "page" : "3207-13", "publisher" : "Mangus,R S. Department of Surgery, Transplantation Section, Indiana University School of Medicine, Indianapolis, Indiana 46202-5250, USA. mangus@iupui.edu", "publisher-place" : "United States", "title" : "Predictors of blood product use in orthotopic liver transplantation using the piggyback hepatectomy technique.", "type" : "article-journal", "volume" : "39" }, "uris" : [ "http://www.mendeley.com/documents/?uuid=ff63eea3-9193-4d0a-9919-b3d5dfd742a2" ] }, { "id" : "ITEM-5", "itemData" : { "DOI" : "10.1002/lt.23661", "ISBN" : "1527-6465", "ISSN" : "1527-6473", "PMID" : "23716446", "abstract" : "Background. A great decrease of transfusion requirements has been noted in the liver transplantation (LT). However, risk factors for transfusion remain difficult to establish partway by the heterogeneity of recipients. Factors associated with intraoperative transfusion in a group of recipients with advanced hepatocellular disease were identified. Material and methods. Data from 291 LT performed from January 2008 to December 2011 in our Institution were analyzed. Only whose patients with hepatocellular cirrhosis without hepatocarcinoma as diagnostic, were included. Re-transplant, and combined transplants, were excluded. All grafts came from brain death donors. Patient characteristics, biological data, and intraoperative transfusion requirements were prospectively recorded. A fluid restrictive policy was followed. Mc-Whitney, and logistic regression analysis were used as needed. Results. 86 adult patients, 63 M/23F, [median (IQR)], 54 (48-61) yrs. old, MELD 21 (18-24), Child 11 (10-12) fulfilled the inclusion criteria. Ninety one per cent of patients (78) received any blood product whereas 8 patients (9%) did not: 78 patients (91%) red blood cells (RBC) 3 (2-4) u, 62 patients (72%) fresh frozen plasma (FFP)4(0-6)u, 14 patients (16%) platelets, and 32 patients (37%) fibrinogen. In a multiple logistic regression, basal hemoglobin [OR (CI)], 0.34 (0.02-0.57) and Child, 1.45(1.01-2.09) reached significance on RBC intraoperative transfusion. Ratio, 2.75 (1.10-6.84) and fibrinogen baseline value, 0.12 (0.04-0.33) reached significance on FFP and fibrinogen transfusion, respectively. Conclusions. Hemoglobin and fibrinogen baseline value were the strongest predictor of intraoperative transfusion in patients with hepatocellular cirrhosis without hepatocarcinoma, in the LT", "author" : [ { "dropping-particle" : "", "family" : "Blasi", "given" : "A", "non-dropping-particle" : "", "parse-names" : false, "suffix" : "" }, { "dropping-particle" : "", "family" : "Beltran", "given" : "J", "non-dropping-particle" : "", "parse-names" : false, "suffix" : "" }, { "dropping-particle" : "", "family" : "Martinez-Palli", "given" : "G", "non-dropping-particle" : "", "parse-names" : false, "suffix" : "" }, { "dropping-particle" : "", "family" : "Jaume", "given" : "B", "non-dropping-particle" : "", "parse-names" : false, "suffix" : "" }, { "dropping-particle" : "", "family" : "Pilar", "given" : "T", "non-dropping-particle" : "", "parse-names" : false, "suffix" : "" }, { "dropping-particle" : "", "family" : "Carlos", "given" : "G.-V.", "non-dropping-particle" : "", "parse-names" : false, "suffix" : "" } ], "container-title" : "Liver transplantation : official publication of the American Association for the Study of Liver Diseases and the International Liver Transplantation Society", "id" : "ITEM-5", "issue" : "6 SUPPL. 1", "issued" : { "date-parts" : [ [ "2013", "6" ] ] }, "page" : "S86-334", "publisher" : "John Wiley and Sons Ltd", "title" : "Predictive factors for intraoperative transfusion requirements in liver transplantation", "type" : "article-journal", "volume" : "19 Suppl 1" }, "uris" : [ "http://www.mendeley.com/documents/?uuid=91a5a662-7975-4119-b7e1-2264e411b2ed" ] }, { "id" : "ITEM-6", "itemData" : { "ISSN" : "0376-2491", "PMID" : "19192401", "abstract" : "OBJECTIVE To identify the predictors of massive blood transfusion in liver transplantation for patients with benign end-stage liver disease (ESLD). METHODS The clinical data of 268 patients with ESLD mainly caused by hepatitis B who were to receive cadaver liver transplantation performed by 5 groups of anesthesiologists respectively were retrospectively reviewed. The patients were divided into 2 groups according to the transfusion amount: massive blood transfusion (MBT) group (n = 120) receiving the blood transfusion of more than 12 units of red blood cells (RBCs) during the operation, and non-massive blood transfusion (NBT) group (n = 148). Univariate analysis and stepwise logistic regression were used. The influence of anesthesiologists on administration of blood cells was analyzed. RESULTS During the liver transplantation, 98.13% of the patients received RBC transfusion of the mean dose of 13.32 units. Different group of anesthesiologists exerted no influence on the amount of RBC transfusion. Logistic regression showed that the preoperative MELD score, hemoglobin, platelet, interactional normalized ratio of prothrombin time, kaolin partial thromboplastin time, total protein, serum creatinine, total bilirubin, ascite, and severity of hepatitis were risk factors of MBT. Multivariable logistic regression showed that 2 independent predictors of MBT were identified: preoperative MELD score and hemoglobin. Accordingly, MBT during liver transplantation was predicted by 0.593 - 0.049 x preoperative hemoglobin + 0.137 x preoperative MELD score, with a cut off value of -0.67, a sensitivity of 84.1% and a specify of 71.2%. The area under receiver operating characteristic curves of prognostic score was 0.832. CONCLUSION MBT during liver transplantation can be predicted by preoperative MELD score and hemoglobin value in patients with ESLD secondary to type B hepatitis.", "author" : [ { "dropping-particle" : "", "family" : "Feng", "given" : "Zhi-Ying", "non-dropping-particle" : "", "parse-names" : false, "suffix" : "" }, { "dropping-particle" : "", "family" : "Jin", "given" : "Xu-Dong", "non-dropping-particle" : "", "parse-names" : false, "suffix" : "" }, { "dropping-particle" : "", "family" : "Chen", "given" : "Yi-Zhong", "non-dropping-particle" : "", "parse-names" : false, "suffix" : "" } ], "container-title" : "Zhonghua yi xue za zhi", "id" : "ITEM-6", "issue" : "43", "issued" : { "date-parts" : [ [ "2008", "11", "25" ] ] }, "page" : "3040-4", "publisher" : "Feng,Zhi-Ying. Department of Anesthesiology, First Affiliated Hospital, Medical College of Zhejiang University, Hangzhou 310003, China.", "publisher-place" : "China", "title" : "[Predictors of massive blood transfusion in liver transplantation for patients with benign end-stage liver disease].", "type" : "article-journal", "volume" : "88" }, "uris" : [ "http://www.mendeley.com/documents/?uuid=d6b24510-060b-4f88-b5c3-6253d339a019" ] }, { "id" : "ITEM-7", "itemData" : { "DOI" : "10.1016/j.transproceed.2009.10.007", "ISBN" : "0041-1345", "ISSN" : "1873-2623", "PMID" : "20620517", "abstract" : "INTRODUCTION AND AIMS Adult orthotopic liver transplantation (OLT) is associated with considerable blood product requirements. The aim of this study was to assess the ability of preoperative information to predict intraoperative red blood cell (RBC) transfusion requirements among adult liver recipients. METHODS Preoperative variables with previously demonstrated relationships to intraoperative RBC transfusion were identified from the literature: sex, age, pathology, prothrombin time (PT), factor V, hemoglobin (Hb), and platelet count (plt). These variables were then retrospectively collected from 758 consecutive adult patients undergoing OLT from 1997 to 2007. Relationships between these variables and intraoperative blood transfusion requirements were examined by both univariate analysis and multiple linear regression analysis. RESULTS Univariate analysis confirmed significant associations between RBC transfusion and PT, factor V, Hb, Plt, pathology, and age (P values all &lt; .001). However, stepwise backward multivariate analysis excluded variables Plt and factor V from the multiple regression linear model. The variables included in the final predictive model were PT, Hb, age, and pathology. Patients suffering from liver carcinoma required more blood products than those suffering from other pathologies. Yet, the overall predictive power of the final model was limited (R(2) = .308; adjusted R(2) = .30). CONCLUSION Preoperative variables have limited predictive power for intraoperative RBC transfusion requirements even when significant statistical associations exist, identifying only a small portion of the observed total transfusion variability. Preoperative PT, Hb, age, and liver pathology seem to be the most significant predictive factors but other factors like severity of liver disease, surgical technique, medical experience in liver transplantation, and other noncontrollable human variables may play important roles to determine the final transfusion requirements.", "author" : [ { "dropping-particle" : "", "family" : "Ara\u00fajo", "given" : "T.", "non-dropping-particle" : "", "parse-names" : false, "suffix" : "" }, { "dropping-particle" : "", "family" : "Cordeiro", "given" : "A.", "non-dropping-particle" : "", "parse-names" : false, "suffix" : "" }, { "dropping-particle" : "", "family" : "Proen\u00e7a", "given" : "P.", "non-dropping-particle" : "", "parse-names" : false, "suffix" : "" }, { "dropping-particle" : "", "family" : "Perdigoto", "given" : "R.", "non-dropping-particle" : "", "parse-names" : false, "suffix" : "" }, { "dropping-particle" : "", "family" : "Martins", "given" : "A.", "non-dropping-particle" : "", "parse-names" : false, "suffix" : "" }, { "dropping-particle" : "", "family" : "Barroso", "given" : "E.", "non-dropping-particle" : "", "parse-names" : false, "suffix" : "" } ], "container-title" : "Transplantation proceedings", "id" : "ITEM-7", "issue" : "5", "issued" : { "date-parts" : [ [ "2010", "6" ] ] }, "page" : "1758-9", "publisher" : "Araujo,T. Servico de Imunohemoterapia, Hospital Curry Cabral, Lisboa, Portugal. mtaraujo@hccabral.min-saude.pt", "publisher-place" : "United States", "title" : "Predictive variables affecting transfusion requirements in orthotopic liver transplantation.", "type" : "article-journal", "volume" : "42" }, "uris" : [ "http://www.mendeley.com/documents/?uuid=f7798c1a-1856-40d6-9926-03f7b9916bcb" ] } ], "mendeley" : { "formattedCitation" : "&lt;sup&gt;[42,60,66,70,72,77,83]&lt;/sup&gt;", "plainTextFormattedCitation" : "[42,60,66,70,72,77,83]", "previouslyFormattedCitation" : "&lt;sup&gt;[43,61,67,71,73,78,84]&lt;/sup&gt;" }, "properties" : { "noteIndex" : 0 }, "schema" : "https://github.com/citation-style-language/schema/raw/master/csl-citation.json" }</w:instrText>
      </w:r>
      <w:r w:rsidR="0071422F" w:rsidRPr="00884A81">
        <w:rPr>
          <w:rFonts w:ascii="Book Antiqua" w:hAnsi="Book Antiqua"/>
          <w:vertAlign w:val="superscript"/>
        </w:rPr>
        <w:fldChar w:fldCharType="separate"/>
      </w:r>
      <w:r w:rsidR="00217BDC" w:rsidRPr="00884A81">
        <w:rPr>
          <w:rFonts w:ascii="Book Antiqua" w:hAnsi="Book Antiqua"/>
          <w:noProof/>
          <w:vertAlign w:val="superscript"/>
        </w:rPr>
        <w:t>[42,60,66,70,72,77,83]</w:t>
      </w:r>
      <w:r w:rsidR="0071422F" w:rsidRPr="00884A81">
        <w:rPr>
          <w:rFonts w:ascii="Book Antiqua" w:hAnsi="Book Antiqua"/>
          <w:vertAlign w:val="superscript"/>
        </w:rPr>
        <w:fldChar w:fldCharType="end"/>
      </w:r>
      <w:r w:rsidR="00AD756C">
        <w:rPr>
          <w:rFonts w:ascii="Book Antiqua" w:eastAsia="宋体" w:hAnsi="Book Antiqua" w:hint="eastAsia"/>
          <w:lang w:eastAsia="zh-CN"/>
        </w:rPr>
        <w:t>.</w:t>
      </w:r>
      <w:r w:rsidR="00FF4C65" w:rsidRPr="00884A81">
        <w:rPr>
          <w:rFonts w:ascii="Book Antiqua" w:hAnsi="Book Antiqua"/>
          <w:vertAlign w:val="superscript"/>
        </w:rPr>
        <w:t xml:space="preserve"> </w:t>
      </w:r>
      <w:r w:rsidRPr="00884A81">
        <w:rPr>
          <w:rFonts w:ascii="Book Antiqua" w:hAnsi="Book Antiqua"/>
        </w:rPr>
        <w:t>Preoperative h</w:t>
      </w:r>
      <w:r w:rsidR="00990D51" w:rsidRPr="00884A81">
        <w:rPr>
          <w:rFonts w:ascii="Book Antiqua" w:hAnsi="Book Antiqua"/>
        </w:rPr>
        <w:t>a</w:t>
      </w:r>
      <w:r w:rsidRPr="00884A81">
        <w:rPr>
          <w:rFonts w:ascii="Book Antiqua" w:hAnsi="Book Antiqua"/>
        </w:rPr>
        <w:t>emoglobin of more than 12.6</w:t>
      </w:r>
      <w:r w:rsidR="007C0213" w:rsidRPr="00884A81">
        <w:rPr>
          <w:rFonts w:ascii="Book Antiqua" w:hAnsi="Book Antiqua"/>
        </w:rPr>
        <w:t xml:space="preserve"> </w:t>
      </w:r>
      <w:r w:rsidRPr="00884A81">
        <w:rPr>
          <w:rFonts w:ascii="Book Antiqua" w:hAnsi="Book Antiqua"/>
        </w:rPr>
        <w:t>g/d</w:t>
      </w:r>
      <w:r w:rsidR="00AD756C" w:rsidRPr="00884A81">
        <w:rPr>
          <w:rFonts w:ascii="Book Antiqua" w:hAnsi="Book Antiqua"/>
        </w:rPr>
        <w:t>L</w:t>
      </w:r>
      <w:r w:rsidRPr="00884A81">
        <w:rPr>
          <w:rFonts w:ascii="Book Antiqua" w:hAnsi="Book Antiqua"/>
        </w:rPr>
        <w:t xml:space="preserve"> was found to be a protective factor for blood loss of one blood volume or more in a series of 148 patients receiving OLT</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"10.1016/j.annfar.2011.01.008", "ISSN" : "1769-6623", "PMID" : "21353450", "abstract" : "OBJECTIVE While orthotopic liver transplantation (OLT) can be associated with haemorrhage, the risk factors for bleeding and transfusion remain difficult to predict. Perioperative transfusion has potentially deleterious side effects and impairs graft and patient survival. Preoperative identification of patients at high risk of bleeding is of clinical interest to manage perioperative transfusion and blood product storage. STUDY DESIGN Retrospective study. PATIENTS AND METHODS All OLT conducted between 2004 and 2008 in the University Hospital of Bordeaux were studied. Risk factors for bleeding greater than one blood volume and for massive red blood cell (RBC) transfusion were determined using univariate and multivariate analysis. Thresholds were determined with ROC curve analysis. RESULTS One hundred and forty-eight transplantations were studied. Preoperative haemoglobin and Child class A were independent protective risk factors for bleeding greater than one blood volume (OR 0.81 [0.67-0.98] and 0.27 [0.10-0.72], respectively). Preoperative Hb was a protective risk factor (OR 0.71 [0.58-0.88]) whereas history of oesophageal varicose bleeding was a risk factor (OR 4.67 [1.45-15.05]) for transfusion of more than eight RBC. CONCLUSION Risk factors for bleeding and transfusion during OLT identified in this study were of little clinical usefulness so blood products should always be available during the procedure.", "author" : [ { "dropping-particle" : "", "family" : "Roullet", "given" : "S", "non-dropping-particle" : "", "parse-names" : false, "suffix" : "" }, { "dropping-particle" : "", "family" : "Biais", "given" : "M", "non-dropping-particle" : "", "parse-names" : false, "suffix" : "" }, { "dropping-particle" : "", "family" : "Millas", "given" : "E", "non-dropping-particle" : "", "parse-names" : false, "suffix" : "" }, { "dropping-particle" : "", "family" : "Revel", "given" : "P", "non-dropping-particle" : "", "parse-names" : false, "suffix" : "" }, { "dropping-particle" : "", "family" : "Quinart", "given" : "A", "non-dropping-particle" : "", "parse-names" : false, "suffix" : "" }, { "dropping-particle" : "", "family" : "Sztark", "given" : "F", "non-dropping-particle" : "", "parse-names" : false, "suffix" : "" } ], "container-title" : "Annales franc\u0327aises d'anesthe\u0300sie et de re\u0300animation", "id" : "ITEM-1", "issue" : "4", "issued" : { "date-parts" : [ [ "2011", "4" ] ] }, "language" : "eng", "page" : "349-52", "publisher-place" : "France", "title" : "Risk factors for bleeding and transfusion during orthotopic liver transplantation.", "type" : "article-journal", "volume" : "30" }, "uris" : [ "http://www.mendeley.com/documents/?uuid=915e4b00-cfa3-478c-ab29-163220800429" ] } ], "mendeley" : { "formattedCitation" : "&lt;sup&gt;[74]&lt;/sup&gt;", "plainTextFormattedCitation" : "[74]", "previouslyFormattedCitation" : "&lt;sup&gt;[75]&lt;/sup&gt;"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[74]</w:t>
      </w:r>
      <w:r w:rsidRPr="00884A81">
        <w:rPr>
          <w:rFonts w:ascii="Book Antiqua" w:hAnsi="Book Antiqua"/>
        </w:rPr>
        <w:fldChar w:fldCharType="end"/>
      </w:r>
      <w:r w:rsidR="00AD756C">
        <w:rPr>
          <w:rFonts w:ascii="Book Antiqua" w:eastAsia="宋体" w:hAnsi="Book Antiqua" w:hint="eastAsia"/>
          <w:lang w:eastAsia="zh-CN"/>
        </w:rPr>
        <w:t>.</w:t>
      </w:r>
      <w:r w:rsidRPr="00884A81">
        <w:rPr>
          <w:rFonts w:ascii="Book Antiqua" w:hAnsi="Book Antiqua"/>
        </w:rPr>
        <w:t xml:space="preserve"> Thrombocytopenia pre-transplant is also associated with massive blood transfusion requirements</w:t>
      </w:r>
      <w:r w:rsidR="00AD756C" w:rsidRPr="00884A81">
        <w:rPr>
          <w:rFonts w:ascii="Book Antiqua" w:hAnsi="Book Antiqua"/>
          <w:vertAlign w:val="superscript"/>
        </w:rPr>
        <w:fldChar w:fldCharType="begin" w:fldLock="1"/>
      </w:r>
      <w:r w:rsidR="00AD756C" w:rsidRPr="00884A81">
        <w:rPr>
          <w:rFonts w:ascii="Book Antiqua" w:hAnsi="Book Antiqua"/>
          <w:vertAlign w:val="superscript"/>
        </w:rPr>
        <w:instrText>ADDIN CSL_CITATION { "citationItems" : [ { "id" : "ITEM-1", "itemData" : { "ISBN" : "1499-3872 (Print)", "ISSN" : "1499-3872", "PMID" : "19208512", "abstract" : "BACKGROUND Portal vein thrombosis (PVT) used to be a contraindication for liver transplantation (LT). This obstacle has been delt with following the improvement of LT-related techniques and therapeutic approaches to thrombosis. But the effect of PVT on LT outcomes is still controversial. We reviewed retrospectively the outcome of LT patients with PVT as well as risk factors and surgical management according to PVT grades. METHODS A total of 465 adult LTs were performed from December 2002 through December 2006. Operative findings and the result of preoperative ultrasonography and imaging were reviewed for PVT grading (Yerdel grading). Comparison of risk factors, variables associated with perioperative period and prognosis between recipients with and without PVT is based on the grades. RESULTS In the 465 LTs, 42 were operatively confirmed to have PVT (9.0%) (19 recipients with grade 1, 14 with grade 2, 7 with grade 3, and 2 with grade 4). Increased age and treatment of portal hypertension were associated with PVT. Grade 1 or 2 PVT was treated by direct anastomosis or single thrombectomy. In grade 3 PVT patients, the donor PV was directly anastomosed to the dilated branch of the recipient portal venous system or to the distal open superior mesenteric vein through an interposition vein graft if needed. Grade 4 PVT was managed by our modified cavoportal hemitransposition technique. The comparison between PVT patients and controls showed no significant difference in operative duration and blood transfusion (P&gt;0.05). The flow rate of the PV was lower in the PVT patients (48.881+/-12.788 cm/s) than in the controls (57.172+/-21.715 cm/s, P&lt;0.05). The PVT patients had such postoperative complications as renal failure and PV rethrombosis (P&lt;0.05). The 1-year survival rates in PVT and non-PVT patients were 78.6% and 76.4% respectively (P&gt;0.05); the 3-year survival rates were 58.8% and 56.4% respectively (P&gt;0.05). CONCLUSIONS PVT is not contraindicated for LT if it is graded. PVT recipients may have post-transplantation complications like renal failure and PV rethrombosis, and operative difficulty and patient survival are similar to those in recipients without PVT. Development of therapeutic approaches and accumulation of experience in dealing with PVT further improve the outcomes of LT in PVT recipients.", "author" : [ { "dropping-particle" : "", "family" : "Tao", "given" : "Yi-Feng", "non-dropping-particle" : "", "parse-names" : false, "suffix" : "" }, { "dropping-particle" : "", "family" : "Teng", "given" : "Fei", "non-dropping-particle" : "", "parse-names" : false, "suffix" : "" }, { "dropping-particle" : "", "family" : "Wang", "given" : "Zheng-Xin", "non-dropping-particle" : "", "parse-names" : false, "suffix" : "" }, { "dropping-particle" : "", "family" : "Guo", "given" : "Wen-Yuan", "non-dropping-particle" : "", "parse-names" : false, "suffix" : "" }, { "dropping-particle" : "", "family" : "Shi", "given" : "Xiao-Min", "non-dropping-particle" : "", "parse-names" : false, "suffix" : "" }, { "dropping-particle" : "", "family" : "Wang", "given" : "Gui-Hua", "non-dropping-particle" : "", "parse-names" : false, "suffix" : "" }, { "dropping-particle" : "", "family" : "Ding", "given" : "Guo-Shan", "non-dropping-particle" : "", "parse-names" : false, "suffix" : "" }, { "dropping-particle" : "", "family" : "Fu", "given" : "Zhi-Ren", "non-dropping-particle" : "", "parse-names" : false, "suffix" : "" } ], "container-title" : "Hepatobiliary &amp; pancreatic diseases international : HBPD INT", "id" : "ITEM-1", "issue" : "1", "issued" : { "date-parts" : [ [ "2009", "2" ] ] }, "page" : "34-9", "publisher" : "Tao,Yi-Feng. Organ Transplantation Center, Changzheng Hospital, Second Military Medical University, Shanghai 200003, China.", "publisher-place" : "China", "title" : "Liver transplant recipients with portal vein thrombosis: a single center retrospective study.", "type" : "article-journal", "volume" : "8" }, "uris" : [ "http://www.mendeley.com/documents/?uuid=6baeb8e0-f244-435b-a1ab-9cb78dddb5b5" ] }, { "id" : "ITEM-2",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"ITEM-2",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"mendeley" : { "formattedCitation" : "&lt;sup&gt;[60,80]&lt;/sup&gt;", "plainTextFormattedCitation" : "[60,80]", "previouslyFormattedCitation" : "&lt;sup&gt;[61,81]&lt;/sup&gt;" }, "properties" : { "noteIndex" : 0 }, "schema" : "https://github.com/citation-style-language/schema/raw/master/csl-citation.json" }</w:instrText>
      </w:r>
      <w:r w:rsidR="00AD756C" w:rsidRPr="00884A81">
        <w:rPr>
          <w:rFonts w:ascii="Book Antiqua" w:hAnsi="Book Antiqua"/>
          <w:vertAlign w:val="superscript"/>
        </w:rPr>
        <w:fldChar w:fldCharType="separate"/>
      </w:r>
      <w:r w:rsidR="00AD756C" w:rsidRPr="00884A81">
        <w:rPr>
          <w:rFonts w:ascii="Book Antiqua" w:hAnsi="Book Antiqua"/>
          <w:noProof/>
          <w:vertAlign w:val="superscript"/>
        </w:rPr>
        <w:t>[60,80]</w:t>
      </w:r>
      <w:r w:rsidR="00AD756C" w:rsidRPr="00884A81">
        <w:rPr>
          <w:rFonts w:ascii="Book Antiqua" w:hAnsi="Book Antiqua"/>
          <w:vertAlign w:val="superscript"/>
        </w:rPr>
        <w:fldChar w:fldCharType="end"/>
      </w:r>
      <w:r w:rsidR="0045485A" w:rsidRPr="00884A81">
        <w:rPr>
          <w:rFonts w:ascii="Book Antiqua" w:hAnsi="Book Antiqua"/>
        </w:rPr>
        <w:t>.</w:t>
      </w:r>
      <w:r w:rsidR="00FE1759" w:rsidRPr="00884A81">
        <w:rPr>
          <w:rFonts w:ascii="Book Antiqua" w:hAnsi="Book Antiqua"/>
        </w:rPr>
        <w:t xml:space="preserve"> </w:t>
      </w:r>
    </w:p>
    <w:p w14:paraId="6B20CC25" w14:textId="6611F4A0" w:rsidR="002A30AF" w:rsidRPr="00884A81" w:rsidRDefault="002A30AF" w:rsidP="00AD756C">
      <w:pPr>
        <w:spacing w:line="360" w:lineRule="auto"/>
        <w:ind w:firstLineChars="100" w:firstLine="240"/>
        <w:jc w:val="both"/>
        <w:rPr>
          <w:rFonts w:ascii="Book Antiqua" w:hAnsi="Book Antiqua"/>
        </w:rPr>
      </w:pPr>
      <w:r w:rsidRPr="00884A81">
        <w:rPr>
          <w:rFonts w:ascii="Book Antiqua" w:hAnsi="Book Antiqua"/>
        </w:rPr>
        <w:t>Coagulation</w:t>
      </w:r>
      <w:r w:rsidR="007C0213" w:rsidRPr="00884A81">
        <w:rPr>
          <w:rFonts w:ascii="Book Antiqua" w:hAnsi="Book Antiqua"/>
        </w:rPr>
        <w:t xml:space="preserve"> variables such as the INR and f</w:t>
      </w:r>
      <w:r w:rsidRPr="00884A81">
        <w:rPr>
          <w:rFonts w:ascii="Book Antiqua" w:hAnsi="Book Antiqua"/>
        </w:rPr>
        <w:t>ibrinogen are predictors of blood loss and t</w:t>
      </w:r>
      <w:r w:rsidR="000D2F02" w:rsidRPr="00884A81">
        <w:rPr>
          <w:rFonts w:ascii="Book Antiqua" w:hAnsi="Book Antiqua"/>
        </w:rPr>
        <w:t>ransfusion requirements.</w:t>
      </w:r>
      <w:r w:rsidR="00884A81" w:rsidRPr="00884A81">
        <w:rPr>
          <w:rFonts w:ascii="Book Antiqua" w:hAnsi="Book Antiqua"/>
        </w:rPr>
        <w:t xml:space="preserve"> </w:t>
      </w:r>
      <w:r w:rsidR="000D2F02" w:rsidRPr="00884A81">
        <w:rPr>
          <w:rFonts w:ascii="Book Antiqua" w:hAnsi="Book Antiqua"/>
        </w:rPr>
        <w:t>A cut-</w:t>
      </w:r>
      <w:r w:rsidRPr="00884A81">
        <w:rPr>
          <w:rFonts w:ascii="Book Antiqua" w:hAnsi="Book Antiqua"/>
        </w:rPr>
        <w:t>off INR of ≥</w:t>
      </w:r>
      <w:r w:rsidR="00AD756C">
        <w:rPr>
          <w:rFonts w:ascii="Book Antiqua" w:eastAsia="宋体" w:hAnsi="Book Antiqua" w:hint="eastAsia"/>
          <w:lang w:eastAsia="zh-CN"/>
        </w:rPr>
        <w:t xml:space="preserve"> </w:t>
      </w:r>
      <w:r w:rsidRPr="00884A81">
        <w:rPr>
          <w:rFonts w:ascii="Book Antiqua" w:hAnsi="Book Antiqua"/>
        </w:rPr>
        <w:t>1.6 was found to be predictor of &gt;</w:t>
      </w:r>
      <w:r w:rsidR="00AD756C">
        <w:rPr>
          <w:rFonts w:ascii="Book Antiqua" w:eastAsia="宋体" w:hAnsi="Book Antiqua" w:hint="eastAsia"/>
          <w:lang w:eastAsia="zh-CN"/>
        </w:rPr>
        <w:t xml:space="preserve"> </w:t>
      </w:r>
      <w:r w:rsidRPr="00884A81">
        <w:rPr>
          <w:rFonts w:ascii="Book Antiqua" w:hAnsi="Book Antiqua"/>
        </w:rPr>
        <w:t>6 units blood transfusion requirement in an study of 286 patients receiving OLT</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"10.1016/j.transproceed.2012.09.085", "ISSN" : "1873-2623", "PMID" : "23146542", "abstract" : "INTRODUCTION Advanced liver disease is characterized by prolonged global coagulation tests such as prothrombin time (PT). Using Model of End-stage Liver Disease (MELD) score-based allocation, many current transplant recipients show advanced end-stage liver disease with an elevated international normalized ratio (INR). The relationship between abnormalities in coagulation tests and the risk of bleeding has been recently challenged among liver disease patients. In this study we reassessed risk factors for bleeding and the clinical implications for patients who underwent orthotopic liver transplantation (OLT). METHODS We studied OLT patients between 2005 and 2011 excluding combined transplantations, retransplantations, or cases due to acute liver failure. We collected prospectively pre-OLT, during OLT, and post-OLT clinical and biochemical data to assess the risk for bleeding using linear regression models. RESULTS The strongest predictor of overall survival among 286 patients with a mean follow-up of 32 months was the number of blood transfusions (P = .005). The risk factor for bleeding during surgery investigated by multivariate analysis only showed the INR (P &lt; .001) and the presence of ascites (P = .003) to independently correlate with the amount of blood transfusion. Receiver operation characteristics (ROC) analysis performed to determine the risk for massive blood transfusion (more than 6 units) revealed a cut-off value for INR \u2265 1.6. Appreciation of the operative field by the surgeon during the intervention as \"wet\" versus \"dry\", amounts of blood transfusion and fresh frozen plasma, and stay in the intensive care unit (ICU) and in the hospital were all significantly different (P &lt; .001) for patients with INR &lt;1.6 versus INR \u2265 1.6. CONCLUSIONS Bleeding during OLT affects the outcome. The risk is independently influenced by the presence of ascites (probably reflecting the degree portal hypertension) and an INR \u2265 1.6. To improve survival after OLT therapeutic interventions should be further explored to reduce the need for blood transfusions.", "author" : [ { "dropping-particle" : "", "family" : "Esmat Gamil", "given" : "M", "non-dropping-particle" : "", "parse-names" : false, "suffix" : "" }, { "dropping-particle" : "", "family" : "Pirenne", "given" : "J", "non-dropping-particle" : "", "parse-names" : false, "suffix" : "" }, { "dropping-particle" : "", "family" : "Malenstein", "given" : "H", "non-dropping-particle" : "Van", "parse-names" : false, "suffix" : "" }, { "dropping-particle" : "", "family" : "Verhaegen", "given" : "M", "non-dropping-particle" : "", "parse-names" : false, "suffix" : "" }, { "dropping-particle" : "", "family" : "Desschans", "given" : "B", "non-dropping-particle" : "", "parse-names" : false, "suffix" : "" }, { "dropping-particle" : "", "family" : "Monbaliu", "given" : "D", "non-dropping-particle" : "", "parse-names" : false, "suffix" : "" }, { "dropping-particle" : "", "family" : "Aerts", "given" : "R", "non-dropping-particle" : "", "parse-names" : false, "suffix" : "" }, { "dropping-particle" : "", "family" : "Laleman", "given" : "W", "non-dropping-particle" : "", "parse-names" : false, "suffix" : "" }, { "dropping-particle" : "", "family" : "Cassiman", "given" : "D", "non-dropping-particle" : "", "parse-names" : false, "suffix" : "" }, { "dropping-particle" : "", "family" : "Verslype", "given" : "C", "non-dropping-particle" : "", "parse-names" : false, "suffix" : "" }, { "dropping-particle" : "", "family" : "Steenbergen", "given" : "W", "non-dropping-particle" : "Van", "parse-names" : false, "suffix" : "" }, { "dropping-particle" : "", "family" : "Pelt", "given" : "J", "non-dropping-particle" : "Van", "parse-names" : false, "suffix" : "" }, { "dropping-particle" : "", "family" : "Nevens", "given" : "F", "non-dropping-particle" : "", "parse-names" : false, "suffix" : "" } ], "container-title" : "Transplantation proceedings", "id" : "ITEM-1", "issue" : "9", "issued" : { "date-parts" : [ [ "2012", "11" ] ] }, "language" : "eng", "page" : "2857-60", "publisher-place" : "United States", "title" : "Risk factors for bleeding and clinical implications in patients undergoing liver transplantation.", "type" : "article-journal", "volume" : "44" }, "uris" : [ "http://www.mendeley.com/documents/?uuid=28c9e5a9-f711-4b57-8709-b9cf4a8411b9" ] } ], "mendeley" : { "formattedCitation" : "&lt;sup&gt;[43]&lt;/sup&gt;", "plainTextFormattedCitation" : "[43]", "previouslyFormattedCitation" : "&lt;sup&gt;[44]&lt;/sup&gt;"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[43]</w:t>
      </w:r>
      <w:r w:rsidR="00AD756C"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Preoperative INR </w:t>
      </w:r>
      <w:r w:rsidR="0045485A" w:rsidRPr="00884A81">
        <w:rPr>
          <w:rFonts w:ascii="Book Antiqua" w:hAnsi="Book Antiqua"/>
        </w:rPr>
        <w:t>values were</w:t>
      </w:r>
      <w:r w:rsidRPr="00884A81">
        <w:rPr>
          <w:rFonts w:ascii="Book Antiqua" w:hAnsi="Book Antiqua"/>
        </w:rPr>
        <w:t xml:space="preserve"> also found to be independent predictors of risk for MBT in a study of 460 liver transplant recipients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"mendeley" : { "formattedCitation" : "&lt;sup&gt;[42]&lt;/sup&gt;", "plainTextFormattedCitation" : "[42]", "previouslyFormattedCitation" : "&lt;sup&gt;[43]&lt;/sup&gt;"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[42]</w:t>
      </w:r>
      <w:r w:rsidR="00AD756C"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Fibrinogen levels below 1.5 g/d</w:t>
      </w:r>
      <w:r w:rsidR="00AD756C" w:rsidRPr="00884A81">
        <w:rPr>
          <w:rFonts w:ascii="Book Antiqua" w:hAnsi="Book Antiqua"/>
        </w:rPr>
        <w:t xml:space="preserve">L </w:t>
      </w:r>
      <w:r w:rsidRPr="00884A81">
        <w:rPr>
          <w:rFonts w:ascii="Book Antiqua" w:hAnsi="Book Antiqua"/>
        </w:rPr>
        <w:t>were associated with increased risk for transfusion of &gt;</w:t>
      </w:r>
      <w:r w:rsidR="00AD756C">
        <w:rPr>
          <w:rFonts w:ascii="Book Antiqua" w:eastAsia="宋体" w:hAnsi="Book Antiqua" w:hint="eastAsia"/>
          <w:lang w:eastAsia="zh-CN"/>
        </w:rPr>
        <w:t xml:space="preserve"> </w:t>
      </w:r>
      <w:r w:rsidRPr="00884A81">
        <w:rPr>
          <w:rFonts w:ascii="Book Antiqua" w:hAnsi="Book Antiqua"/>
        </w:rPr>
        <w:t>6 units of RBC in living donor related transplant patients</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"10.1111/j.1751-2980.2011.00570.x", "ISBN" : "1751-2972", "ISSN" : "1751-2980", "PMID" : "22356311", "abstract" : "OBJECTIVES To identify the factors influencing blood loss and secondary blood transfusion and to investigate the outcomes of patients who underwent a massive blood transfusion (MBT) following living donor liver transplantation (LDLT). METHODS Patients who underwent primary adult-to-adult right hepatic lobe LDLT were included in the study, and were divided into the MBT group [\u22656 red blood cell (RBC) units in 24 h] and the non-massive blood transfusion (NMBT) group (&lt;6 RBC units in 24 h). All potential risk factors, length of intensive care unit (ICU) stay and long-term survival rate of the patients in the two groups were analyzed. RESULTS The data of 181 eligible patients were retrospectively analyzed. A decreased long-term survival rate, a higher incidence of postoperative infection and prolonged ICU stay were observed in the MBT group. No significant difference was observed in survival rate between patients having platelet transfusion&gt;2 units and \u22642 units. Hemoglobin&lt;100 g/L, platelet counts&lt;70\u00d710(9)/L, fibrinogen level&lt;1.5 g/L and history of upper abdominal surgery were found to be independent risk factors. CONCLUSIONS Blood transfusion during LDLT can be predicted using preoperative variables. Massive RBC transfusion may lead to poor long-term survival, higher postoperative infection rate and prolonged ICU stay. Platelet transfusion may not be a risk factor for long-term survival.", "author" : [ { "dropping-particle" : "", "family" : "Li", "given" : "Chuan", "non-dropping-particle" : "", "parse-names" : false, "suffix" : "" }, { "dropping-particle" : "", "family" : "Mi", "given" : "Kai", "non-dropping-particle" : "", "parse-names" : false, "suffix" : "" }, { "dropping-particle" : "", "family" : "Wen", "given" : "Tian Fu", "non-dropping-particle" : "", "parse-names" : false, "suffix" : "" }, { "dropping-particle" : "", "family" : "Yan", "given" : "Lu Nan", "non-dropping-particle" : "", "parse-names" : false, "suffix" : "" }, { "dropping-particle" : "", "family" : "Li", "given" : "Bo", "non-dropping-particle" : "", "parse-names" : false, "suffix" : "" }, { "dropping-particle" : "", "family" : "Wei", "given" : "Yong Gang", "non-dropping-particle" : "", "parse-names" : false, "suffix" : "" }, { "dropping-particle" : "", "family" : "Yang", "given" : "Jia Ying", "non-dropping-particle" : "", "parse-names" : false, "suffix" : "" }, { "dropping-particle" : "", "family" : "Xu", "given" : "Ming Qing", "non-dropping-particle" : "", "parse-names" : false, "suffix" : "" }, { "dropping-particle" : "", "family" : "Wang", "given" : "Wen Tao", "non-dropping-particle" : "", "parse-names" : false, "suffix" : "" } ], "container-title" : "Journal of digestive diseases", "id" : "ITEM-1", "issue" : "3", "issued" : { "date-parts" : [ [ "2012", "3" ] ] }, "language" : "eng", "page" : "161-7", "publisher-place" : "Australia", "title" : "Risk factors and outcomes of massive red blood cell transfusion following living donor liver transplantation.", "type" : "article-journal", "volume" : "13" }, "uris" : [ "http://www.mendeley.com/documents/?uuid=dd63c349-df0f-4e46-8f8b-00c92156a73b" ] } ], "mendeley" : { "formattedCitation" : "&lt;sup&gt;[60]&lt;/sup&gt;", "plainTextFormattedCitation" : "[60]", "previouslyFormattedCitation" : "&lt;sup&gt;[61]&lt;/sup&gt;"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[60]</w:t>
      </w:r>
      <w:r w:rsidR="00AD756C" w:rsidRPr="00884A81">
        <w:rPr>
          <w:rFonts w:ascii="Book Antiqua" w:hAnsi="Book Antiqua"/>
        </w:rPr>
        <w:fldChar w:fldCharType="end"/>
      </w:r>
      <w:r w:rsidR="0045485A" w:rsidRPr="00884A81">
        <w:rPr>
          <w:rFonts w:ascii="Book Antiqua" w:hAnsi="Book Antiqua"/>
        </w:rPr>
        <w:t>.</w:t>
      </w:r>
      <w:r w:rsidR="00AD756C" w:rsidRPr="00884A81">
        <w:rPr>
          <w:rFonts w:ascii="Book Antiqua" w:hAnsi="Book Antiqua"/>
        </w:rPr>
        <w:t xml:space="preserve"> </w:t>
      </w:r>
    </w:p>
    <w:p w14:paraId="34D28573" w14:textId="0C7AD308" w:rsidR="002A30AF" w:rsidRPr="00884A81" w:rsidRDefault="002A30AF" w:rsidP="00AD756C">
      <w:pPr>
        <w:spacing w:line="360" w:lineRule="auto"/>
        <w:ind w:firstLineChars="100" w:firstLine="240"/>
        <w:jc w:val="both"/>
        <w:rPr>
          <w:rFonts w:ascii="Book Antiqua" w:hAnsi="Book Antiqua"/>
        </w:rPr>
      </w:pPr>
      <w:r w:rsidRPr="00884A81">
        <w:rPr>
          <w:rFonts w:ascii="Book Antiqua" w:hAnsi="Book Antiqua"/>
        </w:rPr>
        <w:t>The presence of ascites was found to be predictive of transfusion requirement of &gt;</w:t>
      </w:r>
      <w:r w:rsidR="00AD756C">
        <w:rPr>
          <w:rFonts w:ascii="Book Antiqua" w:eastAsia="宋体" w:hAnsi="Book Antiqua" w:hint="eastAsia"/>
          <w:lang w:eastAsia="zh-CN"/>
        </w:rPr>
        <w:t xml:space="preserve"> </w:t>
      </w:r>
      <w:r w:rsidRPr="00884A81">
        <w:rPr>
          <w:rFonts w:ascii="Book Antiqua" w:hAnsi="Book Antiqua"/>
        </w:rPr>
        <w:t>6 units RBC</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"10.1016/j.transproceed.2012.09.085", "ISSN" : "1873-2623", "PMID" : "23146542", "abstract" : "INTRODUCTION Advanced liver disease is characterized by prolonged global coagulation tests such as prothrombin time (PT). Using Model of End-stage Liver Disease (MELD) score-based allocation, many current transplant recipients show advanced end-stage liver disease with an elevated international normalized ratio (INR). The relationship between abnormalities in coagulation tests and the risk of bleeding has been recently challenged among liver disease patients. In this study we reassessed risk factors for bleeding and the clinical implications for patients who underwent orthotopic liver transplantation (OLT). METHODS We studied OLT patients between 2005 and 2011 excluding combined transplantations, retransplantations, or cases due to acute liver failure. We collected prospectively pre-OLT, during OLT, and post-OLT clinical and biochemical data to assess the risk for bleeding using linear regression models. RESULTS The strongest predictor of overall survival among 286 patients with a mean follow-up of 32 months was the number of blood transfusions (P = .005). The risk factor for bleeding during surgery investigated by multivariate analysis only showed the INR (P &lt; .001) and the presence of ascites (P = .003) to independently correlate with the amount of blood transfusion. Receiver operation characteristics (ROC) analysis performed to determine the risk for massive blood transfusion (more than 6 units) revealed a cut-off value for INR \u2265 1.6. Appreciation of the operative field by the surgeon during the intervention as \"wet\" versus \"dry\", amounts of blood transfusion and fresh frozen plasma, and stay in the intensive care unit (ICU) and in the hospital were all significantly different (P &lt; .001) for patients with INR &lt;1.6 versus INR \u2265 1.6. CONCLUSIONS Bleeding during OLT affects the outcome. The risk is independently influenced by the presence of ascites (probably reflecting the degree portal hypertension) and an INR \u2265 1.6. To improve survival after OLT therapeutic interventions should be further explored to reduce the need for blood transfusions.", "author" : [ { "dropping-particle" : "", "family" : "Esmat Gamil", "given" : "M", "non-dropping-particle" : "", "parse-names" : false, "suffix" : "" }, { "dropping-particle" : "", "family" : "Pirenne", "given" : "J", "non-dropping-particle" : "", "parse-names" : false, "suffix" : "" }, { "dropping-particle" : "", "family" : "Malenstein", "given" : "H", "non-dropping-particle" : "Van", "parse-names" : false, "suffix" : "" }, { "dropping-particle" : "", "family" : "Verhaegen", "given" : "M", "non-dropping-particle" : "", "parse-names" : false, "suffix" : "" }, { "dropping-particle" : "", "family" : "Desschans", "given" : "B", "non-dropping-particle" : "", "parse-names" : false, "suffix" : "" }, { "dropping-particle" : "", "family" : "Monbaliu", "given" : "D", "non-dropping-particle" : "", "parse-names" : false, "suffix" : "" }, { "dropping-particle" : "", "family" : "Aerts", "given" : "R", "non-dropping-particle" : "", "parse-names" : false, "suffix" : "" }, { "dropping-particle" : "", "family" : "Laleman", "given" : "W", "non-dropping-particle" : "", "parse-names" : false, "suffix" : "" }, { "dropping-particle" : "", "family" : "Cassiman", "given" : "D", "non-dropping-particle" : "", "parse-names" : false, "suffix" : "" }, { "dropping-particle" : "", "family" : "Verslype", "given" : "C", "non-dropping-particle" : "", "parse-names" : false, "suffix" : "" }, { "dropping-particle" : "", "family" : "Steenbergen", "given" : "W", "non-dropping-particle" : "Van", "parse-names" : false, "suffix" : "" }, { "dropping-particle" : "", "family" : "Pelt", "given" : "J", "non-dropping-particle" : "Van", "parse-names" : false, "suffix" : "" }, { "dropping-particle" : "", "family" : "Nevens", "given" : "F", "non-dropping-particle" : "", "parse-names" : false, "suffix" : "" } ], "container-title" : "Transplantation proceedings", "id" : "ITEM-1", "issue" : "9", "issued" : { "date-parts" : [ [ "2012", "11" ] ] }, "language" : "eng", "page" : "2857-60", "publisher-place" : "United States", "title" : "Risk factors for bleeding and clinical implications in patients undergoing liver transplantation.", "type" : "article-journal", "volume" : "44" }, "uris" : [ "http://www.mendeley.com/documents/?uuid=28c9e5a9-f711-4b57-8709-b9cf4a8411b9" ] } ], "mendeley" : { "formattedCitation" : "&lt;sup&gt;[43]&lt;/sup&gt;", "plainTextFormattedCitation" : "[43]", "previouslyFormattedCitation" : "&lt;sup&gt;[44]&lt;/sup&gt;"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[43]</w:t>
      </w:r>
      <w:r w:rsidRPr="00884A81">
        <w:rPr>
          <w:rFonts w:ascii="Book Antiqua" w:hAnsi="Book Antiqua"/>
        </w:rPr>
        <w:fldChar w:fldCharType="end"/>
      </w:r>
      <w:r w:rsidRPr="00884A81">
        <w:rPr>
          <w:rFonts w:ascii="Book Antiqua" w:hAnsi="Book Antiqua"/>
        </w:rPr>
        <w:t xml:space="preserve"> and of high intraoperative blood loss (&gt;</w:t>
      </w:r>
      <w:r w:rsidR="00AD756C">
        <w:rPr>
          <w:rFonts w:ascii="Book Antiqua" w:eastAsia="宋体" w:hAnsi="Book Antiqua" w:hint="eastAsia"/>
          <w:lang w:eastAsia="zh-CN"/>
        </w:rPr>
        <w:t xml:space="preserve"> </w:t>
      </w:r>
      <w:r w:rsidRPr="00884A81">
        <w:rPr>
          <w:rFonts w:ascii="Book Antiqua" w:hAnsi="Book Antiqua"/>
        </w:rPr>
        <w:t>1000</w:t>
      </w:r>
      <w:r w:rsidR="00AD756C">
        <w:rPr>
          <w:rFonts w:ascii="Book Antiqua" w:eastAsia="宋体" w:hAnsi="Book Antiqua" w:hint="eastAsia"/>
          <w:lang w:eastAsia="zh-CN"/>
        </w:rPr>
        <w:t xml:space="preserve"> </w:t>
      </w:r>
      <w:r w:rsidRPr="00884A81">
        <w:rPr>
          <w:rFonts w:ascii="Book Antiqua" w:hAnsi="Book Antiqua"/>
        </w:rPr>
        <w:t>m</w:t>
      </w:r>
      <w:r w:rsidR="00AD756C" w:rsidRPr="00884A81">
        <w:rPr>
          <w:rFonts w:ascii="Book Antiqua" w:hAnsi="Book Antiqua"/>
        </w:rPr>
        <w:t>L</w:t>
      </w:r>
      <w:r w:rsidRPr="00884A81">
        <w:rPr>
          <w:rFonts w:ascii="Book Antiqua" w:hAnsi="Book Antiqua"/>
        </w:rPr>
        <w:t>)</w:t>
      </w:r>
      <w:r w:rsidR="00AD756C" w:rsidRPr="00884A81">
        <w:rPr>
          <w:rFonts w:ascii="Book Antiqua" w:hAnsi="Book Antiqua"/>
        </w:rPr>
        <w:fldChar w:fldCharType="begin" w:fldLock="1"/>
      </w:r>
      <w:r w:rsidR="00AD756C" w:rsidRPr="00884A81">
        <w:rPr>
          <w:rFonts w:ascii="Book Antiqua" w:hAnsi="Book Antiqua"/>
        </w:rPr>
        <w:instrText>ADDIN CSL_CITATION { "citationItems" : [ { "id" : "ITEM-1", "itemData" : { "DOI" : "10.1016/j.transproceed.2010.10.017", "ISSN" : "1873-2623", "PMID" : "21168648", "abstract" : "We conducted a risk factor analysis for high intraoperative blood loss (IBL) in 555 living donor liver transplantation (LDLT) cases with a simple and objective method of IBL estimation based on the concept of red cell mass (RCM): Lost RCM (mL) = patient's estimated blood volume (mL) \u00d7 (preoperative hematocrit in % - postoperative hematocrit in %) + (transfused leukocyte-depleted red blood cell in units \u00d7 213 \u00d7 70%) + (transfused Cell Saver blood in mL \u00d7 55%). Analysis of 33 preoperative variables revealed that Model for End-stage Liver Disease (MELD) score, albumin, the presence of ascites, and previous abdominal surgery were correlated with high IBL (lost RCM &gt; 1000 mL) in multivariate logistical regression analysis. In conclusion, we found that MELD score, albumin, the presence of ascites, and previous abdominal surgery were significantly correlated with high IBL during adult LDLT.", "author" : [ { "dropping-particle" : "", "family" : "Bang", "given" : "S R", "non-dropping-particle" : "", "parse-names" : false, "suffix" : "" }, { "dropping-particle" : "", "family" : "Ahn", "given" : "H J", "non-dropping-particle" : "", "parse-names" : false, "suffix" : "" }, { "dropping-particle" : "", "family" : "Kim", "given" : "G S", "non-dropping-particle" : "", "parse-names" : false, "suffix" : "" }, { "dropping-particle" : "", "family" : "Yang", "given" : "M", "non-dropping-particle" : "", "parse-names" : false, "suffix" : "" }, { "dropping-particle" : "", "family" : "Gwak", "given" : "M S", "non-dropping-particle" : "", "parse-names" : false, "suffix" : "" }, { "dropping-particle" : "", "family" : "Ko", "given" : "J S", "non-dropping-particle" : "", "parse-names" : false, "suffix" : "" }, { "dropping-particle" : "", "family" : "Kim", "given" : "S H", "non-dropping-particle" : "", "parse-names" : false, "suffix" : "" }, { "dropping-particle" : "", "family" : "Lee", "given" : "S K", "non-dropping-particle" : "", "parse-names" : false, "suffix" : "" } ], "container-title" : "Transplantation proceedings", "id" : "ITEM-1", "issue" : "10", "issued" : { "date-parts" : [ [ "2010", "12" ] ] }, "page" : "4148-50", "publisher" : "Bang,S R. Department of Anesthesiology and Pain Medicine, Samsung Medical Center, Sungkyunkwan University School of Medicine, Seoul, Korea.", "publisher-place" : "United States", "title" : "Predictors of high intraoperative blood loss derived by simple and objective method in adult living donor liver transplantation.", "type" : "article-journal", "volume" : "42" }, "uris" : [ "http://www.mendeley.com/documents/?uuid=f223ff20-17a8-440a-a012-50dceff0ae6e" ] } ], "mendeley" : { "formattedCitation" : "&lt;sup&gt;[73]&lt;/sup&gt;", "plainTextFormattedCitation" : "[73]", "previouslyFormattedCitation" : "&lt;sup&gt;[74]&lt;/sup&gt;" }, "properties" : { "noteIndex" : 0 }, "schema" : "https://github.com/citation-style-language/schema/raw/master/csl-citation.json" }</w:instrText>
      </w:r>
      <w:r w:rsidR="00AD756C" w:rsidRPr="00884A81">
        <w:rPr>
          <w:rFonts w:ascii="Book Antiqua" w:hAnsi="Book Antiqua"/>
        </w:rPr>
        <w:fldChar w:fldCharType="separate"/>
      </w:r>
      <w:r w:rsidR="00AD756C" w:rsidRPr="00884A81">
        <w:rPr>
          <w:rFonts w:ascii="Book Antiqua" w:hAnsi="Book Antiqua"/>
          <w:noProof/>
          <w:vertAlign w:val="superscript"/>
        </w:rPr>
        <w:t>[73]</w:t>
      </w:r>
      <w:r w:rsidR="00AD756C"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The development of ascites may serve as a marker of portal hypertension with</w:t>
      </w:r>
      <w:r w:rsidR="00643C2B" w:rsidRPr="00884A81">
        <w:rPr>
          <w:rFonts w:ascii="Book Antiqua" w:hAnsi="Book Antiqua"/>
        </w:rPr>
        <w:t xml:space="preserve"> an</w:t>
      </w:r>
      <w:r w:rsidRPr="00884A81">
        <w:rPr>
          <w:rFonts w:ascii="Book Antiqua" w:hAnsi="Book Antiqua"/>
        </w:rPr>
        <w:t xml:space="preserve"> associated increase in collateral circulation and dilated blood vessels that </w:t>
      </w:r>
      <w:r w:rsidR="00643C2B" w:rsidRPr="00884A81">
        <w:rPr>
          <w:rFonts w:ascii="Book Antiqua" w:hAnsi="Book Antiqua"/>
        </w:rPr>
        <w:t>may</w:t>
      </w:r>
      <w:r w:rsidRPr="00884A81">
        <w:rPr>
          <w:rFonts w:ascii="Book Antiqua" w:hAnsi="Book Antiqua"/>
        </w:rPr>
        <w:t xml:space="preserve"> be transected during surgical dissection. </w:t>
      </w:r>
    </w:p>
    <w:p w14:paraId="356FCB8F" w14:textId="3766F087" w:rsidR="00F31CAA" w:rsidRPr="00884A81" w:rsidRDefault="00F31CAA" w:rsidP="00AD756C">
      <w:pPr>
        <w:spacing w:line="360" w:lineRule="auto"/>
        <w:ind w:firstLineChars="100" w:firstLine="240"/>
        <w:jc w:val="both"/>
        <w:rPr>
          <w:rFonts w:ascii="Book Antiqua" w:hAnsi="Book Antiqua"/>
        </w:rPr>
      </w:pPr>
      <w:r w:rsidRPr="00884A81">
        <w:rPr>
          <w:rFonts w:ascii="Book Antiqua" w:hAnsi="Book Antiqua"/>
        </w:rPr>
        <w:t>Models to improve prediction of blood loss and MBT requirements</w:t>
      </w:r>
      <w:r w:rsidR="00497124" w:rsidRPr="00884A81">
        <w:rPr>
          <w:rFonts w:ascii="Book Antiqua" w:hAnsi="Book Antiqua"/>
        </w:rPr>
        <w:t xml:space="preserve"> have been </w:t>
      </w:r>
      <w:r w:rsidR="00864269" w:rsidRPr="00884A81">
        <w:rPr>
          <w:rFonts w:ascii="Book Antiqua" w:hAnsi="Book Antiqua"/>
        </w:rPr>
        <w:t>developed from</w:t>
      </w:r>
      <w:r w:rsidRPr="00884A81">
        <w:rPr>
          <w:rFonts w:ascii="Book Antiqua" w:hAnsi="Book Antiqua"/>
        </w:rPr>
        <w:t xml:space="preserve"> preoperative risk </w:t>
      </w:r>
      <w:r w:rsidR="00497124" w:rsidRPr="00884A81">
        <w:rPr>
          <w:rFonts w:ascii="Book Antiqua" w:hAnsi="Book Antiqua"/>
        </w:rPr>
        <w:t xml:space="preserve">predictor variables </w:t>
      </w:r>
      <w:r w:rsidRPr="00884A81">
        <w:rPr>
          <w:rFonts w:ascii="Book Antiqua" w:hAnsi="Book Antiqua"/>
        </w:rPr>
        <w:t>that are readily accessible to the clinician during the preoperative assessment.</w:t>
      </w:r>
      <w:r w:rsidR="00884A81" w:rsidRPr="00884A81">
        <w:rPr>
          <w:rFonts w:ascii="Book Antiqua" w:hAnsi="Book Antiqua"/>
        </w:rPr>
        <w:t xml:space="preserve"> </w:t>
      </w:r>
      <w:r w:rsidR="008416B7" w:rsidRPr="00884A81">
        <w:rPr>
          <w:rFonts w:ascii="Book Antiqua" w:hAnsi="Book Antiqua"/>
        </w:rPr>
        <w:t>The McCluskey risk index for MBT includes seven preoperative variables: Age</w:t>
      </w:r>
      <w:r w:rsidR="007C0213" w:rsidRPr="00884A81">
        <w:rPr>
          <w:rFonts w:ascii="Book Antiqua" w:hAnsi="Book Antiqua"/>
        </w:rPr>
        <w:t xml:space="preserve"> </w:t>
      </w:r>
      <w:r w:rsidR="008416B7" w:rsidRPr="00884A81">
        <w:rPr>
          <w:rFonts w:ascii="Book Antiqua" w:hAnsi="Book Antiqua"/>
        </w:rPr>
        <w:t>&gt;</w:t>
      </w:r>
      <w:r w:rsidR="007C0213" w:rsidRPr="00884A81">
        <w:rPr>
          <w:rFonts w:ascii="Book Antiqua" w:hAnsi="Book Antiqua"/>
        </w:rPr>
        <w:t xml:space="preserve"> </w:t>
      </w:r>
      <w:r w:rsidR="008416B7" w:rsidRPr="00884A81">
        <w:rPr>
          <w:rFonts w:ascii="Book Antiqua" w:hAnsi="Book Antiqua"/>
        </w:rPr>
        <w:t>40 years, haemoglobin concentration (≤</w:t>
      </w:r>
      <w:r w:rsidR="00BB6966">
        <w:rPr>
          <w:rFonts w:ascii="Book Antiqua" w:eastAsia="宋体" w:hAnsi="Book Antiqua" w:hint="eastAsia"/>
          <w:lang w:eastAsia="zh-CN"/>
        </w:rPr>
        <w:t xml:space="preserve"> </w:t>
      </w:r>
      <w:r w:rsidR="008416B7" w:rsidRPr="00884A81">
        <w:rPr>
          <w:rFonts w:ascii="Book Antiqua" w:hAnsi="Book Antiqua"/>
        </w:rPr>
        <w:t>10.0</w:t>
      </w:r>
      <w:r w:rsidR="00BB6966">
        <w:rPr>
          <w:rFonts w:ascii="Book Antiqua" w:eastAsia="宋体" w:hAnsi="Book Antiqua" w:hint="eastAsia"/>
          <w:lang w:eastAsia="zh-CN"/>
        </w:rPr>
        <w:t xml:space="preserve"> </w:t>
      </w:r>
      <w:r w:rsidR="008416B7" w:rsidRPr="00884A81">
        <w:rPr>
          <w:rFonts w:ascii="Book Antiqua" w:hAnsi="Book Antiqua"/>
        </w:rPr>
        <w:t>g/d</w:t>
      </w:r>
      <w:r w:rsidR="00BB6966" w:rsidRPr="00884A81">
        <w:rPr>
          <w:rFonts w:ascii="Book Antiqua" w:hAnsi="Book Antiqua"/>
        </w:rPr>
        <w:t>L</w:t>
      </w:r>
      <w:r w:rsidR="008416B7" w:rsidRPr="00884A81">
        <w:rPr>
          <w:rFonts w:ascii="Book Antiqua" w:hAnsi="Book Antiqua"/>
        </w:rPr>
        <w:t>), INR 1.2-1.99 and &gt;</w:t>
      </w:r>
      <w:r w:rsidR="00BB6966">
        <w:rPr>
          <w:rFonts w:ascii="Book Antiqua" w:eastAsia="宋体" w:hAnsi="Book Antiqua" w:hint="eastAsia"/>
          <w:lang w:eastAsia="zh-CN"/>
        </w:rPr>
        <w:t xml:space="preserve"> </w:t>
      </w:r>
      <w:r w:rsidR="008416B7" w:rsidRPr="00884A81">
        <w:rPr>
          <w:rFonts w:ascii="Book Antiqua" w:hAnsi="Book Antiqua"/>
        </w:rPr>
        <w:t xml:space="preserve">2), platelet count ≤ 70 </w:t>
      </w:r>
      <w:r w:rsidR="00BB6966" w:rsidRPr="009D014F">
        <w:rPr>
          <w:rFonts w:ascii="Book Antiqua" w:hAnsi="Book Antiqua" w:cs="Times New Roman"/>
          <w:color w:val="000000"/>
        </w:rPr>
        <w:t>×</w:t>
      </w:r>
      <w:r w:rsidR="008416B7" w:rsidRPr="00884A81">
        <w:rPr>
          <w:rFonts w:ascii="Book Antiqua" w:hAnsi="Book Antiqua"/>
        </w:rPr>
        <w:t xml:space="preserve"> 10</w:t>
      </w:r>
      <w:r w:rsidR="008416B7" w:rsidRPr="00884A81">
        <w:rPr>
          <w:rFonts w:ascii="Book Antiqua" w:hAnsi="Book Antiqua"/>
          <w:vertAlign w:val="superscript"/>
        </w:rPr>
        <w:t>9</w:t>
      </w:r>
      <w:r w:rsidR="008416B7" w:rsidRPr="00884A81">
        <w:rPr>
          <w:rFonts w:ascii="Book Antiqua" w:hAnsi="Book Antiqua"/>
        </w:rPr>
        <w:t>/L), creatinine(≥</w:t>
      </w:r>
      <w:r w:rsidR="00BB6966">
        <w:rPr>
          <w:rFonts w:ascii="Book Antiqua" w:eastAsia="宋体" w:hAnsi="Book Antiqua" w:hint="eastAsia"/>
          <w:lang w:eastAsia="zh-CN"/>
        </w:rPr>
        <w:t xml:space="preserve"> </w:t>
      </w:r>
      <w:r w:rsidR="008416B7" w:rsidRPr="00884A81">
        <w:rPr>
          <w:rFonts w:ascii="Book Antiqua" w:hAnsi="Book Antiqua"/>
        </w:rPr>
        <w:t>110</w:t>
      </w:r>
      <w:r w:rsidR="00BB6966">
        <w:rPr>
          <w:rFonts w:ascii="Book Antiqua" w:eastAsia="宋体" w:hAnsi="Book Antiqua" w:hint="eastAsia"/>
          <w:lang w:eastAsia="zh-CN"/>
        </w:rPr>
        <w:t xml:space="preserve"> </w:t>
      </w:r>
      <w:r w:rsidR="008416B7" w:rsidRPr="00884A81">
        <w:rPr>
          <w:rFonts w:ascii="Book Antiqua" w:hAnsi="Book Antiqua" w:cs="Times New Roman"/>
        </w:rPr>
        <w:t>μ</w:t>
      </w:r>
      <w:r w:rsidR="008416B7" w:rsidRPr="00884A81">
        <w:rPr>
          <w:rFonts w:ascii="Book Antiqua" w:hAnsi="Book Antiqua"/>
        </w:rPr>
        <w:t>mol/L for female subjects and(≥</w:t>
      </w:r>
      <w:r w:rsidR="00BB6966">
        <w:rPr>
          <w:rFonts w:ascii="Book Antiqua" w:eastAsia="宋体" w:hAnsi="Book Antiqua" w:hint="eastAsia"/>
          <w:lang w:eastAsia="zh-CN"/>
        </w:rPr>
        <w:t xml:space="preserve"> </w:t>
      </w:r>
      <w:r w:rsidR="008416B7" w:rsidRPr="00884A81">
        <w:rPr>
          <w:rFonts w:ascii="Book Antiqua" w:hAnsi="Book Antiqua"/>
        </w:rPr>
        <w:t>120</w:t>
      </w:r>
      <w:r w:rsidR="00F33873" w:rsidRPr="00884A81">
        <w:rPr>
          <w:rFonts w:ascii="Book Antiqua" w:hAnsi="Book Antiqua" w:cs="Times New Roman"/>
          <w:lang w:val="en-US"/>
        </w:rPr>
        <w:t xml:space="preserve"> µ</w:t>
      </w:r>
      <w:r w:rsidR="008416B7" w:rsidRPr="00884A81">
        <w:rPr>
          <w:rFonts w:ascii="Book Antiqua" w:hAnsi="Book Antiqua"/>
        </w:rPr>
        <w:t>mol/L for male subjects, albumin &lt;</w:t>
      </w:r>
      <w:r w:rsidR="00BB6966">
        <w:rPr>
          <w:rFonts w:ascii="Book Antiqua" w:eastAsia="宋体" w:hAnsi="Book Antiqua" w:hint="eastAsia"/>
          <w:lang w:eastAsia="zh-CN"/>
        </w:rPr>
        <w:t xml:space="preserve"> </w:t>
      </w:r>
      <w:r w:rsidR="008416B7" w:rsidRPr="00884A81">
        <w:rPr>
          <w:rFonts w:ascii="Book Antiqua" w:hAnsi="Book Antiqua"/>
        </w:rPr>
        <w:t>28</w:t>
      </w:r>
      <w:r w:rsidR="00BB6966">
        <w:rPr>
          <w:rFonts w:ascii="Book Antiqua" w:eastAsia="宋体" w:hAnsi="Book Antiqua" w:hint="eastAsia"/>
          <w:lang w:eastAsia="zh-CN"/>
        </w:rPr>
        <w:t xml:space="preserve"> </w:t>
      </w:r>
      <w:r w:rsidR="008416B7" w:rsidRPr="00884A81">
        <w:rPr>
          <w:rFonts w:ascii="Book Antiqua" w:hAnsi="Book Antiqua"/>
        </w:rPr>
        <w:t>g/L) and repeat transplantation</w:t>
      </w:r>
      <w:r w:rsidR="00884A81" w:rsidRPr="00884A81">
        <w:rPr>
          <w:rFonts w:ascii="Book Antiqua" w:hAnsi="Book Antiqua"/>
        </w:rPr>
        <w:t xml:space="preserve"> </w:t>
      </w:r>
      <w:r w:rsidR="008416B7" w:rsidRPr="00884A81">
        <w:rPr>
          <w:rFonts w:ascii="Book Antiqua" w:hAnsi="Book Antiqua"/>
        </w:rPr>
        <w:t>The model was internally validated</w:t>
      </w:r>
      <w:r w:rsidRPr="00884A81">
        <w:rPr>
          <w:rFonts w:ascii="Book Antiqua" w:hAnsi="Book Antiqua"/>
        </w:rPr>
        <w:t xml:space="preserve"> achieving</w:t>
      </w:r>
      <w:r w:rsidR="008416B7" w:rsidRPr="00884A81">
        <w:rPr>
          <w:rFonts w:ascii="Book Antiqua" w:hAnsi="Book Antiqua"/>
        </w:rPr>
        <w:t xml:space="preserve"> a high c statistic (0.79)</w:t>
      </w:r>
      <w:r w:rsidR="00BB6966" w:rsidRPr="00884A81">
        <w:rPr>
          <w:rFonts w:ascii="Book Antiqua" w:hAnsi="Book Antiqua"/>
        </w:rPr>
        <w:fldChar w:fldCharType="begin" w:fldLock="1"/>
      </w:r>
      <w:r w:rsidR="00BB6966" w:rsidRPr="00884A81">
        <w:rPr>
          <w:rFonts w:ascii="Book Antiqua" w:hAnsi="Book Antiqua"/>
        </w:rPr>
        <w:instrText>ADDIN CSL_CITATION { "citationItems" : [ { "id" : "ITEM-1", "itemData" : { "DOI" : "10.1002/lt.20868", "ISBN" : "4163403698", "ISSN" : "1527-6465", "PMID" : "16952177", "abstract" : "Massive blood transfusion (MBT) remains a serious and common occurrence in liver transplantation surgery. This retrospective cohort study was undertaken to identify preoperative predictors of MBT and to develop a risk index for MBT in liver transplantation. Data were retrospectively collected on all liver transplantations carried out at a single institution between January 1998 and March 2004. Multivariable logistic regression analysis was used to identify independent predictor variables of MBT, defined as &gt;/=6 units of red blood cell concentrate (RBC) in the first 24 hours of surgery. The model was internally validated by bootstrapping. Of the 460 liver transplant recipients, 193 (42%) received &gt;/=6 units of RBC within 24 hours of surgery. Unadjusted analyses identified 12 preoperative predictors of MBT: age, height, gender, repeat transplantation, etiology of liver failure, and preoperative laboratory values (hemoglobin concentration, platelet count, international normalized ratio for prothrombin activity [INR], albumin, total bilirubin, and creatinine). In multivariable logistic regression, 7 independent predictors of MBT were identified: age (&gt;40 years), hemoglobin concentration (&lt;/=10.0 g/dL), INR (1.2-1.99, and &gt;2.0), platelet count (&lt;/=70 x 10(9)/L), creatinine (&gt;/=110 micromol/L for female subjects and &gt;/=120 micromol/L for male subjects), albumin (&lt; 28 g/L), and repeat transplantation. The area under the receiver-operating characteristic curve (ROC) for the model was 0.82. By using the regression beta coefficients to derive weights for each of these predictors, a risk index was developed that assigned each patient a score between 0 and 8. The ROC for this risk index was 0.79. MBT in liver transplantation surgery can be accurately predicted by 7 readily available preoperative predictors.", "author" : [ { "dropping-particle" : "", "family" : "McCluskey", "given" : "Stuart A.", "non-dropping-particle" : "", "parse-names" : false, "suffix" : "" }, { "dropping-particle" : "", "family" : "Karkouti", "given" : "Keyvan", "non-dropping-particle" : "", "parse-names" : false, "suffix" : "" }, { "dropping-particle" : "", "family" : "Wijeysundera", "given" : "Duminda N.", "non-dropping-particle" : "", "parse-names" : false, "suffix" : "" }, { "dropping-particle" : "", "family" : "Kakizawa", "given" : "Karen", "non-dropping-particle" : "", "parse-names" : false, "suffix" : "" }, { "dropping-particle" : "", "family" : "Ghannam", "given" : "Mohammed", "non-dropping-particle" : "", "parse-names" : false, "suffix" : "" }, { "dropping-particle" : "", "family" : "Hamdy", "given" : "Ahmed", "non-dropping-particle" : "", "parse-names" : false, "suffix" : "" }, { "dropping-particle" : "", "family" : "Grant", "given" : "David", "non-dropping-particle" : "", "parse-names" : false, "suffix" : "" }, { "dropping-particle" : "", "family" : "Levy", "given" : "Gary", "non-dropping-particle" : "", "parse-names" : false, "suffix" : "" } ], "container-title" : "Liver transplantation : official publication of the American Association for the Study of Liver Diseases and the International Liver Transplantation Society", "id" : "ITEM-1", "issue" : "11", "issued" : { "date-parts" : [ [ "2006", "11" ] ] }, "language" : "eng", "note" : "From Duplicate 1 (Derivation of a risk index for the prediction of massive blood transfusion in liver transplantation. - McCluskey, Stuart A; Karkouti, Keyvan; Wijeysundera, Duminda N; Kakizawa, Karen; Ghannam, Mohammed; Hamdy, Ahmed; Grant, David; Levy, Gary)\n\nThe primary objectives of this study were to identify preoperative predictors of massive blood transfusion (MBT) (?6 units red blood cell concentrate [RBC]) within the first 24 hours of liver transplantation, and to develop a risk index to predict MBT in liver transplan- tation.\n\nThe transfusion of ?6 units of RBC has been associ-\nated with reduced survival after liver transplantation.2 Furthermore, this definition is consistent with ones em- ployed in cardiac surgery.2", "page" : "1584-93", "publisher" : "John Wiley and Sons Ltd", "publisher-place" : "S.A. McCluskey, United States", "title" : "Derivation of a risk index for the prediction of massive blood transfusion in liver transplantation.", "type" : "article-journal", "volume" : "12" }, "uris" : [ "http://www.mendeley.com/documents/?uuid=17274ab7-34ed-4d5b-ac96-f4780959add9" ] } ], "mendeley" : { "formattedCitation" : "&lt;sup&gt;[42]&lt;/sup&gt;", "plainTextFormattedCitation" : "[42]", "previouslyFormattedCitation" : "&lt;sup&gt;[43]&lt;/sup&gt;" }, "properties" : { "noteIndex" : 0 }, "schema" : "https://github.com/citation-style-language/schema/raw/master/csl-citation.json" }</w:instrText>
      </w:r>
      <w:r w:rsidR="00BB6966" w:rsidRPr="00884A81">
        <w:rPr>
          <w:rFonts w:ascii="Book Antiqua" w:hAnsi="Book Antiqua"/>
        </w:rPr>
        <w:fldChar w:fldCharType="separate"/>
      </w:r>
      <w:r w:rsidR="00BB6966" w:rsidRPr="00884A81">
        <w:rPr>
          <w:rFonts w:ascii="Book Antiqua" w:hAnsi="Book Antiqua"/>
          <w:noProof/>
          <w:vertAlign w:val="superscript"/>
        </w:rPr>
        <w:t>[42]</w:t>
      </w:r>
      <w:r w:rsidR="00BB6966" w:rsidRPr="00884A81">
        <w:rPr>
          <w:rFonts w:ascii="Book Antiqua" w:hAnsi="Book Antiqua"/>
        </w:rPr>
        <w:fldChar w:fldCharType="end"/>
      </w:r>
      <w:r w:rsidR="0045485A" w:rsidRPr="00884A81">
        <w:rPr>
          <w:rFonts w:ascii="Book Antiqua" w:hAnsi="Book Antiqua"/>
        </w:rPr>
        <w:t>.</w:t>
      </w:r>
      <w:r w:rsidR="008416B7" w:rsidRPr="00884A81">
        <w:rPr>
          <w:rFonts w:ascii="Book Antiqua" w:hAnsi="Book Antiqua"/>
        </w:rPr>
        <w:t xml:space="preserve"> External validation of </w:t>
      </w:r>
      <w:r w:rsidRPr="00884A81">
        <w:rPr>
          <w:rFonts w:ascii="Book Antiqua" w:hAnsi="Book Antiqua"/>
        </w:rPr>
        <w:t>t</w:t>
      </w:r>
      <w:r w:rsidR="008416B7" w:rsidRPr="00884A81">
        <w:rPr>
          <w:rFonts w:ascii="Book Antiqua" w:hAnsi="Book Antiqua"/>
        </w:rPr>
        <w:t>he McCluskey</w:t>
      </w:r>
      <w:r w:rsidRPr="00884A81">
        <w:rPr>
          <w:rFonts w:ascii="Book Antiqua" w:hAnsi="Book Antiqua"/>
        </w:rPr>
        <w:t xml:space="preserve"> index</w:t>
      </w:r>
      <w:r w:rsidR="008416B7" w:rsidRPr="00884A81">
        <w:rPr>
          <w:rFonts w:ascii="Book Antiqua" w:hAnsi="Book Antiqua"/>
        </w:rPr>
        <w:t xml:space="preserve"> </w:t>
      </w:r>
      <w:r w:rsidRPr="00884A81">
        <w:rPr>
          <w:rFonts w:ascii="Book Antiqua" w:hAnsi="Book Antiqua"/>
        </w:rPr>
        <w:t>attained</w:t>
      </w:r>
      <w:r w:rsidR="008416B7" w:rsidRPr="00884A81">
        <w:rPr>
          <w:rFonts w:ascii="Book Antiqua" w:hAnsi="Book Antiqua"/>
        </w:rPr>
        <w:t xml:space="preserve"> reasonable sensitivity (80%) and </w:t>
      </w:r>
      <w:r w:rsidR="008416B7" w:rsidRPr="00884A81">
        <w:rPr>
          <w:rFonts w:ascii="Book Antiqua" w:hAnsi="Book Antiqua"/>
        </w:rPr>
        <w:lastRenderedPageBreak/>
        <w:t>specificity (84.21%)</w:t>
      </w:r>
      <w:r w:rsidR="00BB6966" w:rsidRPr="00884A81">
        <w:rPr>
          <w:rFonts w:ascii="Book Antiqua" w:hAnsi="Book Antiqua"/>
        </w:rPr>
        <w:fldChar w:fldCharType="begin" w:fldLock="1"/>
      </w:r>
      <w:r w:rsidR="00BB6966" w:rsidRPr="00884A81">
        <w:rPr>
          <w:rFonts w:ascii="Book Antiqua" w:hAnsi="Book Antiqua"/>
        </w:rPr>
        <w:instrText>ADDIN CSL_CITATION { "citationItems" : [ { "id" : "ITEM-1", "itemData" : { "DOI" : "10.1016/j.transproceed.2008.08.091", "ISBN" : "0041-1345", "ISSN" : "0041-1345", "PMID" : "19010166", "abstract" : "BACKGROUND A recent study proposed a risk index (McCluskey index) based on 7 parameters to identify the transfusion needs of patients during surgery and in the first 24 hours postoperation. The initial objective of our study was to validate this predictor for blood product transfusions. PATIENTS AND METHODS We undertook a retrospective, observational study of all liver transplant patients between January 1, 2005 and December 31, 2006. The following variables were recorded for each patient: age, gender, patient comorbidity, biochemical values prior to liver transplantation, and transfusion needs. RESULTS Comparing the transfusion needs of those patients with scores &lt;5 with those of scores &gt;/=5, we observed significant differences in terms of the use of red blood cell concentrates, plasma, and platelets, both during the first 24 hours and in the total number. The index sensitivity was 80% (95% confidence interval [CI]: 71.23-88.76), with a specificity of 84.21% (95% CI: 67.81-100), where the positive predictive value was 95.52% (95% CI: 90.57-100.4) and the negative predictive value was 50% (95% CI: 32.67-67.32). CONCLUSION The McCluskey index showed sufficient sensitivity and specificity to predict which patients will require a massive transfusion.", "author" : [ { "dropping-particle" : "", "family" : "Escoresca Ortega", "given" : "A. M.", "non-dropping-particle" : "", "parse-names" : false, "suffix" : "" }, { "dropping-particle" : "V.", "family" : "Mogoll\u00f3n Jim\u00e9nez", "given" : "M.", "non-dropping-particle" : "", "parse-names" : false, "suffix" : "" }, { "dropping-particle" : "", "family" : "Hinojosa P\u00e9rez", "given" : "R.", "non-dropping-particle" : "", "parse-names" : false, "suffix" : "" }, { "dropping-particle" : "", "family" : "Ferr\u00e1ndiz Mill\u00f3n", "given" : "C. M.", "non-dropping-particle" : "", "parse-names" : false, "suffix" : "" }, { "dropping-particle" : "", "family" : "Salgado Algarrada", "given" : "J. C.", "non-dropping-particle" : "", "parse-names" : false, "suffix" : "" }, { "dropping-particle" : "", "family" : "Herruzo Avil\u00e9s", "given" : "A.", "non-dropping-particle" : "", "parse-names" : false, "suffix" : "" }, { "dropping-particle" : "", "family" : "Porras L\u00f3pez", "given" : "F. M.", "non-dropping-particle" : "", "parse-names" : false, "suffix" : "" }, { "dropping-particle" : "", "family" : "Perez Bernal", "given" : "J. B.", "non-dropping-particle" : "", "parse-names" : false, "suffix" : "" }, { "dropping-particle" : "", "family" : "G\u00f3mez Bravo", "given" : "M. A.", "non-dropping-particle" : "", "parse-names" : false, "suffix" : "" } ], "container-title" : "Transplantation proceedings", "id" : "ITEM-1", "issue" : "9", "issued" : { "date-parts" : [ [ "2008", "11" ] ] }, "page" : "2981-2", "title" : "Application of the McCluskey Index to predict blood product requirements during liver transplantation.", "type" : "article-journal", "volume" : "40" }, "uris" : [ "http://www.mendeley.com/documents/?uuid=707c912e-c488-4b66-b4cd-aacc49d2edc6" ] } ], "mendeley" : { "formattedCitation" : "&lt;sup&gt;[84]&lt;/sup&gt;", "plainTextFormattedCitation" : "[84]", "previouslyFormattedCitation" : "&lt;sup&gt;[85]&lt;/sup&gt;" }, "properties" : { "noteIndex" : 0 }, "schema" : "https://github.com/citation-style-language/schema/raw/master/csl-citation.json" }</w:instrText>
      </w:r>
      <w:r w:rsidR="00BB6966" w:rsidRPr="00884A81">
        <w:rPr>
          <w:rFonts w:ascii="Book Antiqua" w:hAnsi="Book Antiqua"/>
        </w:rPr>
        <w:fldChar w:fldCharType="separate"/>
      </w:r>
      <w:r w:rsidR="00BB6966" w:rsidRPr="00884A81">
        <w:rPr>
          <w:rFonts w:ascii="Book Antiqua" w:hAnsi="Book Antiqua"/>
          <w:noProof/>
          <w:vertAlign w:val="superscript"/>
        </w:rPr>
        <w:t>[84]</w:t>
      </w:r>
      <w:r w:rsidR="00BB6966" w:rsidRPr="00884A81">
        <w:rPr>
          <w:rFonts w:ascii="Book Antiqua" w:hAnsi="Book Antiqua"/>
        </w:rPr>
        <w:fldChar w:fldCharType="end"/>
      </w:r>
      <w:r w:rsidR="0045485A" w:rsidRPr="00884A81">
        <w:rPr>
          <w:rFonts w:ascii="Book Antiqua" w:hAnsi="Book Antiqua"/>
        </w:rPr>
        <w:t>.</w:t>
      </w:r>
      <w:r w:rsidR="007C0213" w:rsidRPr="00884A81">
        <w:rPr>
          <w:rFonts w:ascii="Book Antiqua" w:hAnsi="Book Antiqua"/>
        </w:rPr>
        <w:t xml:space="preserve"> </w:t>
      </w:r>
      <w:r w:rsidR="00497124" w:rsidRPr="00884A81">
        <w:rPr>
          <w:rFonts w:ascii="Book Antiqua" w:hAnsi="Book Antiqua"/>
        </w:rPr>
        <w:t>However, m</w:t>
      </w:r>
      <w:r w:rsidR="007C0213" w:rsidRPr="00884A81">
        <w:rPr>
          <w:rFonts w:ascii="Book Antiqua" w:hAnsi="Book Antiqua"/>
        </w:rPr>
        <w:t xml:space="preserve">ore </w:t>
      </w:r>
      <w:r w:rsidRPr="00884A81">
        <w:rPr>
          <w:rFonts w:ascii="Book Antiqua" w:hAnsi="Book Antiqua"/>
        </w:rPr>
        <w:t>recent</w:t>
      </w:r>
      <w:r w:rsidR="007C0213" w:rsidRPr="00884A81">
        <w:rPr>
          <w:rFonts w:ascii="Book Antiqua" w:hAnsi="Book Antiqua"/>
        </w:rPr>
        <w:t xml:space="preserve">ly, </w:t>
      </w:r>
      <w:r w:rsidRPr="00884A81">
        <w:rPr>
          <w:rFonts w:ascii="Book Antiqua" w:hAnsi="Book Antiqua"/>
        </w:rPr>
        <w:t>Cywinski</w:t>
      </w:r>
      <w:r w:rsidRPr="00BB6966">
        <w:rPr>
          <w:rFonts w:ascii="Book Antiqua" w:hAnsi="Book Antiqua"/>
          <w:i/>
        </w:rPr>
        <w:t xml:space="preserve"> et al</w:t>
      </w:r>
      <w:r w:rsidR="00BB6966" w:rsidRPr="00884A81">
        <w:rPr>
          <w:rFonts w:ascii="Book Antiqua" w:hAnsi="Book Antiqua"/>
        </w:rPr>
        <w:fldChar w:fldCharType="begin" w:fldLock="1"/>
      </w:r>
      <w:r w:rsidR="00BB6966" w:rsidRPr="00884A81">
        <w:rPr>
          <w:rFonts w:ascii="Book Antiqua" w:hAnsi="Book Antiqua"/>
        </w:rPr>
        <w:instrText>ADDIN CSL_CITATION { "citationItems" : [ { "id" : "ITEM-1",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"ITEM-1",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"mendeley" : { "formattedCitation" : "&lt;sup&gt;[79]&lt;/sup&gt;", "plainTextFormattedCitation" : "[79]", "previouslyFormattedCitation" : "&lt;sup&gt;[80]&lt;/sup&gt;" }, "properties" : { "noteIndex" : 0 }, "schema" : "https://github.com/citation-style-language/schema/raw/master/csl-citation.json" }</w:instrText>
      </w:r>
      <w:r w:rsidR="00BB6966" w:rsidRPr="00884A81">
        <w:rPr>
          <w:rFonts w:ascii="Book Antiqua" w:hAnsi="Book Antiqua"/>
        </w:rPr>
        <w:fldChar w:fldCharType="separate"/>
      </w:r>
      <w:r w:rsidR="00BB6966" w:rsidRPr="00884A81">
        <w:rPr>
          <w:rFonts w:ascii="Book Antiqua" w:hAnsi="Book Antiqua"/>
          <w:noProof/>
          <w:vertAlign w:val="superscript"/>
        </w:rPr>
        <w:t>[79]</w:t>
      </w:r>
      <w:r w:rsidR="00BB6966" w:rsidRPr="00884A81">
        <w:rPr>
          <w:rFonts w:ascii="Book Antiqua" w:hAnsi="Book Antiqua"/>
        </w:rPr>
        <w:fldChar w:fldCharType="end"/>
      </w:r>
      <w:r w:rsidRPr="00884A81">
        <w:rPr>
          <w:rFonts w:ascii="Book Antiqua" w:hAnsi="Book Antiqua"/>
        </w:rPr>
        <w:t xml:space="preserve"> also attempt</w:t>
      </w:r>
      <w:r w:rsidR="00DA60AD" w:rsidRPr="00884A81">
        <w:rPr>
          <w:rFonts w:ascii="Book Antiqua" w:hAnsi="Book Antiqua"/>
        </w:rPr>
        <w:t>ed</w:t>
      </w:r>
      <w:r w:rsidRPr="00884A81">
        <w:rPr>
          <w:rFonts w:ascii="Book Antiqua" w:hAnsi="Book Antiqua"/>
        </w:rPr>
        <w:t xml:space="preserve"> to create a prediction model for intraoperative blood product requirements based on preoperative variables. The authors used several advanced statistical techniques to analyse data from 804 primary OLTs performed during a 9</w:t>
      </w:r>
      <w:r w:rsidR="00D212F0" w:rsidRPr="00884A81">
        <w:rPr>
          <w:rFonts w:ascii="Book Antiqua" w:hAnsi="Book Antiqua"/>
        </w:rPr>
        <w:t>-</w:t>
      </w:r>
      <w:r w:rsidRPr="00884A81">
        <w:rPr>
          <w:rFonts w:ascii="Book Antiqua" w:hAnsi="Book Antiqua"/>
        </w:rPr>
        <w:t>year period.</w:t>
      </w:r>
      <w:r w:rsidR="00884A81" w:rsidRPr="00884A81">
        <w:rPr>
          <w:rFonts w:ascii="Book Antiqua" w:hAnsi="Book Antiqua"/>
        </w:rPr>
        <w:t xml:space="preserve"> </w:t>
      </w:r>
      <w:r w:rsidRPr="00884A81">
        <w:rPr>
          <w:rFonts w:ascii="Book Antiqua" w:hAnsi="Book Antiqua"/>
        </w:rPr>
        <w:t>Although, they found a strong relationship between transfusion and postoperative mortality, the model proved to be an unreliable predictor of transfusion requirements</w:t>
      </w:r>
      <w:r w:rsidR="00BB6966" w:rsidRPr="00884A81">
        <w:rPr>
          <w:rFonts w:ascii="Book Antiqua" w:hAnsi="Book Antiqua"/>
        </w:rPr>
        <w:fldChar w:fldCharType="begin" w:fldLock="1"/>
      </w:r>
      <w:r w:rsidR="00BB6966" w:rsidRPr="00884A81">
        <w:rPr>
          <w:rFonts w:ascii="Book Antiqua" w:hAnsi="Book Antiqua"/>
        </w:rPr>
        <w:instrText>ADDIN CSL_CITATION { "citationItems" : [ { "id" : "ITEM-1", "itemData" : { "DOI" : "10.1213/ANE.0b013e3182a76f19", "ISSN" : "1526-7598", "PMID" : "24445640", "abstract" : "BACKGROUND Predicting blood product transfusion requirements during orthotopic liver transplantation (OLT) remains difficult. Our primary aim in this study was to determine which patient variables best predict recipient risk for large blood transfusion requirements during OLT. The secondary aim was to determine whether the amount of blood products transfused during OLT impacted patient survival. METHODS Eight hundred four primary adult OLTs performed during a 9-year period were retrospectively analyzed, and predictive models were developed for blood product usage, usage &gt;20 and usage &gt;30 units of red blood cells (RBCs) plus cell salvage (CS). For survival analysis, potential predictors included all blood products administered during OLT. RESULTS For analyses of RBC + CS usage, we used several statistical techniques: regression analysis, logistic regression, and classification and regression tree analysis. Several preoperative factors were highly statistically significant predictors of intraoperative blood product usage in each of the analyses, namely lower platelet count and higher Model for End-Stage Liver Disease Score or one or more of its components (creatinine, total bilirubin, international normalized ratio). Despite these highly significant associations, the models were unable to predict reliably that patients might require the largest amount of blood products during OLT. For example, the classification and regression tree analyses were able to predict only 32% and 11% of patients requiring &gt;20 and &gt;30 units of RBC + CS, respectively. Survival analysis demonstrated poorer survival among patients receiving larger amounts of RBC + CS during OLT. CONCLUSION Prediction of intraoperative blood product requirements based on preoperatively available variables is unreliable; however, there is a strong measurable association between transfusion and postoperative mortality.", "author" : [ { "dropping-particle" : "", "family" : "Cywinski", "given" : "Jacek B", "non-dropping-particle" : "", "parse-names" : false, "suffix" : "" }, { "dropping-particle" : "", "family" : "Alster", "given" : "Joan M", "non-dropping-particle" : "", "parse-names" : false, "suffix" : "" }, { "dropping-particle" : "", "family" : "Miller", "given" : "Charles", "non-dropping-particle" : "", "parse-names" : false, "suffix" : "" }, { "dropping-particle" : "", "family" : "Vogt", "given" : "David P", "non-dropping-particle" : "", "parse-names" : false, "suffix" : "" }, { "dropping-particle" : "", "family" : "Parker", "given" : "Brian M", "non-dropping-particle" : "", "parse-names" : false, "suffix" : "" } ], "container-title" : "Anesthesia and analgesia", "id" : "ITEM-1", "issue" : "2", "issued" : { "date-parts" : [ [ "2014", "2" ] ] }, "language" : "eng", "page" : "428-37", "publisher-place" : "United States", "title" : "Prediction of intraoperative transfusion requirements during orthotopic liver transplantation and the influence on postoperative patient survival.", "type" : "article-journal", "volume" : "118" }, "uris" : [ "http://www.mendeley.com/documents/?uuid=e894c192-9801-4f05-9e1a-12f5efe93de5" ] } ], "mendeley" : { "formattedCitation" : "&lt;sup&gt;[79]&lt;/sup&gt;", "plainTextFormattedCitation" : "[79]", "previouslyFormattedCitation" : "&lt;sup&gt;[80]&lt;/sup&gt;" }, "properties" : { "noteIndex" : 0 }, "schema" : "https://github.com/citation-style-language/schema/raw/master/csl-citation.json" }</w:instrText>
      </w:r>
      <w:r w:rsidR="00BB6966" w:rsidRPr="00884A81">
        <w:rPr>
          <w:rFonts w:ascii="Book Antiqua" w:hAnsi="Book Antiqua"/>
        </w:rPr>
        <w:fldChar w:fldCharType="separate"/>
      </w:r>
      <w:r w:rsidR="00BB6966" w:rsidRPr="00884A81">
        <w:rPr>
          <w:rFonts w:ascii="Book Antiqua" w:hAnsi="Book Antiqua"/>
          <w:noProof/>
          <w:vertAlign w:val="superscript"/>
        </w:rPr>
        <w:t>[79]</w:t>
      </w:r>
      <w:r w:rsidR="00BB6966" w:rsidRPr="00884A81">
        <w:rPr>
          <w:rFonts w:ascii="Book Antiqua" w:hAnsi="Book Antiqua"/>
        </w:rPr>
        <w:fldChar w:fldCharType="end"/>
      </w:r>
      <w:r w:rsidR="00497124" w:rsidRPr="00884A81">
        <w:rPr>
          <w:rFonts w:ascii="Book Antiqua" w:hAnsi="Book Antiqua"/>
        </w:rPr>
        <w:t>.</w:t>
      </w:r>
      <w:r w:rsidR="00884A81" w:rsidRPr="00884A81">
        <w:rPr>
          <w:rFonts w:ascii="Book Antiqua" w:hAnsi="Book Antiqua"/>
        </w:rPr>
        <w:t xml:space="preserve"> </w:t>
      </w:r>
    </w:p>
    <w:p w14:paraId="06CFDFDB" w14:textId="77777777" w:rsidR="00BB2339" w:rsidRPr="00884A81" w:rsidRDefault="00BB2339" w:rsidP="00884A81">
      <w:pPr>
        <w:spacing w:line="360" w:lineRule="auto"/>
        <w:jc w:val="both"/>
        <w:rPr>
          <w:rFonts w:ascii="Book Antiqua" w:hAnsi="Book Antiqua"/>
        </w:rPr>
      </w:pPr>
    </w:p>
    <w:p w14:paraId="08BD7B9B" w14:textId="1C650064" w:rsidR="002A30AF" w:rsidRPr="003C0B00" w:rsidRDefault="000C2CCB" w:rsidP="00884A81">
      <w:pPr>
        <w:spacing w:line="360" w:lineRule="auto"/>
        <w:jc w:val="both"/>
        <w:rPr>
          <w:rFonts w:ascii="Book Antiqua" w:eastAsia="宋体" w:hAnsi="Book Antiqua"/>
          <w:b/>
          <w:i/>
          <w:lang w:eastAsia="zh-CN"/>
        </w:rPr>
      </w:pPr>
      <w:r w:rsidRPr="003C0B00">
        <w:rPr>
          <w:rFonts w:ascii="Book Antiqua" w:hAnsi="Book Antiqua"/>
          <w:b/>
          <w:i/>
        </w:rPr>
        <w:t>S</w:t>
      </w:r>
      <w:r w:rsidR="003C702A" w:rsidRPr="003C0B00">
        <w:rPr>
          <w:rFonts w:ascii="Book Antiqua" w:hAnsi="Book Antiqua"/>
          <w:b/>
          <w:i/>
        </w:rPr>
        <w:t>urgical</w:t>
      </w:r>
      <w:r w:rsidR="00884A81" w:rsidRPr="003C0B00">
        <w:rPr>
          <w:rFonts w:ascii="Book Antiqua" w:hAnsi="Book Antiqua"/>
          <w:b/>
          <w:i/>
        </w:rPr>
        <w:t xml:space="preserve"> </w:t>
      </w:r>
      <w:r w:rsidR="002A30AF" w:rsidRPr="003C0B00">
        <w:rPr>
          <w:rFonts w:ascii="Book Antiqua" w:hAnsi="Book Antiqua"/>
          <w:b/>
          <w:i/>
        </w:rPr>
        <w:t>factors</w:t>
      </w:r>
    </w:p>
    <w:p w14:paraId="0038C2A7" w14:textId="775C448B" w:rsidR="0029307E" w:rsidRPr="00884A81" w:rsidRDefault="002A30AF" w:rsidP="00884A81">
      <w:pPr>
        <w:spacing w:line="360" w:lineRule="auto"/>
        <w:jc w:val="both"/>
        <w:rPr>
          <w:rFonts w:ascii="Book Antiqua" w:hAnsi="Book Antiqua" w:cs="Times New Roman"/>
        </w:rPr>
      </w:pPr>
      <w:r w:rsidRPr="00884A81">
        <w:rPr>
          <w:rFonts w:ascii="Book Antiqua" w:hAnsi="Book Antiqua"/>
        </w:rPr>
        <w:t>Advances in surgical techniques and experience have been crucial for the reduction in blood loss</w:t>
      </w:r>
      <w:r w:rsidR="003B2D80" w:rsidRPr="00884A81">
        <w:rPr>
          <w:rFonts w:ascii="Book Antiqua" w:hAnsi="Book Antiqua"/>
        </w:rPr>
        <w:t>.</w:t>
      </w:r>
      <w:r w:rsidR="00884A81" w:rsidRPr="00884A81">
        <w:rPr>
          <w:rFonts w:ascii="Book Antiqua" w:hAnsi="Book Antiqua"/>
        </w:rPr>
        <w:t xml:space="preserve"> </w:t>
      </w:r>
      <w:r w:rsidRPr="00884A81">
        <w:rPr>
          <w:rFonts w:ascii="Book Antiqua" w:hAnsi="Book Antiqua"/>
        </w:rPr>
        <w:t xml:space="preserve">The piggyback technique involves </w:t>
      </w:r>
      <w:r w:rsidR="007C0213" w:rsidRPr="00884A81">
        <w:rPr>
          <w:rFonts w:ascii="Book Antiqua" w:hAnsi="Book Antiqua"/>
        </w:rPr>
        <w:t xml:space="preserve">a single </w:t>
      </w:r>
      <w:r w:rsidRPr="00884A81">
        <w:rPr>
          <w:rFonts w:ascii="Book Antiqua" w:hAnsi="Book Antiqua"/>
        </w:rPr>
        <w:t xml:space="preserve">anastomosis of the </w:t>
      </w:r>
      <w:r w:rsidR="00497124" w:rsidRPr="00884A81">
        <w:rPr>
          <w:rFonts w:ascii="Book Antiqua" w:hAnsi="Book Antiqua"/>
        </w:rPr>
        <w:t xml:space="preserve">donor </w:t>
      </w:r>
      <w:r w:rsidRPr="00884A81">
        <w:rPr>
          <w:rFonts w:ascii="Book Antiqua" w:hAnsi="Book Antiqua"/>
        </w:rPr>
        <w:t>vena cava</w:t>
      </w:r>
      <w:r w:rsidR="00497124" w:rsidRPr="00884A81">
        <w:rPr>
          <w:rFonts w:ascii="Book Antiqua" w:hAnsi="Book Antiqua"/>
        </w:rPr>
        <w:t xml:space="preserve"> to t</w:t>
      </w:r>
      <w:r w:rsidR="007C0213" w:rsidRPr="00884A81">
        <w:rPr>
          <w:rFonts w:ascii="Book Antiqua" w:hAnsi="Book Antiqua"/>
        </w:rPr>
        <w:t xml:space="preserve">he </w:t>
      </w:r>
      <w:r w:rsidRPr="00884A81">
        <w:rPr>
          <w:rFonts w:ascii="Book Antiqua" w:hAnsi="Book Antiqua"/>
        </w:rPr>
        <w:t>recipient inferior vena cava</w:t>
      </w:r>
      <w:r w:rsidR="007C0213" w:rsidRPr="00884A81">
        <w:rPr>
          <w:rFonts w:ascii="Book Antiqua" w:hAnsi="Book Antiqua"/>
        </w:rPr>
        <w:t xml:space="preserve"> and a shortened warm ischemic time</w:t>
      </w:r>
      <w:r w:rsidR="003C0B00" w:rsidRPr="00884A81">
        <w:rPr>
          <w:rFonts w:ascii="Book Antiqua" w:hAnsi="Book Antiqua"/>
        </w:rPr>
        <w:fldChar w:fldCharType="begin" w:fldLock="1"/>
      </w:r>
      <w:r w:rsidR="003C0B00" w:rsidRPr="00884A81">
        <w:rPr>
          <w:rFonts w:ascii="Book Antiqua" w:hAnsi="Book Antiqua"/>
        </w:rPr>
        <w:instrText>ADDIN CSL_CITATION { "citationItems" : [ { "id" : "ITEM-1", "itemData" : { "DOI" : "10.1002/14651858.CD008258.pub2", "ISSN" : "1469-493X", "PMID" : "21249703", "abstract" : "BACKGROUND Piggy-back method of transplantation, which involves preservation of the recipient retrohepatic inferior vena cava, has been suggested as an alternative to the conventional method of liver transplantation, where the recipient retrohepatic inferior vena cava is resected. OBJECTIVES To compare the benefits and harms of piggy-back technique versus conventional liver transplantation as well as of the different modifications of piggy-back technique during liver transplantation. SEARCH STRATEGY We searched The Cochrane Hepato-Biliary Group Controlled Trials Register, the Cochrane Central Register of Controlled Trials (CENTRAL) in The Cochrane Library, MEDLINE, EMBASE, and Science Citation Index Expanded until June 2010 for identifying randomised trials using search strategies. SELECTION CRITERIA Only randomised clinical trials, irrespective of language, blinding, or publication status were considered for the review. DATA COLLECTION AND ANALYSIS Two authors (KSG and VP) independently identified trials and independently extracted data. We calculated the mean difference (MD) or standardised mean difference (SMD) with 95% confidence intervals (CI) using both the fixed-effect and the random-effects models with RevMan 5 based on intention-to-treat analysis for continuous outcomes. For binary outcomes, we used the Fisher's exact test since none of the comparisons of binary outcomes included more than one trial. MAIN RESULTS Two trials randomised in total 106 patients to piggy-back method (n = 53) versus conventional method with veno-venous bypass (n = 53). Both trials were at high risk of bias. There was no significant difference in post-operative mortality, primary graft non-function, vascular complications, renal failure, transfusion requirements, intensive therapy unit (ITU) stay, or hospital stay between the two groups. The warm ischaemic time was significantly shorter in the piggy-back method than the conventional method (MD -11.50 minutes; 95% CI -19.35 to -3.65; P &lt; 0.01). The proportion of patients who developed chest complications were significantly higher in the the piggy-back method than the conventional method (75.8% versus 44.1%; P = 0.01).One trial randomised 80 patients to piggy-back with porto-caval bypass (n = 40) versus piggy-back without porto-caval bypass (n = 40). This trial was at high risk of bias. There was no significant difference in post-operative mortality, re-transplantation due to primary graft non-function, vascular complica\u2026", "author" : [ { "dropping-particle" : "", "family" : "Gurusamy", "given" : "Kurinchi Selvan", "non-dropping-particle" : "", "parse-names" : false, "suffix" : "" }, { "dropping-particle" : "", "family" : "Pamecha", "given" : "Viniyendra", "non-dropping-particle" : "", "parse-names" : false, "suffix" : "" }, { "dropping-particle" : "", "family" : "Davidson", "given" : "Brian R", "non-dropping-particle" : "", "parse-names" : false, "suffix" : "" } ], "container-title" : "The Cochrane database of systematic reviews", "id" : "ITEM-1", "issue" : "1", "issued" : { "date-parts" : [ [ "2011" ] ] }, "page" : "CD008258", "title" : "Piggy-back graft for liver transplantation.", "type" : "article-journal" }, "uris" : [ "http://www.mendeley.com/documents/?uuid=b061ff9f-ba32-4cf4-afc2-973bdfd83695" ] } ], "mendeley" : { "formattedCitation" : "&lt;sup&gt;[85]&lt;/sup&gt;", "plainTextFormattedCitation" : "[85]", "previouslyFormattedCitation" : "&lt;sup&gt;[86]&lt;/sup&gt;" }, "properties" : { "noteIndex" : 0 }, "schema" : "https://github.com/citation-style-language/schema/raw/master/csl-citation.json" }</w:instrText>
      </w:r>
      <w:r w:rsidR="003C0B00" w:rsidRPr="00884A81">
        <w:rPr>
          <w:rFonts w:ascii="Book Antiqua" w:hAnsi="Book Antiqua"/>
        </w:rPr>
        <w:fldChar w:fldCharType="separate"/>
      </w:r>
      <w:r w:rsidR="003C0B00" w:rsidRPr="00884A81">
        <w:rPr>
          <w:rFonts w:ascii="Book Antiqua" w:hAnsi="Book Antiqua"/>
          <w:noProof/>
          <w:vertAlign w:val="superscript"/>
        </w:rPr>
        <w:t>[85]</w:t>
      </w:r>
      <w:r w:rsidR="003C0B00" w:rsidRPr="00884A81">
        <w:rPr>
          <w:rFonts w:ascii="Book Antiqua" w:hAnsi="Book Antiqua"/>
        </w:rPr>
        <w:fldChar w:fldCharType="end"/>
      </w:r>
      <w:r w:rsidRPr="00884A81">
        <w:rPr>
          <w:rFonts w:ascii="Book Antiqua" w:hAnsi="Book Antiqua"/>
        </w:rPr>
        <w:t xml:space="preserve">. Additionally, the preservation of the </w:t>
      </w:r>
      <w:r w:rsidR="00990D51" w:rsidRPr="00884A81">
        <w:rPr>
          <w:rFonts w:ascii="Book Antiqua" w:hAnsi="Book Antiqua"/>
        </w:rPr>
        <w:t>recipient’s</w:t>
      </w:r>
      <w:r w:rsidRPr="00884A81">
        <w:rPr>
          <w:rFonts w:ascii="Book Antiqua" w:hAnsi="Book Antiqua"/>
        </w:rPr>
        <w:t xml:space="preserve"> vena cava reduces the requirement for extensive resection of the </w:t>
      </w:r>
      <w:r w:rsidR="00990D51" w:rsidRPr="00884A81">
        <w:rPr>
          <w:rFonts w:ascii="Book Antiqua" w:hAnsi="Book Antiqua"/>
        </w:rPr>
        <w:t xml:space="preserve">retroperitoneum. </w:t>
      </w:r>
      <w:r w:rsidRPr="00884A81">
        <w:rPr>
          <w:rFonts w:ascii="Book Antiqua" w:hAnsi="Book Antiqua"/>
        </w:rPr>
        <w:t xml:space="preserve">Large case series of patients undergoing OLT using the piggyback technique report </w:t>
      </w:r>
      <w:r w:rsidR="00DA60AD" w:rsidRPr="00884A81">
        <w:rPr>
          <w:rFonts w:ascii="Book Antiqua" w:hAnsi="Book Antiqua"/>
        </w:rPr>
        <w:t xml:space="preserve">a reduction in </w:t>
      </w:r>
      <w:r w:rsidRPr="00884A81">
        <w:rPr>
          <w:rFonts w:ascii="Book Antiqua" w:hAnsi="Book Antiqua"/>
        </w:rPr>
        <w:t>transfusion requirements</w:t>
      </w:r>
      <w:r w:rsidR="00FF4C65"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"10.1080/13651820500542135", "ISBN" : "1365-182X (Print)\\r1365-182X (Linking)", "ISSN" : "1365-182X", "PMID" : "18333273", "abstract" : "BACKGROUND Orthotopic liver transplantation (OLT) in adult patients has traditionally been performed using conventional caval reconstruction technique (CV) with veno-venous bypass. Recently, the piggyback technique (PB) without veno-venous bypass has begun to be widely used. The aim of this study was to assess the effect of routine use of PB on OLTs in adult patients. PATIENTS AND METHODS A retrospective analysis was undertaken of 1067 orthotopic cadaveric whole liver transplantations in adult patients treated between June 1994 and July 2001. PB was used as the routine procedure. Patient demographics, factors including cold ischemia time (CIT), warm ischemia time (WIT), operative time, transfusions, blood loss, and postoperative results were assessed. The effects of clinical factors on graft survival were assessed by univariate and multivariate analyses.In all, 918 transplantations (86%) were performed with PB. Blood transfusion, WIT, and usage of veno-venous bypass were less with PB. Seventy-five (8.3%) cases with PB had refractory ascites following OLT (p=NS). Five venous outflow stenosis cases (0.54%) with PB were noted (p=NS). The liver and renal function during the postoperative periods was similar. Overall 1-, 3-, and 5-year patient survival rates were 85%, 78%, and 72% with PB. Univariate analysis showed that cava reconstruction method, CIT, WIT, amount of transfusion, length of hospital stay, donor age, and tumor presence were significant factors influencing graft survival. Multivariate analysis further reinforced the fact that CIT, donor age, amount of transfusion, and hospital stay were prognostic factors for graft survival. CONCLUSIONS PB can be performed safely in the majority of adult OLTs. Results of OLT with PB are as same as for CV. Liver function, renal function, morbidity, mortality, and patient and graft survival are similar to CV. However, amount of transfusion, WIT, and use of veno-venous bypass are less with PB.", "author" : [ { "dropping-particle" : "", "family" : "Nishida", "given" : "Seigo", "non-dropping-particle" : "", "parse-names" : false, "suffix" : "" }, { "dropping-particle" : "", "family" : "Nakamura", "given" : "Noboru", "non-dropping-particle" : "", "parse-names" : false, "suffix" : "" }, { "dropping-particle" : "", "family" : "Vaidya", "given" : "Anil", "non-dropping-particle" : "", "parse-names" : false, "suffix" : "" }, { "dropping-particle" : "", "family" : "Levi", "given" : "David M", "non-dropping-particle" : "", "parse-names" : false, "suffix" : "" }, { "dropping-particle" : "", "family" : "Kato", "given" : "Tomoaki", "non-dropping-particle" : "", "parse-names" : false, "suffix" : "" }, { "dropping-particle" : "", "family" : "Nery", "given" : "Jose R", "non-dropping-particle" : "", "parse-names" : false, "suffix" : "" }, { "dropping-particle" : "", "family" : "Madariaga", "given" : "Juan R", "non-dropping-particle" : "", "parse-names" : false, "suffix" : "" }, { "dropping-particle" : "", "family" : "Molina", "given" : "Enrique", "non-dropping-particle" : "", "parse-names" : false, "suffix" : "" }, { "dropping-particle" : "", "family" : "Ruiz", "given" : "Phillip", "non-dropping-particle" : "", "parse-names" : false, "suffix" : "" }, { "dropping-particle" : "", "family" : "Gyamfi", "given" : "Anthony", "non-dropping-particle" : "", "parse-names" : false, "suffix" : "" }, { "dropping-particle" : "", "family" : "Tzakis", "given" : "Andreas G", "non-dropping-particle" : "", "parse-names" : false, "suffix" : "" } ], "container-title" : "HPB : the official journal of the International Hepato Pancreato Biliary Association", "id" : "ITEM-1", "issue" : "3", "issued" : { "date-parts" : [ [ "2006" ] ] }, "page" : "182-8", "title" : "Piggyback technique in adult orthotopic liver transplantation: an analysis of 1067 liver transplants at a single center.", "type" : "article-journal", "volume" : "8" }, "uris" : [ "http://www.mendeley.com/documents/?uuid=6fd7c300-e73d-4d15-8522-18fa16451b07" ] }, { "id" : "ITEM-2", "itemData" : { "DOI" : "10.1097/00007890-199801150-00015", "ISSN" : "0041-1337", "PMID" : "9448148", "abstract" : "BACKGROUND To assess the feasibility and outcome of a piggyback technique without caval occlusion or veno-venous bypass (VB), we retrospectively reviewed 131 consecutive adult orthotopic liver transplantation (OLT) performed in 129 patients between May 1993 and February 1995. Six were second transplants, and six were combined liver-kidney transplants. The piggyback technique was attempted in all cases. METHODS We were able to perform the piggyback technique in 98 OLTs (75%). The remaining 33 OLTs (25%) were converted to the standard technique; of these, 20 (15%) required VB. The reasons for conversion to the standard technique were: anatomical (22 transplants), severe portal hypertension requiring VB (8 transplants), tumor (1 transplant), and other reasons (2 transplants). Six retransplantations were performed (four piggyback, two standard). RESULTS There was no significant difference in age, United Network for Organ Sharing status, Child's classification, and diagnosis between the patients in whom piggyback was possible or not. The actuarial patient and graft survival at 1 year were similar between the piggyback group and the group of patients converted to standard technique (87/85% vs. 86/86%, respectively). No death was related to either technique. With piggyback, the average operative time was 8.6+/-1.9 hr, median amount of blood transfused intraoperatively was 2 U (33% did not require transfusion), and median intensive care unit and hospital stays were 3 and 11 days, respectively. With the piggyback technique, the mean preoperative and maximum postoperative serum creatinine levels were 1.4+/-1.0 and 1.8+/-1.5 mg/dl. CONCLUSION The piggyback technique without caval occlusion is possible in the majority of patients. It is safe and has reduced the use of VB to 15% of our adult OLTs. The piggyback technique avoids retrocaval dissection, facilitates retransplantation, and is associated with a short anhepatic phase, low blood product usage, and short intensive care unit stay.", "author" : [ { "dropping-particle" : "", "family" : "Busque", "given" : "Stephan", "non-dropping-particle" : "", "parse-names" : false, "suffix" : "" }, { "dropping-particle" : "", "family" : "Esquivel", "given" : "Carlos O", "non-dropping-particle" : "", "parse-names" : false, "suffix" : "" }, { "dropping-particle" : "", "family" : "Concepcion", "given" : "Waldo", "non-dropping-particle" : "", "parse-names" : false, "suffix" : "" }, { "dropping-particle" : "", "family" : "So", "given" : "Samuel K.S.", "non-dropping-particle" : "", "parse-names" : false, "suffix" : "" } ], "container-title" : "Transplantation", "id" : "ITEM-2", "issue" : "1", "issued" : { "date-parts" : [ [ "1998", "1", "15" ] ] }, "page" : "77-82", "publisher" : "Busque,S. Liver Transplant Program, Stanford University Medical Center, Palo Alto, California 94304, USA.", "publisher-place" : "UNITED STATES", "title" : "Experience with the piggyback technique without caval occlusion in adult orthotopic liver transplantation.", "type" : "article-journal", "volume" : "65" }, "uris" : [ "http://www.mendeley.com/documents/?uuid=908560b8-69a8-4317-a36a-8ff2d57d8584" ] }, { "id" : "ITEM-3", "itemData" : { "DOI" : "10.1097/00000658-200006000-00005", "ISBN" : "0003-4932", "ISSN" : "0003-4932", "PMID" : "10816624", "abstract" : "OBJECTIVE To examine how the choice of surgical technique influenced perioperative outcomes in liver transplantation. SUMMARY BACKGROUND DATA The standard technique of orthotopic liver transplantation with venovenous bypass (VVB) is commonly used to facilitate hemodynamic stability. However, this traditional procedure is associated with unique complications that can be avoided by using the technique of liver resection without caval excision (the piggyback technique). METHODS A prospective comparison of the two procedures was conducted in 90 patients (34 piggyback and 56 with VVB) during a 2.5-year period. Although both groups had similar donor and recipient demographic characteristics, posttransplant outcomes were significantly better for the patients undergoing the piggyback technique. The effect of surgical technique was examined using a stepwise approach that considered its impact on two levels of perioperative and postoperative events. RESULTS The analysis of the first level of perioperative events found that the piggyback procedure resulted in a 50% decrease in the duration of the anhepatic phase. The analysis of the second level of perioperative events found a significant relation between the anhepatic phase and the duration of surgery and between the anhepatic phase and the need for blood replacement. The analysis of the first level of postoperative events found that the intensive care unit stay was significantly related to both the duration of surgery and the need for blood replacement. The intensive care unit stay was in turn related to the second level of postoperative events, namely the length of hospital stay. Finally, total charges were directly related to length of hospital stay. The overall 1-year actuarial patient and graft survival rates were 94% in the piggyback and 96% in the VVB groups, respectively. CONCLUSIONS These data demonstrate that surgical choices in complex procedures such as orthotopic liver transplantation trigger a chain of events that can significantly affect resource utilization. In the current healthcare climate, examination of the sequence of events that follow a specific treatment may provide a more complete framework for choosing between treatment alternatives.", "author" : [ { "dropping-particle" : "", "family" : "Hosein Shokouh-Amiri", "given" : "M.", "non-dropping-particle" : "", "parse-names" : false, "suffix" : "" }, { "dropping-particle" : "", "family" : "Osama Gaber", "given" : "A.", "non-dropping-particle" : "", "parse-names" : false, "suffix" : "" }, { "dropping-particle" : "", "family" : "Bagous", "given" : "W A", "non-dropping-particle" : "", "parse-names" : false, "suffix" : "" }, { "dropping-particle" : "", "family" : "Grewal", "given" : "Hani P.", "non-dropping-particle" : "", "parse-names" : false, "suffix" : "" }, { "dropping-particle" : "", "family" : "Hathaway", "given" : "Donna K.", "non-dropping-particle" : "", "parse-names" : false, "suffix" : "" }, { "dropping-particle" : "", "family" : "Vera", "given" : "Santiago R.", "non-dropping-particle" : "", "parse-names" : false, "suffix" : "" }, { "dropping-particle" : "", "family" : "Stratta", "given" : "Robert J.", "non-dropping-particle" : "", "parse-names" : false, "suffix" : "" }, { "dropping-particle" : "", "family" : "Bagous", "given" : "Trine N.", "non-dropping-particle" : "", "parse-names" : false, "suffix" : "" }, { "dropping-particle" : "", "family" : "Kizilisik", "given" : "Tarik", "non-dropping-particle" : "", "parse-names" : false, "suffix" : "" } ], "container-title" : "Annals of surgery", "id" : "ITEM-3", "issue" : "6", "issued" : { "date-parts" : [ [ "2000", "6" ] ] }, "page" : "814-23", "publisher" : "Lippincott Williams and Wilkins", "publisher-place" : "M.H. Shokouh-Amiri, Dept. of Surgery, University of Tennessee-Memphis, 956 Court Ave., Memphis, TN 38125, United States. E-mail: HAMIRI@UTMEM.EDU", "title" : "Choice of surgical technique influences perioperative outcomes in liver transplantation.", "type" : "article-journal", "volume" : "231" }, "uris" : [ "http://www.mendeley.com/documents/?uuid=8a4d94d1-5aaa-455b-b1f8-d4fed4df1277" ] } ], "mendeley" : { "formattedCitation" : "&lt;sup&gt;[86\u201388]&lt;/sup&gt;", "plainTextFormattedCitation" : "[86\u201388]", "previouslyFormattedCitation" : "&lt;sup&gt;[87\u201389]&lt;/sup&gt;" }, "properties" : { "noteIndex" : 0 }, "schema" : "https://github.com/citation-style-language/schema/raw/master/csl-citation.json" }</w:instrText>
      </w:r>
      <w:r w:rsidR="00FF4C65" w:rsidRPr="00884A81">
        <w:rPr>
          <w:rFonts w:ascii="Book Antiqua" w:hAnsi="Book Antiqua"/>
          <w:vertAlign w:val="superscript"/>
        </w:rPr>
        <w:fldChar w:fldCharType="separate"/>
      </w:r>
      <w:r w:rsidR="00217BDC" w:rsidRPr="00884A81">
        <w:rPr>
          <w:rFonts w:ascii="Book Antiqua" w:hAnsi="Book Antiqua"/>
          <w:noProof/>
          <w:vertAlign w:val="superscript"/>
        </w:rPr>
        <w:t>[86</w:t>
      </w:r>
      <w:r w:rsidR="00C55BF3">
        <w:rPr>
          <w:rFonts w:ascii="Book Antiqua" w:eastAsia="宋体" w:hAnsi="Book Antiqua" w:hint="eastAsia"/>
          <w:noProof/>
          <w:vertAlign w:val="superscript"/>
          <w:lang w:eastAsia="zh-CN"/>
        </w:rPr>
        <w:t>-</w:t>
      </w:r>
      <w:r w:rsidR="00217BDC" w:rsidRPr="00884A81">
        <w:rPr>
          <w:rFonts w:ascii="Book Antiqua" w:hAnsi="Book Antiqua"/>
          <w:noProof/>
          <w:vertAlign w:val="superscript"/>
        </w:rPr>
        <w:t>88]</w:t>
      </w:r>
      <w:r w:rsidR="00FF4C65" w:rsidRPr="00884A81">
        <w:rPr>
          <w:rFonts w:ascii="Book Antiqua" w:hAnsi="Book Antiqua"/>
          <w:vertAlign w:val="superscript"/>
        </w:rPr>
        <w:fldChar w:fldCharType="end"/>
      </w:r>
      <w:r w:rsidRPr="00884A81">
        <w:rPr>
          <w:rFonts w:ascii="Book Antiqua" w:hAnsi="Book Antiqua"/>
        </w:rPr>
        <w:t xml:space="preserve"> compared with the classic technique or use of veno-venous bypass. Veno-venous bypass has been found to be an independent predictor for increased blood loss and transfusion requirements</w:t>
      </w:r>
      <w:r w:rsidR="009E0F7B"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"10.1016/jlts.2003.50204", "ISBN" : "1527-6465", "ISSN" : "1527-6465", "PMID" : "14625833", "abstract" : "Objectives of this study are to quantify the need for blood transfusion during liver transplantation (LT) and confirm the importance of intraoperative blood transfusion as an independent prognostic factor for postoperative outcome. Furthermore, we try to detect useful variables for the preoperative identification of patients likely to require transfusion of packed red blood cell units (PRCUs) and identify measures to reduce transfusion needs. Data were collected prospectively between September 1998 and November 2000. One hundred twenty-two LTs were included in the study. Forty-two patients (34%) did not require transfusion of PRCUs. In multivariate analysis, transfusion of more than three PRCUs was found to be the only significant variable associated with prolonged hospital stay. In addition, excluding perioperative deaths, PRCU transfusion, using a cutoff value of six units, was the only variable to reach statistical significance (P =.008; risk ratio, 4.93; 95% confidence interval, 15 to 15.9) to predict survival in a multivariate analysis that also included Child's class and United Network for Organ Sharing (UNOS) classification. Moreover, only preoperative hemoglobin (Hb) level was found to significantly predict the need for transfusion of one or more PCRUs. Finally, only UNOS classification and placement of an intraoperative portacaval shunt were found to be statistically significant to predict the need to transfuse more than six PRCUs. We found the requirement of even a moderate number of blood transfusions is associated with longer hospital stay, and transfusion of more than six PRCUs is associated with diminished survival. Preoperative normalization of Hb levels and placement of an intraoperative portacaval shunt can diminish the number of blood transfusions during LT.", "author" : [ { "dropping-particle" : "", "family" : "Ramos", "given" : "Emilio", "non-dropping-particle" : "", "parse-names" : false, "suffix" : "" }, { "dropping-particle" : "", "family" : "Dalmau", "given" : "Antonia", "non-dropping-particle" : "", "parse-names" : false, "suffix" : "" }, { "dropping-particle" : "", "family" : "Sabate", "given" : "Antonio", "non-dropping-particle" : "", "parse-names" : false, "suffix" : "" }, { "dropping-particle" : "", "family" : "Lama", "given" : "Carmen", "non-dropping-particle" : "", "parse-names" : false, "suffix" : "" }, { "dropping-particle" : "", "family" : "Llado", "given" : "Laura", "non-dropping-particle" : "", "parse-names" : false, "suffix" : "" }, { "dropping-particle" : "", "family" : "Figueras", "given" : "Juan", "non-dropping-particle" : "", "parse-names" : false, "suffix" : "" }, { "dropping-particle" : "", "family" : "Jaurrieta", "given" : "Eduardo", "non-dropping-particle" : "", "parse-names" : false, "suffix" : "" } ], "container-title" : "Liver transplantation : official publication of the American Association for the Study of Liver Diseases and the International Liver Transplantation Society", "id" : "ITEM-1", "issue" : "12", "issued" : { "date-parts" : [ [ "2003", "12" ] ] }, "page" : "1320-7", "publisher" : "Ramos,Emilio. Liver Transplantation Unit, Hospital Universitario de Bellvitge, Barcelona, Spain. eramos@csub.scs.es", "publisher-place" : "United States, Unidad de Trasplante Hepatico, Hospital Universitario de Bellvitge, L'Hospitalet, Av. Feixa Llarga s/n, 08907 Barcelona, Spain. E-mail: eramos@csub.scs.es", "title" : "Intraoperative red blood cell transfusion in liver transplantation: influence on patient outcome, prediction of requirements, and measures to reduce them.", "type" : "article-journal", "volume" : "9" }, "uris" : [ "http://www.mendeley.com/documents/?uuid=b0be0f3a-46e9-44da-95a7-b29c04077f76" ] }, { "id" : "ITEM-2", "itemData" : { "DOI" : "10.1002/bjs.4026", "ISBN" : "0007-1323", "ISSN" : "0007-1323", "PMID" : "12520574", "abstract" : "BACKGROUND Venovenous bypass was considered necessary to maintain haemodynamic stability and avoid splanchnic and retroperitoneal congestion during the anhepatic phase of liver transplantation. It was essential for right lobe living donor liver transplantation (LDLT) in which the inferior vena cava needed to be cross-clamped to construct wide and short hepatic vein anastomoses. However, many complications related to venovenous bypass have been reported. This study aimed to determine whether venovenous bypass was necessary for right lobe LDLT. METHODS Between June 1996 and June 2001, 72 patients underwent right lobe LDLT. The outcomes for the first 29 patients who had venovenous bypass during the operation were compared with those of the remaining 43 patients who did not have venovenous bypass. In patients without bypass, blood pressure was maintained during the anhepatic phase by boluses of fluid infusion and vasopressors. RESULTS Compared with patients undergoing operation without venovenous bypass, patients who had venovenous bypass required significantly more blood, fresh frozen plasma and platelet infusion, and had a lower body temperature; their postoperative hepatic and renal function in the first week was worse than that in patients who did not have a bypass. The time to tracheal extubation was longer and the incidence of reintubation for ventilatory support was higher with venovenous bypass. Six of the 29 patients with venovenous bypass died in hospital, compared with two of the 43 patients without a bypass (P = 0.05). By multivariate analysis, the lowest body temperature during the transplant operation was the most significant factor that determined hospital death. CONCLUSION Venovenous bypass is not necessary and is probably harmful to patients undergoing right lobe LDLT, and should therefore be avoided.", "author" : [ { "dropping-particle" : "", "family" : "Fan", "given" : "S T", "non-dropping-particle" : "", "parse-names" : false, "suffix" : "" }, { "dropping-particle" : "", "family" : "Yong", "given" : "B H", "non-dropping-particle" : "", "parse-names" : false, "suffix" : "" }, { "dropping-particle" : "", "family" : "Lo", "given" : "C M", "non-dropping-particle" : "", "parse-names" : false, "suffix" : "" }, { "dropping-particle" : "", "family" : "Liu", "given" : "C L", "non-dropping-particle" : "", "parse-names" : false, "suffix" : "" }, { "dropping-particle" : "", "family" : "Wong", "given" : "J", "non-dropping-particle" : "", "parse-names" : false, "suffix" : "" } ], "container-title" : "The British journal of surgery", "id" : "ITEM-2", "issue" : "1", "issued" : { "date-parts" : [ [ "2003", "1" ] ] }, "page" : "48-56", "title" : "Right lobe living donor liver transplantation with or without venovenous bypass.", "type" : "article-journal", "volume" : "90" }, "uris" : [ "http://www.mendeley.com/documents/?uuid=00e5ebee-89cb-407b-84ee-da02d511ca24" ] } ], "mendeley" : { "formattedCitation" : "&lt;sup&gt;[44,89]&lt;/sup&gt;", "plainTextFormattedCitation" : "[44,89]", "previouslyFormattedCitation" : "&lt;sup&gt;[45,90]&lt;/sup&gt;" }, "properties" : { "noteIndex" : 0 }, "schema" : "https://github.com/citation-style-language/schema/raw/master/csl-citation.json" }</w:instrText>
      </w:r>
      <w:r w:rsidR="009E0F7B" w:rsidRPr="00884A81">
        <w:rPr>
          <w:rFonts w:ascii="Book Antiqua" w:hAnsi="Book Antiqua"/>
          <w:vertAlign w:val="superscript"/>
        </w:rPr>
        <w:fldChar w:fldCharType="separate"/>
      </w:r>
      <w:r w:rsidR="00217BDC" w:rsidRPr="00884A81">
        <w:rPr>
          <w:rFonts w:ascii="Book Antiqua" w:hAnsi="Book Antiqua"/>
          <w:noProof/>
          <w:vertAlign w:val="superscript"/>
        </w:rPr>
        <w:t>[44,89]</w:t>
      </w:r>
      <w:r w:rsidR="009E0F7B" w:rsidRPr="00884A81">
        <w:rPr>
          <w:rFonts w:ascii="Book Antiqua" w:hAnsi="Book Antiqua"/>
          <w:vertAlign w:val="superscript"/>
        </w:rPr>
        <w:fldChar w:fldCharType="end"/>
      </w:r>
      <w:r w:rsidR="003C0B00">
        <w:rPr>
          <w:rFonts w:ascii="Book Antiqua" w:eastAsia="宋体" w:hAnsi="Book Antiqua" w:hint="eastAsia"/>
          <w:lang w:eastAsia="zh-CN"/>
        </w:rPr>
        <w:t>.</w:t>
      </w:r>
      <w:r w:rsidRPr="00884A81">
        <w:rPr>
          <w:rFonts w:ascii="Book Antiqua" w:hAnsi="Book Antiqua"/>
        </w:rPr>
        <w:t xml:space="preserve"> It is thought that the contact with the bypass circuits triggers fibrinolysis, h</w:t>
      </w:r>
      <w:r w:rsidR="00990D51" w:rsidRPr="00884A81">
        <w:rPr>
          <w:rFonts w:ascii="Book Antiqua" w:hAnsi="Book Antiqua"/>
        </w:rPr>
        <w:t>a</w:t>
      </w:r>
      <w:r w:rsidRPr="00884A81">
        <w:rPr>
          <w:rFonts w:ascii="Book Antiqua" w:hAnsi="Book Antiqua"/>
        </w:rPr>
        <w:t>emolysis and platelet activation</w:t>
      </w:r>
      <w:r w:rsidR="00DA60AD" w:rsidRPr="00884A81">
        <w:rPr>
          <w:rFonts w:ascii="Book Antiqua" w:hAnsi="Book Antiqua"/>
        </w:rPr>
        <w:t xml:space="preserve">, thus impairing </w:t>
      </w:r>
      <w:r w:rsidR="00497124" w:rsidRPr="00884A81">
        <w:rPr>
          <w:rFonts w:ascii="Book Antiqua" w:hAnsi="Book Antiqua"/>
        </w:rPr>
        <w:t xml:space="preserve">or </w:t>
      </w:r>
      <w:r w:rsidR="00DA60AD" w:rsidRPr="00884A81">
        <w:rPr>
          <w:rFonts w:ascii="Book Antiqua" w:hAnsi="Book Antiqua"/>
        </w:rPr>
        <w:t>worsening</w:t>
      </w:r>
      <w:r w:rsidRPr="00884A81">
        <w:rPr>
          <w:rFonts w:ascii="Book Antiqua" w:hAnsi="Book Antiqua"/>
        </w:rPr>
        <w:t xml:space="preserve"> h</w:t>
      </w:r>
      <w:r w:rsidR="00990D51" w:rsidRPr="00884A81">
        <w:rPr>
          <w:rFonts w:ascii="Book Antiqua" w:hAnsi="Book Antiqua"/>
        </w:rPr>
        <w:t>a</w:t>
      </w:r>
      <w:r w:rsidRPr="00884A81">
        <w:rPr>
          <w:rFonts w:ascii="Book Antiqua" w:hAnsi="Book Antiqua"/>
        </w:rPr>
        <w:t xml:space="preserve">emostasis. </w:t>
      </w:r>
      <w:r w:rsidRPr="00884A81">
        <w:rPr>
          <w:rFonts w:ascii="Book Antiqua" w:hAnsi="Book Antiqua" w:cs="Times New Roman"/>
        </w:rPr>
        <w:t xml:space="preserve">Despite </w:t>
      </w:r>
      <w:r w:rsidR="00DA60AD" w:rsidRPr="00884A81">
        <w:rPr>
          <w:rFonts w:ascii="Book Antiqua" w:hAnsi="Book Antiqua" w:cs="Times New Roman"/>
        </w:rPr>
        <w:t xml:space="preserve">the </w:t>
      </w:r>
      <w:r w:rsidRPr="00884A81">
        <w:rPr>
          <w:rFonts w:ascii="Book Antiqua" w:hAnsi="Book Antiqua" w:cs="Times New Roman"/>
        </w:rPr>
        <w:t>encouraging data from case series, a Cochrane review that included two trials with high risk of bias comparing the piggyback with the conventional method of liver transplantation did not find enough evidence to recommend or refute the use of the piggyback method</w:t>
      </w:r>
      <w:r w:rsidR="003C0B00" w:rsidRPr="00884A81">
        <w:rPr>
          <w:rFonts w:ascii="Book Antiqua" w:hAnsi="Book Antiqua" w:cs="Times New Roman"/>
        </w:rPr>
        <w:fldChar w:fldCharType="begin" w:fldLock="1"/>
      </w:r>
      <w:r w:rsidR="003C0B00" w:rsidRPr="00884A81">
        <w:rPr>
          <w:rFonts w:ascii="Book Antiqua" w:hAnsi="Book Antiqua" w:cs="Times New Roman"/>
        </w:rPr>
        <w:instrText>ADDIN CSL_CITATION { "citationItems" : [ { "id" : "ITEM-1", "itemData" : { "DOI" : "10.1002/14651858.CD008258.pub2", "ISSN" : "1469-493X", "PMID" : "21249703", "abstract" : "BACKGROUND Piggy-back method of transplantation, which involves preservation of the recipient retrohepatic inferior vena cava, has been suggested as an alternative to the conventional method of liver transplantation, where the recipient retrohepatic inferior vena cava is resected. OBJECTIVES To compare the benefits and harms of piggy-back technique versus conventional liver transplantation as well as of the different modifications of piggy-back technique during liver transplantation. SEARCH STRATEGY We searched The Cochrane Hepato-Biliary Group Controlled Trials Register, the Cochrane Central Register of Controlled Trials (CENTRAL) in The Cochrane Library, MEDLINE, EMBASE, and Science Citation Index Expanded until June 2010 for identifying randomised trials using search strategies. SELECTION CRITERIA Only randomised clinical trials, irrespective of language, blinding, or publication status were considered for the review. DATA COLLECTION AND ANALYSIS Two authors (KSG and VP) independently identified trials and independently extracted data. We calculated the mean difference (MD) or standardised mean difference (SMD) with 95% confidence intervals (CI) using both the fixed-effect and the random-effects models with RevMan 5 based on intention-to-treat analysis for continuous outcomes. For binary outcomes, we used the Fisher's exact test since none of the comparisons of binary outcomes included more than one trial. MAIN RESULTS Two trials randomised in total 106 patients to piggy-back method (n = 53) versus conventional method with veno-venous bypass (n = 53). Both trials were at high risk of bias. There was no significant difference in post-operative mortality, primary graft non-function, vascular complications, renal failure, transfusion requirements, intensive therapy unit (ITU) stay, or hospital stay between the two groups. The warm ischaemic time was significantly shorter in the piggy-back method than the conventional method (MD -11.50 minutes; 95% CI -19.35 to -3.65; P &lt; 0.01). The proportion of patients who developed chest complications were significantly higher in the the piggy-back method than the conventional method (75.8% versus 44.1%; P = 0.01).One trial randomised 80 patients to piggy-back with porto-caval bypass (n = 40) versus piggy-back without porto-caval bypass (n = 40). This trial was at high risk of bias. There was no significant difference in post-operative mortality, re-transplantation due to primary graft non-function, vascular complica\u2026", "author" : [ { "dropping-particle" : "", "family" : "Gurusamy", "given" : "Kurinchi Selvan", "non-dropping-particle" : "", "parse-names" : false, "suffix" : "" }, { "dropping-particle" : "", "family" : "Pamecha", "given" : "Viniyendra", "non-dropping-particle" : "", "parse-names" : false, "suffix" : "" }, { "dropping-particle" : "", "family" : "Davidson", "given" : "Brian R", "non-dropping-particle" : "", "parse-names" : false, "suffix" : "" } ], "container-title" : "The Cochrane database of systematic reviews", "id" : "ITEM-1", "issue" : "1", "issued" : { "date-parts" : [ [ "2011" ] ] }, "page" : "CD008258", "title" : "Piggy-back graft for liver transplantation.", "type" : "article-journal" }, "uris" : [ "http://www.mendeley.com/documents/?uuid=b061ff9f-ba32-4cf4-afc2-973bdfd83695" ] } ], "mendeley" : { "formattedCitation" : "&lt;sup&gt;[85]&lt;/sup&gt;", "plainTextFormattedCitation" : "[85]", "previouslyFormattedCitation" : "&lt;sup&gt;[86]&lt;/sup&gt;" }, "properties" : { "noteIndex" : 0 }, "schema" : "https://github.com/citation-style-language/schema/raw/master/csl-citation.json" }</w:instrText>
      </w:r>
      <w:r w:rsidR="003C0B00" w:rsidRPr="00884A81">
        <w:rPr>
          <w:rFonts w:ascii="Book Antiqua" w:hAnsi="Book Antiqua" w:cs="Times New Roman"/>
        </w:rPr>
        <w:fldChar w:fldCharType="separate"/>
      </w:r>
      <w:r w:rsidR="003C0B00" w:rsidRPr="00884A81">
        <w:rPr>
          <w:rFonts w:ascii="Book Antiqua" w:hAnsi="Book Antiqua" w:cs="Times New Roman"/>
          <w:noProof/>
          <w:vertAlign w:val="superscript"/>
        </w:rPr>
        <w:t>[85]</w:t>
      </w:r>
      <w:r w:rsidR="003C0B00" w:rsidRPr="00884A81">
        <w:rPr>
          <w:rFonts w:ascii="Book Antiqua" w:hAnsi="Book Antiqua" w:cs="Times New Roman"/>
        </w:rPr>
        <w:fldChar w:fldCharType="end"/>
      </w:r>
      <w:r w:rsidR="00DA60AD" w:rsidRPr="00884A81">
        <w:rPr>
          <w:rFonts w:ascii="Book Antiqua" w:hAnsi="Book Antiqua" w:cs="Times New Roman"/>
        </w:rPr>
        <w:t>.</w:t>
      </w:r>
      <w:r w:rsidR="003C0B00" w:rsidRPr="00884A81">
        <w:rPr>
          <w:rFonts w:ascii="Book Antiqua" w:hAnsi="Book Antiqua" w:cs="Times New Roman"/>
        </w:rPr>
        <w:t xml:space="preserve"> </w:t>
      </w:r>
    </w:p>
    <w:p w14:paraId="6238EC1B" w14:textId="77777777" w:rsidR="0029307E" w:rsidRPr="00884A81" w:rsidRDefault="0029307E" w:rsidP="00884A81">
      <w:pPr>
        <w:spacing w:line="360" w:lineRule="auto"/>
        <w:jc w:val="both"/>
        <w:rPr>
          <w:rFonts w:ascii="Book Antiqua" w:hAnsi="Book Antiqua" w:cs="Times New Roman"/>
        </w:rPr>
      </w:pPr>
    </w:p>
    <w:p w14:paraId="3CC6B49B" w14:textId="19E337D2" w:rsidR="0029307E" w:rsidRPr="00884A81" w:rsidRDefault="003C0B00" w:rsidP="00884A81">
      <w:pPr>
        <w:spacing w:line="360" w:lineRule="auto"/>
        <w:jc w:val="both"/>
        <w:rPr>
          <w:rFonts w:ascii="Book Antiqua" w:hAnsi="Book Antiqua" w:cs="Times New Roman"/>
          <w:b/>
        </w:rPr>
      </w:pPr>
      <w:r w:rsidRPr="00884A81">
        <w:rPr>
          <w:rFonts w:ascii="Book Antiqua" w:hAnsi="Book Antiqua" w:cs="Times New Roman"/>
          <w:b/>
        </w:rPr>
        <w:t>MANAGEMENT OF MASSIVE BLOOD LOSS</w:t>
      </w:r>
    </w:p>
    <w:p w14:paraId="1846B9EB" w14:textId="0DB6D3DF" w:rsidR="0029307E" w:rsidRPr="003C0B00" w:rsidRDefault="0029307E" w:rsidP="00884A81">
      <w:pPr>
        <w:spacing w:line="360" w:lineRule="auto"/>
        <w:jc w:val="both"/>
        <w:rPr>
          <w:rFonts w:ascii="Book Antiqua" w:hAnsi="Book Antiqua"/>
          <w:b/>
          <w:i/>
        </w:rPr>
      </w:pPr>
      <w:r w:rsidRPr="003C0B00">
        <w:rPr>
          <w:rFonts w:ascii="Book Antiqua" w:hAnsi="Book Antiqua"/>
          <w:b/>
          <w:i/>
        </w:rPr>
        <w:t>Lessons from the Battlefield</w:t>
      </w:r>
    </w:p>
    <w:p w14:paraId="6C571B33" w14:textId="791E655F" w:rsidR="0029307E" w:rsidRPr="00884A81" w:rsidRDefault="0029307E" w:rsidP="00884A81">
      <w:pPr>
        <w:spacing w:line="360" w:lineRule="auto"/>
        <w:jc w:val="both"/>
        <w:rPr>
          <w:rFonts w:ascii="Book Antiqua" w:hAnsi="Book Antiqua"/>
        </w:rPr>
      </w:pPr>
      <w:r w:rsidRPr="00884A81">
        <w:rPr>
          <w:rFonts w:ascii="Book Antiqua" w:hAnsi="Book Antiqua"/>
        </w:rPr>
        <w:t>Many of the developments in the management of the exsanguinating patient have come from the trauma literature and the experience gained by treating military casualties in the Iraq and Afghanistan wars.</w:t>
      </w:r>
      <w:r w:rsidR="00884A81" w:rsidRPr="00884A81">
        <w:rPr>
          <w:rFonts w:ascii="Book Antiqua" w:hAnsi="Book Antiqua"/>
        </w:rPr>
        <w:t xml:space="preserve"> </w:t>
      </w:r>
      <w:r w:rsidRPr="00884A81">
        <w:rPr>
          <w:rFonts w:ascii="Book Antiqua" w:hAnsi="Book Antiqua"/>
        </w:rPr>
        <w:t xml:space="preserve">Haemorrhage is the leading cause of death in the first hour following traumatic injury and causes </w:t>
      </w:r>
      <w:r w:rsidRPr="00884A81">
        <w:rPr>
          <w:rFonts w:ascii="Book Antiqua" w:hAnsi="Book Antiqua"/>
        </w:rPr>
        <w:lastRenderedPageBreak/>
        <w:t>40% of all trauma deaths</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"10.1177/0885066611403273", "ISSN" : "1525-1489", "PMID" : "21747123", "abstract" : "Definitive management of the exsanguinating patient continues to challenge providers in multiple specialties. Significant hemorrhage may be encountered in a variety of patient care circumstances. Over the past two decades, the vast majority of data and evidence regarding transfusion in the exsanguinating patient has been based upon the trauma literature, and a large amount of recent research has investigated this subject area. In addition to the care of trauma patients, the data which have emerged can also be extrapolated to the treatment of nontrauma patients undergoing transfusion for major hemorrhage. The concept of massive transfusion is an evolving paradigm, and numerous investigations have challenged old principles while creating new controversies. The current review will examine the latest developments in the management of patients with profound hemorrhage. The challenges of dealing with the \"lethal triad\" will be discussed, as will the various aspects of damage control and hemostatic resuscitation. The latest literature and controversy regarding massive transfusions and massive transfusion protocols will be elucidated with inclusion of data from recent military experiences. Finally, adjuncts including the most recent advances in hemorrhage control, identification of early predictors for massive transfusion, and utilization of pharmacologic and complementary factor agent therapy will be discussed.", "author" : [ { "dropping-particle" : "", "family" : "Riha", "given" : "Gordon M", "non-dropping-particle" : "", "parse-names" : false, "suffix" : "" }, { "dropping-particle" : "", "family" : "Schreiber", "given" : "Martin A", "non-dropping-particle" : "", "parse-names" : false, "suffix" : "" } ], "container-title" : "Journal of intensive care medicine", "id" : "ITEM-1", "issue" : "1", "issued" : { "date-parts" : [ [ "2013" ] ] }, "page" : "46-57", "publisher" : "Riha,Gordon M. Department of Surgery, Division of Trauma, Critical Care, and Acute Care Surgery, Oregon Health &amp; Science University, Portland, OR 97239, USA.", "publisher-place" : "United States", "title" : "Update and new developments in the management of the exsanguinating patient.", "type" : "article-journal", "volume" : "28" }, "uris" : [ "http://www.mendeley.com/documents/?uuid=81651f6d-f5d5-4b41-bf0f-9f78a7d5c751", "http://www.mendeley.com/documents/?uuid=e293d712-c074-40fd-82eb-7ac75fab6416" ] } ], "mendeley" : { "formattedCitation" : "&lt;sup&gt;[90]&lt;/sup&gt;", "plainTextFormattedCitation" : "[90]", "previouslyFormattedCitation" : "&lt;sup&gt;[91]&lt;/sup&gt;"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[90]</w:t>
      </w:r>
      <w:r w:rsidR="004C4F3B" w:rsidRPr="00884A81">
        <w:rPr>
          <w:rFonts w:ascii="Book Antiqua" w:hAnsi="Book Antiqua"/>
        </w:rPr>
        <w:fldChar w:fldCharType="end"/>
      </w:r>
      <w:r w:rsidRPr="00884A81">
        <w:rPr>
          <w:rFonts w:ascii="Book Antiqua" w:hAnsi="Book Antiqua"/>
        </w:rPr>
        <w:t>. Treatment of massive haemorrhage was historically concerned with restoration of circulating volume using crystalloids until a transfusion trigger was met (commonly 6 g/L) after which packed red cells were to be given. Both British and American guidelines advised only giving FFP after the loss of approximately one blood vol</w:t>
      </w:r>
      <w:r w:rsidR="004C4F3B">
        <w:rPr>
          <w:rFonts w:ascii="Book Antiqua" w:hAnsi="Book Antiqua"/>
        </w:rPr>
        <w:t>ume and aiming for an INR &lt; 1.5</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"10.1097/00000542-200607000-00030", "ISSN" : "0003-3022", "PMID" : "16810012", "author" : [ { "dropping-particle" : "", "family" : "American Society of Anesthesiologists Task Force on Perioperative Blood Transfusion and Adjuvant Therapies", "given" : "", "non-dropping-particle" : "", "parse-names" : false, "suffix" : "" } ], "container-title" : "Anesthesiology", "id" : "ITEM-1", "issue" : "1", "issued" : { "date-parts" : [ [ "2006", "7", "1" ] ] }, "page" : "198-208", "publisher" : "The American Society of Anesthesiologists", "title" : "Practice guidelines for perioperative blood transfusion and adjuvant therapies: an updated report by the American Society of Anesthesiologists Task Force on Perioperative Blood Transfusion and Adjuvant Therapies.", "type" : "article-journal", "volume" : "105" }, "uris" : [ "http://www.mendeley.com/documents/?uuid=5a1ab2ad-d06d-41dc-88b6-b06f6f55ac46", "http://www.mendeley.com/documents/?uuid=5835b885-d206-4f84-a28e-525f24e7d610" ] }, { "id" : "ITEM-2", "itemData" : { "DOI" : "10.1093/bja/85.3.487", "ISSN" : "0007-0912", "PMID" : "11103199", "abstract" : "The management of acute massive blood loss is considered and a template guideline is formulated, supported by a review of the key literature and current evidence. It is emphasized that, if avoidable deaths are to be prevented, surgeons, anaesthetists, haematologists and blood-bank staff need to communicate closely in order to achieve the goals of secure haemostasis, restoration of circulating volume, and effective management of blood component replacement.", "author" : [ { "dropping-particle" : "", "family" : "Stainsby", "given" : "D.", "non-dropping-particle" : "", "parse-names" : false, "suffix" : "" }, { "dropping-particle" : "", "family" : "MacLennan", "given" : "S.", "non-dropping-particle" : "", "parse-names" : false, "suffix" : "" }, { "dropping-particle" : "", "family" : "Hamilton", "given" : "P. J.", "non-dropping-particle" : "", "parse-names" : false, "suffix" : "" } ], "container-title" : "British Journal of Anaesthesia", "id" : "ITEM-2", "issue" : "3", "issued" : { "date-parts" : [ [ "2000", "9", "1" ] ] }, "page" : "487-491", "title" : "Management of massive blood loss: a template guideline", "type" : "article-journal", "volume" : "85" }, "uris" : [ "http://www.mendeley.com/documents/?uuid=3f24d786-8ffa-48d0-a0ce-85eb66bda95a", "http://www.mendeley.com/documents/?uuid=96213500-8baf-47fd-a33c-c80218cfde94" ] } ], "mendeley" : { "formattedCitation" : "&lt;sup&gt;[34,91]&lt;/sup&gt;", "plainTextFormattedCitation" : "[34,91]", "previouslyFormattedCitation" : "&lt;sup&gt;[35,92]&lt;/sup&gt;"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[34,91]</w:t>
      </w:r>
      <w:r w:rsidRPr="00884A81">
        <w:rPr>
          <w:rFonts w:ascii="Book Antiqua" w:hAnsi="Book Antiqua"/>
        </w:rPr>
        <w:fldChar w:fldCharType="end"/>
      </w:r>
      <w:r w:rsidR="004C4F3B">
        <w:rPr>
          <w:rFonts w:ascii="Book Antiqua" w:eastAsia="宋体" w:hAnsi="Book Antiqua" w:hint="eastAsia"/>
          <w:lang w:eastAsia="zh-CN"/>
        </w:rPr>
        <w:t>.</w:t>
      </w:r>
      <w:r w:rsidRPr="00884A81">
        <w:rPr>
          <w:rFonts w:ascii="Book Antiqua" w:hAnsi="Book Antiqua"/>
        </w:rPr>
        <w:t xml:space="preserve"> Coagulation abnormalities with trauma patients were thought to be as a result of closed head injury or iatrogenic due to massive blood transfusion or excessive fluid resuscitation. Two papers from 2003 challenged this concept and demonstrated that patients presenting with major trauma commonly had a significant coagulopathy that was present before resuscitation had commenced and was an ind</w:t>
      </w:r>
      <w:r w:rsidR="004C4F3B">
        <w:rPr>
          <w:rFonts w:ascii="Book Antiqua" w:hAnsi="Book Antiqua"/>
        </w:rPr>
        <w:t>ependent predictor of mortality</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"10.1097/01.TA.0000075338.21177.EF", "ISBN" : "0022-5282", "ISSN" : "0022-5282", "PMID" : "12855879", "abstract" : "BACKGROUND Coagulopathy and hemorrhage are known contributors to trauma mortality; however, the actual relationship of prothrombin time (PT) and partial thromboplastin time (PTT) to mortality is unknown. Our objective was to measure the predictive value of the initial coagulopathy profile for trauma-related mortality. METHODS We reviewed prospectively collected data on trauma patients presenting to a Level I trauma center. A logistic regression analysis was performed of PT, PTT, platelet count, and confounders to determine whether coagulopathy is a predictor of all-cause mortality. RESULTS From a trauma registry cohort of 20103 patients, 14397 had complete disposition data for initial analysis and 7638 had complete data for all variables in the final analysis. The total cohort was 76.2% male, the mean age was 38 years (range, 1-108 years), and the median Injury Severity Score was 9. There were 1276 deaths (all-cause mortality, 8.9%). The prevalence of coagulopathy early in the postinjury period was substantial, with 28% of patients having an abnormal PT (2994 of 10790) and 8% of patients having an abnormal PTT (826 of 10453) on arrival at the trauma bay. In patients with disposition data and a normal PT, 489 of 7796 died, as compared with 579 of 2994 with an abnormal PT (6.3% vs. 19.3%; chi2 = 414.1, p &lt; 0.001). Univariate analysis generated an odds ratio of 3.6 (95% confidence interval [CI], 3.15-4.08; p &lt; 0.0001) for death with abnormal PT and 7.81 (95% CI, 6.65-9.17; p &lt; 0.001) for deaths with an abnormal PTT. The PT and PTT remained independent predictors of mortality in a multiple regression model, whereas platelet count did not. The model also included the independent risk factors age, Injury Severity Score, scene and trauma-bay blood pressure, hematocrit, base deficit, and head injury. The model generated an adjusted odds ratio of 1.35 for PT (95% CI, 1.11-1.68; p &lt; 0.001) and 4.26 for PTT (95% CI, 3.23-5.63; p &lt; 0.001). CONCLUSION The incidence of coagulation abnormalities, early after trauma, is high and they are independent predictors of mortality even in the presence of other risk factors. An initial abnormal PT increases the adjusted odds of dying by 35% and an initial abnormal PTT increases the adjusted odds of dying by 326%.", "author" : [ { "dropping-particle" : "", "family" : "MacLeod", "given" : "Jana B A", "non-dropping-particle" : "", "parse-names" : false, "suffix" : "" }, { "dropping-particle" : "", "family" : "Lynn", "given" : "Mauricio", "non-dropping-particle" : "", "parse-names" : false, "suffix" : "" }, { "dropping-particle" : "", "family" : "McKenney", "given" : "Mark G", "non-dropping-particle" : "", "parse-names" : false, "suffix" : "" }, { "dropping-particle" : "", "family" : "Cohn", "given" : "Stephen M", "non-dropping-particle" : "", "parse-names" : false, "suffix" : "" }, { "dropping-particle" : "", "family" : "Murtha", "given" : "Mary", "non-dropping-particle" : "", "parse-names" : false, "suffix" : "" } ], "container-title" : "The Journal of trauma", "id" : "ITEM-1", "issue" : "1", "issued" : { "date-parts" : [ [ "2003", "7" ] ] }, "page" : "39-44", "title" : "Early coagulopathy predicts mortality in trauma.", "type" : "article-journal", "volume" : "55" }, "uris" : [ "http://www.mendeley.com/documents/?uuid=437bad94-e534-49f1-8a95-2b1315836b8d", "http://www.mendeley.com/documents/?uuid=2fb56f74-de85-4b27-b417-d8cdef7645bf" ] }, { "id" : "ITEM-2", "itemData" : { "DOI" : "10.1097/01.TA.0000069184.82147.06", "ISBN" : "1473-6500; 0952-7907", "ISSN" : "0022-5282", "PMID" : "12813333", "abstract" : "BACKGROUND Traumatic coagulopathy is thought to be caused primarily by fluid administration and hypothermia. METHODS A retrospective study was performed to determine whether coagulopathy resulting from the injury itself is a clinically important entity in severely injured patients. RESULTS One thousand eight hundred sixty-seven consecutive trauma patients were reviewed, of whom 1,088 had full data sets. Median Injury Severity Score was 20, and 57.7% had an Injury Severity Score &gt; 15; 24.4% of patients had a significant coagulopathy. Patients with an acute coagulopathy had significantly higher mortality (46.0% vs. 10.9%; chi2, p &lt; 0.001). The incidence of coagulopathy increased with severity of injury, but was not related to the volume of intravenous fluid administered (r2 = 0.25, p &lt; 0.001). CONCLUSION There is a common and clinically important acute traumatic coagulopathy that is not related to fluid administration. This is a marker of injury severity and is related to mortality. A coagulation screen is an important early test in severely injured patients.", "author" : [ { "dropping-particle" : "", "family" : "Brohi", "given" : "Karim", "non-dropping-particle" : "", "parse-names" : false, "suffix" : "" }, { "dropping-particle" : "", "family" : "Singh", "given" : "Jasmin", "non-dropping-particle" : "", "parse-names" : false, "suffix" : "" }, { "dropping-particle" : "", "family" : "Heron", "given" : "Mischa", "non-dropping-particle" : "", "parse-names" : false, "suffix" : "" }, { "dropping-particle" : "", "family" : "Coats", "given" : "Timothy", "non-dropping-particle" : "", "parse-names" : false, "suffix" : "" } ], "container-title" : "The Journal of trauma", "id" : "ITEM-2", "issue" : "6", "issued" : { "date-parts" : [ [ "2003", "6" ] ] }, "page" : "1127-30", "title" : "Acute traumatic coagulopathy.", "type" : "article-journal", "volume" : "54" }, "uris" : [ "http://www.mendeley.com/documents/?uuid=95e28394-201e-4e26-9c4e-9defcd6423c2", "http://www.mendeley.com/documents/?uuid=229187e5-2c57-4f15-96a0-f057e707d8d0" ] } ], "mendeley" : { "formattedCitation" : "&lt;sup&gt;[92,93]&lt;/sup&gt;", "plainTextFormattedCitation" : "[92,93]", "previouslyFormattedCitation" : "&lt;sup&gt;[93,94]&lt;/sup&gt;"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[92,93]</w:t>
      </w:r>
      <w:r w:rsidRPr="00884A81">
        <w:rPr>
          <w:rFonts w:ascii="Book Antiqua" w:hAnsi="Book Antiqua"/>
        </w:rPr>
        <w:fldChar w:fldCharType="end"/>
      </w:r>
      <w:r w:rsidR="004C4F3B">
        <w:rPr>
          <w:rFonts w:ascii="Book Antiqua" w:eastAsia="宋体" w:hAnsi="Book Antiqua" w:hint="eastAsia"/>
          <w:lang w:eastAsia="zh-CN"/>
        </w:rPr>
        <w:t>.</w:t>
      </w:r>
      <w:r w:rsidRPr="00884A81">
        <w:rPr>
          <w:rFonts w:ascii="Book Antiqua" w:hAnsi="Book Antiqua"/>
        </w:rPr>
        <w:t xml:space="preserve"> This coagulopathy was termed acute coagulopathy of trauma. </w:t>
      </w:r>
    </w:p>
    <w:p w14:paraId="20C3D3C8" w14:textId="63AA439D" w:rsidR="00E00569" w:rsidRPr="00884A81" w:rsidRDefault="00C56D38" w:rsidP="004C4F3B">
      <w:pPr>
        <w:spacing w:line="360" w:lineRule="auto"/>
        <w:ind w:firstLineChars="100" w:firstLine="240"/>
        <w:jc w:val="both"/>
        <w:rPr>
          <w:rFonts w:ascii="Book Antiqua" w:hAnsi="Book Antiqua"/>
        </w:rPr>
      </w:pPr>
      <w:r w:rsidRPr="00884A81">
        <w:rPr>
          <w:rFonts w:ascii="Book Antiqua" w:hAnsi="Book Antiqua"/>
        </w:rPr>
        <w:t>Acute coagulopathy of trauma is characterised by ooze-type bleeding from mucosal regions, serosal surfaces and vascular access sites distinc</w:t>
      </w:r>
      <w:r w:rsidR="004C4F3B">
        <w:rPr>
          <w:rFonts w:ascii="Book Antiqua" w:hAnsi="Book Antiqua"/>
        </w:rPr>
        <w:t>t from simple massive bleeding</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"10.1186/cc13816", "ISSN" : "1466-609X", "PMID" : "24708802", "abstract" : "INTRODUCTION We tested two hypotheses that disseminated intravascular coagulation (DIC) and acute coagulopathy of trauma-shock (ACOTS) in the early phase of trauma are similar disease entities and that the DIC score on admission can be used to predict the prognosis of patients with coagulopathy of trauma. METHODS We conducted a retrospective study of 562 trauma patients, including 338 patients whose data were obtained immediately after admission to the emergency department. We collected serial data for the platelet counts, global markers of coagulation and fibrinolysis, and antithrombin levels. DIC was diagnosed according to the Japanese Association for Acute Medicine (JAAM) DIC scoring system, and ACOTS was defined as a prothrombin-time ratio of &gt;1.2. RESULTS The higher levels of fibrin/fibrinogen degradation products (FDP) and D-dimer and greater FDP/D-dimer ratios in the DIC patients suggested DIC with the fibrinolytic phenotype. The DIC patients with the fibrinolytic phenotype exhibited persistently lower platelet counts and fibrinogen levels, increased prothrombin time ratios, higher FDP and D-dimer levels, and lower antithrombin levels compared with the non-DIC patients on arrival to the emergency department and during the early stage of trauma. Almost all ACOTS patients met the criteria for a diagnosis of DIC; therefore, the same changes were observed in the platelet counts, global markers of coagulation and fibrinolysis, and antithrombin levels as noted in the DIC patients. The JAAM DIC score obtained immediately after arrival to the emergency department was an independent predictor of massive transfusion and death due to trauma and correlated with the amount of blood transfused. CONCLUSIONS Patients who develop DIC with the fibrinolytic phenotype during the early stage of trauma exhibit consumption coagulopathy associated with increased fibrin(ogen)olysis and lower levels of antithrombin. The same is true in patients with ACOTS. The JAAM DIC score can be used to predict the prognosis of patients with coagulopathy of trauma.", "author" : [ { "dropping-particle" : "", "family" : "Oshiro", "given" : "Akiko", "non-dropping-particle" : "", "parse-names" : false, "suffix" : "" }, { "dropping-particle" : "", "family" : "Yanagida", "given" : "Yuichiro", "non-dropping-particle" : "", "parse-names" : false, "suffix" : "" }, { "dropping-particle" : "", "family" : "Gando", "given" : "Satoshi", "non-dropping-particle" : "", "parse-names" : false, "suffix" : "" }, { "dropping-particle" : "", "family" : "Henzan", "given" : "Naomi", "non-dropping-particle" : "", "parse-names" : false, "suffix" : "" }, { "dropping-particle" : "", "family" : "Takahashi", "given" : "Isao", "non-dropping-particle" : "", "parse-names" : false, "suffix" : "" }, { "dropping-particle" : "", "family" : "Makise", "given" : "Hiroshi", "non-dropping-particle" : "", "parse-names" : false, "suffix" : "" } ], "container-title" : "Critical care (London, England)", "id" : "ITEM-1", "issue" : "2", "issued" : { "date-parts" : [ [ "2014" ] ] }, "note" : "Comment in: Crit Care. 2014;18(3):151; PMID: 25041819, Comment in: Crit Care. 2014;18(3):437; PMID: 25042468, Comment in: Crit Care. 2014;18(3):437; PMID: 25473660", "page" : "R61", "publisher-place" : "England", "title" : "Hemostasis during the early stages of trauma: comparison with disseminated intravascular coagulation.", "type" : "article-journal", "volume" : "18" }, "uris" : [ "http://www.mendeley.com/documents/?uuid=62a8e22e-3182-4367-b4ac-99e86667cf78" ] } ], "mendeley" : { "formattedCitation" : "&lt;sup&gt;[94]&lt;/sup&gt;", "plainTextFormattedCitation" : "[94]", "previouslyFormattedCitation" : "&lt;sup&gt;[95]&lt;/sup&gt;"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[94]</w:t>
      </w:r>
      <w:r w:rsidRPr="00884A81">
        <w:rPr>
          <w:rFonts w:ascii="Book Antiqua" w:hAnsi="Book Antiqua"/>
        </w:rPr>
        <w:fldChar w:fldCharType="end"/>
      </w:r>
      <w:r w:rsidR="004C4F3B">
        <w:rPr>
          <w:rFonts w:ascii="Book Antiqua" w:eastAsia="宋体" w:hAnsi="Book Antiqua" w:hint="eastAsia"/>
          <w:lang w:eastAsia="zh-CN"/>
        </w:rPr>
        <w:t>.</w:t>
      </w:r>
      <w:r w:rsidRPr="00884A81">
        <w:rPr>
          <w:rFonts w:ascii="Book Antiqua" w:hAnsi="Book Antiqua"/>
        </w:rPr>
        <w:t xml:space="preserve"> </w:t>
      </w:r>
      <w:r w:rsidR="0073668D" w:rsidRPr="00884A81">
        <w:rPr>
          <w:rFonts w:ascii="Book Antiqua" w:hAnsi="Book Antiqua"/>
        </w:rPr>
        <w:t>It</w:t>
      </w:r>
      <w:r w:rsidRPr="00884A81">
        <w:rPr>
          <w:rFonts w:ascii="Book Antiqua" w:hAnsi="Book Antiqua"/>
        </w:rPr>
        <w:t xml:space="preserve"> consists of endogenous primary pathologies - disseminated intravascular coagulation (DIC) and acute coagulopathy trauma shock (ACOTS), and exogenous secondary pathologies</w:t>
      </w:r>
      <w:r w:rsidR="0073668D" w:rsidRPr="00884A81">
        <w:rPr>
          <w:rFonts w:ascii="Book Antiqua" w:hAnsi="Book Antiqua"/>
        </w:rPr>
        <w:t xml:space="preserve"> that </w:t>
      </w:r>
      <w:r w:rsidR="0049481E" w:rsidRPr="00884A81">
        <w:rPr>
          <w:rFonts w:ascii="Book Antiqua" w:hAnsi="Book Antiqua"/>
        </w:rPr>
        <w:t xml:space="preserve">mimic </w:t>
      </w:r>
      <w:r w:rsidR="0073668D" w:rsidRPr="00884A81">
        <w:rPr>
          <w:rFonts w:ascii="Book Antiqua" w:hAnsi="Book Antiqua"/>
        </w:rPr>
        <w:t>DOC and ACOTS</w:t>
      </w:r>
      <w:r w:rsidRPr="00884A81">
        <w:rPr>
          <w:rFonts w:ascii="Book Antiqua" w:hAnsi="Book Antiqua"/>
        </w:rPr>
        <w:t xml:space="preserve"> </w:t>
      </w:r>
      <w:r w:rsidR="004C4F3B">
        <w:rPr>
          <w:rFonts w:ascii="Book Antiqua" w:eastAsia="宋体" w:hAnsi="Book Antiqua" w:hint="eastAsia"/>
          <w:lang w:eastAsia="zh-CN"/>
        </w:rPr>
        <w:t>-</w:t>
      </w:r>
      <w:r w:rsidRPr="00884A81">
        <w:rPr>
          <w:rFonts w:ascii="Book Antiqua" w:hAnsi="Book Antiqua"/>
        </w:rPr>
        <w:t xml:space="preserve"> </w:t>
      </w:r>
      <w:r w:rsidR="0073668D" w:rsidRPr="00884A81">
        <w:rPr>
          <w:rFonts w:ascii="Book Antiqua" w:hAnsi="Book Antiqua"/>
        </w:rPr>
        <w:t>hypothermia, acidosis, anaemia</w:t>
      </w:r>
      <w:r w:rsidR="004C4F3B">
        <w:rPr>
          <w:rFonts w:ascii="Book Antiqua" w:hAnsi="Book Antiqua"/>
        </w:rPr>
        <w:t xml:space="preserve"> and dilutional coagulopathies</w:t>
      </w:r>
      <w:r w:rsidR="0073668D"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"10.1055/s-0035-1564831", "ISSN" : "1098-9064", "PMID" : "26716498", "abstract" : "Trauma-induced coagulopathy is caused by multiple factors, such as anemia, hemodilution, hypothermia, acidosis, shock, and serious trauma itself, which affects patient outcomes due to critical bleeding requiring massive transfusion. Disseminated intravascular coagulation (DIC) with the fibrinolytic phenotype directly caused by trauma and/or traumatic shock has been considered to be the primary pathophysiology of trauma-induced coagulopathy. The key to controlling DIC is vigorous treatment of the underlying disorder, that is, trauma itself and hemorrhagic shock. Damage control resuscitation, consisting of damage control surgery, permissive hypotension, and hemostatic resuscitation, aims to control severe trauma and critical bleeding, which is equivalent to managing the underlying disorder of DIC. At present, however, evidence-based practices for damage control resuscitation are lacking. A robust prospective outcome study for damage control resuscitation that considers DIC with the fibrinolytic phenotype as the main pathological condition of trauma-induced coagulopathy affecting patient outcome is essential for improving therapeutic strategies.", "author" : [ { "dropping-particle" : "", "family" : "Gando", "given" : "Satoshi", "non-dropping-particle" : "", "parse-names" : false, "suffix" : "" }, { "dropping-particle" : "", "family" : "Hayakawa", "given" : "Mineji", "non-dropping-particle" : "", "parse-names" : false, "suffix" : "" } ], "container-title" : "Seminars in thrombosis and hemostasis", "id" : "ITEM-1", "issue" : "2", "issued" : { "date-parts" : [ [ "2016", "3", "30" ] ] }, "note" : "Coagulopathy of trauma\n\nDeviation from physiological changes to haemorrhage - haemostasis and would healing. \n\n1. Endogenous induced primary pathologies\n- DIC\n- ACOTS (acute coagulopathy trauma shock)\nActivated protein C - mediated supression of coagulation\nActivated protein C mediated increased fibrinolysis\n2. Exogenous induced secondary pathologies that modify DOC and ACOTS\n-Anaemia induced coagulopathy\n-Hypthermia indiced coagulaopthu\n-Acidosis induced coagulopathy\n-Diltutional coagulaopthy\n-Others", "page" : "155-65", "title" : "Pathophysiology of Trauma-Induced Coagulopathy and Management of Critical Bleeding Requiring Massive Transfusion.", "type" : "article-journal", "volume" : "42" }, "uris" : [ "http://www.mendeley.com/documents/?uuid=42c59602-cbdc-4998-ae18-a38c36f49833" ] } ], "mendeley" : { "formattedCitation" : "&lt;sup&gt;[95]&lt;/sup&gt;", "plainTextFormattedCitation" : "[95]", "previouslyFormattedCitation" : "&lt;sup&gt;[96]&lt;/sup&gt;" }, "properties" : { "noteIndex" : 0 }, "schema" : "https://github.com/citation-style-language/schema/raw/master/csl-citation.json" }</w:instrText>
      </w:r>
      <w:r w:rsidR="0073668D" w:rsidRPr="00884A81">
        <w:rPr>
          <w:rFonts w:ascii="Book Antiqua" w:hAnsi="Book Antiqua"/>
        </w:rPr>
        <w:fldChar w:fldCharType="separate"/>
      </w:r>
      <w:r w:rsidR="00217BDC" w:rsidRPr="00884A81">
        <w:rPr>
          <w:rFonts w:ascii="Book Antiqua" w:hAnsi="Book Antiqua"/>
          <w:noProof/>
          <w:vertAlign w:val="superscript"/>
        </w:rPr>
        <w:t>[95]</w:t>
      </w:r>
      <w:r w:rsidR="0073668D" w:rsidRPr="00884A81">
        <w:rPr>
          <w:rFonts w:ascii="Book Antiqua" w:hAnsi="Book Antiqua"/>
        </w:rPr>
        <w:fldChar w:fldCharType="end"/>
      </w:r>
      <w:r w:rsidR="004C4F3B">
        <w:rPr>
          <w:rFonts w:ascii="Book Antiqua" w:eastAsia="宋体" w:hAnsi="Book Antiqua" w:hint="eastAsia"/>
          <w:lang w:eastAsia="zh-CN"/>
        </w:rPr>
        <w:t>.</w:t>
      </w:r>
      <w:r w:rsidR="0073668D" w:rsidRPr="00884A81">
        <w:rPr>
          <w:rFonts w:ascii="Book Antiqua" w:hAnsi="Book Antiqua"/>
        </w:rPr>
        <w:t xml:space="preserve"> Similarities between the pathophysiological changes that occur in liver transplantation have been suggested in a recent review on haemo</w:t>
      </w:r>
      <w:r w:rsidR="004C4F3B">
        <w:rPr>
          <w:rFonts w:ascii="Book Antiqua" w:hAnsi="Book Antiqua"/>
        </w:rPr>
        <w:t>stasis in liver transplantation</w:t>
      </w:r>
      <w:r w:rsidR="0073668D"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"10.3748/wjg.v22.i4.1541", "ISSN" : "2219-2840", "PMID" : "26819521", "abstract" : "Recent findings in the pathophysiology and monitoring of hemostasis in patients with end stage liver disease have major impact on coagulation management during liver transplantation. There is increasing evidence, that the changes in both coagulation factors and platelet count regularly observed in patients with liver cirrhosis cannot be interpreted as a reliable indicator of diffuse bleeding risk. Instead, a differentiated view on hemostasis has led to the concept of a rebalanced coagulation system: While it is important to recognize that procoagulant factors are reduced in liver cirrhosis, it is also evident that synthesis of anticoagulant factors and fibrinolytic proteins produced in the liver is also diminished. Similarly, the decreased platelet count may be counterbalanced by increased platelet aggregability caused by highly active von Willebrand multimeres. The coagulation system is therefor stated to be rebalanced. While under normal \"unstressed\" conditions diffuse bleeding is rarely observed, however both diffuse bleeding or thrombus formation may occur when compensation mechanisms are exhausted. While most patients presenting for liver transplantation have severe cirrhosis, liver function and thus production of pro- and anticoagulant factors can be preserved especially in cholestatic liver disease. During liver transplantation, profound changes in the hemostasis system can occur. Surgical bleeding can lead to diffuse bleeding as coagulation factors and platelets are already reduced. Ischemia and tissue trauma can lead to alterations of hemostasis comparable to trauma induced coagulopathy. A further common disturbance often starting with the reperfusion of the transplanted organ is hyperfibrinolysis which can eventually precipitate complete consumption of fibrinogen and an endogenous heparinization by glycocalyx shedding. Moreover, thrombotic events in liver transplantations are not uncommon and contribute to increased mortality. Besides conventional laboratory methods, bed-side monitoring of hemostasis (e.g., thrombelastography, thrombelastometry) is often used during liver transplantation to rapidly diagnose decreases in fibrinogen and platelet count as well as hyperfibrinolysis and to guide treatment with blood products, factor concentrates, and antifibrinolytics. There is also evidence which suggests when algorithms based on bed-side hemostasis monitoring are used a reduction of blood loss, blood product use, and eventual mortality are possib\u2026", "author" : [ { "dropping-particle" : "", "family" : "Hartmann", "given" : "Matthias", "non-dropping-particle" : "", "parse-names" : false, "suffix" : "" }, { "dropping-particle" : "", "family" : "Szalai", "given" : "Cynthia", "non-dropping-particle" : "", "parse-names" : false, "suffix" : "" }, { "dropping-particle" : "", "family" : "Saner", "given" : "Fuat H", "non-dropping-particle" : "", "parse-names" : false, "suffix" : "" } ], "container-title" : "World journal of gastroenterology", "id" : "ITEM-1", "issue" : "4", "issued" : { "date-parts" : [ [ "2016", "1", "28" ] ] }, "page" : "1541-50", "title" : "Hemostasis in liver transplantation: Pathophysiology, monitoring, and treatment.", "type" : "article-journal", "volume" : "22" }, "uris" : [ "http://www.mendeley.com/documents/?uuid=9b80a293-8e9a-4694-936e-d7b911fdd171" ] } ], "mendeley" : { "formattedCitation" : "&lt;sup&gt;[96]&lt;/sup&gt;", "plainTextFormattedCitation" : "[96]", "previouslyFormattedCitation" : "&lt;sup&gt;[97]&lt;/sup&gt;" }, "properties" : { "noteIndex" : 0 }, "schema" : "https://github.com/citation-style-language/schema/raw/master/csl-citation.json" }</w:instrText>
      </w:r>
      <w:r w:rsidR="0073668D" w:rsidRPr="00884A81">
        <w:rPr>
          <w:rFonts w:ascii="Book Antiqua" w:hAnsi="Book Antiqua"/>
        </w:rPr>
        <w:fldChar w:fldCharType="separate"/>
      </w:r>
      <w:r w:rsidR="00217BDC" w:rsidRPr="00884A81">
        <w:rPr>
          <w:rFonts w:ascii="Book Antiqua" w:hAnsi="Book Antiqua"/>
          <w:noProof/>
          <w:vertAlign w:val="superscript"/>
        </w:rPr>
        <w:t>[96]</w:t>
      </w:r>
      <w:r w:rsidR="0073668D" w:rsidRPr="00884A81">
        <w:rPr>
          <w:rFonts w:ascii="Book Antiqua" w:hAnsi="Book Antiqua"/>
        </w:rPr>
        <w:fldChar w:fldCharType="end"/>
      </w:r>
      <w:r w:rsidR="004C4F3B">
        <w:rPr>
          <w:rFonts w:ascii="Book Antiqua" w:eastAsia="宋体" w:hAnsi="Book Antiqua" w:hint="eastAsia"/>
          <w:lang w:eastAsia="zh-CN"/>
        </w:rPr>
        <w:t>.</w:t>
      </w:r>
      <w:r w:rsidR="0029435D" w:rsidRPr="00884A81">
        <w:rPr>
          <w:rFonts w:ascii="Book Antiqua" w:hAnsi="Book Antiqua"/>
        </w:rPr>
        <w:t xml:space="preserve"> Derangements in thrombin-thrombomodulin-protein C system lead to anticoagulation in both trauma and liver transplantation patients</w:t>
      </w:r>
      <w:r w:rsidR="0029435D"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"10.3748/wjg.v22.i4.1541", "ISSN" : "2219-2840", "PMID" : "26819521", "abstract" : "Recent findings in the pathophysiology and monitoring of hemostasis in patients with end stage liver disease have major impact on coagulation management during liver transplantation. There is increasing evidence, that the changes in both coagulation factors and platelet count regularly observed in patients with liver cirrhosis cannot be interpreted as a reliable indicator of diffuse bleeding risk. Instead, a differentiated view on hemostasis has led to the concept of a rebalanced coagulation system: While it is important to recognize that procoagulant factors are reduced in liver cirrhosis, it is also evident that synthesis of anticoagulant factors and fibrinolytic proteins produced in the liver is also diminished. Similarly, the decreased platelet count may be counterbalanced by increased platelet aggregability caused by highly active von Willebrand multimeres. The coagulation system is therefor stated to be rebalanced. While under normal \"unstressed\" conditions diffuse bleeding is rarely observed, however both diffuse bleeding or thrombus formation may occur when compensation mechanisms are exhausted. While most patients presenting for liver transplantation have severe cirrhosis, liver function and thus production of pro- and anticoagulant factors can be preserved especially in cholestatic liver disease. During liver transplantation, profound changes in the hemostasis system can occur. Surgical bleeding can lead to diffuse bleeding as coagulation factors and platelets are already reduced. Ischemia and tissue trauma can lead to alterations of hemostasis comparable to trauma induced coagulopathy. A further common disturbance often starting with the reperfusion of the transplanted organ is hyperfibrinolysis which can eventually precipitate complete consumption of fibrinogen and an endogenous heparinization by glycocalyx shedding. Moreover, thrombotic events in liver transplantations are not uncommon and contribute to increased mortality. Besides conventional laboratory methods, bed-side monitoring of hemostasis (e.g., thrombelastography, thrombelastometry) is often used during liver transplantation to rapidly diagnose decreases in fibrinogen and platelet count as well as hyperfibrinolysis and to guide treatment with blood products, factor concentrates, and antifibrinolytics. There is also evidence which suggests when algorithms based on bed-side hemostasis monitoring are used a reduction of blood loss, blood product use, and eventual mortality are possib\u2026", "author" : [ { "dropping-particle" : "", "family" : "Hartmann", "given" : "Matthias", "non-dropping-particle" : "", "parse-names" : false, "suffix" : "" }, { "dropping-particle" : "", "family" : "Szalai", "given" : "Cynthia", "non-dropping-particle" : "", "parse-names" : false, "suffix" : "" }, { "dropping-particle" : "", "family" : "Saner", "given" : "Fuat H", "non-dropping-particle" : "", "parse-names" : false, "suffix" : "" } ], "container-title" : "World journal of gastroenterology", "id" : "ITEM-1", "issue" : "4", "issued" : { "date-parts" : [ [ "2016", "1", "28" ] ] }, "page" : "1541-50", "title" : "Hemostasis in liver transplantation: Pathophysiology, monitoring, and treatment.", "type" : "article-journal", "volume" : "22" }, "uris" : [ "http://www.mendeley.com/documents/?uuid=9b80a293-8e9a-4694-936e-d7b911fdd171" ] } ], "mendeley" : { "formattedCitation" : "&lt;sup&gt;[96]&lt;/sup&gt;", "plainTextFormattedCitation" : "[96]", "previouslyFormattedCitation" : "&lt;sup&gt;[97]&lt;/sup&gt;" }, "properties" : { "noteIndex" : 0 }, "schema" : "https://github.com/citation-style-language/schema/raw/master/csl-citation.json" }</w:instrText>
      </w:r>
      <w:r w:rsidR="0029435D" w:rsidRPr="00884A81">
        <w:rPr>
          <w:rFonts w:ascii="Book Antiqua" w:hAnsi="Book Antiqua"/>
        </w:rPr>
        <w:fldChar w:fldCharType="separate"/>
      </w:r>
      <w:r w:rsidR="00217BDC" w:rsidRPr="00884A81">
        <w:rPr>
          <w:rFonts w:ascii="Book Antiqua" w:hAnsi="Book Antiqua"/>
          <w:noProof/>
          <w:vertAlign w:val="superscript"/>
        </w:rPr>
        <w:t>[96]</w:t>
      </w:r>
      <w:r w:rsidR="0029435D" w:rsidRPr="00884A81">
        <w:rPr>
          <w:rFonts w:ascii="Book Antiqua" w:hAnsi="Book Antiqua"/>
        </w:rPr>
        <w:fldChar w:fldCharType="end"/>
      </w:r>
      <w:r w:rsidR="004C4F3B">
        <w:rPr>
          <w:rFonts w:ascii="Book Antiqua" w:eastAsia="宋体" w:hAnsi="Book Antiqua" w:hint="eastAsia"/>
          <w:lang w:eastAsia="zh-CN"/>
        </w:rPr>
        <w:t>.</w:t>
      </w:r>
      <w:r w:rsidR="006C1940" w:rsidRPr="00884A81">
        <w:rPr>
          <w:rFonts w:ascii="Book Antiqua" w:hAnsi="Book Antiqua"/>
        </w:rPr>
        <w:t xml:space="preserve"> Catecholamine release during traumatic injury </w:t>
      </w:r>
      <w:r w:rsidR="00E9673B" w:rsidRPr="00884A81">
        <w:rPr>
          <w:rFonts w:ascii="Book Antiqua" w:hAnsi="Book Antiqua"/>
        </w:rPr>
        <w:t>is</w:t>
      </w:r>
      <w:r w:rsidR="006C1940" w:rsidRPr="00884A81">
        <w:rPr>
          <w:rFonts w:ascii="Book Antiqua" w:hAnsi="Book Antiqua"/>
        </w:rPr>
        <w:t xml:space="preserve"> thought to directly damage the endothelium resulting in progressive de</w:t>
      </w:r>
      <w:r w:rsidR="00155D5F">
        <w:rPr>
          <w:rFonts w:ascii="Book Antiqua" w:eastAsia="宋体" w:hAnsi="Book Antiqua" w:hint="eastAsia"/>
          <w:lang w:eastAsia="zh-CN"/>
        </w:rPr>
        <w:t>-</w:t>
      </w:r>
      <w:r w:rsidR="006C1940" w:rsidRPr="00884A81">
        <w:rPr>
          <w:rFonts w:ascii="Book Antiqua" w:hAnsi="Book Antiqua"/>
        </w:rPr>
        <w:t>endothelialisation</w:t>
      </w:r>
      <w:r w:rsidR="00E9673B" w:rsidRPr="00884A81">
        <w:rPr>
          <w:rFonts w:ascii="Book Antiqua" w:hAnsi="Book Antiqua"/>
        </w:rPr>
        <w:t>. High levels of syndecan-1, a marker endothelial degradation is association with inflammation, coagulopathy and increased mortality in trauma patients</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"10.1097/SLA.0b013e318226113d", "ISBN" : "0003-4932", "ISSN" : "0003-4932", "PMID" : "21772125", "abstract" : "To investigate the association between markers of acute endothelial glycocalyx degradation, inflammation, coagulopathy, and mortality after trauma.", "author" : [ { "dropping-particle" : "", "family" : "Johansson", "given" : "P\u00e4r I", "non-dropping-particle" : "", "parse-names" : false, "suffix" : "" }, { "dropping-particle" : "", "family" : "Stensballe", "given" : "Jakob", "non-dropping-particle" : "", "parse-names" : false, "suffix" : "" }, { "dropping-particle" : "", "family" : "Rasmussen", "given" : "Lars S", "non-dropping-particle" : "", "parse-names" : false, "suffix" : "" }, { "dropping-particle" : "", "family" : "Ostrowski", "given" : "Sisse R", "non-dropping-particle" : "", "parse-names" : false, "suffix" : "" } ], "container-title" : "Annals of surgery", "id" : "ITEM-1", "issue" : "2", "issued" : { "date-parts" : [ [ "2011" ] ] }, "page" : "194-200", "title" : "A high admission syndecan-1 level, a marker of endothelial glycocalyx degradation, is associated with inflammation, protein C depletion, fibrinolysis, and increased mortality in trauma patients.", "type" : "article-journal", "volume" : "254" }, "uris" : [ "http://www.mendeley.com/documents/?uuid=41d6ec33-0ee4-4e78-83b9-50229de8157b", "http://www.mendeley.com/documents/?uuid=63ad9f4a-8be5-4e6e-925a-dadd18d054f4" ] } ], "mendeley" : { "formattedCitation" : "&lt;sup&gt;[97]&lt;/sup&gt;", "plainTextFormattedCitation" : "[97]", "previouslyFormattedCitation" : "&lt;sup&gt;[98]&lt;/sup&gt;"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[97]</w:t>
      </w:r>
      <w:r w:rsidR="004C4F3B" w:rsidRPr="00884A81">
        <w:rPr>
          <w:rFonts w:ascii="Book Antiqua" w:hAnsi="Book Antiqua"/>
        </w:rPr>
        <w:fldChar w:fldCharType="end"/>
      </w:r>
      <w:r w:rsidR="00E9673B" w:rsidRPr="00884A81">
        <w:rPr>
          <w:rFonts w:ascii="Book Antiqua" w:hAnsi="Book Antiqua"/>
        </w:rPr>
        <w:t>, and patients with end-stage liver disease have recently been demonstrated to have significantly higher levels than controls</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"10.1097/TP.0000000000000680", "ISBN" : "0000000000000", "ISSN" : "1534-6080", "PMID" : "25757215", "abstract" : "BACKGROUND Endothelial glycocalyx participates in the maintenance of vascular integrity, and its perturbations cause capillary leakage, loss of vascular responsiveness, and enhanced adhesion of leukocytes and platelets. We hypothesized that marked shedding of the glycocalyx core protein, syndecan-1, occurs in end-stage liver disease (ESLD) and that it increases during orthotopic liver transplantation (OLT). We further evaluated the effects of general anesthesia on glycocalyx shedding and its association with acute kidney injury (AKI) after OLT. PATIENTS AND METHODS Thirty consecutive liver transplant recipients were enrolled in this prospective study. Ten healthy volunteers served as a control. Acute kidney injury was defined by Acute Kidney Injury Network criteria. RESULTS Plasma syndecan-1 was significantly higher in ESLD patients than in healthy volunteers (74.3 \u00b1 59.9 vs 10.7 \u00b1 9.4 ng/mL), and it further increased significantly after reperfusion (74.3 \u00b1 59.9 vs 312.6 \u00b1 114.8 ng/mL). The type of general anesthesia had no significant effect on syndecan-1. Syndecan-1 was significantly higher during the entire study in patients with posttransplant AKI stage 2 or 3 compared to patients with AKI stage 0 or 1. The area under the curve of the receiver operating characteristics curve of syndecane-1 to predict AKI stage 2 or 3 within 48 hours after reperfusion was 0.76 (95% confidence interval, 0.57-0.89, P = 0.005). CONCLUSIONS Patients with ESLD suffer from glycocalyx alterations, and ischemia-reperfusion injury during OLT further exacerbates its damage. Despite a higher incidence of AKI in patients with elevated syndecan-1, it is not helpful to predict de novo AKI. Volatile anesthetics did not attenuate glycocalyx shedding in human OLT.", "author" : [ { "dropping-particle" : "", "family" : "Schiefer", "given" : "Judith", "non-dropping-particle" : "", "parse-names" : false, "suffix" : "" }, { "dropping-particle" : "", "family" : "Lebherz-Eichinger", "given" : "Diana", "non-dropping-particle" : "", "parse-names" : false, "suffix" : "" }, { "dropping-particle" : "", "family" : "Erdoes", "given" : "Gabor", "non-dropping-particle" : "", "parse-names" : false, "suffix" : "" }, { "dropping-particle" : "", "family" : "Berlakovich", "given" : "Gabriela", "non-dropping-particle" : "", "parse-names" : false, "suffix" : "" }, { "dropping-particle" : "", "family" : "Bacher", "given" : "Andreas", "non-dropping-particle" : "", "parse-names" : false, "suffix" : "" }, { "dropping-particle" : "", "family" : "Krenn", "given" : "Claus G.", "non-dropping-particle" : "", "parse-names" : false, "suffix" : "" }, { "dropping-particle" : "", "family" : "Faybik", "given" : "Peter", "non-dropping-particle" : "", "parse-names" : false, "suffix" : "" } ], "container-title" : "Transplantation", "id" : "ITEM-1", "issue" : "10", "issued" : { "date-parts" : [ [ "2015", "10" ] ] }, "page" : "2118-23", "title" : "Alterations of Endothelial Glycocalyx During Orthotopic Liver Transplantation in Patients With End-Stage Liver Disease.", "type" : "article-journal", "volume" : "99" }, "uris" : [ "http://www.mendeley.com/documents/?uuid=0f8813c9-7839-4722-8b81-21b558ff6400" ] } ], "mendeley" : { "formattedCitation" : "&lt;sup&gt;[98]&lt;/sup&gt;", "plainTextFormattedCitation" : "[98]", "previouslyFormattedCitation" : "&lt;sup&gt;[99]&lt;/sup&gt;"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[98]</w:t>
      </w:r>
      <w:r w:rsidR="004C4F3B" w:rsidRPr="00884A81">
        <w:rPr>
          <w:rFonts w:ascii="Book Antiqua" w:hAnsi="Book Antiqua"/>
        </w:rPr>
        <w:fldChar w:fldCharType="end"/>
      </w:r>
      <w:r w:rsidR="00E9673B" w:rsidRPr="00884A81">
        <w:rPr>
          <w:rFonts w:ascii="Book Antiqua" w:hAnsi="Book Antiqua"/>
        </w:rPr>
        <w:t>. These levels are further elevated following graft reperfusion during liver transplantation.</w:t>
      </w:r>
      <w:r w:rsidR="00884A81" w:rsidRPr="00884A81">
        <w:rPr>
          <w:rFonts w:ascii="Book Antiqua" w:hAnsi="Book Antiqua"/>
        </w:rPr>
        <w:t xml:space="preserve"> </w:t>
      </w:r>
    </w:p>
    <w:p w14:paraId="0127CF33" w14:textId="77777777" w:rsidR="004C4F3B" w:rsidRDefault="0029307E" w:rsidP="004C4F3B">
      <w:pPr>
        <w:spacing w:line="360" w:lineRule="auto"/>
        <w:ind w:firstLineChars="100" w:firstLine="240"/>
        <w:jc w:val="both"/>
        <w:rPr>
          <w:rFonts w:ascii="Book Antiqua" w:eastAsia="宋体" w:hAnsi="Book Antiqua"/>
          <w:lang w:eastAsia="zh-CN"/>
        </w:rPr>
      </w:pPr>
      <w:r w:rsidRPr="00884A81">
        <w:rPr>
          <w:rFonts w:ascii="Book Antiqua" w:hAnsi="Book Antiqua"/>
        </w:rPr>
        <w:lastRenderedPageBreak/>
        <w:t>MTP</w:t>
      </w:r>
      <w:r w:rsidR="004C4F3B">
        <w:rPr>
          <w:rFonts w:ascii="Book Antiqua" w:eastAsia="宋体" w:hAnsi="Book Antiqua" w:hint="eastAsia"/>
          <w:lang w:eastAsia="zh-CN"/>
        </w:rPr>
        <w:t>s</w:t>
      </w:r>
      <w:r w:rsidRPr="00884A81">
        <w:rPr>
          <w:rFonts w:ascii="Book Antiqua" w:hAnsi="Book Antiqua"/>
        </w:rPr>
        <w:t xml:space="preserve"> with fixed ratios of red cells to plasma more closely approximating whole blood transfusions came to the fore following a retrospective analysis of US army combat patients requiring massive transfusion. Those that were treated with a high plasma to RBC ratio had a significantly improved survival to hospital discharge compared with those treated with low ratio transfusion, primarily through decreasing death from haemorrhage</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"10.1097/TA.0b013e318260625a", "ISSN" : "2163-0763", "PMID" : "22847102", "abstract" : "BACKGROUND Hemostatic resuscitation using blood components in a 1:1:1 ratio of platelets:fresh frozen plasma:red blood cells (RBCs) is based on analyses of massive transfusion (MT, \u226510 RBC units in 24 hours). These 24-hour analyses are weakened by survival bias and do not describe the timing and location of transfusions. Mortality outcomes associated with early (first 6 hours) resuscitation incorporating platelets, for combat casualties requiring MT, have not been reported. METHODS We analyzed records for 8,618 casualties treated at the United States military hospital in Baghdad, Iraq, between January 2004 and December 2006. Patients (n = 414) requiring MT, not receiving fresh whole blood, and surviving at least 1 hour (reducing survival bias) were divided into 6-hour apheresis platelet (aPLT) transfusion ratio groups: LOW (aPLT:RBC, \u22640.1, n = 344) and HIGH (aPLT:RBC, &gt;0.1, n = 70). Baseline characteristics of groups were compared. Factors influencing survival on univariate analysis were included in Cox proportional hazards models of 24-hour and 30-day survival. RESULTS Patients received aPLT in the emergency department (4%), operating room (45%), intensive care unit (51%). The HIGH group presented with higher (p &lt; 0.05) admission International Normalized Ratio (1.6 vs. 1.4), base deficit (8 vs. 7), and temperature (36.7 vs. 36.4). Overall mortality was 27%. At 24 hours, the HIGH group showed lower mortality (10.0% vs. 22.1%, p = 0.02). Absolute differences in 30-day mortality were not significant (HIGH, 18.6%; LOW, 28.8%, p = 0.08). On adjusted analysis, the HIGH group was independently associated with increased survival: LOW group mortality hazard ratios were 4.1 at 24 hours and 2.3 at 30 days compared with HIGH group (p = 0.03 for both). Increasing 6-hour FFP:RBC ratio was also independently associated with increased survival. CONCLUSION Early (first 6 hours) hemostatic resuscitation incorporating platelets and plasma is associated with improved 24-hour and 30-day survival in combat casualties requiring MT.", "author" : [ { "dropping-particle" : "", "family" : "Cap", "given" : "Andrew P", "non-dropping-particle" : "", "parse-names" : false, "suffix" : "" }, { "dropping-particle" : "", "family" : "Spinella", "given" : "Philip C", "non-dropping-particle" : "", "parse-names" : false, "suffix" : "" }, { "dropping-particle" : "", "family" : "Borgman", "given" : "Matthew A", "non-dropping-particle" : "", "parse-names" : false, "suffix" : "" }, { "dropping-particle" : "", "family" : "Blackbourne", "given" : "Lorne H", "non-dropping-particle" : "", "parse-names" : false, "suffix" : "" }, { "dropping-particle" : "", "family" : "Perkins", "given" : "Jeremy G", "non-dropping-particle" : "", "parse-names" : false, "suffix" : "" } ], "container-title" : "The journal of trauma and acute care surgery", "id" : "ITEM-1", "issue" : "2 Suppl 1", "issued" : { "date-parts" : [ [ "2012", "8" ] ] }, "page" : "S89-94", "publisher" : "Cap,Andrew P. United States Army Institute of Surgical Research, Fort Sam Houston, Texas 78234-6315, USA. andre.p.cap@us.army.mil", "publisher-place" : "United States", "title" : "Timing and location of blood product transfusion and outcomes in massively transfused combat casualties.", "type" : "article-journal", "volume" : "73" }, "uris" : [ "http://www.mendeley.com/documents/?uuid=42583ebd-bc65-4efa-81f3-932546127180", "http://www.mendeley.com/documents/?uuid=3df78936-238f-4b95-abf3-37a7d8140714" ] } ], "mendeley" : { "formattedCitation" : "&lt;sup&gt;[99]&lt;/sup&gt;", "plainTextFormattedCitation" : "[99]", "previouslyFormattedCitation" : "&lt;sup&gt;[100]&lt;/sup&gt;"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[99]</w:t>
      </w:r>
      <w:r w:rsidR="004C4F3B" w:rsidRPr="00884A81">
        <w:rPr>
          <w:rFonts w:ascii="Book Antiqua" w:hAnsi="Book Antiqua"/>
        </w:rPr>
        <w:fldChar w:fldCharType="end"/>
      </w:r>
      <w:r w:rsidRPr="00884A81">
        <w:rPr>
          <w:rFonts w:ascii="Book Antiqua" w:hAnsi="Book Antiqua"/>
        </w:rPr>
        <w:t>. These results led to a proliferation of studies reporting beneficial outcomes from high plasma:RBC ratio MTPs in trauma</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"10.1001/jamasurg.2013.2911", "ISSN" : "2168-6262", "PMID" : "23864019", "abstract" : "IMPORTANCE The evolution of damage control strategies has led to significant changes in the use of resuscitation after traumatic injury. OBJECTIVE To evaluate changes in the administration of fluids and blood products, hypothesizing that a reduction in crystalloid volume and a reduced red blood cell (RBC) to fresh frozen plasma (FFP) ratio over the last 7 years would correlate with better resuscitation outcomes. DESIGN Observational prospective cohort study. SETTING Urban level I trauma center. PARTICIPANTS A total of 174 trauma patients receiving a massive transfusion (&gt;10 units of RBCs in 24 hours) or requiring the activation of the institutional massive transfusion protocol from February 2005 to June 2011. EXPOSURE Patients had to either receive a massive transfusion or require the activation of the institutional massive transfusion protocol. MAIN OUTCOMES AND MEASURES In-hospital mortality. RESULTS The mean (SD) Injury Severity Score was 28.4 (16.2), the mean (SD) base deficit was -9.8 (6.3), and median international normalized ratio was 1.3 (interquartile range, 1.2-1.6); the mortality rate was 40.8%. Patients received a median of 6.1 L of crystalloid, 13 units of RBCs, 10 units of FFP, and 1 unit of platelets over 24 hours, with a mean RBC:FFP ratio of 1.58:1. The mean 24-hour crystalloid infusion volume and number of the total blood product units given in the first 24 hours decreased significantly over the study period (P &lt; .05). The RBC:FFP ratio decreased from a peak of 1.84:1 in 2007 to 1.55:1 in 2011 (P = .20). Injury severity and mortality remained stable over the study period. When adjusted for age and injury characteristics using Cox regression, each decrease of 0.1 achieved in the massive transfusion protocol's RBC:FFP ratio was associated with a 5.6% reduction in mortality (P = .005). CONCLUSIONS AND RELEVANCE There has been a shift toward a reduced crystalloid volume and the recreation of whole blood from component products in resuscitation. These changes are associated with markedly improved outcomes and a new paradigm in the resuscitation of severely injured patients.", "author" : [ { "dropping-particle" : "", "family" : "Kutcher", "given" : "Matthew E", "non-dropping-particle" : "", "parse-names" : false, "suffix" : "" }, { "dropping-particle" : "", "family" : "Kornblith", "given" : "Lucy Z", "non-dropping-particle" : "", "parse-names" : false, "suffix" : "" }, { "dropping-particle" : "", "family" : "Narayan", "given" : "Raja", "non-dropping-particle" : "", "parse-names" : false, "suffix" : "" }, { "dropping-particle" : "", "family" : "Curd", "given" : "Vivian", "non-dropping-particle" : "", "parse-names" : false, "suffix" : "" }, { "dropping-particle" : "", "family" : "Daley", "given" : "Aaron T", "non-dropping-particle" : "", "parse-names" : false, "suffix" : "" }, { "dropping-particle" : "", "family" : "Redick", "given" : "Brittney J", "non-dropping-particle" : "", "parse-names" : false, "suffix" : "" }, { "dropping-particle" : "", "family" : "Nelson", "given" : "Mary F", "non-dropping-particle" : "", "parse-names" : false, "suffix" : "" }, { "dropping-particle" : "", "family" : "Fiebig", "given" : "Eberhard W", "non-dropping-particle" : "", "parse-names" : false, "suffix" : "" }, { "dropping-particle" : "", "family" : "Cohen", "given" : "Mitchell J", "non-dropping-particle" : "", "parse-names" : false, "suffix" : "" } ], "container-title" : "JAMA surgery", "id" : "ITEM-1", "issue" : "9", "issued" : { "date-parts" : [ [ "2013", "9" ] ] }, "page" : "834-40", "publisher" : "Kutcher,Matthew E. Department of Surgery, San Francisco General Hospital, University of California.", "publisher-place" : "United States", "title" : "A paradigm shift in trauma resuscitation: evaluation of evolving massive transfusion practices.", "type" : "article-journal", "volume" : "148" }, "uris" : [ "http://www.mendeley.com/documents/?uuid=bbeaac26-7afe-4d96-ad4e-2b0b996d06d8", "http://www.mendeley.com/documents/?uuid=46f5b432-6499-45ea-bec8-6ac09e458b80" ] }, { "id" : "ITEM-2", "itemData" : { "DOI" : "10.1503/cjs.020412", "ISSN" : "1488-2310", "PMID" : "24067528", "abstract" : "BACKGROUND Massive transfusion protocols (MTPs) using high plasma and platelet ratios for exsanguinating trauma patients are increasingly popular. Major liver injuries often require massive resuscitations and immediate hemorrhage control. Current published literature describes outcomes among patients with mixed patterns of injury. We sought to identify the effects of an MTP on patients with major liver trauma. METHODS Patients with grade 3, 4 or 5 liver injuries who required a massive blood component transfusion were analyzed. We compared patients with high plasma:red blood cell:platelet ratio (1:1:1) transfusions (2007-2009) with patients injured before the creation of an institutional MTP (2005-2007). RESULTS Among 60 patients with major hepatic injuries, 35 (58%) underwent resuscitation after the implementation of an MTP. Patient and injury characteristics were similar between cohorts. Implementation of the MTP significantly improved plasma: red blood cell:platelet ratios and decreased crystalloid fluid resuscitation (p = 0.026). Rapid improvement in early acidosis and coagulopathy was superior with an MTP (p = 0.009). More patients in the MTP group also underwent primary abdominal fascial closure during their hospital stay (p = 0.021). This was most evident with grade 4 injuries (89% vs. 14%). The mean time to fascial closure was 4.2 days. The overall survival rate for all major liver injuries was not affected by an MTP (p = 0.61). CONCLUSION The implementation of a formal MTP using high plasma and platelet ratios resulted in a substantial increase in abdominal wall approximation. This occurred concurrently to a decrease in the delivered volume of crystalloid fluid. Abstract available from the publisher.", "author" : [ { "dropping-particle" : "", "family" : "Ball", "given" : "Chad G", "non-dropping-particle" : "", "parse-names" : false, "suffix" : "" }, { "dropping-particle" : "", "family" : "Dente", "given" : "Christopher J", "non-dropping-particle" : "", "parse-names" : false, "suffix" : "" }, { "dropping-particle" : "", "family" : "Shaz", "given" : "Beth", "non-dropping-particle" : "", "parse-names" : false, "suffix" : "" }, { "dropping-particle" : "", "family" : "Wyrzykowski", "given" : "Amy D", "non-dropping-particle" : "", "parse-names" : false, "suffix" : "" }, { "dropping-particle" : "", "family" : "Nicholas", "given" : "Jeffrey M", "non-dropping-particle" : "", "parse-names" : false, "suffix" : "" }, { "dropping-particle" : "", "family" : "Kirkpatrick", "given" : "Andrew W", "non-dropping-particle" : "", "parse-names" : false, "suffix" : "" }, { "dropping-particle" : "V", "family" : "Feliciano", "given" : "David", "non-dropping-particle" : "", "parse-names" : false, "suffix" : "" } ], "container-title" : "Canadian journal of surgery. Journal canadien de chirurgie", "id" : "ITEM-2", "issue" : "5", "issued" : { "date-parts" : [ [ "2013", "10", "1" ] ] }, "page" : "E128-34", "publisher" : "Ball,Chad G. The Department of Surgery, Emory University, Grady Memorial Hospital, Atlanta, Ga.", "publisher-place" : "Canada", "title" : "The impact of a massive transfusion protocol (1:1:1) on major hepatic injuries: does it increase abdominal wall closure rates?", "type" : "article-journal", "volume" : "56" }, "uris" : [ "http://www.mendeley.com/documents/?uuid=016d3fc3-c3e9-4c9e-876a-b4893531c470", "http://www.mendeley.com/documents/?uuid=f7bb7109-1248-45fb-850d-3cbd60ca91ee" ] } ], "mendeley" : { "formattedCitation" : "&lt;sup&gt;[100,101]&lt;/sup&gt;", "plainTextFormattedCitation" : "[100,101]", "previouslyFormattedCitation" : "&lt;sup&gt;[101,102]&lt;/sup&gt;"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[100,101]</w:t>
      </w:r>
      <w:r w:rsidRPr="00884A81">
        <w:rPr>
          <w:rFonts w:ascii="Book Antiqua" w:hAnsi="Book Antiqua"/>
        </w:rPr>
        <w:fldChar w:fldCharType="end"/>
      </w:r>
      <w:r w:rsidRPr="00884A81">
        <w:rPr>
          <w:rFonts w:ascii="Book Antiqua" w:hAnsi="Book Antiqua"/>
        </w:rPr>
        <w:t xml:space="preserve"> as well as obstetrics</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"10.1111/jmwh.12186", "ISSN" : "1542-2011", "PMID" : "24751109", "abstract" : "Severe postpartum hemorrhage (PPH) can be defined as a blood loss of more than 1500 mL to 2500 mL. While rare, severe PPH is a significant contributor to maternal mortality and morbidity in the United States and throughout the world. Due to the maternal hematologic adaptation to pregnancy, the hypovolemia resulting from hemorrhage can be asymptomatic until a large amount of blood is lost. Rapid replacement of lost fluids can mitigate effects of severe hemorrhage. Current evidence on postpartum volume replacement suggests that crystalloid fluids should be used only until the amount of blood loss becomes severe. Once a woman displays signs of hypovolemia, blood products including packed red blood cells, fresh frozen plasma, platelets, and recombinant factor VIIa should be used for volume replacement. Overuse of crystalloid fluids increases the risk for acute coagulopathy and third spacing of fluids. A massive transfusion protocol is one mechanism to provide a rapid, consistent, and evidence-based team response to this life-threatening condition.", "author" : [ { "dropping-particle" : "", "family" : "Schorn", "given" : "Mavis N", "non-dropping-particle" : "", "parse-names" : false, "suffix" : "" }, { "dropping-particle" : "", "family" : "Phillippi", "given" : "Julia C", "non-dropping-particle" : "", "parse-names" : false, "suffix" : "" } ], "container-title" : "Journal of midwifery &amp; women's health", "id" : "ITEM-1", "issue" : "3", "issued" : { "date-parts" : [ [ "2014" ] ] }, "page" : "336-43", "publisher-place" : "United States", "title" : "Volume replacement following severe postpartum hemorrhage.", "type" : "article-journal", "volume" : "59" }, "uris" : [ "http://www.mendeley.com/documents/?uuid=7e9fdbb0-041b-49a2-9aeb-ac0a6bd5abdd", "http://www.mendeley.com/documents/?uuid=cb7e460e-028b-4ea2-bf04-c78e42de791c" ] }, { "id" : "ITEM-2", "itemData" : { "DOI" : "10.1016/j.ijoa.2012.03.005", "ISSN" : "1532-3374", "PMID" : "22647592", "abstract" : "BACKGROUND A massive transfusion protocol may offer major advantages for management of postpartum hemorrhage. The etiology of postpartum hemorrhage, transfusion outcomes and laboratory indices in obstetric cases requiring the massive transfusion protocol were retrospectively evaluated in a tertiary obstetric center. METHODS We reviewed medical records of obstetric patients requiring the massive transfusion protocol over a 31-month period. Demographic, obstetric, transfusion, laboratory data and adverse maternal outcomes were abstracted. RESULTS Massive transfusion protocol activation occurred in 31 patients (0.26% of deliveries): 19 patients (61%) had cesarean delivery, 10 patients (32%) had vaginal delivery, and 2 patients (7%) had dilation and evacuation. Twenty-six patients (84%) were transfused with blood products from the massive transfusion protocol. The protocol was activated within 2h of delivery for 17 patients (58%). Median [IQR] total estimated blood loss value was 2842 [800-8000]mL. Median [IQR] number of units of red blood cells, plasma and platelets from the massive transfusion protocol were: 3 [1.75-7], 3 [1.5-5.5], and 1 [0-2.5] units, respectively. Mean (SD) post-resuscitation hematologic indices were: hemoglobin 10.3 (2.4)g/dL, platelet count 126 (44)\u00d710(9)/L, and fibrinogen 325 (125)mg/dL. The incidence of intensive care admission and peripartum hysterectomy was 61% and 19%, respectively. CONCLUSIONS Our massive transfusion protocol provides early access to red blood cells, plasma and platelets for patients experiencing unanticipated or severe postpartum hemorrhage. Favorable hematologic indices were observed post resuscitation. Future outcomes-based studies are needed to compare massive transfusion protocol and non-protocol based transfusion strategies for the management of hemorrhage.", "author" : [ { "dropping-particle" : "", "family" : "Gutierrez", "given" : "M C", "non-dropping-particle" : "", "parse-names" : false, "suffix" : "" }, { "dropping-particle" : "", "family" : "Goodnough", "given" : "L T", "non-dropping-particle" : "", "parse-names" : false, "suffix" : "" }, { "dropping-particle" : "", "family" : "Druzin", "given" : "M", "non-dropping-particle" : "", "parse-names" : false, "suffix" : "" }, { "dropping-particle" : "", "family" : "Butwick", "given" : "A J", "non-dropping-particle" : "", "parse-names" : false, "suffix" : "" } ], "container-title" : "International journal of obstetric anesthesia", "id" : "ITEM-2", "issue" : "3", "issued" : { "date-parts" : [ [ "2012", "7" ] ] }, "page" : "230-5", "publisher" : "Gutierrez,M C. Department of Anesthesia, Stanford University School of Medicine, Stanford, CA 94305, USA.", "publisher-place" : "Netherlands", "title" : "Postpartum hemorrhage treated with a massive transfusion protocol at a tertiary obstetric center: a retrospective study.", "type" : "article-journal", "volume" : "21" }, "uris" : [ "http://www.mendeley.com/documents/?uuid=a4f3fd46-a2a2-4e30-a81f-042f5c0d7842", "http://www.mendeley.com/documents/?uuid=65f5f345-32c1-4ec5-9224-53eebb2f5eaa" ] } ], "mendeley" : { "formattedCitation" : "&lt;sup&gt;[102,103]&lt;/sup&gt;", "plainTextFormattedCitation" : "[102,103]", "previouslyFormattedCitation" : "&lt;sup&gt;[103,104]&lt;/sup&gt;"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[102,103]</w:t>
      </w:r>
      <w:r w:rsidRPr="00884A81">
        <w:rPr>
          <w:rFonts w:ascii="Book Antiqua" w:hAnsi="Book Antiqua"/>
        </w:rPr>
        <w:fldChar w:fldCharType="end"/>
      </w:r>
      <w:r w:rsidRPr="00884A81">
        <w:rPr>
          <w:rFonts w:ascii="Book Antiqua" w:hAnsi="Book Antiqua"/>
        </w:rPr>
        <w:t>. Part of the benefit must be attributed to the decreased delay in obtaining blood products and improved communication between the laboratory and the team treating the patient. One criticism of the studies investigating MTPs is that they are largely retrospective, before and after, studies that are subject to survivor bias.</w:t>
      </w:r>
      <w:r w:rsidR="00F018C9" w:rsidRPr="00884A81">
        <w:rPr>
          <w:rFonts w:ascii="Book Antiqua" w:hAnsi="Book Antiqua"/>
        </w:rPr>
        <w:t xml:space="preserve"> Given the lack of high quality trials the Canadian National Advisory Committee on Blood and Blood products took the decision in 2011 that fixed ratio formula based care could not be recommended as a standard of care</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"10.1186/cc10498", "ISBN" : "1466-609X (Electronic)\\r1364-8535 (Linking)", "ISSN" : "1466-609X", "PMID" : "22188866", "abstract" : "In June 2011 the Canadian National Advisory Committee on Blood and Blood Products sponsored an international consensus conference on transfusion and trauma. A panel of 10 experts and two external advisors reviewed the current medical literature and information presented at the conference by invited international speakers and attendees. The Consensus Panel addressed six specific questions on the topic of blood transfusion in trauma. The questions focused on: ratio-based blood resuscitation in trauma patients; the impact of survivorship bias in current research conclusions; the value of nonplasma coagulation products; the role of protocols for delivery of urgent transfusion; the merits of traditional laboratory monitoring compared with measures of clot viscoelasticity; and opportunities for future research. Key findings include a lack of evidence to support the use of 1:1:1 blood component ratios as the standard of care, the importance of early use of tranexamic acid, the expected value of an organized response plan, and the recommendation for an integrated approach that includes antifibrinolytics, rapid release of red blood cells, and a foundation ratio of blood components adjusted by results from either traditional coagulation tests or clot viscoelasticity or both. The present report is intended to provide guidance to practitioners, hospitals, and policy-makers.", "author" : [ { "dropping-particle" : "", "family" : "Dzik", "given" : "Walter H", "non-dropping-particle" : "", "parse-names" : false, "suffix" : "" }, { "dropping-particle" : "", "family" : "Blajchman", "given" : "Morris A", "non-dropping-particle" : "", "parse-names" : false, "suffix" : "" }, { "dropping-particle" : "", "family" : "Fergusson", "given" : "Dean", "non-dropping-particle" : "", "parse-names" : false, "suffix" : "" }, { "dropping-particle" : "", "family" : "Hameed", "given" : "Morad", "non-dropping-particle" : "", "parse-names" : false, "suffix" : "" }, { "dropping-particle" : "", "family" : "Henry", "given" : "Blair", "non-dropping-particle" : "", "parse-names" : false, "suffix" : "" }, { "dropping-particle" : "", "family" : "Kirkpatrick", "given" : "Andrew W", "non-dropping-particle" : "", "parse-names" : false, "suffix" : "" }, { "dropping-particle" : "", "family" : "Korogyi", "given" : "Teresa", "non-dropping-particle" : "", "parse-names" : false, "suffix" : "" }, { "dropping-particle" : "", "family" : "Logsetty", "given" : "Sarvesh", "non-dropping-particle" : "", "parse-names" : false, "suffix" : "" }, { "dropping-particle" : "", "family" : "Skeate", "given" : "Robert C", "non-dropping-particle" : "", "parse-names" : false, "suffix" : "" }, { "dropping-particle" : "", "family" : "Stanworth", "given" : "Simon", "non-dropping-particle" : "", "parse-names" : false, "suffix" : "" }, { "dropping-particle" : "", "family" : "MacAdams", "given" : "Charles", "non-dropping-particle" : "", "parse-names" : false, "suffix" : "" }, { "dropping-particle" : "", "family" : "Muirhead", "given" : "Brian", "non-dropping-particle" : "", "parse-names" : false, "suffix" : "" } ], "container-title" : "Critical care (London, England)", "id" : "ITEM-1", "issue" : "6", "issued" : { "date-parts" : [ [ "2011" ] ] }, "page" : "242", "title" : "Clinical review: Canadian National Advisory Committee on Blood and Blood Products--Massive transfusion consensus conference 2011: report of the panel.", "type" : "article-journal", "volume" : "15" }, "uris" : [ "http://www.mendeley.com/documents/?uuid=072164e5-6681-4f41-b8ff-9ebea2291d28" ] } ], "mendeley" : { "formattedCitation" : "&lt;sup&gt;[104]&lt;/sup&gt;", "plainTextFormattedCitation" : "[104]", "previouslyFormattedCitation" : "&lt;sup&gt;[105]&lt;/sup&gt;"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[104]</w:t>
      </w:r>
      <w:r w:rsidR="004C4F3B" w:rsidRPr="00884A81">
        <w:rPr>
          <w:rFonts w:ascii="Book Antiqua" w:hAnsi="Book Antiqua"/>
        </w:rPr>
        <w:fldChar w:fldCharType="end"/>
      </w:r>
      <w:r w:rsidR="00F018C9" w:rsidRPr="00884A81">
        <w:rPr>
          <w:rFonts w:ascii="Book Antiqua" w:hAnsi="Book Antiqua"/>
        </w:rPr>
        <w:t>.</w:t>
      </w:r>
      <w:r w:rsidR="00884A81" w:rsidRPr="00884A81">
        <w:rPr>
          <w:rFonts w:ascii="Book Antiqua" w:hAnsi="Book Antiqua"/>
        </w:rPr>
        <w:t xml:space="preserve"> </w:t>
      </w:r>
      <w:r w:rsidRPr="00884A81">
        <w:rPr>
          <w:rFonts w:ascii="Book Antiqua" w:hAnsi="Book Antiqua"/>
        </w:rPr>
        <w:t>In an attempt to address these concerns two large concurrent prospective multicentre trials have been conducted in severely injured adult civilian trauma patients.</w:t>
      </w:r>
    </w:p>
    <w:p w14:paraId="2421F645" w14:textId="5A0C722D" w:rsidR="0029307E" w:rsidRPr="004C4F3B" w:rsidRDefault="0029307E" w:rsidP="004C4F3B">
      <w:pPr>
        <w:spacing w:line="360" w:lineRule="auto"/>
        <w:ind w:firstLineChars="100" w:firstLine="240"/>
        <w:jc w:val="both"/>
        <w:rPr>
          <w:rFonts w:ascii="Book Antiqua" w:eastAsia="宋体" w:hAnsi="Book Antiqua"/>
          <w:lang w:eastAsia="zh-CN"/>
        </w:rPr>
      </w:pPr>
      <w:r w:rsidRPr="00884A81">
        <w:rPr>
          <w:rFonts w:ascii="Book Antiqua" w:hAnsi="Book Antiqua"/>
        </w:rPr>
        <w:t>The observational trial, PROMMTT, demonstrated reduced 30-d mortality in patients treated with a higher FFP/Platelet to red cell ratio early in resuscitation and went on to inform the design of the randomised control trial PROPPRR</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"10.1001/2013.jamasurg.387", "ISBN" : "1538-3644 (Electronic) 0004-0010 (Linking)", "ISSN" : "2168-6262", "PMID" : "23560283", "abstract" : "OBJECTIVE To relate in-hospital mortality to early transfusion of plasma and/or platelets and to time-varying plasma:red blood cell (RBC) and platelet:RBC ratios. DESIGN Prospective cohort study documenting the timing of transfusions during active resuscitation and patient outcomes. Data were analyzed using time-dependent proportional hazards models. SETTING Ten US level I trauma centers. PATIENTS Adult trauma patients surviving for 30 minutes after admission who received a transfusion of at least 1 unit of RBCs within 6 hours of admission (n = 1245, the original study group) and at least 3 total units (of RBCs, plasma, or platelets) within 24 hours (n = 905, the analysis group). MAIN OUTCOME MEASURE In-hospital mortality. RESULTS Plasma:RBC and platelet:RBC ratios were not constant during the first 24 hours (P &lt; .001 for both). In a multivariable time-dependent Cox model, increased ratios of plasma:RBCs (adjusted hazard ratio = 0.31; 95% CI, 0.16-0.58) and platelets:RBCs (adjusted hazard ratio = 0.55; 95% CI, 0.31-0.98) were independently associated with decreased 6-hour mortality, when hemorrhagic death predominated. In the first 6 hours, patients with ratios less than 1:2 were 3 to 4 times more likely to die than patients with ratios of 1:1 or higher. After 24 hours, plasma and platelet ratios were unassociated with mortality, when competing risks from nonhemorrhagic causes prevailed. CONCLUSIONS Higher plasma and platelet ratios early in resuscitation were associated with decreased mortality in patients who received transfusions of at least 3 units of blood products during the first 24 hours after admission. Among survivors at 24 hours, the subsequent risk of death by day 30 was not associated with plasma or platelet ratios.", "author" : [ { "dropping-particle" : "", "family" : "Holcomb", "given" : "John B", "non-dropping-particle" : "", "parse-names" : false, "suffix" : "" }, { "dropping-particle" : "", "family" : "Junco", "given" : "Deborah J", "non-dropping-particle" : "del", "parse-names" : false, "suffix" : "" }, { "dropping-particle" : "", "family" : "Fox", "given" : "Erin E", "non-dropping-particle" : "", "parse-names" : false, "suffix" : "" }, { "dropping-particle" : "", "family" : "Wade", "given" : "Charles E", "non-dropping-particle" : "", "parse-names" : false, "suffix" : "" }, { "dropping-particle" : "", "family" : "Cohen", "given" : "Mitchell J", "non-dropping-particle" : "", "parse-names" : false, "suffix" : "" }, { "dropping-particle" : "", "family" : "Schreiber", "given" : "Martin A", "non-dropping-particle" : "", "parse-names" : false, "suffix" : "" }, { "dropping-particle" : "", "family" : "Alarcon", "given" : "Louis H", "non-dropping-particle" : "", "parse-names" : false, "suffix" : "" }, { "dropping-particle" : "", "family" : "Bai", "given" : "Yu", "non-dropping-particle" : "", "parse-names" : false, "suffix" : "" }, { "dropping-particle" : "", "family" : "Brasel", "given" : "Karen J", "non-dropping-particle" : "", "parse-names" : false, "suffix" : "" }, { "dropping-particle" : "", "family" : "Bulger", "given" : "Eileen M", "non-dropping-particle" : "", "parse-names" : false, "suffix" : "" }, { "dropping-particle" : "", "family" : "Cotton", "given" : "Bryan A", "non-dropping-particle" : "", "parse-names" : false, "suffix" : "" }, { "dropping-particle" : "", "family" : "Matijevic", "given" : "Nena", "non-dropping-particle" : "", "parse-names" : false, "suffix" : "" }, { "dropping-particle" : "", "family" : "Muskat", "given" : "Peter", "non-dropping-particle" : "", "parse-names" : false, "suffix" : "" }, { "dropping-particle" : "", "family" : "Myers", "given" : "John G", "non-dropping-particle" : "", "parse-names" : false, "suffix" : "" }, { "dropping-particle" : "", "family" : "Phelan", "given" : "Herb A", "non-dropping-particle" : "", "parse-names" : false, "suffix" : "" }, { "dropping-particle" : "", "family" : "White", "given" : "Christopher E", "non-dropping-particle" : "", "parse-names" : false, "suffix" : "" }, { "dropping-particle" : "", "family" : "Zhang", "given" : "Jiajie", "non-dropping-particle" : "", "parse-names" : false, "suffix" : "" }, { "dropping-particle" : "", "family" : "Rahbar", "given" : "Mohammad H", "non-dropping-particle" : "", "parse-names" : false, "suffix" : "" }, { "dropping-particle" : "", "family" : "PROMMTT Study Group", "given" : "", "non-dropping-particle" : "", "parse-names" : false, "suffix" : "" } ], "container-title" : "JAMA surgery", "id" : "ITEM-1", "issue" : "2", "issued" : { "date-parts" : [ [ "2013", "2" ] ] }, "page" : "127-36", "title" : "The prospective, observational, multicenter, major trauma transfusion (PROMMTT) study: comparative effectiveness of a time-varying treatment with competing risks.", "type" : "article-journal", "volume" : "148" }, "uris" : [ "http://www.mendeley.com/documents/?uuid=c60ce199-b318-4031-bf01-81e57e479ecd" ] }, { "id" : "ITEM-2", "itemData" : { "DOI" : "10.1097/TA.0b013e31828fa3b9", "ISSN" : "2163-0763", "PMID" : "23778507", "abstract" : "BACKGROUND The trauma transfusion literature has yet to resolve which is more important for hemorrhaging patients, transfusing plasma and platelets along with red blood cells (RBCs) early in resuscitation or gradually balancing blood product ratios. In a previous report of PROMMTT results, we found (1) plasma and platelet:RBC ratios increased gradually during the 6 hours following admission, and (2) patients achieving ratios more than 1:2 (relative to ratios &lt;1:2) had significantly decreased 6-hour to 24-hour mortality adjusting for baseline and time-varying covariates. To differentiate the association of in-hospital mortality with early plasma or platelet transfusion from that with delayed but gradually balanced ratios, we developed a separate analytic approach. METHODS Using PROMMTT data and multilevel logistic regression to adjust for center effects, we related in-hospital mortality to the early receipt of plasma or platelets within the first three to six transfusion units (including RBCs) and 2.5 hours of admission. We adjusted for the same covariates as in our previous report: Injury Severity Score (ISS), age, time and total number of blood product transfusions upon entry to the analysis cohort, and bleeding from the head, chest, or limb. RESULTS Of 1,245 PROMMTT patients, 619 were eligible for this analysis. Early plasma was associated with decreased 24-hour and 30-day mortality (adjusted odds ratios of 0.47 [p = 0.009] and 0.44 [p = 0.002], respectively). Too few patients (24) received platelets early for meaningful assessment. In the subgroup of 222 patients receiving no early plasma but continuing transfusions beyond Hour 2.5, achieving gradually balanced plasma and platelet:RBC ratios of 1:2 or greater by Hour 4 was not associated with 30-day mortality (adjusted odds ratios of 0.9 and 1.1, respectively). There were no significant center effects. CONCLUSION Plasma transfusion early in resuscitation had a protective association with mortality, whereas delayed but gradually balanced transfusion ratios did not. Further research will require considerably larger numbers of patients receiving platelets early.", "author" : [ { "dropping-particle" : "", "family" : "Junco", "given" : "Deborah J", "non-dropping-particle" : "del", "parse-names" : false, "suffix" : "" }, { "dropping-particle" : "", "family" : "Holcomb", "given" : "John B", "non-dropping-particle" : "", "parse-names" : false, "suffix" : "" }, { "dropping-particle" : "", "family" : "Fox", "given" : "Erin E", "non-dropping-particle" : "", "parse-names" : false, "suffix" : "" }, { "dropping-particle" : "", "family" : "Brasel", "given" : "Karen J", "non-dropping-particle" : "", "parse-names" : false, "suffix" : "" }, { "dropping-particle" : "", "family" : "Phelan", "given" : "Herb a", "non-dropping-particle" : "", "parse-names" : false, "suffix" : "" }, { "dropping-particle" : "", "family" : "Bulger", "given" : "Eileen M", "non-dropping-particle" : "", "parse-names" : false, "suffix" : "" }, { "dropping-particle" : "", "family" : "Schreiber", "given" : "Martin a", "non-dropping-particle" : "", "parse-names" : false, "suffix" : "" }, { "dropping-particle" : "", "family" : "Muskat", "given" : "Peter", "non-dropping-particle" : "", "parse-names" : false, "suffix" : "" }, { "dropping-particle" : "", "family" : "Alarcon", "given" : "Louis H", "non-dropping-particle" : "", "parse-names" : false, "suffix" : "" }, { "dropping-particle" : "", "family" : "Cohen", "given" : "Mitchell J", "non-dropping-particle" : "", "parse-names" : false, "suffix" : "" }, { "dropping-particle" : "", "family" : "Cotton", "given" : "Bryan a", "non-dropping-particle" : "", "parse-names" : false, "suffix" : "" }, { "dropping-particle" : "", "family" : "Wade", "given" : "Charles E", "non-dropping-particle" : "", "parse-names" : false, "suffix" : "" }, { "dropping-particle" : "", "family" : "Myers", "given" : "John G", "non-dropping-particle" : "", "parse-names" : false, "suffix" : "" }, { "dropping-particle" : "", "family" : "Rahbar", "given" : "Mohammad H", "non-dropping-particle" : "", "parse-names" : false, "suffix" : "" }, { "dropping-particle" : "", "family" : "PROMMTT Study Group", "given" : "", "non-dropping-particle" : "", "parse-names" : false, "suffix" : "" } ], "container-title" : "The journal of trauma and acute care surgery", "id" : "ITEM-2", "issue" : "1 Suppl 1", "issued" : { "date-parts" : [ [ "2013", "7" ] ] }, "note" : "Suggested that early resuscitaiton with plasma had protective association with mortality wheras delayed but gradultrasnfusion ratios did not.\nto few patients recieved platelets to make meanigful analysis.", "page" : "S24-30", "title" : "Resuscitate early with plasma and platelets or balance blood products gradually: findings from the PROMMTT study.", "type" : "article-journal", "volume" : "75" }, "uris" : [ "http://www.mendeley.com/documents/?uuid=cae7d017-29e5-4e46-929c-84dcdab0630e" ] } ], "mendeley" : { "formattedCitation" : "&lt;sup&gt;[105,106]&lt;/sup&gt;", "plainTextFormattedCitation" : "[105,106]", "previouslyFormattedCitation" : "&lt;sup&gt;[106,107]&lt;/sup&gt;"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[105,106]</w:t>
      </w:r>
      <w:r w:rsidR="004C4F3B" w:rsidRPr="00884A81">
        <w:rPr>
          <w:rFonts w:ascii="Book Antiqua" w:hAnsi="Book Antiqua"/>
        </w:rPr>
        <w:fldChar w:fldCharType="end"/>
      </w:r>
      <w:r w:rsidRPr="00884A81">
        <w:rPr>
          <w:rFonts w:ascii="Book Antiqua" w:hAnsi="Book Antiqua"/>
        </w:rPr>
        <w:t>. Here</w:t>
      </w:r>
      <w:r w:rsidR="008F6787">
        <w:rPr>
          <w:rFonts w:ascii="Book Antiqua" w:hAnsi="Book Antiqua"/>
        </w:rPr>
        <w:t>, while 30-d</w:t>
      </w:r>
      <w:r w:rsidRPr="00884A81">
        <w:rPr>
          <w:rFonts w:ascii="Book Antiqua" w:hAnsi="Book Antiqua"/>
        </w:rPr>
        <w:t xml:space="preserve"> mortality was not improved in patient</w:t>
      </w:r>
      <w:r w:rsidR="008F6787">
        <w:rPr>
          <w:rFonts w:ascii="Book Antiqua" w:hAnsi="Book Antiqua"/>
        </w:rPr>
        <w:t xml:space="preserve">s treated with a 1:1:1 ratio </w:t>
      </w:r>
      <w:r w:rsidR="008F6787" w:rsidRPr="008F6787">
        <w:rPr>
          <w:rFonts w:ascii="Book Antiqua" w:hAnsi="Book Antiqua"/>
          <w:i/>
        </w:rPr>
        <w:t>vs</w:t>
      </w:r>
      <w:r w:rsidRPr="00884A81">
        <w:rPr>
          <w:rFonts w:ascii="Book Antiqua" w:hAnsi="Book Antiqua"/>
        </w:rPr>
        <w:t xml:space="preserve"> 1:1:2 (plasma:platelets:red cells), fewer patients died from exsa</w:t>
      </w:r>
      <w:r w:rsidR="004C4F3B">
        <w:rPr>
          <w:rFonts w:ascii="Book Antiqua" w:hAnsi="Book Antiqua"/>
        </w:rPr>
        <w:t>nguination in the first 24 h</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"10.1001/jama.2015.12", "ISSN" : "1538-3598", "PMID" : "25647203", "abstract" : "IMPORTANCE Severely injured patients experiencing hemorrhagic shock often require massive transfusion. Earlier transfusion with higher blood product ratios (plasma, platelets, and red blood cells), defined as damage control resuscitation, has been associated with improved outcomes; however, there have been no large multicenter clinical trials. OBJECTIVE To determine the effectiveness and safety of transfusing patients with severe trauma and major bleeding using plasma, platelets, and red blood cells in a 1:1:1 ratio compared with a 1:1:2 ratio. DESIGN, SETTING, AND PARTICIPANTS Pragmatic, phase 3, multisite, randomized clinical trial of 680 severely injured patients who arrived at 1 of 12 level I trauma centers in North America directly from the scene and were predicted to require massive transfusion between August 2012 and December 2013. INTERVENTIONS Blood product ratios of 1:1:1 (338 patients) vs 1:1:2 (342 patients) during active resuscitation in addition to all local standard-of-care interventions (uncontrolled). MAIN OUTCOMES AND MEASURES Primary outcomes were 24-hour and 30-day all-cause mortality. Prespecified ancillary outcomes included time to hemostasis, blood product volumes transfused, complications, incidence of surgical procedures, and functional status. RESULTS No significant differences were detected in mortality at 24 hours (12.7% in 1:1:1 group vs 17.0% in 1:1:2 group; difference, -4.2% [95% CI, -9.6% to 1.1%]; P = .12) or at 30 days (22.4% vs 26.1%, respectively; difference, -3.7% [95% CI, -10.2% to 2.7%]; P = .26). Exsanguination, which was the predominant cause of death within the first 24 hours, was significantly decreased in the 1:1:1 group (9.2% vs 14.6% in 1:1:2 group; difference, -5.4% [95% CI, -10.4% to -0.5%]; P = .03). More patients in the 1:1:1 group achieved hemostasis than in the 1:1:2 group (86% vs 78%, respectively; P = .006). Despite the 1:1:1 group receiving more plasma (median of 7 U vs 5 U, P &lt; .001) and platelets (12 U vs 6 U, P &lt; .001) and similar amounts of red blood cells (9 U) over the first 24 hours, no differences between the 2 groups were found for the 23 prespecified complications, including acute respiratory distress syndrome, multiple organ failure, venous thromboembolism, sepsis, and transfusion-related complications. CONCLUSIONS AND RELEVANCE Among patients with severe trauma and major bleeding, early administration of plasma, platelets, and red blood cells in a 1:1:1 ratio compared with a 1:1:2 ratio \u2026", "author" : [ { "dropping-particle" : "", "family" : "Holcomb", "given" : "John B", "non-dropping-particle" : "", "parse-names" : false, "suffix" : "" }, { "dropping-particle" : "", "family" : "Tilley", "given" : "Barbara C", "non-dropping-particle" : "", "parse-names" : false, "suffix" : "" }, { "dropping-particle" : "", "family" : "Baraniuk", "given" : "Sarah", "non-dropping-particle" : "", "parse-names" : false, "suffix" : "" }, { "dropping-particle" : "", "family" : "Fox", "given" : "Erin E", "non-dropping-particle" : "", "parse-names" : false, "suffix" : "" }, { "dropping-particle" : "", "family" : "Wade", "given" : "Charles E", "non-dropping-particle" : "", "parse-names" : false, "suffix" : "" }, { "dropping-particle" : "", "family" : "Podbielski", "given" : "Jeanette M", "non-dropping-particle" : "", "parse-names" : false, "suffix" : "" }, { "dropping-particle" : "", "family" : "Junco", "given" : "Deborah J", "non-dropping-particle" : "del", "parse-names" : false, "suffix" : "" }, { "dropping-particle" : "", "family" : "Brasel", "given" : "Karen J", "non-dropping-particle" : "", "parse-names" : false, "suffix" : "" }, { "dropping-particle" : "", "family" : "Bulger", "given" : "Eileen M", "non-dropping-particle" : "", "parse-names" : false, "suffix" : "" }, { "dropping-particle" : "", "family" : "Callcut", "given" : "Rachael A", "non-dropping-particle" : "", "parse-names" : false, "suffix" : "" }, { "dropping-particle" : "", "family" : "Cohen", "given" : "Mitchell Jay", "non-dropping-particle" : "", "parse-names" : false, "suffix" : "" }, { "dropping-particle" : "", "family" : "Cotton", "given" : "Bryan A", "non-dropping-particle" : "", "parse-names" : false, "suffix" : "" }, { "dropping-particle" : "", "family" : "Fabian", "given" : "Timothy C", "non-dropping-particle" : "", "parse-names" : false, "suffix" : "" }, { "dropping-particle" : "", "family" : "Inaba", "given" : "Kenji", "non-dropping-particle" : "", "parse-names" : false, "suffix" : "" }, { "dropping-particle" : "", "family" : "Kerby", "given" : "Jeffrey D", "non-dropping-particle" : "", "parse-names" : false, "suffix" : "" }, { "dropping-particle" : "", "family" : "Muskat", "given" : "Peter", "non-dropping-particle" : "", "parse-names" : false, "suffix" : "" }, { "dropping-particle" : "", "family" : "O'Keeffe", "given" : "Terence", "non-dropping-particle" : "", "parse-names" : false, "suffix" : "" }, { "dropping-particle" : "", "family" : "Rizoli", "given" : "Sandro", "non-dropping-particle" : "", "parse-names" : false, "suffix" : "" }, { "dropping-particle" : "", "family" : "Robinson", "given" : "Bryce R H", "non-dropping-particle" : "", "parse-names" : false, "suffix" : "" }, { "dropping-particle" : "", "family" : "Scalea", "given" : "Thomas M", "non-dropping-particle" : "", "parse-names" : false, "suffix" : "" }, { "dropping-particle" : "", "family" : "Schreiber", "given" : "Martin A", "non-dropping-particle" : "", "parse-names" : false, "suffix" : "" }, { "dropping-particle" : "", "family" : "Stein", "given" : "Deborah M", "non-dropping-particle" : "", "parse-names" : false, "suffix" : "" }, { "dropping-particle" : "", "family" : "Weinberg", "given" : "Jordan A", "non-dropping-particle" : "", "parse-names" : false, "suffix" : "" }, { "dropping-particle" : "", "family" : "Callum", "given" : "Jeannie L", "non-dropping-particle" : "", "parse-names" : false, "suffix" : "" }, { "dropping-particle" : "", "family" : "Hess", "given" : "John R", "non-dropping-particle" : "", "parse-names" : false, "suffix" : "" }, { "dropping-particle" : "", "family" : "Matijevic", "given" : "Nena", "non-dropping-particle" : "", "parse-names" : false, "suffix" : "" }, { "dropping-particle" : "", "family" : "Miller", "given" : "Christopher N", "non-dropping-particle" : "", "parse-names" : false, "suffix" : "" }, { "dropping-particle" : "", "family" : "Pittet", "given" : "Jean-Francois", "non-dropping-particle" : "", "parse-names" : false, "suffix" : "" }, { "dropping-particle" : "", "family" : "Hoyt", "given" : "David B", "non-dropping-particle" : "", "parse-names" : false, "suffix" : "" }, { "dropping-particle" : "", "family" : "Pearson", "given" : "Gail D", "non-dropping-particle" : "", "parse-names" : false, "suffix" : "" }, { "dropping-particle" : "", "family" : "Leroux", "given" : "Brian", "non-dropping-particle" : "", "parse-names" : false, "suffix" : "" }, { "dropping-particle" : "", "family" : "Belle", "given" : "Gerald", "non-dropping-particle" : "van", "parse-names" : false, "suffix" : "" }, { "dropping-particle" : "", "family" : "PROPPR Study Group", "given" : "", "non-dropping-particle" : "", "parse-names" : false, "suffix" : "" } ], "container-title" : "JAMA", "id" : "ITEM-1", "issue" : "5", "issued" : { "date-parts" : [ [ "2015", "2", "3" ] ] }, "language" : "eng", "page" : "471-82", "publisher-place" : "United States", "title" : "Transfusion of plasma, platelets, and red blood cells in a 1:1:1 vs a 1:1:2 ratio and mortality in patients with severe trauma: the PROPPR randomized clinical trial.", "type" : "article-journal", "volume" : "313" }, "uris" : [ "http://www.mendeley.com/documents/?uuid=659aa2b9-5838-40bd-a305-1ec29e34ddf7", "http://www.mendeley.com/documents/?uuid=b6006cd7-d3d3-4bb3-a1ce-ae2be0382374" ] } ], "mendeley" : { "formattedCitation" : "&lt;sup&gt;[107]&lt;/sup&gt;", "plainTextFormattedCitation" : "[107]", "previouslyFormattedCitation" : "&lt;sup&gt;[108]&lt;/sup&gt;"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[107]</w:t>
      </w:r>
      <w:r w:rsidR="004C4F3B" w:rsidRPr="00884A81">
        <w:rPr>
          <w:rFonts w:ascii="Book Antiqua" w:hAnsi="Book Antiqua"/>
        </w:rPr>
        <w:fldChar w:fldCharType="end"/>
      </w:r>
      <w:r w:rsidRPr="00884A81">
        <w:rPr>
          <w:rFonts w:ascii="Book Antiqua" w:hAnsi="Book Antiqua"/>
        </w:rPr>
        <w:t>. Criticism of the use of fixed ratio protocols centre cite the potential waste of blood products and the one-size fits all approach to massive haemorrhage.</w:t>
      </w:r>
      <w:r w:rsidR="00884A81" w:rsidRPr="00884A81">
        <w:rPr>
          <w:rFonts w:ascii="Book Antiqua" w:hAnsi="Book Antiqua"/>
        </w:rPr>
        <w:t xml:space="preserve"> </w:t>
      </w:r>
      <w:r w:rsidRPr="00884A81">
        <w:rPr>
          <w:rFonts w:ascii="Book Antiqua" w:hAnsi="Book Antiqua"/>
        </w:rPr>
        <w:t xml:space="preserve">MTPs promote the early use of plasma and platelets, which might otherwise be delayed if waiting for conventional laboratory coagulation test results to guide treatment. The increasing availability of point of care </w:t>
      </w:r>
      <w:r w:rsidR="00676839">
        <w:rPr>
          <w:rFonts w:ascii="Book Antiqua" w:eastAsia="宋体" w:hAnsi="Book Antiqua" w:hint="eastAsia"/>
          <w:lang w:eastAsia="zh-CN"/>
        </w:rPr>
        <w:t>(</w:t>
      </w:r>
      <w:r w:rsidR="00676839" w:rsidRPr="00884A81">
        <w:rPr>
          <w:rFonts w:ascii="Book Antiqua" w:hAnsi="Book Antiqua"/>
        </w:rPr>
        <w:t>POC</w:t>
      </w:r>
      <w:r w:rsidR="00676839">
        <w:rPr>
          <w:rFonts w:ascii="Book Antiqua" w:eastAsia="宋体" w:hAnsi="Book Antiqua" w:hint="eastAsia"/>
          <w:lang w:eastAsia="zh-CN"/>
        </w:rPr>
        <w:t>)</w:t>
      </w:r>
      <w:r w:rsidR="00676839" w:rsidRPr="00884A81">
        <w:rPr>
          <w:rFonts w:ascii="Book Antiqua" w:hAnsi="Book Antiqua"/>
        </w:rPr>
        <w:t xml:space="preserve"> </w:t>
      </w:r>
      <w:r w:rsidRPr="00884A81">
        <w:rPr>
          <w:rFonts w:ascii="Book Antiqua" w:hAnsi="Book Antiqua"/>
        </w:rPr>
        <w:t>haemostatic tests such as the viscoelastic assays, ROTEM™ and TEG™, prov</w:t>
      </w:r>
      <w:r w:rsidR="004C4F3B">
        <w:rPr>
          <w:rFonts w:ascii="Book Antiqua" w:hAnsi="Book Antiqua"/>
        </w:rPr>
        <w:t xml:space="preserve">ide an alternative. Tapia </w:t>
      </w:r>
      <w:r w:rsidR="004C4F3B" w:rsidRPr="004C4F3B">
        <w:rPr>
          <w:rFonts w:ascii="Book Antiqua" w:hAnsi="Book Antiqua"/>
          <w:i/>
        </w:rPr>
        <w:t>et al</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"10.1097/TA.0b013e31827e20e0", "ISSN" : "2163-0763", "PMID" : "23354228", "abstract" : "BACKGROUND For nearly a decade, our center performed thromboelastograms (TEGs) to analyze coagulation profiles, allowing rapid data-driven blood component therapy. After consensus recommendations for massive transfusion protocols (MTPs), we implemented an MTP in October 2009 with 1:1:1 ratio of blood (red blood cells [RBC]), plasma (fresh-frozen plasma [FFP]), and platelets. We hypothesized that TEG-directed resuscitation is equivalent to MTP resuscitation. METHODS All patients receiving 6 units (U) or more of RBC in the first 24 hours for 21 months before and after MTP initiation in an urban Level I trauma center were examined. Demographics, mechanism of injury (MOI), Injury Severity Score (ISS), 24-hour volume of RBC, FFP, platelets, crystalloid, and 30-day mortality were compared, excluding patients with traumatic brain injuries. Variables were analyzed using Student's t-test and \u03c72 or Fisher's exact test. RESULTS For the preMTP group, there were 165 patients. In the MTP group, there were 124 patients. There were no significant differences in ISS, age, or sex. PreMTP patients with 6U or more RBC had significantly more penetrating MOI (p = 0.017), whereas preMTP patients with 10U or more RBC had similar MOIs. All patients received less crystalloid after MTP adoption (p &lt; 0.001). There was no difference in volume of blood products or mortality in patients receiving 6U or more RBC. Blunt trauma MTP patients who received 10U or more RBC received more FFP (p = 0.02), with no change in mortality. Penetrating trauma patients who received 10U or more RBC received a similar volume of FFP; however, mortality increased from 54.1% for MTP versus 33.3% preMTP (p = 0.04). CONCLUSION TEG-directed resuscitation is equivalent to standardized MTP for patients receiving 6U or more RBC and for blunt MOI patients receiving 10U or more RBC. MTP therapy worsened mortality in penetrating MOI patients receiving 10U or more RBC, indicating a continued need for TEG-directed therapy. A 1:1:1 strategy may not be adequate in all patients. LEVEL OF EVIDENCE Therapeutic study, level IV.", "author" : [ { "dropping-particle" : "", "family" : "Tapia", "given" : "Nicole M", "non-dropping-particle" : "", "parse-names" : false, "suffix" : "" }, { "dropping-particle" : "", "family" : "Chang", "given" : "Alex", "non-dropping-particle" : "", "parse-names" : false, "suffix" : "" }, { "dropping-particle" : "", "family" : "Norman", "given" : "Michael", "non-dropping-particle" : "", "parse-names" : false, "suffix" : "" }, { "dropping-particle" : "", "family" : "Welsh", "given" : "Francis", "non-dropping-particle" : "", "parse-names" : false, "suffix" : "" }, { "dropping-particle" : "", "family" : "Scott", "given" : "Bradford", "non-dropping-particle" : "", "parse-names" : false, "suffix" : "" }, { "dropping-particle" : "", "family" : "Wall", "given" : "Matthew J", "non-dropping-particle" : "", "parse-names" : false, "suffix" : "" }, { "dropping-particle" : "", "family" : "Mattox", "given" : "Kenneth L", "non-dropping-particle" : "", "parse-names" : false, "suffix" : "" }, { "dropping-particle" : "", "family" : "Suliburk", "given" : "James", "non-dropping-particle" : "", "parse-names" : false, "suffix" : "" } ], "container-title" : "The journal of trauma and acute care surgery", "id" : "ITEM-1", "issue" : "2", "issued" : { "date-parts" : [ [ "2013", "2" ] ] }, "page" : "378-85; discussion 385-6", "publisher" : "Tapia,Nicole M. Baylor College of Medicine, Houston, Texas, USA. nmtapia@bcm.edu", "publisher-place" : "United States", "title" : "TEG-guided resuscitation is superior to standardized MTP resuscitation in massively transfused penetrating trauma patients.", "type" : "article-journal", "volume" : "74" }, "uris" : [ "http://www.mendeley.com/documents/?uuid=f0e6a00b-65fa-4487-83c3-64aa8ced540c" ] } ], "mendeley" : { "formattedCitation" : "&lt;sup&gt;[108]&lt;/sup&gt;", "plainTextFormattedCitation" : "[108]", "previouslyFormattedCitation" : "&lt;sup&gt;[109]&lt;/sup&gt;"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[108]</w:t>
      </w:r>
      <w:r w:rsidR="004C4F3B" w:rsidRPr="00884A81">
        <w:rPr>
          <w:rFonts w:ascii="Book Antiqua" w:hAnsi="Book Antiqua"/>
        </w:rPr>
        <w:fldChar w:fldCharType="end"/>
      </w:r>
      <w:r w:rsidRPr="00884A81">
        <w:rPr>
          <w:rFonts w:ascii="Book Antiqua" w:hAnsi="Book Antiqua"/>
        </w:rPr>
        <w:t xml:space="preserve"> demonstrated that TEG™ guided resuscitation was superior to standardized MTP resuscitation of penetrating trauma patient and Karkouti </w:t>
      </w:r>
      <w:r w:rsidRPr="004C4F3B">
        <w:rPr>
          <w:rFonts w:ascii="Book Antiqua" w:hAnsi="Book Antiqua"/>
          <w:i/>
        </w:rPr>
        <w:t xml:space="preserve">et </w:t>
      </w:r>
      <w:r w:rsidRPr="004C4F3B">
        <w:rPr>
          <w:rFonts w:ascii="Book Antiqua" w:hAnsi="Book Antiqua"/>
          <w:i/>
        </w:rPr>
        <w:lastRenderedPageBreak/>
        <w:t>al</w:t>
      </w:r>
      <w:r w:rsidR="004C4F3B" w:rsidRPr="00884A81">
        <w:rPr>
          <w:rFonts w:ascii="Book Antiqua" w:hAnsi="Book Antiqua"/>
        </w:rPr>
        <w:fldChar w:fldCharType="begin" w:fldLock="1"/>
      </w:r>
      <w:r w:rsidR="004C4F3B" w:rsidRPr="00884A81">
        <w:rPr>
          <w:rFonts w:ascii="Book Antiqua" w:hAnsi="Book Antiqua"/>
        </w:rPr>
        <w:instrText>ADDIN CSL_CITATION { "citationItems" : [ { "id" : "ITEM-1", "itemData" : { "DOI" : "10.1097/ALN.0000000000000556", "ISSN" : "1528-1175", "PMID" : "25485470", "abstract" : "BACKGROUND Cardiac surgery requiring the use of cardiopulmonary bypass is frequently complicated by coagulopathic bleeding that, largely due to the shortcomings of conventional coagulation tests, is difficult to manage. This study evaluated a novel transfusion algorithm that uses point-of-care coagulation testing. METHODS Consecutive patients who underwent cardiac surgery with bypass at one hospital before (January 1, 2012 to January 6, 2013) and after (January 7, 2013 to December 13, 2013) institution of an algorithm that used the results of point-of-care testing (ROTEM; Tem International GmBH, Munich, Germany; Plateletworks; Helena Laboratories, Beaumont, TX) during bypass to guide management of coagulopathy were included. Pre- and postalgorithm outcomes were compared using interrupted time-series analysis to control for secular time trends and other confounders. RESULTS Pre- and postalgorithm groups included 1,311 and 1,170 patients, respectively. Transfusion rates for all blood products (except for cryoprecipitate, which did not change) were decreased after algorithm institution. After controlling for secular pre- and postalgorithm time trends and potential confounders, the posttransfusion odds ratios (95% CIs) for erythrocytes, platelets, and plasma were 0.50 (0.32 to 0.77), 0.22 (0.13 to 0.37), and 0.20 (0.12 to 0.34), respectively. There were no indications that the algorithm worsened any of the measured processes of care or outcomes. CONCLUSIONS Institution of a transfusion algorithm based on point-of-care testing was associated with reduced transfusions. This suggests that the algorithm could improve the management of the many patients who develop coagulopathic bleeding after cardiac surgery. The generalizability of the findings needs to be confirmed.", "author" : [ { "dropping-particle" : "", "family" : "Karkouti", "given" : "Keyvan", "non-dropping-particle" : "", "parse-names" : false, "suffix" : "" }, { "dropping-particle" : "", "family" : "McCluskey", "given" : "Stuart A", "non-dropping-particle" : "", "parse-names" : false, "suffix" : "" }, { "dropping-particle" : "", "family" : "Callum", "given" : "Jeannie", "non-dropping-particle" : "", "parse-names" : false, "suffix" : "" }, { "dropping-particle" : "", "family" : "Freedman", "given" : "John", "non-dropping-particle" : "", "parse-names" : false, "suffix" : "" }, { "dropping-particle" : "", "family" : "Selby", "given" : "Rita", "non-dropping-particle" : "", "parse-names" : false, "suffix" : "" }, { "dropping-particle" : "", "family" : "Timoumi", "given" : "Tarik", "non-dropping-particle" : "", "parse-names" : false, "suffix" : "" }, { "dropping-particle" : "", "family" : "Roy", "given" : "Debashis", "non-dropping-particle" : "", "parse-names" : false, "suffix" : "" }, { "dropping-particle" : "", "family" : "Rao", "given" : "Vivek", "non-dropping-particle" : "", "parse-names" : false, "suffix" : "" } ], "container-title" : "Anesthesiology", "id" : "ITEM-1", "issue" : "3", "issued" : { "date-parts" : [ [ "2015", "3" ] ] }, "page" : "560-70", "title" : "Evaluation of a novel transfusion algorithm employing point-of-care coagulation assays in cardiac surgery: a retrospective cohort study with interrupted time-series analysis.", "type" : "article-journal", "volume" : "122" }, "uris" : [ "http://www.mendeley.com/documents/?uuid=1560def1-3f68-436a-94e8-1df7040b1712", "http://www.mendeley.com/documents/?uuid=1351732b-7273-4664-826c-bbeb614b9c9b" ] } ], "mendeley" : { "formattedCitation" : "&lt;sup&gt;[109]&lt;/sup&gt;", "plainTextFormattedCitation" : "[109]", "previouslyFormattedCitation" : "&lt;sup&gt;[110]&lt;/sup&gt;" }, "properties" : { "noteIndex" : 0 }, "schema" : "https://github.com/citation-style-language/schema/raw/master/csl-citation.json" }</w:instrText>
      </w:r>
      <w:r w:rsidR="004C4F3B" w:rsidRPr="00884A81">
        <w:rPr>
          <w:rFonts w:ascii="Book Antiqua" w:hAnsi="Book Antiqua"/>
        </w:rPr>
        <w:fldChar w:fldCharType="separate"/>
      </w:r>
      <w:r w:rsidR="004C4F3B" w:rsidRPr="00884A81">
        <w:rPr>
          <w:rFonts w:ascii="Book Antiqua" w:hAnsi="Book Antiqua"/>
          <w:noProof/>
          <w:vertAlign w:val="superscript"/>
        </w:rPr>
        <w:t>[109]</w:t>
      </w:r>
      <w:r w:rsidR="004C4F3B" w:rsidRPr="00884A81">
        <w:rPr>
          <w:rFonts w:ascii="Book Antiqua" w:hAnsi="Book Antiqua"/>
        </w:rPr>
        <w:fldChar w:fldCharType="end"/>
      </w:r>
      <w:r w:rsidRPr="00884A81">
        <w:rPr>
          <w:rFonts w:ascii="Book Antiqua" w:hAnsi="Book Antiqua"/>
        </w:rPr>
        <w:t xml:space="preserve"> were able to demonstrate a significant reduction in transfusion rates for all blood products for patients undergoing cardiac surgery through a ROTEM™ based algorithm. </w:t>
      </w:r>
      <w:r w:rsidR="003416CF" w:rsidRPr="00884A81">
        <w:rPr>
          <w:rFonts w:ascii="Book Antiqua" w:hAnsi="Book Antiqua"/>
        </w:rPr>
        <w:t xml:space="preserve">Recent state of the art papers on the management of traumatic haemorrhage have viscoelastic tests </w:t>
      </w:r>
      <w:r w:rsidR="00E26F80" w:rsidRPr="00884A81">
        <w:rPr>
          <w:rFonts w:ascii="Book Antiqua" w:hAnsi="Book Antiqua"/>
        </w:rPr>
        <w:t>integrated</w:t>
      </w:r>
      <w:r w:rsidR="003E1747" w:rsidRPr="00884A81">
        <w:rPr>
          <w:rFonts w:ascii="Book Antiqua" w:hAnsi="Book Antiqua"/>
        </w:rPr>
        <w:t xml:space="preserve"> into </w:t>
      </w:r>
      <w:r w:rsidR="004C4F3B" w:rsidRPr="00884A81">
        <w:rPr>
          <w:rFonts w:ascii="Book Antiqua" w:hAnsi="Book Antiqua"/>
        </w:rPr>
        <w:t>MTP</w:t>
      </w:r>
      <w:r w:rsidR="003E1747" w:rsidRPr="00884A81">
        <w:rPr>
          <w:rFonts w:ascii="Book Antiqua" w:hAnsi="Book Antiqua"/>
        </w:rPr>
        <w:t>s</w:t>
      </w:r>
      <w:r w:rsidR="00E26F80"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"10.1007/s12630-012-9795-4", "ISSN" : "1496-8975", "PMID" : "23076727", "abstract" : "PURPOSE Massive transfusion has recently been given a dynamic definition, namely, the replacement of more than four red cell concentrates within an hour. The purpose of this continuing professional development module is to review the pathophysiology of hemorrhagic shock in the trauma patient and the current management strategies of the massively bleeding trauma patient. PRINCIPAL FINDINGS The massively bleeding trauma patient requires concurrent hemorrhage control and blood replacement therapy. Although there are many complications of massive transfusions, such as acid-base disturbances, electrolyte abnormalities, and hypothermia, perhaps the most difficult aspect to manage is acute trauma coagulopathy. Historically, coagulopathy was attributed to dilution of coagulation factors; however, recent accumulated evidence indicates that it is a multifactorial process associated with hypoperfusion, factor consumption, and hyperfibrinolysis. In an attempt to minimize acute trauma coagulopathy, massive transfusion protocols with equal ratios of red cell concentrates, frozen plasma, and platelets have been proposed. This type of hemostatic resuscitation, with near equal ratios of blood and blood products, has improved survival, but it is not without risk. In addition to the rapid and effective restoration of blood volume, the specific goal of transfusion management should be to maintain the patient's oxygen carrying capacity, hemostasis, and biochemistry. CONCLUSION The current literature does not permit firm conclusions to be drawn regarding optimal transfusion ratios. It remains appropriate, however, to devise a massive transfusion protocol at the institutional level that provides treating physicians with rapid delivery of a reasonable initial ratio of products. This would permit patient-centred management with an emphasis on surgical control of bleeding, maintenance of normothermia, avoidance of electrolyte abnormalities, acid-base balance, and the timely delivery of blood products. OBJECTIVES After reading this module, the reader should be able to: 1. Enumerate the complications associated with massive transfusion in the trauma context; 2. Understand how the coagulopathy present in the trauma patient differs from that seen in the elective setting; 3. Identify the modifications suggested by the recent literature for the management of massive transfusion in the trauma setting; 4. Appreciate the evidence for the institution of massive transfusion protocols.", "author" : [ { "dropping-particle" : "", "family" : "Hayter", "given" : "Megan A", "non-dropping-particle" : "", "parse-names" : false, "suffix" : "" }, { "dropping-particle" : "", "family" : "Pavenski", "given" : "Katerina", "non-dropping-particle" : "", "parse-names" : false, "suffix" : "" }, { "dropping-particle" : "", "family" : "Baker", "given" : "James", "non-dropping-particle" : "", "parse-names" : false, "suffix" : "" } ], "container-title" : "Canadian journal of anaesthesia = Journal canadien d'anesthe\u0301sie", "id" : "ITEM-1", "issue" : "12", "issued" : { "date-parts" : [ [ "2012", "12" ] ] }, "note" : "Massive transfusion defined as the replacement of one blood volume in 24 hour period.\n\nMore dynamic definition of massive transfusion include the transfusion of at least four red cell conecntrates within one hour and ongoing need for blood replacement in the foresable future.\n\nRisk of hyperkalaemia in massive transfusion\nEach RBC unit contains 3g citrate which is the maximum amount that healthy liver can metabloize every 5 minutes, can lead to metabolic alkalosis and hypocalcaemia secondary to citrate toxicity. \nHypomagnesemia seconary to infusion mag-poor fluids and citrate binding results inprolongation of QT interval during massive transfusion.\n\nAcidosis exacerbates the coagulopathy beacause platelets change their shape at a pH &amp;lt; 7.4 and thrombin generation inhibted pH &amp;lt; 7.1\nAcidosis exacerabates coagulopathy\n\nHypothermia - trauma patient at risk due to long period of exposure, infusion of unwarmed fluids, opening of body cavities. altered thermoregulatory control.\nConsequences: decreased citrate metabolism, decreased drug clearance, decreased production of clotting factors, platelet dysfuction, alters coagulation cascade enhances fibronolyis. \n\nTranfusion ratios aimed at giving products in ratios equivalent to whole blood.\nSurvivorship major obstacle in the proper interpretation of reterospective assocatations. between trasnfusion ratios and outcome. Suggestion that patients survive because they endure long enough to recieve high ratio transfusion rather than bacuase of it. \n\nMassive trasnfusion protocols provide treating physicans with reasonable and rapid inital ratio of blood products.\n\nProblems with convetional coagulation tests\n1. Blood sampling to results usually 45 mintues\n2. Coagulation tests determined from plasma rather thahn whole blood\n3. No information on platelet function\n4. Time to clot formation provides no information regarding clot strength of subseqent fibronlysis\n\nBlind resuscitation lead to insufficent amounts of plasma and platelts. \nEuropean and Nritish guidleines have included ROTEM and TEG into alogorhythm.", "page" : "1130-45", "publisher" : "Hayter,Megan A. Department of Anesthesiology, St. Michael's Hospital, University of Toronto, Toronto, ON, Canada.", "publisher-place" : "United States", "title" : "Massive transfusion in the trauma patient: Continuing Professional Development.", "type" : "article-journal", "volume" : "59" }, "uris" : [ "http://www.mendeley.com/documents/?uuid=3ac4b66b-7da6-49cd-bbb6-bef149d9ab7b" ] }, { "id" : "ITEM-2", "itemData" : { "DOI" : "10.1182/blood-2014-05-575340", "ISSN" : "1528-0020", "PMID" : "25293771", "abstract" : "Massive hemorrhage is associated with coagulopathy and high mortality. The transfusion guidelines up to 2006 recommended that resuscitation of massive hemorrhage should occur in successive steps using crystalloids, colloids, and red blood cells (RBCs) in the early phase and plasma and platelets in the late phase. With the introduction of the cell-based model of hemostasis in the mid-1990s, our understanding of the hemostatic process and of coagulopathy has improved. This has contributed to a change in resuscitation strategy and transfusion therapy of massive hemorrhage along with an acceptance of the adequacy of whole blood hemostatic tests to monitor these patients. Thus, in 2005, a strategy aiming at avoiding coagulopathy by proactive resuscitation with blood products in a balanced ratio of RBC:plasma:platelets was introduced, and this has been reported to be associated with reduced mortality in observational studies. Concurrently, whole blood viscoelastic hemostatic assays have gained acceptance by allowing a rapid and timely identification of coagulopathy along with enabling an individualized, goal-directed transfusion therapy. These strategies joined together seem beneficial for patient outcome, although final evidence on outcome from randomized controlled trials are lacking. We present how we in Copenhagen and Houston, today, manage patients with massive hemorrhage.", "author" : [ { "dropping-particle" : "", "family" : "Johansson", "given" : "P\u00e4r I", "non-dropping-particle" : "", "parse-names" : false, "suffix" : "" }, { "dropping-particle" : "", "family" : "Stensballe", "given" : "Jakob", "non-dropping-particle" : "", "parse-names" : false, "suffix" : "" }, { "dropping-particle" : "", "family" : "Oliveri", "given" : "Roberto", "non-dropping-particle" : "", "parse-names" : false, "suffix" : "" }, { "dropping-particle" : "", "family" : "Wade", "given" : "Charles E", "non-dropping-particle" : "", "parse-names" : false, "suffix" : "" }, { "dropping-particle" : "", "family" : "Ostrowski", "given" : "Sisse R", "non-dropping-particle" : "", "parse-names" : false, "suffix" : "" }, { "dropping-particle" : "", "family" : "Holcomb", "given" : "John B", "non-dropping-particle" : "", "parse-names" : false, "suffix" : "" } ], "container-title" : "Blood", "id" : "ITEM-2", "issue" : "20", "issued" : { "date-parts" : [ [ "2014", "11", "13" ] ] }, "page" : "3052-8", "publisher" : "Johansson,Par I. Section for Transfusion Medicine, Capital Region Blood Bank, Copenhagen University Hospital, Rigshospitalet, Copenhagen, Denmark; Department of Surgery, Division of Acute Care Surgery, Centre for Translational Injury Research, University", "publisher-place" : "United States", "title" : "How I treat patients with massive hemorrhage.", "type" : "article-journal", "volume" : "124" }, "uris" : [ "http://www.mendeley.com/documents/?uuid=8a915aec-5025-4172-ba1e-3af5f9306056" ] }, { "id" : "ITEM-3", "itemData" : { "DOI" : "10.1111/trf.12214", "ISSN" : "1537-2995", "PMID" : "23614333", "abstract" : "BACKGROUND Hemorrhage accounts for most preventable trauma deaths, but still the optimal strategy for hemostatic resuscitation remains debated. STUDY DESIGN AND METHODS This was a prospective study of adult trauma patients admitted to a Level I trauma center. Demography, Injury Severity Score (ISS), transfusion therapy, and mortality were registered. Hemostatic resuscitation was based on a massive transfusion protocol encompassing transfusion packages and thromboelastography (TEG)-guided therapy. RESULTS A total of 182 patients were included (75% males, median age 43 years, ISS of 17, 92% with blunt trauma). Overall 28-day mortality was 12% with causes of death being exsanguinations (14%), traumatic brain injury (72%, two-thirds expiring within 24 hr), and other (14%). One-fourth, 16 and 15% of the patients, received red blood cells (RBCs), plasma, or platelets (PLTs) within 2 hours from admission and 68, 71, and 75%, respectively, of patients transfused within 24 hours received the respective blood products within the first 2 hours. In patients transfused within 24 hours, the median number of blood products at 2 hours was 5 units of RBCs, 5 units of plasma, and 2 units of PLT concentrates. Nonsurvivors had lower clot strength by kaolin-activated TEG and TEG functional fibrinogen and lower kaolin-tissue factor-activated TEG \u03b1-angle and lysis after 30 minutes compared to survivors. None of the TEG variables were independent predictors of massive transfusion or mortality. CONCLUSION Three-fourths of the patients transfused with plasma or PLTs within 24 hours received these in the first 2 hours. Hemorrhage caused 14% of the deaths. We introduced transfusion packages and early TEG-directed hemostatic resuscitation at our hospital 10 years ago and this may have contributed to reducing hemorrhagic trauma deaths.", "author" : [ { "dropping-particle" : "", "family" : "Johansson", "given" : "P\u00e4r I", "non-dropping-particle" : "", "parse-names" : false, "suffix" : "" }, { "dropping-particle" : "", "family" : "S\u00f8rensen", "given" : "Anne Marie", "non-dropping-particle" : "", "parse-names" : false, "suffix" : "" }, { "dropping-particle" : "", "family" : "Larsen", "given" : "Claus F", "non-dropping-particle" : "", "parse-names" : false, "suffix" : "" }, { "dropping-particle" : "", "family" : "Windel\u00f8v", "given" : "Nis A", "non-dropping-particle" : "", "parse-names" : false, "suffix" : "" }, { "dropping-particle" : "", "family" : "Stensballe", "given" : "Jakob", "non-dropping-particle" : "", "parse-names" : false, "suffix" : "" }, { "dropping-particle" : "", "family" : "Perner", "given" : "Anders", "non-dropping-particle" : "", "parse-names" : false, "suffix" : "" }, { "dropping-particle" : "", "family" : "Rasmussen", "given" : "Lars S", "non-dropping-particle" : "", "parse-names" : false, "suffix" : "" }, { "dropping-particle" : "", "family" : "Ostrowski", "given" : "Sisse R", "non-dropping-particle" : "", "parse-names" : false, "suffix" : "" } ], "container-title" : "Transfusion", "id" : "ITEM-3", "issue" : "12", "issued" : { "date-parts" : [ [ "2013", "12" ] ] }, "note" : "Old strategy: lots of crystalloids and blood and red blood cells\nNew strategy: early administration of plasma and platelets in addition to RBCs. \nreterospective studies suggesting that larger amounts of plasma and platelets during resuscitation have better survival - survival bias. Supported by PROMMTT.\nMonitoring coagulation has changed from conventional coagulation test to viscoelastic tests - understanding of importance of cellular function in haemostasis. particularly platelets in cellular function. \nGroup introduced early goal-directed haemostatic resuscitation with plasma, plts, TXA, cryoprecipitate pool, and fibrinogen concentrate based on TEG analysis for all bleeding patients.\u00a0 in 2004\n\nPatients have TEG analysis immediately on arrival concurrent with blood sampling for blood type and conventional test. results from TEG within 10 minutues displayed in real time,. TEG done every 30 minutes\nIf haemodynamic instability blood products given in fixed ration (transfusion packages) with subsequent focused intervention based on TEG\nPackage: 5 units PRBCs, 5 units FFP, 2 units PLTs administered in parallel yielding approx. 1:1:1 ratio blood products. Balanced transfusion therapy continued until haemodynamic stability achieved. TXA, cryoprecpitate and fibrinogen given in accordance with TEG\nMassive transfusion definition, \n10units PRBS 6 hours and 24 hours.\n25%, 16% and 15% of patients received RBCs, plasma and platelets within 2 hours of admission. 68%, 71%, 75% who reived transfusion in 24 hours recived them wthiin 2 hours of admission.\nmedian number of transfused units 5 PRBCs 5 plasma, 2 platelets only 18% recived transfusion packages. \n\nreport reduction in mortality possibly replated to early use of TEG guided transfusion packages.", "page" : "3088-99", "publisher" : "Johansson,Par I. Section for Transfusion Medicine, Capital Region Blood Bank, the Department of Anesthesia and TraumaCenter 3193, Centre for Head and Orthopedic, and the Department of Intensive Care, Copenhagen University Hospital, Rigshospitalet, Copenha", "publisher-place" : "United States", "title" : "Low hemorrhage-related mortality in trauma patients in a Level I trauma center employing transfusion packages and early thromboelastography-directed hemostatic resuscitation with plasma and platelets.", "type" : "article-journal", "volume" : "53" }, "uris" : [ "http://www.mendeley.com/documents/?uuid=e752d607-b311-4ec1-8a8b-b1a6c6a7252c" ] }, { "id" : "ITEM-4", "itemData" : { "DOI" : "10.1016/j.ajem.2013.09.038", "ISSN" : "1532-8171", "PMID" : "24286666", "abstract" : "Massive posttraumatic bleeding is the leading cause of potentially preventable death among patients with severe trauma. Immediate diagnosis and treatment of traumatic coagulopathy and its differentiation from surgical bleeding after major trauma are critical in the management of such patients. In this case report, we present a 33-year-old woman who had multiple injuries to the head and trunk in motor vehicle collision, resulting in severe bleeding and necessitating emergency surgery. We demonstrate how repeated rotational thromboelastometry and thromboelastography analyses were used to direct the choice of therapy to stabilize her circulatory system for surgery and to differentiate surgical bleed from coagulopathy. Therapy based on massive transfusion protocol and on laboratory coagulation tests would be insufficient to stop bleeding. We conclude that rotational thromboelastometry/thromboelastography analysis plays a critical role in the management of traumatic bleeding and helps us provide more aggressive and targeted therapy for coagulopathy both in the acute and later phases of treatment of severe bleeding.", "author" : [ { "dropping-particle" : "", "family" : "Durila", "given" : "Miroslav", "non-dropping-particle" : "", "parse-names" : false, "suffix" : "" }, { "dropping-particle" : "", "family" : "Malo\u0161ek", "given" : "Martin", "non-dropping-particle" : "", "parse-names" : false, "suffix" : "" } ], "container-title" : "The American journal of emergency medicine", "id" : "ITEM-4", "issue" : "3", "issued" : { "date-parts" : [ [ "2014", "3" ] ] }, "page" : "288.e1-3", "publisher" : "Durila,Miroslav. Department of Anesthesiology and Critical Care Medicine, Second Faculty of Medicine, Charles University in Prague, Czech Republic. Electronic address: durila4@gmail.com.", "publisher-place" : "United States", "title" : "Rotational thromboelastometry along with thromboelastography plays a critical role in the management of traumatic bleeding.", "type" : "article-journal", "volume" : "32" }, "uris" : [ "http://www.mendeley.com/documents/?uuid=2b7e965b-2f5c-4c0c-9313-8e732d86df91" ] } ], "mendeley" : { "formattedCitation" : "&lt;sup&gt;[38,110\u2013112]&lt;/sup&gt;", "plainTextFormattedCitation" : "[38,110\u2013112]", "previouslyFormattedCitation" : "&lt;sup&gt;[39,111\u2013113]&lt;/sup&gt;" }, "properties" : { "noteIndex" : 0 }, "schema" : "https://github.com/citation-style-language/schema/raw/master/csl-citation.json" }</w:instrText>
      </w:r>
      <w:r w:rsidR="00E26F80" w:rsidRPr="00884A81">
        <w:rPr>
          <w:rFonts w:ascii="Book Antiqua" w:hAnsi="Book Antiqua"/>
        </w:rPr>
        <w:fldChar w:fldCharType="separate"/>
      </w:r>
      <w:r w:rsidR="00217BDC" w:rsidRPr="00884A81">
        <w:rPr>
          <w:rFonts w:ascii="Book Antiqua" w:hAnsi="Book Antiqua"/>
          <w:noProof/>
          <w:vertAlign w:val="superscript"/>
        </w:rPr>
        <w:t>[38,110</w:t>
      </w:r>
      <w:r w:rsidR="004C4F3B">
        <w:rPr>
          <w:rFonts w:ascii="Book Antiqua" w:eastAsia="宋体" w:hAnsi="Book Antiqua" w:hint="eastAsia"/>
          <w:noProof/>
          <w:vertAlign w:val="superscript"/>
          <w:lang w:eastAsia="zh-CN"/>
        </w:rPr>
        <w:t>-</w:t>
      </w:r>
      <w:r w:rsidR="00217BDC" w:rsidRPr="00884A81">
        <w:rPr>
          <w:rFonts w:ascii="Book Antiqua" w:hAnsi="Book Antiqua"/>
          <w:noProof/>
          <w:vertAlign w:val="superscript"/>
        </w:rPr>
        <w:t>112]</w:t>
      </w:r>
      <w:r w:rsidR="00E26F80" w:rsidRPr="00884A81">
        <w:rPr>
          <w:rFonts w:ascii="Book Antiqua" w:hAnsi="Book Antiqua"/>
        </w:rPr>
        <w:fldChar w:fldCharType="end"/>
      </w:r>
      <w:r w:rsidR="004C4F3B">
        <w:rPr>
          <w:rFonts w:ascii="Book Antiqua" w:eastAsia="宋体" w:hAnsi="Book Antiqua" w:hint="eastAsia"/>
          <w:lang w:eastAsia="zh-CN"/>
        </w:rPr>
        <w:t>.</w:t>
      </w:r>
      <w:r w:rsidR="00E26F80" w:rsidRPr="00884A81">
        <w:rPr>
          <w:rFonts w:ascii="Book Antiqua" w:hAnsi="Book Antiqua"/>
        </w:rPr>
        <w:t xml:space="preserve"> </w:t>
      </w:r>
      <w:r w:rsidR="0056570D" w:rsidRPr="00884A81">
        <w:rPr>
          <w:rFonts w:ascii="Book Antiqua" w:hAnsi="Book Antiqua"/>
        </w:rPr>
        <w:t>In</w:t>
      </w:r>
      <w:r w:rsidR="00E26F80" w:rsidRPr="00884A81">
        <w:rPr>
          <w:rFonts w:ascii="Book Antiqua" w:hAnsi="Book Antiqua"/>
        </w:rPr>
        <w:t xml:space="preserve"> the presence of uncontrolled haemorrhage, fixed ratio transfusion packages are instigated converting to viscoelastic test guided goal driven res</w:t>
      </w:r>
      <w:r w:rsidR="004C4F3B">
        <w:rPr>
          <w:rFonts w:ascii="Book Antiqua" w:hAnsi="Book Antiqua"/>
        </w:rPr>
        <w:t>uscitation once bleeding slows</w:t>
      </w:r>
      <w:r w:rsidR="00E26F80"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"10.1182/blood-2014-05-575340", "ISSN" : "1528-0020", "PMID" : "25293771", "abstract" : "Massive hemorrhage is associated with coagulopathy and high mortality. The transfusion guidelines up to 2006 recommended that resuscitation of massive hemorrhage should occur in successive steps using crystalloids, colloids, and red blood cells (RBCs) in the early phase and plasma and platelets in the late phase. With the introduction of the cell-based model of hemostasis in the mid-1990s, our understanding of the hemostatic process and of coagulopathy has improved. This has contributed to a change in resuscitation strategy and transfusion therapy of massive hemorrhage along with an acceptance of the adequacy of whole blood hemostatic tests to monitor these patients. Thus, in 2005, a strategy aiming at avoiding coagulopathy by proactive resuscitation with blood products in a balanced ratio of RBC:plasma:platelets was introduced, and this has been reported to be associated with reduced mortality in observational studies. Concurrently, whole blood viscoelastic hemostatic assays have gained acceptance by allowing a rapid and timely identification of coagulopathy along with enabling an individualized, goal-directed transfusion therapy. These strategies joined together seem beneficial for patient outcome, although final evidence on outcome from randomized controlled trials are lacking. We present how we in Copenhagen and Houston, today, manage patients with massive hemorrhage.", "author" : [ { "dropping-particle" : "", "family" : "Johansson", "given" : "P\u00e4r I", "non-dropping-particle" : "", "parse-names" : false, "suffix" : "" }, { "dropping-particle" : "", "family" : "Stensballe", "given" : "Jakob", "non-dropping-particle" : "", "parse-names" : false, "suffix" : "" }, { "dropping-particle" : "", "family" : "Oliveri", "given" : "Roberto", "non-dropping-particle" : "", "parse-names" : false, "suffix" : "" }, { "dropping-particle" : "", "family" : "Wade", "given" : "Charles E", "non-dropping-particle" : "", "parse-names" : false, "suffix" : "" }, { "dropping-particle" : "", "family" : "Ostrowski", "given" : "Sisse R", "non-dropping-particle" : "", "parse-names" : false, "suffix" : "" }, { "dropping-particle" : "", "family" : "Holcomb", "given" : "John B", "non-dropping-particle" : "", "parse-names" : false, "suffix" : "" } ], "container-title" : "Blood", "id" : "ITEM-1", "issue" : "20", "issued" : { "date-parts" : [ [ "2014", "11", "13" ] ] }, "page" : "3052-8", "publisher" : "Johansson,Par I. Section for Transfusion Medicine, Capital Region Blood Bank, Copenhagen University Hospital, Rigshospitalet, Copenhagen, Denmark; Department of Surgery, Division of Acute Care Surgery, Centre for Translational Injury Research, University", "publisher-place" : "United States", "title" : "How I treat patients with massive hemorrhage.", "type" : "article-journal", "volume" : "124" }, "uris" : [ "http://www.mendeley.com/documents/?uuid=8a915aec-5025-4172-ba1e-3af5f9306056" ] } ], "mendeley" : { "formattedCitation" : "&lt;sup&gt;[110]&lt;/sup&gt;", "plainTextFormattedCitation" : "[110]", "previouslyFormattedCitation" : "&lt;sup&gt;[111]&lt;/sup&gt;" }, "properties" : { "noteIndex" : 0 }, "schema" : "https://github.com/citation-style-language/schema/raw/master/csl-citation.json" }</w:instrText>
      </w:r>
      <w:r w:rsidR="00E26F80" w:rsidRPr="00884A81">
        <w:rPr>
          <w:rFonts w:ascii="Book Antiqua" w:hAnsi="Book Antiqua"/>
        </w:rPr>
        <w:fldChar w:fldCharType="separate"/>
      </w:r>
      <w:r w:rsidR="00217BDC" w:rsidRPr="00884A81">
        <w:rPr>
          <w:rFonts w:ascii="Book Antiqua" w:hAnsi="Book Antiqua"/>
          <w:noProof/>
          <w:vertAlign w:val="superscript"/>
        </w:rPr>
        <w:t>[110]</w:t>
      </w:r>
      <w:r w:rsidR="00E26F80" w:rsidRPr="00884A81">
        <w:rPr>
          <w:rFonts w:ascii="Book Antiqua" w:hAnsi="Book Antiqua"/>
        </w:rPr>
        <w:fldChar w:fldCharType="end"/>
      </w:r>
      <w:r w:rsidR="004C4F3B">
        <w:rPr>
          <w:rFonts w:ascii="Book Antiqua" w:eastAsia="宋体" w:hAnsi="Book Antiqua" w:hint="eastAsia"/>
          <w:lang w:eastAsia="zh-CN"/>
        </w:rPr>
        <w:t>.</w:t>
      </w:r>
      <w:r w:rsidR="00E26F80" w:rsidRPr="00884A81">
        <w:rPr>
          <w:rFonts w:ascii="Book Antiqua" w:hAnsi="Book Antiqua"/>
        </w:rPr>
        <w:t xml:space="preserve"> While trials comparing f</w:t>
      </w:r>
      <w:r w:rsidR="006D6E97" w:rsidRPr="00884A81">
        <w:rPr>
          <w:rFonts w:ascii="Book Antiqua" w:hAnsi="Book Antiqua"/>
        </w:rPr>
        <w:t>ixed ratio-guided resuscitation with viscoelastic test-guided in liver transplantation are lacking it</w:t>
      </w:r>
      <w:r w:rsidRPr="00884A81">
        <w:rPr>
          <w:rFonts w:ascii="Book Antiqua" w:hAnsi="Book Antiqua"/>
        </w:rPr>
        <w:t xml:space="preserve"> is usually a well-controlled procedure and most centres hav</w:t>
      </w:r>
      <w:r w:rsidR="00FC452F" w:rsidRPr="00884A81">
        <w:rPr>
          <w:rFonts w:ascii="Book Antiqua" w:hAnsi="Book Antiqua"/>
        </w:rPr>
        <w:t>e</w:t>
      </w:r>
      <w:r w:rsidRPr="00884A81">
        <w:rPr>
          <w:rFonts w:ascii="Book Antiqua" w:hAnsi="Book Antiqua"/>
        </w:rPr>
        <w:t xml:space="preserve"> access to </w:t>
      </w:r>
      <w:r w:rsidR="00676839" w:rsidRPr="00884A81">
        <w:rPr>
          <w:rFonts w:ascii="Book Antiqua" w:hAnsi="Book Antiqua"/>
        </w:rPr>
        <w:t>POC</w:t>
      </w:r>
      <w:r w:rsidRPr="00884A81">
        <w:rPr>
          <w:rFonts w:ascii="Book Antiqua" w:hAnsi="Book Antiqua"/>
        </w:rPr>
        <w:t xml:space="preserve"> coagulation monitors to guide transfusion, the fixed ration MTP’s are </w:t>
      </w:r>
      <w:r w:rsidR="00062ED4" w:rsidRPr="00884A81">
        <w:rPr>
          <w:rFonts w:ascii="Book Antiqua" w:hAnsi="Book Antiqua"/>
        </w:rPr>
        <w:t>possibly only required</w:t>
      </w:r>
      <w:r w:rsidRPr="00884A81">
        <w:rPr>
          <w:rFonts w:ascii="Book Antiqua" w:hAnsi="Book Antiqua"/>
        </w:rPr>
        <w:t xml:space="preserve"> in the most uncontrolled setting.</w:t>
      </w:r>
      <w:r w:rsidR="00884A81" w:rsidRPr="00884A81">
        <w:rPr>
          <w:rFonts w:ascii="Book Antiqua" w:hAnsi="Book Antiqua"/>
        </w:rPr>
        <w:t xml:space="preserve"> </w:t>
      </w:r>
    </w:p>
    <w:p w14:paraId="4E3CE994" w14:textId="77777777" w:rsidR="0029307E" w:rsidRPr="00884A81" w:rsidRDefault="0029307E" w:rsidP="00884A81">
      <w:pPr>
        <w:spacing w:line="360" w:lineRule="auto"/>
        <w:jc w:val="both"/>
        <w:rPr>
          <w:rFonts w:ascii="Book Antiqua" w:hAnsi="Book Antiqua" w:cs="Times New Roman"/>
          <w:b/>
        </w:rPr>
      </w:pPr>
    </w:p>
    <w:p w14:paraId="11D9A304" w14:textId="39430129" w:rsidR="0029307E" w:rsidRPr="004C4F3B" w:rsidRDefault="004C4F3B" w:rsidP="00884A81">
      <w:pPr>
        <w:spacing w:line="360" w:lineRule="auto"/>
        <w:jc w:val="both"/>
        <w:rPr>
          <w:rFonts w:ascii="Book Antiqua" w:eastAsia="宋体" w:hAnsi="Book Antiqua" w:cs="Times New Roman"/>
          <w:b/>
          <w:i/>
          <w:lang w:eastAsia="zh-CN"/>
        </w:rPr>
      </w:pPr>
      <w:r w:rsidRPr="004C4F3B">
        <w:rPr>
          <w:rFonts w:ascii="Book Antiqua" w:hAnsi="Book Antiqua" w:cs="Times New Roman"/>
          <w:b/>
          <w:i/>
        </w:rPr>
        <w:t>Fluid management</w:t>
      </w:r>
    </w:p>
    <w:p w14:paraId="5496ABDA" w14:textId="0942F79D" w:rsidR="00497124" w:rsidRPr="00884A81" w:rsidRDefault="00497124" w:rsidP="00884A81">
      <w:pPr>
        <w:spacing w:line="360" w:lineRule="auto"/>
        <w:jc w:val="both"/>
        <w:rPr>
          <w:rFonts w:ascii="Book Antiqua" w:hAnsi="Book Antiqua"/>
        </w:rPr>
      </w:pPr>
      <w:r w:rsidRPr="00884A81">
        <w:rPr>
          <w:rFonts w:ascii="Book Antiqua" w:hAnsi="Book Antiqua"/>
        </w:rPr>
        <w:t>Another strategy to reduce blood loss is fluid restriction similar to liver resection surgery.</w:t>
      </w:r>
      <w:r w:rsidR="00884A81" w:rsidRPr="00884A81">
        <w:rPr>
          <w:rFonts w:ascii="Book Antiqua" w:hAnsi="Book Antiqua"/>
        </w:rPr>
        <w:t xml:space="preserve"> </w:t>
      </w:r>
      <w:r w:rsidRPr="00884A81">
        <w:rPr>
          <w:rFonts w:ascii="Book Antiqua" w:hAnsi="Book Antiqua"/>
        </w:rPr>
        <w:t>However, e</w:t>
      </w:r>
      <w:r w:rsidR="002A30AF" w:rsidRPr="00884A81">
        <w:rPr>
          <w:rFonts w:ascii="Book Antiqua" w:hAnsi="Book Antiqua"/>
        </w:rPr>
        <w:t>xcessive</w:t>
      </w:r>
      <w:r w:rsidRPr="00884A81">
        <w:rPr>
          <w:rFonts w:ascii="Book Antiqua" w:hAnsi="Book Antiqua"/>
        </w:rPr>
        <w:t xml:space="preserve"> fluid restriction may </w:t>
      </w:r>
      <w:r w:rsidR="002A30AF" w:rsidRPr="00884A81">
        <w:rPr>
          <w:rFonts w:ascii="Book Antiqua" w:hAnsi="Book Antiqua"/>
        </w:rPr>
        <w:t>have deleterious consequences including hemodynamic instability and postoperative renal impairment.</w:t>
      </w:r>
      <w:r w:rsidR="00884A81" w:rsidRPr="00884A81">
        <w:rPr>
          <w:rFonts w:ascii="Book Antiqua" w:hAnsi="Book Antiqua"/>
        </w:rPr>
        <w:t xml:space="preserve"> </w:t>
      </w:r>
      <w:r w:rsidR="002A30AF" w:rsidRPr="00884A81">
        <w:rPr>
          <w:rFonts w:ascii="Book Antiqua" w:hAnsi="Book Antiqua"/>
        </w:rPr>
        <w:t xml:space="preserve">Schroeder </w:t>
      </w:r>
      <w:r w:rsidR="002A30AF" w:rsidRPr="00676839">
        <w:rPr>
          <w:rFonts w:ascii="Book Antiqua" w:hAnsi="Book Antiqua"/>
          <w:i/>
        </w:rPr>
        <w:t>et al</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"10.1053/j.jvca.2004.05.020", "ISSN" : "1053-0770", "PMID" : "15365923", "abstract" : "OBJECTIVE To assess clinical safety of a low central venous pressure (CVP) fluid management strategy in patients undergoing liver transplantation. DESIGN Retrospective record review comparing 2 transplant centers, one using the low CVP method and the other using the normal CVP method. SETTING University-based, academic, tertiary care centers. PARTICIPANTS Patients undergoing orthotopic cadaveric liver transplantation. INTERVENTIONS Each center practiced according to its own standard of care. Center 1 maintained an intraoperative CVP &lt;5 mmHg using fluid restriction, nitroglycerin, forced diuresis, and morphine. If pressors were required to maintain systolic arterial pressure &gt;90 mmHg, phenylephrine or norepinephrine was used. At center 2, CVP was kept 7 to 10 mmHg and mean arterial pressure &gt;75 mmHg with minimal use of vasoactive drugs. MEASUREMENTS AND MAIN RESULTS Data collected included United Network for Organ Sharing status, surgical technique, intraoperative transfusion rate, preoperative and peak postoperative creatinine, time spent in intensive care unit and hospital, incidence of death, and postoperative need for hemodialysis. Principal findings include an increased rate of transfusion in the normal CVP group but increased rates of postoperative renal failure (elevated creatinine and more frequent need for dialysis) and 30-day mortality in the low CVP group. CONCLUSIONS Despite success in lowering blood transfusion requirements in liver resection patients, a low CVP should be avoided in patients undergoing liver transplantation.", "author" : [ { "dropping-particle" : "", "family" : "Schroeder", "given" : "Rebecca A", "non-dropping-particle" : "", "parse-names" : false, "suffix" : "" }, { "dropping-particle" : "", "family" : "Collins", "given" : "Bradley H", "non-dropping-particle" : "", "parse-names" : false, "suffix" : "" }, { "dropping-particle" : "", "family" : "Tuttle-Newhall", "given" : "Elizabeth", "non-dropping-particle" : "", "parse-names" : false, "suffix" : "" }, { "dropping-particle" : "", "family" : "Robertson", "given" : "Kerri", "non-dropping-particle" : "", "parse-names" : false, "suffix" : "" }, { "dropping-particle" : "", "family" : "Plotkin", "given" : "Jeffrey", "non-dropping-particle" : "", "parse-names" : false, "suffix" : "" }, { "dropping-particle" : "", "family" : "Johnson", "given" : "Lynt B", "non-dropping-particle" : "", "parse-names" : false, "suffix" : "" }, { "dropping-particle" : "", "family" : "Kuo", "given" : "Paul C", "non-dropping-particle" : "", "parse-names" : false, "suffix" : "" } ], "container-title" : "Journal of cardiothoracic and vascular anesthesia", "id" : "ITEM-1", "issue" : "4", "issued" : { "date-parts" : [ [ "2004", "8" ] ] }, "language" : "eng", "page" : "438-41", "publisher-place" : "United States", "title" : "Intraoperative fluid management during orthotopic liver transplantation.", "type" : "article-journal", "volume" : "18" }, "uris" : [ "http://www.mendeley.com/documents/?uuid=4d6f0f56-a28a-4e49-87d0-2afbcdbc32ec" ] } ], "mendeley" : { "formattedCitation" : "&lt;sup&gt;[113]&lt;/sup&gt;", "plainTextFormattedCitation" : "[113]", "previouslyFormattedCitation" : "&lt;sup&gt;[114]&lt;/sup&gt;"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[113]</w:t>
      </w:r>
      <w:r w:rsidR="00676839" w:rsidRPr="00884A81">
        <w:rPr>
          <w:rFonts w:ascii="Book Antiqua" w:hAnsi="Book Antiqua"/>
        </w:rPr>
        <w:fldChar w:fldCharType="end"/>
      </w:r>
      <w:r w:rsidR="002A30AF" w:rsidRPr="00884A81">
        <w:rPr>
          <w:rFonts w:ascii="Book Antiqua" w:hAnsi="Book Antiqua"/>
        </w:rPr>
        <w:t xml:space="preserve"> conducted a retrospective record review comparing two liver transplant </w:t>
      </w:r>
      <w:r w:rsidR="00990D51" w:rsidRPr="00884A81">
        <w:rPr>
          <w:rFonts w:ascii="Book Antiqua" w:hAnsi="Book Antiqua"/>
        </w:rPr>
        <w:t>centres</w:t>
      </w:r>
      <w:r w:rsidR="002A30AF" w:rsidRPr="00884A81">
        <w:rPr>
          <w:rFonts w:ascii="Book Antiqua" w:hAnsi="Book Antiqua"/>
        </w:rPr>
        <w:t xml:space="preserve"> using</w:t>
      </w:r>
      <w:r w:rsidR="00884A81" w:rsidRPr="00884A81">
        <w:rPr>
          <w:rFonts w:ascii="Book Antiqua" w:hAnsi="Book Antiqua"/>
        </w:rPr>
        <w:t xml:space="preserve"> </w:t>
      </w:r>
      <w:r w:rsidR="00676839">
        <w:rPr>
          <w:rFonts w:ascii="Book Antiqua" w:eastAsia="宋体" w:hAnsi="Book Antiqua"/>
          <w:lang w:eastAsia="zh-CN"/>
        </w:rPr>
        <w:t>“</w:t>
      </w:r>
      <w:r w:rsidR="002A30AF" w:rsidRPr="00884A81">
        <w:rPr>
          <w:rFonts w:ascii="Book Antiqua" w:hAnsi="Book Antiqua"/>
        </w:rPr>
        <w:t>low</w:t>
      </w:r>
      <w:r w:rsidR="00676839">
        <w:rPr>
          <w:rFonts w:ascii="Book Antiqua" w:eastAsia="宋体" w:hAnsi="Book Antiqua"/>
          <w:lang w:eastAsia="zh-CN"/>
        </w:rPr>
        <w:t>”</w:t>
      </w:r>
      <w:r w:rsidR="002A30AF" w:rsidRPr="00884A81">
        <w:rPr>
          <w:rFonts w:ascii="Book Antiqua" w:hAnsi="Book Antiqua"/>
        </w:rPr>
        <w:t xml:space="preserve"> CVP (&lt;</w:t>
      </w:r>
      <w:r w:rsidR="00676839">
        <w:rPr>
          <w:rFonts w:ascii="Book Antiqua" w:eastAsia="宋体" w:hAnsi="Book Antiqua" w:hint="eastAsia"/>
          <w:lang w:eastAsia="zh-CN"/>
        </w:rPr>
        <w:t xml:space="preserve"> </w:t>
      </w:r>
      <w:r w:rsidR="002A30AF" w:rsidRPr="00884A81">
        <w:rPr>
          <w:rFonts w:ascii="Book Antiqua" w:hAnsi="Book Antiqua"/>
        </w:rPr>
        <w:t>5</w:t>
      </w:r>
      <w:r w:rsidR="00DA60AD" w:rsidRPr="00884A81">
        <w:rPr>
          <w:rFonts w:ascii="Book Antiqua" w:hAnsi="Book Antiqua"/>
        </w:rPr>
        <w:t xml:space="preserve"> </w:t>
      </w:r>
      <w:r w:rsidR="002A30AF" w:rsidRPr="00884A81">
        <w:rPr>
          <w:rFonts w:ascii="Book Antiqua" w:hAnsi="Book Antiqua"/>
        </w:rPr>
        <w:t>mmHg) and</w:t>
      </w:r>
      <w:r w:rsidR="00884A81" w:rsidRPr="00884A81">
        <w:rPr>
          <w:rFonts w:ascii="Book Antiqua" w:hAnsi="Book Antiqua"/>
        </w:rPr>
        <w:t xml:space="preserve"> </w:t>
      </w:r>
      <w:r w:rsidR="00676839">
        <w:rPr>
          <w:rFonts w:ascii="Book Antiqua" w:eastAsia="宋体" w:hAnsi="Book Antiqua"/>
          <w:lang w:eastAsia="zh-CN"/>
        </w:rPr>
        <w:t>“</w:t>
      </w:r>
      <w:r w:rsidR="002A30AF" w:rsidRPr="00884A81">
        <w:rPr>
          <w:rFonts w:ascii="Book Antiqua" w:hAnsi="Book Antiqua"/>
        </w:rPr>
        <w:t>normal</w:t>
      </w:r>
      <w:r w:rsidR="00676839">
        <w:rPr>
          <w:rFonts w:ascii="Book Antiqua" w:eastAsia="宋体" w:hAnsi="Book Antiqua"/>
          <w:lang w:eastAsia="zh-CN"/>
        </w:rPr>
        <w:t>”</w:t>
      </w:r>
      <w:r w:rsidR="002A30AF" w:rsidRPr="00884A81">
        <w:rPr>
          <w:rFonts w:ascii="Book Antiqua" w:hAnsi="Book Antiqua"/>
        </w:rPr>
        <w:t xml:space="preserve"> CVP (7-10</w:t>
      </w:r>
      <w:r w:rsidR="00DA60AD" w:rsidRPr="00884A81">
        <w:rPr>
          <w:rFonts w:ascii="Book Antiqua" w:hAnsi="Book Antiqua"/>
        </w:rPr>
        <w:t xml:space="preserve"> </w:t>
      </w:r>
      <w:r w:rsidR="002A30AF" w:rsidRPr="00884A81">
        <w:rPr>
          <w:rFonts w:ascii="Book Antiqua" w:hAnsi="Book Antiqua"/>
        </w:rPr>
        <w:t xml:space="preserve">mmHg) targets during liver transplant. Even though transfusion rates were reduced, increased rates of postoperative renal failure and 30 d mortality were observed in the </w:t>
      </w:r>
      <w:r w:rsidR="00676839">
        <w:rPr>
          <w:rFonts w:ascii="Book Antiqua" w:eastAsia="宋体" w:hAnsi="Book Antiqua"/>
          <w:lang w:eastAsia="zh-CN"/>
        </w:rPr>
        <w:t>“</w:t>
      </w:r>
      <w:r w:rsidR="002A30AF" w:rsidRPr="00884A81">
        <w:rPr>
          <w:rFonts w:ascii="Book Antiqua" w:hAnsi="Book Antiqua"/>
        </w:rPr>
        <w:t>low</w:t>
      </w:r>
      <w:r w:rsidR="00676839">
        <w:rPr>
          <w:rFonts w:ascii="Book Antiqua" w:eastAsia="宋体" w:hAnsi="Book Antiqua"/>
          <w:lang w:eastAsia="zh-CN"/>
        </w:rPr>
        <w:t>”</w:t>
      </w:r>
      <w:r w:rsidR="002A30AF" w:rsidRPr="00884A81">
        <w:rPr>
          <w:rFonts w:ascii="Book Antiqua" w:hAnsi="Book Antiqua"/>
        </w:rPr>
        <w:t xml:space="preserve"> CVP group</w:t>
      </w:r>
      <w:r w:rsidR="0045485A" w:rsidRPr="00884A81">
        <w:rPr>
          <w:rFonts w:ascii="Book Antiqua" w:hAnsi="Book Antiqua"/>
        </w:rPr>
        <w:t>.</w:t>
      </w:r>
      <w:r w:rsidRPr="00884A81">
        <w:rPr>
          <w:rFonts w:ascii="Book Antiqua" w:hAnsi="Book Antiqua"/>
        </w:rPr>
        <w:t xml:space="preserve"> </w:t>
      </w:r>
    </w:p>
    <w:p w14:paraId="094DD363" w14:textId="6A164031" w:rsidR="002A30AF"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t>Reduction of blood loss t</w:t>
      </w:r>
      <w:r w:rsidR="00497124" w:rsidRPr="00884A81">
        <w:rPr>
          <w:rFonts w:ascii="Book Antiqua" w:hAnsi="Book Antiqua"/>
        </w:rPr>
        <w:t>h</w:t>
      </w:r>
      <w:r w:rsidRPr="00884A81">
        <w:rPr>
          <w:rFonts w:ascii="Book Antiqua" w:hAnsi="Book Antiqua"/>
        </w:rPr>
        <w:t>rough maintenance of a low CVP must be balanced against adequate tissue perfusion.</w:t>
      </w:r>
      <w:r w:rsidR="00884A81" w:rsidRPr="00884A81">
        <w:rPr>
          <w:rFonts w:ascii="Book Antiqua" w:hAnsi="Book Antiqua"/>
        </w:rPr>
        <w:t xml:space="preserve"> </w:t>
      </w:r>
      <w:r w:rsidRPr="00884A81">
        <w:rPr>
          <w:rFonts w:ascii="Book Antiqua" w:hAnsi="Book Antiqua"/>
        </w:rPr>
        <w:t>Static pressure measurements such as CVP are unreliable indicators of volume status and adequacy of organ perfusion</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"10.1097/CCM.0b013e31828a25fd", "ISBN" : "1530-0293 (Electronic) 0090-3493 (Linking)", "ISSN" : "1530-0293", "PMID" : "23774337", "abstract" : "BACKGROUND Despite a previous meta-analysis that concluded that central venous pressure should not be used to make clinical decisions regarding fluid management, central venous pressure continues to be recommended for this purpose. AIM To perform an updated meta-analysis incorporating recent studies that investigated indices predictive of fluid responsiveness. A priori subgroup analysis was planned according to the location where the study was performed (ICU or operating room). DATA SOURCES MEDLINE, EMBASE, Cochrane Register of Controlled Trials, and citation review of relevant primary and review articles. STUDY SELECTION Clinical trials that reported the correlation coefficient or area under the receiver operating characteristic curve (AUC) between the central venous pressure and change in cardiac performance following an intervention that altered cardiac preload. From 191 articles screened, 43 studies met our inclusion criteria and were included for data extraction. The studies included human adult subjects, and included healthy controls (n = 1) and ICU (n = 22) and operating room (n = 20) patients. DATA EXTRACTION Data were abstracted on study characteristics, patient population, baseline central venous pressure, the correlation coefficient, and/or the AUC between central venous pressure and change in stroke volume index/cardiac index and the percentage of fluid responders. Meta-analytic techniques were used to summarize the data. DATA SYNTHESIS Overall 57% \u00b1 13% of patients were fluid responders. The summary AUC was 0.56 (95% CI, 0.54-0.58) with no heterogenicity between studies. The summary AUC was 0.56 (95% CI, 0.52-0.60) for those studies done in the ICU and 0.56 (95% CI, 0.54-0.58) for those done in the operating room. The summary correlation coefficient between the baseline central venous pressure and change in stroke volume index/cardiac index was 0.18 (95% CI, 0.1-0.25), being 0.28 (95% CI, 0.16-0.40) in the ICU patients, and 0.11 (95% CI, 0.02-0.21) in the operating room patients. CONCLUSIONS There are no data to support the widespread practice of using central venous pressure to guide fluid therapy. This approach to fluid resuscitation should be abandoned.", "author" : [ { "dropping-particle" : "", "family" : "Marik", "given" : "Paul E", "non-dropping-particle" : "", "parse-names" : false, "suffix" : "" }, { "dropping-particle" : "", "family" : "Cavallazzi", "given" : "Rodrigo", "non-dropping-particle" : "", "parse-names" : false, "suffix" : "" } ], "container-title" : "Critical care medicine", "id" : "ITEM-1", "issue" : "7", "issued" : { "date-parts" : [ [ "2013", "7" ] ] }, "page" : "1774-81", "title" : "Does the central venous pressure predict fluid responsiveness? An updated meta-analysis and a plea for some common sense.", "type" : "article-journal", "volume" : "41" }, "uris" : [ "http://www.mendeley.com/documents/?uuid=0f8fab70-80ee-4d3c-9e7a-7e19040ab53c" ] } ], "mendeley" : { "formattedCitation" : "&lt;sup&gt;[114]&lt;/sup&gt;", "plainTextFormattedCitation" : "[114]", "previouslyFormattedCitation" : "&lt;sup&gt;[115]&lt;/sup&gt;"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[114]</w:t>
      </w:r>
      <w:r w:rsidR="00676839" w:rsidRPr="00884A81">
        <w:rPr>
          <w:rFonts w:ascii="Book Antiqua" w:hAnsi="Book Antiqua"/>
        </w:rPr>
        <w:fldChar w:fldCharType="end"/>
      </w:r>
      <w:r w:rsidR="0045485A" w:rsidRPr="00884A81">
        <w:rPr>
          <w:rFonts w:ascii="Book Antiqua" w:hAnsi="Book Antiqua"/>
        </w:rPr>
        <w:t>.</w:t>
      </w:r>
      <w:r w:rsidR="00884A81" w:rsidRPr="00884A81">
        <w:rPr>
          <w:rFonts w:ascii="Book Antiqua" w:hAnsi="Book Antiqua"/>
        </w:rPr>
        <w:t xml:space="preserve"> </w:t>
      </w:r>
      <w:r w:rsidR="00497124" w:rsidRPr="00884A81">
        <w:rPr>
          <w:rFonts w:ascii="Book Antiqua" w:hAnsi="Book Antiqua"/>
        </w:rPr>
        <w:t>Dynamic (p</w:t>
      </w:r>
      <w:r w:rsidRPr="00884A81">
        <w:rPr>
          <w:rFonts w:ascii="Book Antiqua" w:hAnsi="Book Antiqua"/>
        </w:rPr>
        <w:t>ulse and stroke volume variation) an</w:t>
      </w:r>
      <w:r w:rsidR="00497124" w:rsidRPr="00884A81">
        <w:rPr>
          <w:rFonts w:ascii="Book Antiqua" w:hAnsi="Book Antiqua"/>
        </w:rPr>
        <w:t>d thermodynamic (Intrathoracic Blood V</w:t>
      </w:r>
      <w:r w:rsidRPr="00884A81">
        <w:rPr>
          <w:rFonts w:ascii="Book Antiqua" w:hAnsi="Book Antiqua"/>
        </w:rPr>
        <w:t>olume Index</w:t>
      </w:r>
      <w:r w:rsidR="00497124" w:rsidRPr="00884A81">
        <w:rPr>
          <w:rFonts w:ascii="Book Antiqua" w:hAnsi="Book Antiqua"/>
        </w:rPr>
        <w:t xml:space="preserve">, </w:t>
      </w:r>
      <w:r w:rsidRPr="00884A81">
        <w:rPr>
          <w:rFonts w:ascii="Book Antiqua" w:hAnsi="Book Antiqua"/>
        </w:rPr>
        <w:t>ITBVI) have demonstrated superior performance compared to static pressure measurements in terms of volume status assessment and preload dependence prediction in critical care and perioperative settings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"10.1186/2110-5820-1-1", "ISBN" : "2110-5820", "ISSN" : "2110-5820", "PMID" : "21906322", "abstract" : "The clinical determination of the intravascular volume can be extremely difficult in critically ill and injured patients as well as those undergoing major surgery. This is problematic because fluid loading is considered the first step in the resuscitation of hemodynamically unstable patients. Yet, multiple studies have demonstrated that only approximately 50% of hemodynamically unstable patients in the intensive care unit and operating room respond to a fluid challenge. Whereas under-resuscitation results in inadequate organ perfusion, accumulating data suggest that over-resuscitation increases the morbidity and mortality of critically ill patients. Cardiac filling pressures, including the central venous pressure and pulmonary artery occlusion pressure, have been traditionally used to guide fluid management. However, studies performed during the past 30 years have demonstrated that cardiac filling pressures are unable to predict fluid responsiveness. During the past decade, a number of dynamic tests of volume responsiveness have been reported. These tests dynamically monitor the change in stroke volume after a maneuver that increases or decreases venous return (preload) and challenges the patients' Frank-Starling curve. These dynamic tests use the change in stroke volume during mechanical ventilation or after a passive leg raising maneuver to assess fluid responsiveness. The stroke volume is measured continuously and in real-time by minimally invasive or noninvasive technologies, including Doppler methods, pulse contour analysis, and bioreactance.", "author" : [ { "dropping-particle" : "", "family" : "Marik", "given" : "Paul E.", "non-dropping-particle" : "", "parse-names" : false, "suffix" : "" }, { "dropping-particle" : "", "family" : "Monnet", "given" : "Xavier", "non-dropping-particle" : "", "parse-names" : false, "suffix" : "" }, { "dropping-particle" : "", "family" : "Teboul", "given" : "Jean-Louis", "non-dropping-particle" : "", "parse-names" : false, "suffix" : "" } ], "container-title" : "Annals of intensive care", "id" : "ITEM-1", "issue" : "1", "issued" : { "date-parts" : [ [ "2011" ] ] }, "page" : "1", "title" : "Hemodynamic parameters to guide fluid therapy.", "type" : "article-journal", "volume" : "1" }, "uris" : [ "http://www.mendeley.com/documents/?uuid=121bbf50-77ae-4107-9787-eaa7e6c87f8f" ] } ], "mendeley" : { "formattedCitation" : "&lt;sup&gt;[115]&lt;/sup&gt;", "plainTextFormattedCitation" : "[115]", "previouslyFormattedCitation" : "&lt;sup&gt;[116]&lt;/sup&gt;"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[115]</w:t>
      </w:r>
      <w:r w:rsidR="00676839" w:rsidRPr="00884A81">
        <w:rPr>
          <w:rFonts w:ascii="Book Antiqua" w:hAnsi="Book Antiqua"/>
        </w:rPr>
        <w:fldChar w:fldCharType="end"/>
      </w:r>
      <w:r w:rsidR="0045485A" w:rsidRPr="00884A81">
        <w:rPr>
          <w:rFonts w:ascii="Book Antiqua" w:hAnsi="Book Antiqua"/>
        </w:rPr>
        <w:t>.</w:t>
      </w:r>
      <w:r w:rsidR="00884A81" w:rsidRPr="00884A81">
        <w:rPr>
          <w:rFonts w:ascii="Book Antiqua" w:hAnsi="Book Antiqua"/>
        </w:rPr>
        <w:t xml:space="preserve"> </w:t>
      </w:r>
      <w:r w:rsidRPr="00884A81">
        <w:rPr>
          <w:rFonts w:ascii="Book Antiqua" w:hAnsi="Book Antiqua"/>
        </w:rPr>
        <w:t>Studies looking at the performance of dynamic parameters during liver transplant surgery have produced mixed results</w:t>
      </w:r>
      <w:r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"10.1016/j.transproceed.2011.12.037", "ISBN" : "1873-2623; 0041-1345", "ISSN" : "00411345", "PMID" : "22410035", "abstract" : "Background: Accurate determination of preload during liver transplantation is essential. Continuous right ventricular end diastolic volume index (RVEDVI) has been shown to be a better preload indicator during liver transplantation than the filling pressures. However, recent evidence has shown that dynamic variables, in this case stroke volume variation (SVV), are also good indicators of preload responsiveness. In this study, we evaluated the correlation between SVV, which we derived from arterial pulse contour analysis and RVEDVI. Methods: In this study, we looked for possible relationships between SVV obtained through FloTrac/Vigileo monitor, central venous pressure (CVP), pulmonary arterial occlusion pressure (PAOP), and RVEDVI in 30 patients undergoing liver transplantation. Measurements were taken at 11 defined points during different phases across liver transplantation. Each set of measurement was taken during a steady state, which means at least 15 minutes elpased after any changes occured in either the infusion rate of catecholamines or ventilator settings. Pearson's test was used for correlation estimation. Results: There was a statistically significant (P &lt;.01) relationship between SVV and RVEDVI with a correlation coefficient of -0.87. The correlations between CVP (r = 0.42), PAOA (r = 0.46), and RVEDVI were less strong. Conclusion: We conclude that SVV is a good indicator for preload estimation during liver transplantation. A higher SVV value is associated with a more hypovolemic fluid status. \u00a9 2012 by Elsevier Inc. All rights reserved.", "author" : [ { "dropping-particle" : "", "family" : "Su", "given" : "B. C.", "non-dropping-particle" : "", "parse-names" : false, "suffix" : "" }, { "dropping-particle" : "", "family" : "Tsai", "given" : "Y. F.", "non-dropping-particle" : "", "parse-names" : false, "suffix" : "" }, { "dropping-particle" : "", "family" : "Cheng", "given" : "C. W.", "non-dropping-particle" : "", "parse-names" : false, "suffix" : "" }, { "dropping-particle" : "", "family" : "Yu", "given" : "H. P.", "non-dropping-particle" : "", "parse-names" : false, "suffix" : "" }, { "dropping-particle" : "", "family" : "Yang", "given" : "M. W.", "non-dropping-particle" : "", "parse-names" : false, "suffix" : "" }, { "dropping-particle" : "", "family" : "Lee", "given" : "W. C.", "non-dropping-particle" : "", "parse-names" : false, "suffix" : "" }, { "dropping-particle" : "", "family" : "Lin", "given" : "C. C.", "non-dropping-particle" : "", "parse-names" : false, "suffix" : "" } ], "container-title" : "Transplantation Proceedings", "id" : "ITEM-1", "issue" : "2", "issued" : { "date-parts" : [ [ "2012" ] ] }, "page" : "429-432", "title" : "Stroke volume variation derived by arterial pulse contour analysis is a good indicator for preload estimation during liver transplantation", "type" : "article-journal", "volume" : "44" }, "uris" : [ "http://www.mendeley.com/documents/?uuid=2969774d-34aa-4d25-b3db-8a5062e2223c" ] }, { "id" : "ITEM-2", "itemData" : { "DOI" : "10.1093/bja/aep123", "ISBN" : "1471-6771 (Electronic)\\r0007-0912 (Linking)", "ISSN" : "00070912", "PMID" : "19454548", "abstract" : "BACKGROUND: The pulse pressure variation (PPV) index has been shown to be a reliable predictor of fluid responsiveness (FR) in a variety of clinical settings. However, it has not been formally evaluated in the setting of orthotopic liver transplantation (OLT). METHODS: Fifteen (n=15) patients undergoing OLT were enrolled in this study. All patients were monitored with a modified pulmonary artery catheter which measured the cardiac output on a semi-continuous basis. A fluid challenge (FC) with 350 ml of colloid was attempted during the following stages of surgery: hepatectomy (TH), anhepatic phase (TA), early post-reperfusion [(TE)--during the first 30 min], late post-reperfusion [(TL)--after hepatic artery anastomosis], and at the beginning of abdominal closure (TC). PPV and stroke volume index (SVI) were recorded at baseline and 5 min after the FC. Each individual FC which raised the SVI more than 10% from baseline was classified as responsive (R); otherwise, it was considered non-responsive (NR). RESULTS: Forty-one FCs were performed, with 14 (34%) classified as responsive and 27 (66%) as non-responsive. The baseline PPV did not differ significantly between the R and NR groups, showing considerable overlap of its values throughout the procedure [R vs NR; TH: 20% (inter-quartile range 7-32) vs 7% (5-14); TA: 10% (7-14) vs 19% (12-21), and TE+TL: 7% (5-11) vs 9% (7-16)]. CONCLUSIONS: Under the conditions of this study, the PPV index was not shown to be a reliable predictor of FR during OLT. Further studies are warranted to elucidate the role of this and other dynamic indexes in this specific setting.", "author" : [ { "dropping-particle" : "", "family" : "Gouv\u00eaa", "given" : "G.", "non-dropping-particle" : "", "parse-names" : false, "suffix" : "" }, { "dropping-particle" : "", "family" : "Diaz", "given" : "R.", "non-dropping-particle" : "", "parse-names" : false, "suffix" : "" }, { "dropping-particle" : "", "family" : "Auler", "given" : "L.", "non-dropping-particle" : "", "parse-names" : false, "suffix" : "" }, { "dropping-particle" : "", "family" : "Toledo", "given" : "R.", "non-dropping-particle" : "", "parse-names" : false, "suffix" : "" }, { "dropping-particle" : "", "family" : "Martinho", "given" : "J. M.", "non-dropping-particle" : "", "parse-names" : false, "suffix" : "" } ], "container-title" : "British Journal of Anaesthesia", "id" : "ITEM-2", "issue" : "2", "issued" : { "date-parts" : [ [ "2009" ] ] }, "page" : "238-243", "title" : "Evaluation of the pulse pressure variation index as a predictor of fluid responsiveness during orthotopic liver transplantation", "type" : "article-journal", "volume" : "103" }, "uris" : [ "http://www.mendeley.com/documents/?uuid=9c1a2e62-c81c-4692-af0a-2f11e32c508f" ] } ], "mendeley" : { "formattedCitation" : "&lt;sup&gt;[116,117]&lt;/sup&gt;", "plainTextFormattedCitation" : "[116,117]", "previouslyFormattedCitation" : "&lt;sup&gt;[117,118]&lt;/sup&gt;" }, "properties" : { "noteIndex" : 0 }, "schema" : "https://github.com/citation-style-language/schema/raw/master/csl-citation.json" }</w:instrText>
      </w:r>
      <w:r w:rsidRPr="00884A81">
        <w:rPr>
          <w:rFonts w:ascii="Book Antiqua" w:hAnsi="Book Antiqua"/>
        </w:rPr>
        <w:fldChar w:fldCharType="separate"/>
      </w:r>
      <w:r w:rsidR="00217BDC" w:rsidRPr="00884A81">
        <w:rPr>
          <w:rFonts w:ascii="Book Antiqua" w:hAnsi="Book Antiqua"/>
          <w:noProof/>
          <w:vertAlign w:val="superscript"/>
        </w:rPr>
        <w:t>[116,117]</w:t>
      </w:r>
      <w:r w:rsidRPr="00884A81">
        <w:rPr>
          <w:rFonts w:ascii="Book Antiqua" w:hAnsi="Book Antiqua"/>
        </w:rPr>
        <w:fldChar w:fldCharType="end"/>
      </w:r>
      <w:r w:rsidRPr="00884A81">
        <w:rPr>
          <w:rFonts w:ascii="Book Antiqua" w:hAnsi="Book Antiqua"/>
        </w:rPr>
        <w:t xml:space="preserve"> and their impact on liver transplantation outcomes requires further research.</w:t>
      </w:r>
      <w:r w:rsidR="00884A81" w:rsidRPr="00884A81">
        <w:rPr>
          <w:rFonts w:ascii="Book Antiqua" w:hAnsi="Book Antiqua"/>
        </w:rPr>
        <w:t xml:space="preserve"> </w:t>
      </w:r>
    </w:p>
    <w:p w14:paraId="0A6978A5" w14:textId="77777777" w:rsidR="00192AE7" w:rsidRPr="00884A81" w:rsidRDefault="00192AE7" w:rsidP="00884A81">
      <w:pPr>
        <w:spacing w:line="360" w:lineRule="auto"/>
        <w:jc w:val="both"/>
        <w:rPr>
          <w:rFonts w:ascii="Book Antiqua" w:hAnsi="Book Antiqua"/>
        </w:rPr>
      </w:pPr>
    </w:p>
    <w:p w14:paraId="75B3ED6C" w14:textId="6BA1596B" w:rsidR="0029307E" w:rsidRPr="00676839" w:rsidRDefault="00676839" w:rsidP="00884A81">
      <w:pPr>
        <w:spacing w:line="360" w:lineRule="auto"/>
        <w:jc w:val="both"/>
        <w:rPr>
          <w:rFonts w:ascii="Book Antiqua" w:eastAsia="宋体" w:hAnsi="Book Antiqua"/>
          <w:b/>
          <w:i/>
          <w:lang w:eastAsia="zh-CN"/>
        </w:rPr>
      </w:pPr>
      <w:r w:rsidRPr="00676839">
        <w:rPr>
          <w:rFonts w:ascii="Book Antiqua" w:hAnsi="Book Antiqua"/>
          <w:b/>
          <w:i/>
        </w:rPr>
        <w:t>Vasopressors</w:t>
      </w:r>
    </w:p>
    <w:p w14:paraId="47536977" w14:textId="30501376" w:rsidR="00BB2339" w:rsidRPr="00884A81" w:rsidRDefault="00192AE7" w:rsidP="00884A81">
      <w:pPr>
        <w:spacing w:line="360" w:lineRule="auto"/>
        <w:jc w:val="both"/>
        <w:rPr>
          <w:rFonts w:ascii="Book Antiqua" w:hAnsi="Book Antiqua"/>
        </w:rPr>
      </w:pPr>
      <w:r w:rsidRPr="00884A81">
        <w:rPr>
          <w:rFonts w:ascii="Book Antiqua" w:hAnsi="Book Antiqua"/>
        </w:rPr>
        <w:t>A variety of pharmacological agents can produce selective vasoconstriction of the splanchnic vascular bed and reduce portal blood flow.</w:t>
      </w:r>
      <w:r w:rsidR="00884A81" w:rsidRPr="00884A81">
        <w:rPr>
          <w:rFonts w:ascii="Book Antiqua" w:hAnsi="Book Antiqua"/>
        </w:rPr>
        <w:t xml:space="preserve"> </w:t>
      </w:r>
      <w:r w:rsidRPr="00884A81">
        <w:rPr>
          <w:rFonts w:ascii="Book Antiqua" w:hAnsi="Book Antiqua"/>
        </w:rPr>
        <w:t>Vasopressin, octreotide and phenylephrine are examples of agents that have been studied as potential interventions for blood loss reduction during OLT. Use of low dose vasopressin (0.04</w:t>
      </w:r>
      <w:r w:rsidR="00BB2339" w:rsidRPr="00884A81">
        <w:rPr>
          <w:rFonts w:ascii="Book Antiqua" w:hAnsi="Book Antiqua"/>
        </w:rPr>
        <w:t xml:space="preserve"> </w:t>
      </w:r>
      <w:r w:rsidRPr="00884A81">
        <w:rPr>
          <w:rFonts w:ascii="Book Antiqua" w:hAnsi="Book Antiqua"/>
        </w:rPr>
        <w:t>U/min) infusion during the dissection phase was associated with reduce blood loss compared with control group in a retrospective non randomised study of 110 OLT patients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"10.4172/2155-6148.1000104", "ISSN" : "21556148", "author" : [ { "dropping-particle" : "", "family" : "A. Vitin", "given" : "Alexander", "non-dropping-particle" : "", "parse-names" : false, "suffix" : "" }, { "dropping-particle" : "", "family" : "Martay", "given" : "Kenneth", "non-dropping-particle" : "", "parse-names" : false, "suffix" : "" }, { "dropping-particle" : "", "family" : "Vater", "given" : "Youri", "non-dropping-particle" : "", "parse-names" : false, "suffix" : "" }, { "dropping-particle" : "", "family" : "Dembo", "given" : "Gregory", "non-dropping-particle" : "", "parse-names" : false, "suffix" : "" }, { "dropping-particle" : "", "family" : "Maziarz", "given" : "Marlena", "non-dropping-particle" : "", "parse-names" : false, "suffix" : "" } ], "container-title" : "Journal of Anesthesia &amp; Clinical Research", "id" : "ITEM-1", "issue" : "01", "issued" : { "date-parts" : [ [ "2010" ] ] }, "page" : "104", "title" : "Effects of Vasoactive Agents on Blood Loss and Transfusion Requirements During Pre-Reperfusion Stages of the Orthotopic Liver Transplantation", "type" : "article-journal", "volume" : "01" }, "uris" : [ "http://www.mendeley.com/documents/?uuid=23feb00d-b3a4-47ce-87dd-61c32c3ed41c" ] } ], "mendeley" : { "formattedCitation" : "&lt;sup&gt;[118]&lt;/sup&gt;", "plainTextFormattedCitation" : "[118]", "previouslyFormattedCitation" : "&lt;sup&gt;[119]&lt;/sup&gt;"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[118]</w:t>
      </w:r>
      <w:r w:rsidR="00676839" w:rsidRPr="00884A81">
        <w:rPr>
          <w:rFonts w:ascii="Book Antiqua" w:hAnsi="Book Antiqua"/>
        </w:rPr>
        <w:fldChar w:fldCharType="end"/>
      </w:r>
      <w:r w:rsidR="0045485A" w:rsidRPr="00884A81">
        <w:rPr>
          <w:rFonts w:ascii="Book Antiqua" w:hAnsi="Book Antiqua"/>
        </w:rPr>
        <w:t>.</w:t>
      </w:r>
      <w:r w:rsidR="00BB2339" w:rsidRPr="00884A81">
        <w:rPr>
          <w:rFonts w:ascii="Book Antiqua" w:hAnsi="Book Antiqua"/>
        </w:rPr>
        <w:t xml:space="preserve"> </w:t>
      </w:r>
    </w:p>
    <w:p w14:paraId="1A501444" w14:textId="0B4F86B7" w:rsidR="00192AE7" w:rsidRPr="00884A81" w:rsidRDefault="00192AE7" w:rsidP="00676839">
      <w:pPr>
        <w:spacing w:line="360" w:lineRule="auto"/>
        <w:ind w:firstLineChars="100" w:firstLine="240"/>
        <w:jc w:val="both"/>
        <w:rPr>
          <w:rFonts w:ascii="Book Antiqua" w:hAnsi="Book Antiqua"/>
        </w:rPr>
      </w:pPr>
      <w:r w:rsidRPr="00884A81">
        <w:rPr>
          <w:rFonts w:ascii="Book Antiqua" w:hAnsi="Book Antiqua"/>
        </w:rPr>
        <w:t>The effect of administration of an octreotide infusion was studied in a randomised controlled trial of 79 patients undergoing OLT.</w:t>
      </w:r>
      <w:r w:rsidR="00884A81" w:rsidRPr="00884A81">
        <w:rPr>
          <w:rFonts w:ascii="Book Antiqua" w:hAnsi="Book Antiqua"/>
        </w:rPr>
        <w:t xml:space="preserve"> </w:t>
      </w:r>
      <w:r w:rsidRPr="00884A81">
        <w:rPr>
          <w:rFonts w:ascii="Book Antiqua" w:hAnsi="Book Antiqua"/>
        </w:rPr>
        <w:t>The study found that an octreotide infusion was associated with an increased urine output during the operation compared to control</w:t>
      </w:r>
      <w:r w:rsidR="00BB2339" w:rsidRPr="00884A81">
        <w:rPr>
          <w:rFonts w:ascii="Book Antiqua" w:hAnsi="Book Antiqua"/>
        </w:rPr>
        <w:t>,</w:t>
      </w:r>
      <w:r w:rsidRPr="00884A81">
        <w:rPr>
          <w:rFonts w:ascii="Book Antiqua" w:hAnsi="Book Antiqua"/>
        </w:rPr>
        <w:t xml:space="preserve"> but it failed to show any significant difference in terms of blood loss or blood transfusion requirements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"10.5812/hepatmon.12787", "ISSN" : "1735-143X", "PMID" : "24282425", "abstract" : "BACKGROUND Maintenance of the adequate intraoperative renal perfusion is very important during Orthotopic Liver Transplantation (OLT) to prevent acute renal failure. OBJECTIVES For the first time, this study was designed to survey the effects of octreotide on urine output during anesthesia for OLT and early postoperative renal function. PATIENTS AND METHODS In this randomized double-blind placebo controlled clinical trial, 79 of 89 patients who underwent OLT and fulfilled the study requirement were randomly allocated into two groups. In the octreotide group, the patients received octreotide infusion from the start of the operation. On the other hand, the control group patients received physiologic saline infusion instead of octreotide. The Mean Arterial Pressure (MAP), heart rate, urine output, norepinephrine usage, and dosage during the three stages of OLT, and baseline and postoperative creatinine were recorded and compared between the two groups. RESULTS No significant differences were found between the two groups regarding the demographic characteristics and graft factors (P &gt; 0.05). However, urine output and MAP during the three stages of OLT were significantly higher in the octreotide group compared to the control group (P &lt; 0.05). Moreover, no significant difference was observed between the two groups regarding baseline as well as postoperative creatinine (P &gt; 0.05). CONCLUSIONS The results demonstrated that octreotide infusion during anesthesia for OLT not only augmented the vasoconstriction effect of norepinephrine to increase MAP, but also maintained better renal perfusion and urine output during the operation.", "author" : [ { "dropping-particle" : "", "family" : "Sahmeddini", "given" : "Mohammad Ali", "non-dropping-particle" : "", "parse-names" : false, "suffix" : "" }, { "dropping-particle" : "", "family" : "Amini", "given" : "Afshin", "non-dropping-particle" : "", "parse-names" : false, "suffix" : "" }, { "dropping-particle" : "", "family" : "Naderi", "given" : "Nima", "non-dropping-particle" : "", "parse-names" : false, "suffix" : "" } ], "container-title" : "Hepatitis monthly", "id" : "ITEM-1", "issue" : "9", "issued" : { "date-parts" : [ [ "2013", "9", "18" ] ] }, "page" : "e12787", "publisher" : "Kowsar", "title" : "The effect of octreotide on urine output during orthotopic liver transplantation and early postoperative renal function; a randomized, double-blind, placebo-controlled trial.", "type" : "article-journal", "volume" : "13" }, "uris" : [ "http://www.mendeley.com/documents/?uuid=cac7d024-7c4b-424f-b2e5-36f1f3e8e2d3" ] } ], "mendeley" : { "formattedCitation" : "&lt;sup&gt;[119]&lt;/sup&gt;", "plainTextFormattedCitation" : "[119]", "previouslyFormattedCitation" : "&lt;sup&gt;[120]&lt;/sup&gt;"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[119]</w:t>
      </w:r>
      <w:r w:rsidR="00676839" w:rsidRPr="00884A81">
        <w:rPr>
          <w:rFonts w:ascii="Book Antiqua" w:hAnsi="Book Antiqua"/>
        </w:rPr>
        <w:fldChar w:fldCharType="end"/>
      </w:r>
      <w:r w:rsidR="0045485A" w:rsidRPr="00884A81">
        <w:rPr>
          <w:rFonts w:ascii="Book Antiqua" w:hAnsi="Book Antiqua"/>
        </w:rPr>
        <w:t>.</w:t>
      </w:r>
      <w:r w:rsidR="00884A81" w:rsidRPr="00884A81">
        <w:rPr>
          <w:rFonts w:ascii="Book Antiqua" w:hAnsi="Book Antiqua"/>
        </w:rPr>
        <w:t xml:space="preserve"> </w:t>
      </w:r>
    </w:p>
    <w:p w14:paraId="0D264135" w14:textId="3C879491" w:rsidR="00192AE7" w:rsidRPr="00884A81" w:rsidRDefault="00192AE7" w:rsidP="00676839">
      <w:pPr>
        <w:spacing w:line="360" w:lineRule="auto"/>
        <w:ind w:firstLineChars="100" w:firstLine="240"/>
        <w:jc w:val="both"/>
        <w:rPr>
          <w:rFonts w:ascii="Book Antiqua" w:hAnsi="Book Antiqua"/>
        </w:rPr>
      </w:pPr>
      <w:r w:rsidRPr="00884A81">
        <w:rPr>
          <w:rFonts w:ascii="Book Antiqua" w:hAnsi="Book Antiqua"/>
        </w:rPr>
        <w:t>Phenylephrine administration was found to be associated with decreased blood loss and lower lactate levels compared to patients receiving inotropes (dobutamine or dopamine) for cardiovascular support during liver transplant</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"10.1111/j.1365-2044.2012.07198.x", "ISSN" : "1365-2044", "PMID" : "22950390", "abstract" : "Administration of vasopressors or inotropes during liver transplant surgery is almost universal, as this procedure is often accompanied by massive haemorrhage, acid-base imbalance, and cardiovascular instability. However, the actual agents that should be used and the choice between a vasopressor and an inotrope strategy are not clear from existing published evidence. In this prospective, randomised, controlled and single-blinded study, we compared the effects of a vasopressor strategy on intra-operative blood loss and acid-base status with those of an inotrope strategy during living donor liver transplantation. Seventy-six adult liver recipients with decompensated cirrhosis were randomly assigned to receive a continuous infusion of either phenylephrine at a dose of 0.3-0.4 \u03bcg.kg(-1).min(-1) or dopamine and/or dobutamine at 2-8 \u03bcg.kg(-1).min(-1) during surgery. Vascular resistance was higher over time in the phenylephrine group than in the dopamine/dobutamine group. Estimated blood loss was significantly lower in the phenylephrine group than in the dopamine/dobutamine group (mean (SD) 4.5 (1.8) l vs 6.1 (3.4) l, respectively, p=0.011). Patients in the phenylephrine group had lower lactate levels in the late pre-anhepatic and the early anhepatic phase and needed less bicarbonate administration than those in the dopamine/dobutamine group (median (IQR [range]) 40 (0-100 [0-160]) mEq vs 70 (40-163 [0-260]) mEq, respectively, p=0.018). Postoperative clinical outcomes and laboratory-measured hepatic and renal function did not differ between the groups. Increased vascular resistance and reduction of portal blood flow by intra-operative phenylephrine infusion is assumed to decrease the amount of intra-operative bleeding and thereby ameliorate the progression of lactic acidosis during liver transplant surgery.", "author" : [ { "dropping-particle" : "", "family" : "Hong", "given" : "S H", "non-dropping-particle" : "", "parse-names" : false, "suffix" : "" }, { "dropping-particle" : "", "family" : "Park", "given" : "C S", "non-dropping-particle" : "", "parse-names" : false, "suffix" : "" }, { "dropping-particle" : "", "family" : "Jung", "given" : "H S", "non-dropping-particle" : "", "parse-names" : false, "suffix" : "" }, { "dropping-particle" : "", "family" : "Choi", "given" : "H", "non-dropping-particle" : "", "parse-names" : false, "suffix" : "" }, { "dropping-particle" : "", "family" : "Lee", "given" : "S R", "non-dropping-particle" : "", "parse-names" : false, "suffix" : "" }, { "dropping-particle" : "", "family" : "Lee", "given" : "J", "non-dropping-particle" : "", "parse-names" : false, "suffix" : "" }, { "dropping-particle" : "", "family" : "Choi", "given" : "J H", "non-dropping-particle" : "", "parse-names" : false, "suffix" : "" } ], "container-title" : "Anaesthesia", "id" : "ITEM-1", "issue" : "10", "issued" : { "date-parts" : [ [ "2012", "10" ] ] }, "language" : "eng", "page" : "1091-100", "publisher-place" : "England", "title" : "A comparison of intra-operative blood loss and acid-base balance between vasopressor and inotrope strategy during living donor liver transplantation: a randomised, controlled study.", "type" : "article-journal", "volume" : "67" }, "uris" : [ "http://www.mendeley.com/documents/?uuid=7ccb4180-55f5-46ab-aaed-404916a71370" ] } ], "mendeley" : { "formattedCitation" : "&lt;sup&gt;[120]&lt;/sup&gt;", "plainTextFormattedCitation" : "[120]", "previouslyFormattedCitation" : "&lt;sup&gt;[121]&lt;/sup&gt;"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[120]</w:t>
      </w:r>
      <w:r w:rsidR="00676839"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Phenylephrine was also found to be useful in restoring systemic arterial pressure following phlebotomy aimed at reduced portal venous pressure and thus blood loss during the dissection phase of OLT</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"10.1097/TP.0b013e3181d7c40c", "ISSN" : "1534-6080", "PMID" : "20216483", "abstract" : "BACKGROUND A regimen of fluid restriction, phlebotomy, vasopressors, and strict, protocol-guided product replacement has been associated with low blood product use during orthotopic liver transplantation. However, the physiologic basis of this strategy remains unclear. We hypothesized that a reduction of intravascular volume by phlebotomy would cause a decrease in portal venous pressure (PVP), which would be sustained during subsequent phenylephrine infusion, possibly explaining reduced bleeding. Because phenylephrine may increase central venous pressure (CVP), we questioned the validity of CVP as a correlate of cardiac filling in this context and compared it with other pulmonary artery catheter and transesophageal echocardiography-derived parameters. In particular, because optimal views for echocardiographic estimation of preload and stroke volume are not always applicable during liver transplantation, we evaluated the use of transmitral flow (TMF) early peak (E) velocity as a surrogate. METHODS In study 1, the changes in directly measured PVP and CVP were recorded before and after phlebotomy and phenylephrine infusion in 10 patients near the end of the dissection phase of liver transplantation. In study 2, transesophageal echocardiography-derived TMF velocity in early diastole was measured in 20 patients, and the changes were compared with changes in CVP, pulmonary artery pressure (PAP), pulmonary capillary wedge pressure (PCWP), cardiac output (CO), and calculated systemic vascular resistance (SVR) at the following times: postinduction, postphlebotomy, preclamping of the inferior vena cava, during clamping, and postunclamping. RESULTS Phlebotomy decreased PVP along with CO, PAP, PCWP, CVP, and TMF E velocity. Phenylephrine given after phlebotomy increased CVP, SVR, and arterial blood pressure but had no significant effect on CO, PAP, PCWP, or PVP. The change in TMF E velocity correlated well with the change in CO (Pearson correlation coefficient 95% confidence interval 0.738-0.917, P&lt; or =0.015) but less well with the change in PAP (0.554-0.762, P&lt; or =0.012) and PCWP (0.576-0.692, P&lt; or =0.008). TMF E velocity did not correlate significantly with CVP or calculated SVR. CONCLUSION Phlebotomy during the dissection phase of liver transplantation decreased PVP, which was unaffected when phenylephrine infusion was used to restore systemic arterial pressure. This may contribute to a decrease in operative blood loss. CVP often increased in response to phen\u2026", "author" : [ { "dropping-particle" : "", "family" : "Massicotte", "given" : "Luc", "non-dropping-particle" : "", "parse-names" : false, "suffix" : "" }, { "dropping-particle" : "", "family" : "Perrault", "given" : "Michel-Antoine", "non-dropping-particle" : "", "parse-names" : false, "suffix" : "" }, { "dropping-particle" : "", "family" : "Denault", "given" : "Andr\u00e9 Y", "non-dropping-particle" : "", "parse-names" : false, "suffix" : "" }, { "dropping-particle" : "", "family" : "Klinck", "given" : "John R", "non-dropping-particle" : "", "parse-names" : false, "suffix" : "" }, { "dropping-particle" : "", "family" : "Beaulieu", "given" : "Danielle", "non-dropping-particle" : "", "parse-names" : false, "suffix" : "" }, { "dropping-particle" : "", "family" : "Roy", "given" : "Jean-Denis", "non-dropping-particle" : "", "parse-names" : false, "suffix" : "" }, { "dropping-particle" : "", "family" : "Thibeault", "given" : "Lynda", "non-dropping-particle" : "", "parse-names" : false, "suffix" : "" }, { "dropping-particle" : "", "family" : "Roy", "given" : "Andr\u00e9", "non-dropping-particle" : "", "parse-names" : false, "suffix" : "" }, { "dropping-particle" : "", "family" : "McCormack", "given" : "Michael", "non-dropping-particle" : "", "parse-names" : false, "suffix" : "" }, { "dropping-particle" : "", "family" : "Karakiewicz", "given" : "Pierre", "non-dropping-particle" : "", "parse-names" : false, "suffix" : "" } ], "container-title" : "Transplantation", "id" : "ITEM-1", "issue" : "8", "issued" : { "date-parts" : [ [ "2010", "4", "27" ] ] }, "page" : "920-7", "title" : "Effects of phlebotomy and phenylephrine infusion on portal venous pressure and systemic hemodynamics during liver transplantation.", "type" : "article-journal", "volume" : "89" }, "uris" : [ "http://www.mendeley.com/documents/?uuid=41b8e0d4-6698-4a0f-8de3-778b95da10c2" ] } ], "mendeley" : { "formattedCitation" : "&lt;sup&gt;[121]&lt;/sup&gt;", "plainTextFormattedCitation" : "[121]", "previouslyFormattedCitation" : "&lt;sup&gt;[122]&lt;/sup&gt;"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[121]</w:t>
      </w:r>
      <w:r w:rsidR="00676839" w:rsidRPr="00884A81">
        <w:rPr>
          <w:rFonts w:ascii="Book Antiqua" w:hAnsi="Book Antiqua"/>
        </w:rPr>
        <w:fldChar w:fldCharType="end"/>
      </w:r>
      <w:r w:rsidR="0045485A" w:rsidRPr="00884A81">
        <w:rPr>
          <w:rFonts w:ascii="Book Antiqua" w:hAnsi="Book Antiqua"/>
        </w:rPr>
        <w:t>.</w:t>
      </w:r>
      <w:r w:rsidR="00884A81" w:rsidRPr="00884A81">
        <w:rPr>
          <w:rFonts w:ascii="Book Antiqua" w:hAnsi="Book Antiqua"/>
        </w:rPr>
        <w:t xml:space="preserve"> </w:t>
      </w:r>
    </w:p>
    <w:p w14:paraId="05CC39BE" w14:textId="77777777" w:rsidR="00BB2339" w:rsidRPr="00884A81" w:rsidRDefault="00BB2339" w:rsidP="00884A81">
      <w:pPr>
        <w:spacing w:line="360" w:lineRule="auto"/>
        <w:jc w:val="both"/>
        <w:rPr>
          <w:rFonts w:ascii="Book Antiqua" w:hAnsi="Book Antiqua"/>
        </w:rPr>
      </w:pPr>
    </w:p>
    <w:p w14:paraId="4F19990D" w14:textId="2034F619" w:rsidR="00682324" w:rsidRPr="00676839" w:rsidRDefault="00194C08" w:rsidP="00884A81">
      <w:pPr>
        <w:spacing w:line="360" w:lineRule="auto"/>
        <w:jc w:val="both"/>
        <w:rPr>
          <w:rFonts w:ascii="Book Antiqua" w:eastAsia="宋体" w:hAnsi="Book Antiqua"/>
          <w:b/>
          <w:i/>
          <w:lang w:eastAsia="zh-CN"/>
        </w:rPr>
      </w:pPr>
      <w:r w:rsidRPr="00676839">
        <w:rPr>
          <w:rFonts w:ascii="Book Antiqua" w:hAnsi="Book Antiqua"/>
          <w:b/>
          <w:i/>
        </w:rPr>
        <w:t>T</w:t>
      </w:r>
      <w:r w:rsidR="004574AB" w:rsidRPr="00676839">
        <w:rPr>
          <w:rFonts w:ascii="Book Antiqua" w:hAnsi="Book Antiqua"/>
          <w:b/>
          <w:i/>
        </w:rPr>
        <w:t>ransfusion</w:t>
      </w:r>
      <w:r w:rsidRPr="00676839">
        <w:rPr>
          <w:rFonts w:ascii="Book Antiqua" w:hAnsi="Book Antiqua"/>
          <w:b/>
          <w:i/>
        </w:rPr>
        <w:t xml:space="preserve"> t</w:t>
      </w:r>
      <w:r w:rsidR="00BE5288" w:rsidRPr="00676839">
        <w:rPr>
          <w:rFonts w:ascii="Book Antiqua" w:hAnsi="Book Antiqua"/>
          <w:b/>
          <w:i/>
        </w:rPr>
        <w:t>h</w:t>
      </w:r>
      <w:r w:rsidRPr="00676839">
        <w:rPr>
          <w:rFonts w:ascii="Book Antiqua" w:hAnsi="Book Antiqua"/>
          <w:b/>
          <w:i/>
        </w:rPr>
        <w:t>resholds</w:t>
      </w:r>
      <w:r w:rsidR="004574AB" w:rsidRPr="00676839">
        <w:rPr>
          <w:rFonts w:ascii="Book Antiqua" w:hAnsi="Book Antiqua"/>
          <w:b/>
          <w:i/>
        </w:rPr>
        <w:t xml:space="preserve"> </w:t>
      </w:r>
      <w:r w:rsidR="00676839" w:rsidRPr="00676839">
        <w:rPr>
          <w:rFonts w:ascii="Book Antiqua" w:hAnsi="Book Antiqua"/>
          <w:b/>
          <w:i/>
        </w:rPr>
        <w:t>and coagulation monitoring</w:t>
      </w:r>
    </w:p>
    <w:p w14:paraId="0C94F263" w14:textId="451AAF7E" w:rsidR="0027182D" w:rsidRPr="00884A81" w:rsidRDefault="002A30AF" w:rsidP="00884A81">
      <w:pPr>
        <w:spacing w:line="360" w:lineRule="auto"/>
        <w:jc w:val="both"/>
        <w:rPr>
          <w:rFonts w:ascii="Book Antiqua" w:hAnsi="Book Antiqua"/>
        </w:rPr>
      </w:pPr>
      <w:r w:rsidRPr="00884A81">
        <w:rPr>
          <w:rFonts w:ascii="Book Antiqua" w:hAnsi="Book Antiqua"/>
        </w:rPr>
        <w:t xml:space="preserve">There is significant variability among liver transplantation </w:t>
      </w:r>
      <w:r w:rsidR="00604803" w:rsidRPr="00884A81">
        <w:rPr>
          <w:rFonts w:ascii="Book Antiqua" w:hAnsi="Book Antiqua"/>
        </w:rPr>
        <w:t>centres</w:t>
      </w:r>
      <w:r w:rsidRPr="00884A81">
        <w:rPr>
          <w:rFonts w:ascii="Book Antiqua" w:hAnsi="Book Antiqua"/>
        </w:rPr>
        <w:t xml:space="preserve"> in methods of coagulation monitoring, transfusion triggers and transfusion protocols</w:t>
      </w:r>
      <w:r w:rsidR="00C55BF3" w:rsidRPr="00884A81">
        <w:rPr>
          <w:rFonts w:ascii="Book Antiqua" w:hAnsi="Book Antiqua"/>
        </w:rPr>
        <w:fldChar w:fldCharType="begin" w:fldLock="1"/>
      </w:r>
      <w:r w:rsidR="00C55BF3" w:rsidRPr="00884A81">
        <w:rPr>
          <w:rFonts w:ascii="Book Antiqua" w:hAnsi="Book Antiqua"/>
        </w:rPr>
        <w:instrText>ADDIN CSL_CITATION { "citationItems" : [ { "id" : "ITEM-1", "itemData" : { "DOI" : "10.1213/01.ANE.0000073354.38695.7C", "ISSN" : "0003-2999", "PMID" : "12933381", "abstract" : "We prospectively evaluated the institutional variability in perioperative transfusion therapy in orthotopic liver transplantation (OLT). Adult OLTs completed during a 12-mo period were studied until the 48th postoperative hour at 8 centers. A multivariate analysis using mixed-effects logistic regression included variables predisposing to blood loss and a center random effect. In addition, the influence of the calculated perioperative hemoglobin (Hb) loss on the individual probability of receiving red blood cells (RBCs), fresh frozen plasma (FFP), and platelets in excess of the overall median were explored. The analysis was performed on 301 cases. The overall median numbers transfused were 5 RBC units, 6 FFP units, and the median platelet dose was 5.10(11), with significant intercentric differences in the proportions of cases given more than the overall median. Intercentric differences remained significant after adjustment for factors independently associated with a large blood component use. Intercentric differences in RBCs, FFP, and platelet use decreased but persisted after adjustment for the perioperative Hb loss. Intercentric differences in RBC use disappeared after adjustment for the postoperative Hb concentration. The significant heterogeneity in transfusion therapy mandates reassessment of the rational use of blood products in OLT.", "author" : [ { "dropping-particle" : "", "family" : "Ozier", "given" : "Yves", "non-dropping-particle" : "", "parse-names" : false, "suffix" : "" }, { "dropping-particle" : "", "family" : "Pessione", "given" : "Fabienne", "non-dropping-particle" : "", "parse-names" : false, "suffix" : "" }, { "dropping-particle" : "", "family" : "Samain", "given" : "Emmanuel", "non-dropping-particle" : "", "parse-names" : false, "suffix" : "" }, { "dropping-particle" : "", "family" : "Courtois", "given" : "Fran\u00e7oise", "non-dropping-particle" : "", "parse-names" : false, "suffix" : "" }, { "dropping-particle" : "", "family" : "French Study Group on Blood Transfusion in Liver Transplantation", "given" : "", "non-dropping-particle" : "", "parse-names" : false, "suffix" : "" } ], "container-title" : "Anesthesia and analgesia", "id" : "ITEM-1", "issue" : "3", "issued" : { "date-parts" : [ [ "2003", "9" ] ] }, "page" : "671-9", "publisher" : "Ozier,Yves. Department of Anesthesiology, Hopital Cochin (AP-HP), Universite Rene Descartes, Paris, France. yves.ozier@cch.ap-hop-paris.fr", "publisher-place" : "United States", "title" : "Institutional variability in transfusion practice for liver transplantation.", "type" : "article-journal", "volume" : "97" }, "uris" : [ "http://www.mendeley.com/documents/?uuid=997ec2cc-c751-478f-b6d0-4d96538a56f1" ] } ], "mendeley" : { "formattedCitation" : "&lt;sup&gt;[24]&lt;/sup&gt;", "plainTextFormattedCitation" : "[24]", "previouslyFormattedCitation" : "&lt;sup&gt;[24]&lt;/sup&gt;" }, "properties" : { "noteIndex" : 0 }, "schema" : "https://github.com/citation-style-language/schema/raw/master/csl-citation.json" }</w:instrText>
      </w:r>
      <w:r w:rsidR="00C55BF3" w:rsidRPr="00884A81">
        <w:rPr>
          <w:rFonts w:ascii="Book Antiqua" w:hAnsi="Book Antiqua"/>
        </w:rPr>
        <w:fldChar w:fldCharType="separate"/>
      </w:r>
      <w:r w:rsidR="00C55BF3" w:rsidRPr="00884A81">
        <w:rPr>
          <w:rFonts w:ascii="Book Antiqua" w:hAnsi="Book Antiqua"/>
          <w:noProof/>
          <w:vertAlign w:val="superscript"/>
        </w:rPr>
        <w:t>[24]</w:t>
      </w:r>
      <w:r w:rsidR="00C55BF3" w:rsidRPr="00884A81">
        <w:rPr>
          <w:rFonts w:ascii="Book Antiqua" w:hAnsi="Book Antiqua"/>
        </w:rPr>
        <w:fldChar w:fldCharType="end"/>
      </w:r>
      <w:r w:rsidR="0045485A" w:rsidRPr="00884A81">
        <w:rPr>
          <w:rFonts w:ascii="Book Antiqua" w:hAnsi="Book Antiqua"/>
        </w:rPr>
        <w:t>.</w:t>
      </w:r>
      <w:r w:rsidR="00C02D59" w:rsidRPr="00884A81">
        <w:rPr>
          <w:rFonts w:ascii="Book Antiqua" w:hAnsi="Book Antiqua"/>
        </w:rPr>
        <w:t xml:space="preserve"> </w:t>
      </w:r>
      <w:r w:rsidRPr="00884A81">
        <w:rPr>
          <w:rFonts w:ascii="Book Antiqua" w:hAnsi="Book Antiqua"/>
        </w:rPr>
        <w:t xml:space="preserve">There is </w:t>
      </w:r>
      <w:r w:rsidR="00C02D59" w:rsidRPr="00884A81">
        <w:rPr>
          <w:rFonts w:ascii="Book Antiqua" w:hAnsi="Book Antiqua"/>
        </w:rPr>
        <w:t xml:space="preserve">no </w:t>
      </w:r>
      <w:r w:rsidRPr="00884A81">
        <w:rPr>
          <w:rFonts w:ascii="Book Antiqua" w:hAnsi="Book Antiqua"/>
        </w:rPr>
        <w:t xml:space="preserve">evidence supporting specific haemoglobin or haematocrit triggers for </w:t>
      </w:r>
      <w:r w:rsidR="00BB2339" w:rsidRPr="00884A81">
        <w:rPr>
          <w:rFonts w:ascii="Book Antiqua" w:hAnsi="Book Antiqua"/>
        </w:rPr>
        <w:t>p</w:t>
      </w:r>
      <w:r w:rsidRPr="00884A81">
        <w:rPr>
          <w:rFonts w:ascii="Book Antiqua" w:hAnsi="Book Antiqua"/>
        </w:rPr>
        <w:t xml:space="preserve">acked </w:t>
      </w:r>
      <w:r w:rsidR="00BB2339" w:rsidRPr="00884A81">
        <w:rPr>
          <w:rFonts w:ascii="Book Antiqua" w:hAnsi="Book Antiqua"/>
        </w:rPr>
        <w:t>RBC</w:t>
      </w:r>
      <w:r w:rsidRPr="00884A81">
        <w:rPr>
          <w:rFonts w:ascii="Book Antiqua" w:hAnsi="Book Antiqua"/>
        </w:rPr>
        <w:t xml:space="preserve"> transfusion in OLT.</w:t>
      </w:r>
      <w:r w:rsidR="00884A81" w:rsidRPr="00884A81">
        <w:rPr>
          <w:rFonts w:ascii="Book Antiqua" w:hAnsi="Book Antiqua"/>
        </w:rPr>
        <w:t xml:space="preserve"> </w:t>
      </w:r>
      <w:r w:rsidR="009541C7" w:rsidRPr="00884A81">
        <w:rPr>
          <w:rFonts w:ascii="Book Antiqua" w:hAnsi="Book Antiqua"/>
        </w:rPr>
        <w:t>However, data from other surgical and critical care populations indicates that transfusion strategies targeting lower perioperative haemoglobin levels are safe and can lead to a reduction in RBC transfusion.</w:t>
      </w:r>
      <w:r w:rsidR="00884A81" w:rsidRPr="00884A81">
        <w:rPr>
          <w:rFonts w:ascii="Book Antiqua" w:hAnsi="Book Antiqua"/>
        </w:rPr>
        <w:t xml:space="preserve"> </w:t>
      </w:r>
      <w:r w:rsidR="003B768F" w:rsidRPr="00884A81">
        <w:rPr>
          <w:rFonts w:ascii="Book Antiqua" w:hAnsi="Book Antiqua"/>
        </w:rPr>
        <w:t>A transfusion threshold of 70</w:t>
      </w:r>
      <w:r w:rsidR="008918EE" w:rsidRPr="00884A81">
        <w:rPr>
          <w:rFonts w:ascii="Book Antiqua" w:hAnsi="Book Antiqua"/>
        </w:rPr>
        <w:t xml:space="preserve"> </w:t>
      </w:r>
      <w:r w:rsidR="00A62B05" w:rsidRPr="00884A81">
        <w:rPr>
          <w:rFonts w:ascii="Book Antiqua" w:hAnsi="Book Antiqua"/>
        </w:rPr>
        <w:t>g/</w:t>
      </w:r>
      <w:r w:rsidR="008918EE" w:rsidRPr="00884A81">
        <w:rPr>
          <w:rFonts w:ascii="Book Antiqua" w:hAnsi="Book Antiqua"/>
        </w:rPr>
        <w:t>L</w:t>
      </w:r>
      <w:r w:rsidR="003B768F" w:rsidRPr="00884A81">
        <w:rPr>
          <w:rFonts w:ascii="Book Antiqua" w:hAnsi="Book Antiqua"/>
        </w:rPr>
        <w:t xml:space="preserve"> for hemod</w:t>
      </w:r>
      <w:r w:rsidR="008918EE" w:rsidRPr="00884A81">
        <w:rPr>
          <w:rFonts w:ascii="Book Antiqua" w:hAnsi="Book Antiqua"/>
        </w:rPr>
        <w:t>y</w:t>
      </w:r>
      <w:r w:rsidR="003B768F" w:rsidRPr="00884A81">
        <w:rPr>
          <w:rFonts w:ascii="Book Antiqua" w:hAnsi="Book Antiqua"/>
        </w:rPr>
        <w:t>namically stable cr</w:t>
      </w:r>
      <w:r w:rsidR="008918EE" w:rsidRPr="00884A81">
        <w:rPr>
          <w:rFonts w:ascii="Book Antiqua" w:hAnsi="Book Antiqua"/>
        </w:rPr>
        <w:t>i</w:t>
      </w:r>
      <w:r w:rsidR="003B768F" w:rsidRPr="00884A81">
        <w:rPr>
          <w:rFonts w:ascii="Book Antiqua" w:hAnsi="Book Antiqua"/>
        </w:rPr>
        <w:t>tically ill is suggested by data from the Transfusion Requirements in Critical Care</w:t>
      </w:r>
      <w:r w:rsidR="00884A81" w:rsidRPr="00884A81">
        <w:rPr>
          <w:rFonts w:ascii="Book Antiqua" w:hAnsi="Book Antiqua"/>
        </w:rPr>
        <w:t xml:space="preserve"> </w:t>
      </w:r>
      <w:r w:rsidR="003B768F" w:rsidRPr="00884A81">
        <w:rPr>
          <w:rFonts w:ascii="Book Antiqua" w:hAnsi="Book Antiqua"/>
        </w:rPr>
        <w:t>(TRICC</w:t>
      </w:r>
      <w:r w:rsidR="008918EE" w:rsidRPr="00884A81">
        <w:rPr>
          <w:rFonts w:ascii="Book Antiqua" w:hAnsi="Book Antiqua"/>
        </w:rPr>
        <w:t>)</w:t>
      </w:r>
      <w:r w:rsidR="003B768F" w:rsidRPr="00884A81">
        <w:rPr>
          <w:rFonts w:ascii="Book Antiqua" w:hAnsi="Book Antiqua"/>
        </w:rPr>
        <w:t xml:space="preserve"> trial</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"10.1056/NEJM199902113400601", "ISBN" : "0028-4793 (Print)\\n0028-4793 (Linking)", "ISSN" : "0028-4793", "PMID" : "9971864", "abstract" : "BACKGROUND To determine whether a restrictive strategy of red-cell transfusion and a liberal strategy produced equivalent results in critically ill patients, we compared the rates of death from all causes at 30 days and the severity of organ dysfunction. METHODS We enrolled 838 critically ill patients with euvolemia after initial treatment who had hemoglobin concentrations of less than 9.0 g per deciliter within 72 hours after admission to the intensive care unit and randomly assigned 418 patients to a restrictive strategy of transfusion, in which red cells were transfused if the hemoglobin concentration dropped below 7.0 g per deciliter and hemoglobin concentrations were maintained at 7.0 to 9.0 g per deciliter, and 420 patients to a liberal strategy, in which transfusions were given when the hemoglobin concentration fell below 10.0 g per deciliter and hemoglobin concentrations were maintained at 10.0 to 12.0 g per deciliter. RESULTS Overall, 30-day mortality was similar in the two groups (18.7 percent vs. 23.3 percent, P= 0.11). However, the rates were significantly lower with the restrictive transfusion strategy among patients who were less acutely ill -- those with an Acute Physiology and Chronic Health Evaluation II score of &lt; or =20 (8.7 percent in the restrictive-strategy group and 16.1 percent in the liberal-strategy group; P=0.03) -- and among patients who were less than 55 years of age (5.7 percent and 13.0 percent, respectively; P=0.02), but not among patients with clinically significant cardiac disease (20.5 percent and 22.9 percent, respectively; P=0.69). The mortality rate during hospitalization was significantly lower in the restrictive-strategy group (22.3 percent vs. 28.1 percent, P=0.05). CONCLUSIONS A restrictive strategy of red-cell transfusion is at least as effective as and possibly superior to a liberal transfusion strategy in critically ill patients, with the possible exception of patients with acute myocardial infarction and unstable angina.", "author" : [ { "dropping-particle" : "", "family" : "H\u00e9bert", "given" : "P C", "non-dropping-particle" : "", "parse-names" : false, "suffix" : "" }, { "dropping-particle" : "", "family" : "Wells", "given" : "G", "non-dropping-particle" : "", "parse-names" : false, "suffix" : "" }, { "dropping-particle" : "", "family" : "Blajchman", "given" : "M a", "non-dropping-particle" : "", "parse-names" : false, "suffix" : "" }, { "dropping-particle" : "", "family" : "Marshall", "given" : "J", "non-dropping-particle" : "", "parse-names" : false, "suffix" : "" }, { "dropping-particle" : "", "family" : "Martin", "given" : "C", "non-dropping-particle" : "", "parse-names" : false, "suffix" : "" }, { "dropping-particle" : "", "family" : "Pagliarello", "given" : "G", "non-dropping-particle" : "", "parse-names" : false, "suffix" : "" }, { "dropping-particle" : "", "family" : "Tweeddale", "given" : "M", "non-dropping-particle" : "", "parse-names" : false, "suffix" : "" }, { "dropping-particle" : "", "family" : "Schweitzer", "given" : "I", "non-dropping-particle" : "", "parse-names" : false, "suffix" : "" }, { "dropping-particle" : "", "family" : "Yetisir", "given" : "E", "non-dropping-particle" : "", "parse-names" : false, "suffix" : "" } ], "container-title" : "The New England journal of medicine", "id" : "ITEM-1", "issue" : "6", "issued" : { "date-parts" : [ [ "1999", "2", "11" ] ] }, "page" : "409-17", "title" : "A multicenter, randomized, controlled clinical trial of transfusion requirements in critical care. Transfusion Requirements in Critical Care Investigators, Canadian Critical Care Trials Group.", "type" : "article-journal", "volume" : "340" }, "uris" : [ "http://www.mendeley.com/documents/?uuid=b0624c11-db80-4e4f-8aed-f2deb37f67fe" ] } ], "mendeley" : { "formattedCitation" : "&lt;sup&gt;[122]&lt;/sup&gt;", "plainTextFormattedCitation" : "[122]", "previouslyFormattedCitation" : "&lt;sup&gt;[123]&lt;/sup&gt;"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[122]</w:t>
      </w:r>
      <w:r w:rsidR="00676839" w:rsidRPr="00884A81">
        <w:rPr>
          <w:rFonts w:ascii="Book Antiqua" w:hAnsi="Book Antiqua"/>
        </w:rPr>
        <w:fldChar w:fldCharType="end"/>
      </w:r>
      <w:r w:rsidR="00FF4C65" w:rsidRPr="00884A81">
        <w:rPr>
          <w:rFonts w:ascii="Book Antiqua" w:hAnsi="Book Antiqua"/>
        </w:rPr>
        <w:t>.</w:t>
      </w:r>
      <w:r w:rsidR="003B768F" w:rsidRPr="00884A81">
        <w:rPr>
          <w:rFonts w:ascii="Book Antiqua" w:hAnsi="Book Antiqua"/>
        </w:rPr>
        <w:t xml:space="preserve"> </w:t>
      </w:r>
      <w:r w:rsidR="006D2981" w:rsidRPr="00884A81">
        <w:rPr>
          <w:rFonts w:ascii="Book Antiqua" w:hAnsi="Book Antiqua"/>
        </w:rPr>
        <w:t xml:space="preserve">The Transfusion Reduction Threshold Reduction Trial (TITRe2) compared the outcomes of a large population of </w:t>
      </w:r>
      <w:r w:rsidR="006D2981" w:rsidRPr="00884A81">
        <w:rPr>
          <w:rFonts w:ascii="Book Antiqua" w:hAnsi="Book Antiqua"/>
        </w:rPr>
        <w:lastRenderedPageBreak/>
        <w:t>cardiac surgical patients finding no evidence of harm with the use of a restrictive threshold of 75</w:t>
      </w:r>
      <w:r w:rsidR="008918EE" w:rsidRPr="00884A81">
        <w:rPr>
          <w:rFonts w:ascii="Book Antiqua" w:hAnsi="Book Antiqua"/>
        </w:rPr>
        <w:t xml:space="preserve"> </w:t>
      </w:r>
      <w:r w:rsidR="006D2981" w:rsidRPr="00884A81">
        <w:rPr>
          <w:rFonts w:ascii="Book Antiqua" w:hAnsi="Book Antiqua"/>
        </w:rPr>
        <w:t>g/</w:t>
      </w:r>
      <w:r w:rsidR="008918EE" w:rsidRPr="00884A81">
        <w:rPr>
          <w:rFonts w:ascii="Book Antiqua" w:hAnsi="Book Antiqua"/>
        </w:rPr>
        <w:t>L</w:t>
      </w:r>
      <w:r w:rsidR="006D2981" w:rsidRPr="00884A81">
        <w:rPr>
          <w:rFonts w:ascii="Book Antiqua" w:hAnsi="Book Antiqua"/>
        </w:rPr>
        <w:t xml:space="preserve"> compared with a ‘liberal’ threshold of 90</w:t>
      </w:r>
      <w:r w:rsidR="008918EE" w:rsidRPr="00884A81">
        <w:rPr>
          <w:rFonts w:ascii="Book Antiqua" w:hAnsi="Book Antiqua"/>
        </w:rPr>
        <w:t xml:space="preserve"> </w:t>
      </w:r>
      <w:r w:rsidR="006D2981" w:rsidRPr="00884A81">
        <w:rPr>
          <w:rFonts w:ascii="Book Antiqua" w:hAnsi="Book Antiqua"/>
        </w:rPr>
        <w:t>g/</w:t>
      </w:r>
      <w:r w:rsidR="008918EE" w:rsidRPr="00884A81">
        <w:rPr>
          <w:rFonts w:ascii="Book Antiqua" w:hAnsi="Book Antiqua"/>
        </w:rPr>
        <w:t>L</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"10.1056/NEJMoa1403612", "ISBN" : "0028-4793", "ISSN" : "1533-4406", "PMID" : "25760354", "abstract" : "BACKGROUND Whether a restrictive threshold for hemoglobin level in red-cell transfusions, as compared with a liberal threshold, reduces postoperative morbidity and health care costs after cardiac surgery is uncertain. METHODS We conducted a multicenter, parallel-group trial in which patients older than 16 years of age who were undergoing nonemergency cardiac surgery were recruited from 17 centers in the United Kingdom. Patients with a postoperative hemoglobin level of less than 9 g per deciliter were randomly assigned to a restrictive transfusion threshold (hemoglobin level &lt;7.5 g per deciliter) or a liberal transfusion threshold (hemoglobin level &lt;9 g per deciliter). The primary outcome was a serious infection (sepsis or wound infection) or an ischemic event (permanent stroke [confirmation on brain imaging and deficit in motor, sensory, or coordination functions], myocardial infarction, infarction of the gut, or acute kidney injury) within 3 months after randomization. Health care costs, excluding the index surgery, were estimated from the day of surgery to 3 months after surgery. RESULTS A total of 2007 patients underwent randomization; 4 participants withdrew, leaving 1000 in the restrictive-threshold group and 1003 in the liberal-threshold group. Transfusion rates after randomization were 53.4% and 92.2% in the two groups, respectively. The primary outcome occurred in 35.1% of the patients in the restrictive-threshold group and 33.0% of the patients in the liberal-threshold group (odds ratio, 1.11; 95% confidence interval [CI], 0.91 to 1.34; P=0.30); there was no indication of heterogeneity according to subgroup. There were more deaths in the restrictive-threshold group than in the liberal-threshold group (4.2% vs. 2.6%; hazard ratio, 1.64; 95% CI, 1.00 to 2.67; P=0.045). Serious postoperative complications, excluding primary-outcome events, occurred in 35.7% of participants in the restrictive-threshold group and 34.2% of participants in the liberal-threshold group. Total costs did not differ significantly between the groups. CONCLUSIONS A restrictive transfusion threshold after cardiac surgery was not superior to a liberal threshold with respect to morbidity or health care costs. (Funded by the National Institute for Health Research Health Technology Assessment program; Current Controlled Trials number, ISRCTN70923932.).", "author" : [ { "dropping-particle" : "", "family" : "Murphy", "given" : "Gavin J.", "non-dropping-particle" : "", "parse-names" : false, "suffix" : "" }, { "dropping-particle" : "", "family" : "Pike", "given" : "Katie", "non-dropping-particle" : "", "parse-names" : false, "suffix" : "" }, { "dropping-particle" : "", "family" : "Rogers", "given" : "Chris A.", "non-dropping-particle" : "", "parse-names" : false, "suffix" : "" }, { "dropping-particle" : "", "family" : "Wordsworth", "given" : "Sarah", "non-dropping-particle" : "", "parse-names" : false, "suffix" : "" }, { "dropping-particle" : "", "family" : "Stokes", "given" : "Elizabeth A.", "non-dropping-particle" : "", "parse-names" : false, "suffix" : "" }, { "dropping-particle" : "", "family" : "Angelini", "given" : "Gianni D.", "non-dropping-particle" : "", "parse-names" : false, "suffix" : "" }, { "dropping-particle" : "", "family" : "Reeves", "given" : "Barnaby C.", "non-dropping-particle" : "", "parse-names" : false, "suffix" : "" }, { "dropping-particle" : "", "family" : "TITRe2 Investigators", "given" : "", "non-dropping-particle" : "", "parse-names" : false, "suffix" : "" } ], "container-title" : "The New England journal of medicine", "id" : "ITEM-1", "issue" : "11", "issued" : { "date-parts" : [ [ "2015", "3", "12" ] ] }, "page" : "997-1008", "title" : "Liberal or restrictive transfusion after cardiac surgery.", "type" : "article-journal", "volume" : "372" }, "uris" : [ "http://www.mendeley.com/documents/?uuid=bed1a9f2-2fb8-4ded-9a1c-ecc38189b517" ] } ], "mendeley" : { "formattedCitation" : "&lt;sup&gt;[123]&lt;/sup&gt;", "plainTextFormattedCitation" : "[123]", "previouslyFormattedCitation" : "&lt;sup&gt;[124]&lt;/sup&gt;"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[123]</w:t>
      </w:r>
      <w:r w:rsidR="00676839" w:rsidRPr="00884A81">
        <w:rPr>
          <w:rFonts w:ascii="Book Antiqua" w:hAnsi="Book Antiqua"/>
        </w:rPr>
        <w:fldChar w:fldCharType="end"/>
      </w:r>
      <w:r w:rsidR="00FF4C65" w:rsidRPr="00884A81">
        <w:rPr>
          <w:rFonts w:ascii="Book Antiqua" w:hAnsi="Book Antiqua"/>
        </w:rPr>
        <w:t>.</w:t>
      </w:r>
      <w:r w:rsidR="00884A81" w:rsidRPr="00884A81">
        <w:rPr>
          <w:rFonts w:ascii="Book Antiqua" w:hAnsi="Book Antiqua"/>
        </w:rPr>
        <w:t xml:space="preserve"> </w:t>
      </w:r>
      <w:r w:rsidR="00295B37" w:rsidRPr="00884A81">
        <w:rPr>
          <w:rFonts w:ascii="Book Antiqua" w:hAnsi="Book Antiqua"/>
        </w:rPr>
        <w:t>Similarly, results from a randomized surgical trials of hip surgery patients with pre-existing cardiovascular disease indicate that a restrictive RBC transfusion strategy is no</w:t>
      </w:r>
      <w:r w:rsidR="00194C08" w:rsidRPr="00884A81">
        <w:rPr>
          <w:rFonts w:ascii="Book Antiqua" w:hAnsi="Book Antiqua"/>
        </w:rPr>
        <w:t>t</w:t>
      </w:r>
      <w:r w:rsidR="00295B37" w:rsidRPr="00884A81">
        <w:rPr>
          <w:rFonts w:ascii="Book Antiqua" w:hAnsi="Book Antiqua"/>
        </w:rPr>
        <w:t xml:space="preserve"> associated with harm</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"10.1056/NEJMoa1012452", "ISBN" : "1533-4406 (Electronic)\\n0028-4793 (Linking)", "ISSN" : "1533-4406", "PMID" : "22168590", "abstract" : "BACKGROUND The hemoglobin threshold at which postoperative red-cell transfusion is warranted is controversial. We conducted a randomized trial to determine whether a higher threshold for blood transfusion would improve recovery in patients who had undergone surgery for hip fracture. METHODS We enrolled 2016 patients who were 50 years of age or older, who had either a history of or risk factors for cardiovascular disease, and whose hemoglobin level was below 10 g per deciliter after hip-fracture surgery. We randomly assigned patients to a liberal transfusion strategy (a hemoglobin threshold of 10 g per deciliter) or a restrictive transfusion strategy (symptoms of anemia or at physician discretion for a hemoglobin level of &lt;8 g per deciliter). The primary outcome was death or an inability to walk across a room without human assistance on 60-day follow-up. RESULTS A median of 2 units of red cells were transfused in the liberal-strategy group and none in the restrictive-strategy group. The rates of the primary outcome were 35.2% in the liberal-strategy group and 34.7% in the restrictive-strategy group (odds ratio in the liberal-strategy group, 1.01; 95% confidence interval [CI], 0.84 to 1.22), for an absolute risk difference of 0.5 percentage points (95% CI, -3.7 to 4.7). The rates of in-hospital acute coronary syndrome or death were 4.3% and 5.2%, respectively (absolute risk difference, -0.9%; 99% CI, -3.3 to 1.6), and rates of death on 60-day follow-up were 7.6% and 6.6%, respectively (absolute risk difference, 1.0%; 99% CI, -1.9 to 4.0). The rates of other complications were similar in the two groups. CONCLUSIONS A liberal transfusion strategy, as compared with a restrictive strategy, did not reduce rates of death or inability to walk independently on 60-day follow-up or reduce in-hospital morbidity in elderly patients at high cardiovascular risk. (Funded by the National Heart, Lung, and Blood Institute; FOCUS ClinicalTrials.gov number, NCT00071032.).", "author" : [ { "dropping-particle" : "", "family" : "Carson", "given" : "Jeffrey L", "non-dropping-particle" : "", "parse-names" : false, "suffix" : "" }, { "dropping-particle" : "", "family" : "Terrin", "given" : "Michael L", "non-dropping-particle" : "", "parse-names" : false, "suffix" : "" }, { "dropping-particle" : "", "family" : "Noveck", "given" : "Helaine", "non-dropping-particle" : "", "parse-names" : false, "suffix" : "" }, { "dropping-particle" : "", "family" : "Sanders", "given" : "David W", "non-dropping-particle" : "", "parse-names" : false, "suffix" : "" }, { "dropping-particle" : "", "family" : "Chaitman", "given" : "Bernard R", "non-dropping-particle" : "", "parse-names" : false, "suffix" : "" }, { "dropping-particle" : "", "family" : "Rhoads", "given" : "George G", "non-dropping-particle" : "", "parse-names" : false, "suffix" : "" }, { "dropping-particle" : "", "family" : "Nemo", "given" : "George", "non-dropping-particle" : "", "parse-names" : false, "suffix" : "" }, { "dropping-particle" : "", "family" : "Dragert", "given" : "Karen", "non-dropping-particle" : "", "parse-names" : false, "suffix" : "" }, { "dropping-particle" : "", "family" : "Beaupre", "given" : "Lauren", "non-dropping-particle" : "", "parse-names" : false, "suffix" : "" }, { "dropping-particle" : "", "family" : "Hildebrand", "given" : "Kevin", "non-dropping-particle" : "", "parse-names" : false, "suffix" : "" }, { "dropping-particle" : "", "family" : "Macaulay", "given" : "William", "non-dropping-particle" : "", "parse-names" : false, "suffix" : "" }, { "dropping-particle" : "", "family" : "Lewis", "given" : "Courtland", "non-dropping-particle" : "", "parse-names" : false, "suffix" : "" }, { "dropping-particle" : "", "family" : "Cook", "given" : "Donald Richard", "non-dropping-particle" : "", "parse-names" : false, "suffix" : "" }, { "dropping-particle" : "", "family" : "Dobbin", "given" : "Gwendolyn", "non-dropping-particle" : "", "parse-names" : false, "suffix" : "" }, { "dropping-particle" : "", "family" : "Zakriya", "given" : "Khwaja J", "non-dropping-particle" : "", "parse-names" : false, "suffix" : "" }, { "dropping-particle" : "", "family" : "Apple", "given" : "Fred S", "non-dropping-particle" : "", "parse-names" : false, "suffix" : "" }, { "dropping-particle" : "", "family" : "Horney", "given" : "Rebecca A", "non-dropping-particle" : "", "parse-names" : false, "suffix" : "" }, { "dropping-particle" : "", "family" : "Magaziner", "given" : "Jay", "non-dropping-particle" : "", "parse-names" : false, "suffix" : "" }, { "dropping-particle" : "", "family" : "FOCUS Investigators", "given" : "", "non-dropping-particle" : "", "parse-names" : false, "suffix" : "" } ], "container-title" : "The New England journal of medicine", "id" : "ITEM-1", "issue" : "26", "issued" : { "date-parts" : [ [ "2011", "12", "29" ] ] }, "page" : "2453-62", "title" : "Liberal or restrictive transfusion in high-risk patients after hip surgery.", "type" : "article-journal", "volume" : "365" }, "uris" : [ "http://www.mendeley.com/documents/?uuid=b45dde35-1a84-45c0-b232-a235992cfba3" ] } ], "mendeley" : { "formattedCitation" : "&lt;sup&gt;[124]&lt;/sup&gt;", "plainTextFormattedCitation" : "[124]", "previouslyFormattedCitation" : "&lt;sup&gt;[125]&lt;/sup&gt;"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[124]</w:t>
      </w:r>
      <w:r w:rsidR="00676839" w:rsidRPr="00884A81">
        <w:rPr>
          <w:rFonts w:ascii="Book Antiqua" w:hAnsi="Book Antiqua"/>
        </w:rPr>
        <w:fldChar w:fldCharType="end"/>
      </w:r>
      <w:r w:rsidR="00FF4C65" w:rsidRPr="00884A81">
        <w:rPr>
          <w:rFonts w:ascii="Book Antiqua" w:hAnsi="Book Antiqua"/>
        </w:rPr>
        <w:t>.</w:t>
      </w:r>
      <w:r w:rsidR="00884A81" w:rsidRPr="00884A81">
        <w:rPr>
          <w:rFonts w:ascii="Book Antiqua" w:hAnsi="Book Antiqua"/>
        </w:rPr>
        <w:t xml:space="preserve"> </w:t>
      </w:r>
      <w:r w:rsidR="00194C08" w:rsidRPr="00884A81">
        <w:rPr>
          <w:rFonts w:ascii="Book Antiqua" w:hAnsi="Book Antiqua"/>
        </w:rPr>
        <w:t>Some guidance can</w:t>
      </w:r>
      <w:r w:rsidR="00722126" w:rsidRPr="00884A81">
        <w:rPr>
          <w:rFonts w:ascii="Book Antiqua" w:hAnsi="Book Antiqua"/>
        </w:rPr>
        <w:t xml:space="preserve"> also</w:t>
      </w:r>
      <w:r w:rsidR="00884A81" w:rsidRPr="00884A81">
        <w:rPr>
          <w:rFonts w:ascii="Book Antiqua" w:hAnsi="Book Antiqua"/>
        </w:rPr>
        <w:t xml:space="preserve"> </w:t>
      </w:r>
      <w:r w:rsidR="00194C08" w:rsidRPr="00884A81">
        <w:rPr>
          <w:rFonts w:ascii="Book Antiqua" w:hAnsi="Book Antiqua"/>
        </w:rPr>
        <w:t xml:space="preserve">be extrapolated </w:t>
      </w:r>
      <w:r w:rsidR="00F270FA" w:rsidRPr="00884A81">
        <w:rPr>
          <w:rFonts w:ascii="Book Antiqua" w:hAnsi="Book Antiqua"/>
        </w:rPr>
        <w:t>from a randomize study performed in</w:t>
      </w:r>
      <w:r w:rsidR="00194C08" w:rsidRPr="00884A81">
        <w:rPr>
          <w:rFonts w:ascii="Book Antiqua" w:hAnsi="Book Antiqua"/>
        </w:rPr>
        <w:t xml:space="preserve"> the setting of </w:t>
      </w:r>
      <w:r w:rsidR="00F270FA" w:rsidRPr="00884A81">
        <w:rPr>
          <w:rFonts w:ascii="Book Antiqua" w:hAnsi="Book Antiqua"/>
        </w:rPr>
        <w:t xml:space="preserve">severe </w:t>
      </w:r>
      <w:r w:rsidR="00194C08" w:rsidRPr="00884A81">
        <w:rPr>
          <w:rFonts w:ascii="Book Antiqua" w:hAnsi="Book Antiqua"/>
        </w:rPr>
        <w:t>acute ga</w:t>
      </w:r>
      <w:r w:rsidR="00F270FA" w:rsidRPr="00884A81">
        <w:rPr>
          <w:rFonts w:ascii="Book Antiqua" w:hAnsi="Book Antiqua"/>
        </w:rPr>
        <w:t xml:space="preserve">strointestinal bleeding excluding massive exsanguinating bleeding, concurrent acute coronary syndrome, stroke or peripheral vascular disease. </w:t>
      </w:r>
      <w:r w:rsidR="00682324" w:rsidRPr="00884A81">
        <w:rPr>
          <w:rFonts w:ascii="Book Antiqua" w:hAnsi="Book Antiqua"/>
        </w:rPr>
        <w:t>All patients received endoscopic and treatment for bleeding within 6 h if required.</w:t>
      </w:r>
      <w:r w:rsidR="00884A81" w:rsidRPr="00884A81">
        <w:rPr>
          <w:rFonts w:ascii="Book Antiqua" w:hAnsi="Book Antiqua"/>
        </w:rPr>
        <w:t xml:space="preserve"> </w:t>
      </w:r>
      <w:r w:rsidR="00F270FA" w:rsidRPr="00884A81">
        <w:rPr>
          <w:rFonts w:ascii="Book Antiqua" w:hAnsi="Book Antiqua"/>
        </w:rPr>
        <w:t xml:space="preserve">Patients were randomized to a </w:t>
      </w:r>
      <w:r w:rsidR="00676839">
        <w:rPr>
          <w:rFonts w:ascii="Book Antiqua" w:eastAsia="宋体" w:hAnsi="Book Antiqua"/>
          <w:lang w:eastAsia="zh-CN"/>
        </w:rPr>
        <w:t>“</w:t>
      </w:r>
      <w:r w:rsidR="00F270FA" w:rsidRPr="00884A81">
        <w:rPr>
          <w:rFonts w:ascii="Book Antiqua" w:hAnsi="Book Antiqua"/>
        </w:rPr>
        <w:t>liberal</w:t>
      </w:r>
      <w:r w:rsidR="00676839">
        <w:rPr>
          <w:rFonts w:ascii="Book Antiqua" w:eastAsia="宋体" w:hAnsi="Book Antiqua"/>
          <w:lang w:eastAsia="zh-CN"/>
        </w:rPr>
        <w:t>”</w:t>
      </w:r>
      <w:r w:rsidR="00F270FA" w:rsidRPr="00884A81">
        <w:rPr>
          <w:rFonts w:ascii="Book Antiqua" w:hAnsi="Book Antiqua"/>
        </w:rPr>
        <w:t xml:space="preserve"> RBC transfusion threshold of 90</w:t>
      </w:r>
      <w:r w:rsidR="008918EE" w:rsidRPr="00884A81">
        <w:rPr>
          <w:rFonts w:ascii="Book Antiqua" w:hAnsi="Book Antiqua"/>
        </w:rPr>
        <w:t xml:space="preserve"> </w:t>
      </w:r>
      <w:r w:rsidR="00F270FA" w:rsidRPr="00884A81">
        <w:rPr>
          <w:rFonts w:ascii="Book Antiqua" w:hAnsi="Book Antiqua"/>
        </w:rPr>
        <w:t>g/</w:t>
      </w:r>
      <w:r w:rsidR="008918EE" w:rsidRPr="00884A81">
        <w:rPr>
          <w:rFonts w:ascii="Book Antiqua" w:hAnsi="Book Antiqua"/>
        </w:rPr>
        <w:t>L</w:t>
      </w:r>
      <w:r w:rsidR="00F270FA" w:rsidRPr="00884A81">
        <w:rPr>
          <w:rFonts w:ascii="Book Antiqua" w:hAnsi="Book Antiqua"/>
        </w:rPr>
        <w:t xml:space="preserve"> or </w:t>
      </w:r>
      <w:r w:rsidR="00676839">
        <w:rPr>
          <w:rFonts w:ascii="Book Antiqua" w:eastAsia="宋体" w:hAnsi="Book Antiqua"/>
          <w:lang w:eastAsia="zh-CN"/>
        </w:rPr>
        <w:t>“</w:t>
      </w:r>
      <w:r w:rsidR="00F270FA" w:rsidRPr="00884A81">
        <w:rPr>
          <w:rFonts w:ascii="Book Antiqua" w:hAnsi="Book Antiqua"/>
        </w:rPr>
        <w:t>restrictive</w:t>
      </w:r>
      <w:r w:rsidR="00676839">
        <w:rPr>
          <w:rFonts w:ascii="Book Antiqua" w:eastAsia="宋体" w:hAnsi="Book Antiqua"/>
          <w:lang w:eastAsia="zh-CN"/>
        </w:rPr>
        <w:t>”</w:t>
      </w:r>
      <w:r w:rsidR="00676839">
        <w:rPr>
          <w:rFonts w:ascii="Book Antiqua" w:eastAsia="宋体" w:hAnsi="Book Antiqua" w:hint="eastAsia"/>
          <w:lang w:eastAsia="zh-CN"/>
        </w:rPr>
        <w:t xml:space="preserve"> </w:t>
      </w:r>
      <w:r w:rsidR="00F270FA" w:rsidRPr="00884A81">
        <w:rPr>
          <w:rFonts w:ascii="Book Antiqua" w:hAnsi="Book Antiqua"/>
        </w:rPr>
        <w:t>of 70</w:t>
      </w:r>
      <w:r w:rsidR="008918EE" w:rsidRPr="00884A81">
        <w:rPr>
          <w:rFonts w:ascii="Book Antiqua" w:hAnsi="Book Antiqua"/>
        </w:rPr>
        <w:t xml:space="preserve"> </w:t>
      </w:r>
      <w:r w:rsidR="0027182D" w:rsidRPr="00884A81">
        <w:rPr>
          <w:rFonts w:ascii="Book Antiqua" w:hAnsi="Book Antiqua"/>
        </w:rPr>
        <w:t>g/</w:t>
      </w:r>
      <w:r w:rsidR="008918EE" w:rsidRPr="00884A81">
        <w:rPr>
          <w:rFonts w:ascii="Book Antiqua" w:hAnsi="Book Antiqua"/>
        </w:rPr>
        <w:t>L</w:t>
      </w:r>
      <w:r w:rsidR="0027182D" w:rsidRPr="00884A81">
        <w:rPr>
          <w:rFonts w:ascii="Book Antiqua" w:hAnsi="Book Antiqua"/>
        </w:rPr>
        <w:t xml:space="preserve">. </w:t>
      </w:r>
      <w:r w:rsidR="008918EE" w:rsidRPr="00884A81">
        <w:rPr>
          <w:rFonts w:ascii="Book Antiqua" w:hAnsi="Book Antiqua"/>
        </w:rPr>
        <w:t>Thirty-one percent</w:t>
      </w:r>
      <w:r w:rsidR="00682324" w:rsidRPr="00884A81">
        <w:rPr>
          <w:rFonts w:ascii="Book Antiqua" w:hAnsi="Book Antiqua"/>
        </w:rPr>
        <w:t xml:space="preserve"> of patients in both groups had cirrhosis and bleeding was due to </w:t>
      </w:r>
      <w:r w:rsidR="008918EE" w:rsidRPr="00884A81">
        <w:rPr>
          <w:rFonts w:ascii="Book Antiqua" w:hAnsi="Book Antiqua"/>
        </w:rPr>
        <w:t>oesophageal</w:t>
      </w:r>
      <w:r w:rsidR="00682324" w:rsidRPr="00884A81">
        <w:rPr>
          <w:rFonts w:ascii="Book Antiqua" w:hAnsi="Book Antiqua"/>
        </w:rPr>
        <w:t xml:space="preserve"> varices in 21% of the patients.</w:t>
      </w:r>
      <w:r w:rsidR="00884A81" w:rsidRPr="00884A81">
        <w:rPr>
          <w:rFonts w:ascii="Book Antiqua" w:hAnsi="Book Antiqua"/>
        </w:rPr>
        <w:t xml:space="preserve"> </w:t>
      </w:r>
      <w:r w:rsidR="00682324" w:rsidRPr="00884A81">
        <w:rPr>
          <w:rFonts w:ascii="Book Antiqua" w:hAnsi="Book Antiqua"/>
        </w:rPr>
        <w:t xml:space="preserve">The authors observed improved mortality rates, reduced risk of further bleeding, and less complications such as pulmonary </w:t>
      </w:r>
      <w:r w:rsidR="007E525F" w:rsidRPr="00884A81">
        <w:rPr>
          <w:rFonts w:ascii="Book Antiqua" w:hAnsi="Book Antiqua"/>
        </w:rPr>
        <w:t>oedema</w:t>
      </w:r>
      <w:r w:rsidR="0027182D" w:rsidRPr="00884A81">
        <w:rPr>
          <w:rFonts w:ascii="Book Antiqua" w:hAnsi="Book Antiqua"/>
        </w:rPr>
        <w:t>, in</w:t>
      </w:r>
      <w:r w:rsidR="00682324" w:rsidRPr="00884A81">
        <w:rPr>
          <w:rFonts w:ascii="Book Antiqua" w:hAnsi="Book Antiqua"/>
        </w:rPr>
        <w:t xml:space="preserve"> patients randomi</w:t>
      </w:r>
      <w:r w:rsidR="00676839">
        <w:rPr>
          <w:rFonts w:ascii="Book Antiqua" w:hAnsi="Book Antiqua"/>
        </w:rPr>
        <w:t>sed to the restrictive strategy</w:t>
      </w:r>
      <w:r w:rsidR="00310921" w:rsidRPr="00884A81">
        <w:rPr>
          <w:rFonts w:ascii="Book Antiqua" w:hAnsi="Book Antiqua"/>
        </w:rPr>
        <w:t>.</w:t>
      </w:r>
      <w:r w:rsidR="00884A81" w:rsidRPr="00884A81">
        <w:rPr>
          <w:rFonts w:ascii="Book Antiqua" w:hAnsi="Book Antiqua"/>
        </w:rPr>
        <w:t xml:space="preserve"> </w:t>
      </w:r>
    </w:p>
    <w:p w14:paraId="54DBEAA5" w14:textId="62BB358C" w:rsidR="000B3062" w:rsidRPr="00884A81" w:rsidRDefault="0027182D" w:rsidP="00676839">
      <w:pPr>
        <w:spacing w:line="360" w:lineRule="auto"/>
        <w:ind w:firstLineChars="100" w:firstLine="240"/>
        <w:jc w:val="both"/>
        <w:rPr>
          <w:rFonts w:ascii="Book Antiqua" w:hAnsi="Book Antiqua"/>
        </w:rPr>
      </w:pPr>
      <w:r w:rsidRPr="00884A81">
        <w:rPr>
          <w:rFonts w:ascii="Book Antiqua" w:hAnsi="Book Antiqua"/>
        </w:rPr>
        <w:t>There is some evidence that e</w:t>
      </w:r>
      <w:r w:rsidR="00310921" w:rsidRPr="00884A81">
        <w:rPr>
          <w:rFonts w:ascii="Book Antiqua" w:hAnsi="Book Antiqua"/>
        </w:rPr>
        <w:t>rythrocytes stimulate thrombin generation and play a concentration dependant role in accelerating the initial coagulation reaction</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"ISSN" : "1386-0291", "PMID" : "17325439", "abstract" : "The influence of a change in red blood cell (RBC) concentration on the initiation time of blood coagulation (Ti) in pregnant and non-pregnant females was investigated using a damped oscillation rheometer to evaluate the risk of hemorrhagic tendency or thrombus formation. The blood samples from 40 female volunteers (20 pregnants and 20 non-pregnants) were examined. After centrifuging some portion of each blood sample, an appropriate volume was taken from the RBC layer to make an artificially diluted blood, or to add it to the autologous blood, making an artificially concentrated blood. The Ti of non-pregnant females was significantly reduced with increasing the RBC concentration from 3.75+/-0.25 to (5.75+/-0.25)x10(6)/mm(3). However, the Ti of pregnant females showed almost no change in the RBC concentrations from 3.25+/-0.25 to (5.25+/-0.25)x10(6)/mm(3). These results suggest that RBC concentration plays an important role in accelerating the initial coagulation reaction of blood of non-pregnant females and that a hypercoagulant condition caused by pregnancy conceals the effect that changes in RBC concentration have in pregnant females.", "author" : [ { "dropping-particle" : "", "family" : "Sagesaka", "given" : "Toshiaki", "non-dropping-particle" : "", "parse-names" : false, "suffix" : "" }, { "dropping-particle" : "", "family" : "Juen", "given" : "Hiroyasu", "non-dropping-particle" : "", "parse-names" : false, "suffix" : "" }, { "dropping-particle" : "", "family" : "Hayashi", "given" : "Masatoshi", "non-dropping-particle" : "", "parse-names" : false, "suffix" : "" } ], "container-title" : "Clinical hemorheology and microcirculation", "id" : "ITEM-1", "issue" : "2", "issued" : { "date-parts" : [ [ "2007" ] ] }, "page" : "155-61", "title" : "Influence of red blood cell concentration on the initiation time of blood coagulation: risk of thrombus formation in pregnant females with anemia.", "type" : "article-journal", "volume" : "36" }, "uris" : [ "http://www.mendeley.com/documents/?uuid=32626fde-b746-474b-9a99-cbb808bd3bce" ] } ], "mendeley" : { "formattedCitation" : "&lt;sup&gt;[125]&lt;/sup&gt;", "plainTextFormattedCitation" : "[125]", "previouslyFormattedCitation" : "&lt;sup&gt;[126]&lt;/sup&gt;"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[125]</w:t>
      </w:r>
      <w:r w:rsidR="00676839" w:rsidRPr="00884A81">
        <w:rPr>
          <w:rFonts w:ascii="Book Antiqua" w:hAnsi="Book Antiqua"/>
        </w:rPr>
        <w:fldChar w:fldCharType="end"/>
      </w:r>
      <w:r w:rsidR="00310921" w:rsidRPr="00884A81">
        <w:rPr>
          <w:rFonts w:ascii="Book Antiqua" w:hAnsi="Book Antiqua"/>
        </w:rPr>
        <w:t>.</w:t>
      </w:r>
      <w:r w:rsidR="00884A81" w:rsidRPr="00884A81">
        <w:rPr>
          <w:rFonts w:ascii="Book Antiqua" w:hAnsi="Book Antiqua"/>
        </w:rPr>
        <w:t xml:space="preserve"> </w:t>
      </w:r>
      <w:r w:rsidR="00676839">
        <w:rPr>
          <w:rFonts w:ascii="Book Antiqua" w:hAnsi="Book Antiqua"/>
        </w:rPr>
        <w:t>Therefore</w:t>
      </w:r>
      <w:r w:rsidR="00310921" w:rsidRPr="00884A81">
        <w:rPr>
          <w:rFonts w:ascii="Book Antiqua" w:hAnsi="Book Antiqua"/>
        </w:rPr>
        <w:t>, higher haemoglobin concentrations may be</w:t>
      </w:r>
      <w:r w:rsidR="00884A81" w:rsidRPr="00884A81">
        <w:rPr>
          <w:rFonts w:ascii="Book Antiqua" w:hAnsi="Book Antiqua"/>
        </w:rPr>
        <w:t xml:space="preserve"> </w:t>
      </w:r>
      <w:r w:rsidR="00310921" w:rsidRPr="00884A81">
        <w:rPr>
          <w:rFonts w:ascii="Book Antiqua" w:hAnsi="Book Antiqua"/>
        </w:rPr>
        <w:t>desirable during acute bleeding</w:t>
      </w:r>
      <w:r w:rsidRPr="00884A81">
        <w:rPr>
          <w:rFonts w:ascii="Book Antiqua" w:hAnsi="Book Antiqua"/>
        </w:rPr>
        <w:t xml:space="preserve"> associated with hemodynamic instability</w:t>
      </w:r>
      <w:r w:rsidR="00310921" w:rsidRPr="00884A81">
        <w:rPr>
          <w:rFonts w:ascii="Book Antiqua" w:hAnsi="Book Antiqua"/>
        </w:rPr>
        <w:t>.</w:t>
      </w:r>
    </w:p>
    <w:p w14:paraId="5936588F" w14:textId="509F68F7" w:rsidR="009868ED" w:rsidRPr="00884A81" w:rsidRDefault="00682324" w:rsidP="00676839">
      <w:pPr>
        <w:spacing w:line="360" w:lineRule="auto"/>
        <w:ind w:firstLineChars="100" w:firstLine="240"/>
        <w:jc w:val="both"/>
        <w:rPr>
          <w:rFonts w:ascii="Book Antiqua" w:hAnsi="Book Antiqua"/>
        </w:rPr>
      </w:pPr>
      <w:r w:rsidRPr="00884A81">
        <w:rPr>
          <w:rFonts w:ascii="Book Antiqua" w:hAnsi="Book Antiqua"/>
        </w:rPr>
        <w:t>Blood loss during live</w:t>
      </w:r>
      <w:r w:rsidR="00FC0149" w:rsidRPr="00884A81">
        <w:rPr>
          <w:rFonts w:ascii="Book Antiqua" w:hAnsi="Book Antiqua"/>
        </w:rPr>
        <w:t xml:space="preserve">r transplant surgery can </w:t>
      </w:r>
      <w:r w:rsidR="009868ED" w:rsidRPr="00884A81">
        <w:rPr>
          <w:rFonts w:ascii="Book Antiqua" w:hAnsi="Book Antiqua"/>
        </w:rPr>
        <w:t xml:space="preserve">occur in a slow and protracted manner or can be </w:t>
      </w:r>
      <w:r w:rsidRPr="00884A81">
        <w:rPr>
          <w:rFonts w:ascii="Book Antiqua" w:hAnsi="Book Antiqua"/>
        </w:rPr>
        <w:t>rapid and cause severe hemodynamic instability limiting</w:t>
      </w:r>
      <w:r w:rsidR="00884A81" w:rsidRPr="00884A81">
        <w:rPr>
          <w:rFonts w:ascii="Book Antiqua" w:hAnsi="Book Antiqua"/>
        </w:rPr>
        <w:t xml:space="preserve"> </w:t>
      </w:r>
      <w:r w:rsidRPr="00884A81">
        <w:rPr>
          <w:rFonts w:ascii="Book Antiqua" w:hAnsi="Book Antiqua"/>
        </w:rPr>
        <w:t>the applicabi</w:t>
      </w:r>
      <w:r w:rsidR="00310921" w:rsidRPr="00884A81">
        <w:rPr>
          <w:rFonts w:ascii="Book Antiqua" w:hAnsi="Book Antiqua"/>
        </w:rPr>
        <w:t xml:space="preserve">lity of haemoglobin </w:t>
      </w:r>
      <w:r w:rsidRPr="00884A81">
        <w:rPr>
          <w:rFonts w:ascii="Book Antiqua" w:hAnsi="Book Antiqua"/>
        </w:rPr>
        <w:t>thresholds</w:t>
      </w:r>
      <w:r w:rsidR="00310921" w:rsidRPr="00884A81">
        <w:rPr>
          <w:rFonts w:ascii="Book Antiqua" w:hAnsi="Book Antiqua"/>
        </w:rPr>
        <w:t>.</w:t>
      </w:r>
      <w:r w:rsidR="00884A81" w:rsidRPr="00884A81">
        <w:rPr>
          <w:rFonts w:ascii="Book Antiqua" w:hAnsi="Book Antiqua"/>
        </w:rPr>
        <w:t xml:space="preserve"> </w:t>
      </w:r>
      <w:r w:rsidR="00310921" w:rsidRPr="00884A81">
        <w:rPr>
          <w:rFonts w:ascii="Book Antiqua" w:hAnsi="Book Antiqua"/>
        </w:rPr>
        <w:t>During exsanguinating blood loss transfusion should be guided by the rate of bleeding and the likelihood of surgical control</w:t>
      </w:r>
      <w:r w:rsidR="00D400D4" w:rsidRPr="00884A81">
        <w:rPr>
          <w:rFonts w:ascii="Book Antiqua" w:hAnsi="Book Antiqua"/>
        </w:rPr>
        <w:t xml:space="preserve">: </w:t>
      </w:r>
      <w:r w:rsidR="00155D5F" w:rsidRPr="00884A81">
        <w:rPr>
          <w:rFonts w:ascii="Book Antiqua" w:hAnsi="Book Antiqua"/>
        </w:rPr>
        <w:t>G</w:t>
      </w:r>
      <w:r w:rsidR="00D400D4" w:rsidRPr="00884A81">
        <w:rPr>
          <w:rFonts w:ascii="Book Antiqua" w:hAnsi="Book Antiqua"/>
        </w:rPr>
        <w:t xml:space="preserve">uided by transfusion indicators and </w:t>
      </w:r>
      <w:r w:rsidR="00676839" w:rsidRPr="00884A81">
        <w:rPr>
          <w:rFonts w:ascii="Book Antiqua" w:hAnsi="Book Antiqua"/>
        </w:rPr>
        <w:t>POC</w:t>
      </w:r>
      <w:r w:rsidR="00D400D4" w:rsidRPr="00884A81">
        <w:rPr>
          <w:rFonts w:ascii="Book Antiqua" w:hAnsi="Book Antiqua"/>
        </w:rPr>
        <w:t xml:space="preserve"> testing where possible and guided by fixed ratio transfusion of RBC, plasma and platelets when bleeding is acute and time does not permit real time assessment of the coagulation status. </w:t>
      </w:r>
    </w:p>
    <w:p w14:paraId="5A955B5A" w14:textId="00A9B8F3" w:rsidR="005E7658"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t xml:space="preserve">Viscoelastic tests of coagulation </w:t>
      </w:r>
      <w:r w:rsidR="00676839">
        <w:rPr>
          <w:rFonts w:ascii="Book Antiqua" w:eastAsia="宋体" w:hAnsi="Book Antiqua" w:hint="eastAsia"/>
          <w:lang w:eastAsia="zh-CN"/>
        </w:rPr>
        <w:t>[</w:t>
      </w:r>
      <w:r w:rsidR="007E525F" w:rsidRPr="00884A81">
        <w:rPr>
          <w:rFonts w:ascii="Book Antiqua" w:hAnsi="Book Antiqua"/>
        </w:rPr>
        <w:t>Thromboelastometry (</w:t>
      </w:r>
      <w:r w:rsidRPr="00884A81">
        <w:rPr>
          <w:rFonts w:ascii="Book Antiqua" w:hAnsi="Book Antiqua"/>
        </w:rPr>
        <w:t>TEG</w:t>
      </w:r>
      <w:r w:rsidR="00C02D59" w:rsidRPr="00884A81">
        <w:rPr>
          <w:rFonts w:ascii="Book Antiqua" w:hAnsi="Book Antiqua"/>
        </w:rPr>
        <w:t>™</w:t>
      </w:r>
      <w:r w:rsidR="007E525F" w:rsidRPr="00884A81">
        <w:rPr>
          <w:rFonts w:ascii="Book Antiqua" w:hAnsi="Book Antiqua"/>
        </w:rPr>
        <w:t>)</w:t>
      </w:r>
      <w:r w:rsidRPr="00884A81">
        <w:rPr>
          <w:rFonts w:ascii="Book Antiqua" w:hAnsi="Book Antiqua"/>
        </w:rPr>
        <w:t xml:space="preserve">, </w:t>
      </w:r>
      <w:r w:rsidR="007E525F" w:rsidRPr="00884A81">
        <w:rPr>
          <w:rFonts w:ascii="Book Antiqua" w:hAnsi="Book Antiqua"/>
        </w:rPr>
        <w:t>Rotation Thromboelastometry (</w:t>
      </w:r>
      <w:r w:rsidRPr="00884A81">
        <w:rPr>
          <w:rFonts w:ascii="Book Antiqua" w:hAnsi="Book Antiqua"/>
        </w:rPr>
        <w:t>ROTEM</w:t>
      </w:r>
      <w:r w:rsidR="00C02D59" w:rsidRPr="00884A81">
        <w:rPr>
          <w:rFonts w:ascii="Book Antiqua" w:hAnsi="Book Antiqua"/>
        </w:rPr>
        <w:t>™</w:t>
      </w:r>
      <w:r w:rsidRPr="00884A81">
        <w:rPr>
          <w:rFonts w:ascii="Book Antiqua" w:hAnsi="Book Antiqua"/>
        </w:rPr>
        <w:t>)</w:t>
      </w:r>
      <w:r w:rsidR="00676839">
        <w:rPr>
          <w:rFonts w:ascii="Book Antiqua" w:eastAsia="宋体" w:hAnsi="Book Antiqua" w:hint="eastAsia"/>
          <w:lang w:eastAsia="zh-CN"/>
        </w:rPr>
        <w:t>]</w:t>
      </w:r>
      <w:r w:rsidRPr="00884A81">
        <w:rPr>
          <w:rFonts w:ascii="Book Antiqua" w:hAnsi="Book Antiqua"/>
        </w:rPr>
        <w:t xml:space="preserve"> provide a dynamic picture of the interaction of the wh</w:t>
      </w:r>
      <w:r w:rsidR="00990D51" w:rsidRPr="00884A81">
        <w:rPr>
          <w:rFonts w:ascii="Book Antiqua" w:hAnsi="Book Antiqua"/>
        </w:rPr>
        <w:t>ole blood coagulation and fi</w:t>
      </w:r>
      <w:r w:rsidRPr="00884A81">
        <w:rPr>
          <w:rFonts w:ascii="Book Antiqua" w:hAnsi="Book Antiqua"/>
        </w:rPr>
        <w:t>brinol</w:t>
      </w:r>
      <w:r w:rsidR="00990D51" w:rsidRPr="00884A81">
        <w:rPr>
          <w:rFonts w:ascii="Book Antiqua" w:hAnsi="Book Antiqua"/>
        </w:rPr>
        <w:t>y</w:t>
      </w:r>
      <w:r w:rsidRPr="00884A81">
        <w:rPr>
          <w:rFonts w:ascii="Book Antiqua" w:hAnsi="Book Antiqua"/>
        </w:rPr>
        <w:t xml:space="preserve">tic systems. Viscoelastic methods have faster turnaround times compared to traditional </w:t>
      </w:r>
      <w:r w:rsidRPr="00884A81">
        <w:rPr>
          <w:rFonts w:ascii="Book Antiqua" w:hAnsi="Book Antiqua"/>
        </w:rPr>
        <w:lastRenderedPageBreak/>
        <w:t>tests an</w:t>
      </w:r>
      <w:r w:rsidR="00F67C02" w:rsidRPr="00884A81">
        <w:rPr>
          <w:rFonts w:ascii="Book Antiqua" w:hAnsi="Book Antiqua"/>
        </w:rPr>
        <w:t xml:space="preserve">d are </w:t>
      </w:r>
      <w:r w:rsidR="00676839" w:rsidRPr="00884A81">
        <w:rPr>
          <w:rFonts w:ascii="Book Antiqua" w:hAnsi="Book Antiqua"/>
        </w:rPr>
        <w:t>POC</w:t>
      </w:r>
      <w:r w:rsidR="007E525F" w:rsidRPr="00884A81">
        <w:rPr>
          <w:rFonts w:ascii="Book Antiqua" w:hAnsi="Book Antiqua"/>
        </w:rPr>
        <w:t xml:space="preserve"> or bedside</w:t>
      </w:r>
      <w:r w:rsidR="00FF4C65" w:rsidRPr="00884A81">
        <w:rPr>
          <w:rFonts w:ascii="Book Antiqua" w:hAnsi="Book Antiqua"/>
        </w:rPr>
        <w:t xml:space="preserve"> </w:t>
      </w:r>
      <w:r w:rsidR="00F67C02" w:rsidRPr="00884A81">
        <w:rPr>
          <w:rFonts w:ascii="Book Antiqua" w:hAnsi="Book Antiqua"/>
        </w:rPr>
        <w:t xml:space="preserve">tests, </w:t>
      </w:r>
      <w:r w:rsidRPr="00884A81">
        <w:rPr>
          <w:rFonts w:ascii="Book Antiqua" w:hAnsi="Book Antiqua"/>
        </w:rPr>
        <w:t xml:space="preserve">performed in close proximity to the patient in the operating room or critical care areas. </w:t>
      </w:r>
    </w:p>
    <w:p w14:paraId="75F77FAB" w14:textId="5B63CEAE" w:rsidR="002A30AF"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t xml:space="preserve">The use of </w:t>
      </w:r>
      <w:r w:rsidR="00676839" w:rsidRPr="00884A81">
        <w:rPr>
          <w:rFonts w:ascii="Book Antiqua" w:hAnsi="Book Antiqua"/>
        </w:rPr>
        <w:t>POC</w:t>
      </w:r>
      <w:r w:rsidRPr="00884A81">
        <w:rPr>
          <w:rFonts w:ascii="Book Antiqua" w:hAnsi="Book Antiqua"/>
        </w:rPr>
        <w:t xml:space="preserve"> viscoelastic methods of coagulation monitoring and their inclusion in blood and blood products transfusion algorithms has been found to be associated with reduced blood and blood products requirements in cardiac surgery</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"10.1111/anae.13083", "ISSN" : "1365-2044", "PMID" : "25916344", "abstract" : "This systematic review and meta-analysis appraises the utility of point-of-care platelet function tests for predicting blood loss and transfusion requirements in cardiac surgical patients, and analyses whether their use within a transfusion management algorithm is associated with improved patient outcomes. We included 30 observational studies incorporating 3044 patients in the qualitative assessment, and nine randomised controlled trials including 1057 patients in the meta-analysis. Platelet function tests demonstrated significant variability in their ability to predict blood loss and transfusion requirements. Their use within a blood transfusion algorithm demonstrated a reduction in blood loss at longest follow-up (mean difference -102.9 ml (95% CI -149.9 to -56.1 ml), p &lt; 0.001), and transfusion of packed red cells (RR 0.86 (95% CI 0.78-0.94), p = 0.001) and fresh frozen plasma (RR 0.42 (95% CI 0.30-0.59), p &lt; 0.001). Viscoelastic methods used in combination with other platelet function tests achieved greater reduction in blood loss (mean difference -111.8 ml (95% CI -174.9 to -49.1 ml), p = 0.0005) compared with their use alone (mean difference -90.6 ml (95% CI 166.1-15.0 ml), p = 0.02). We conclude that incorporation of point-of-care platelet function tests into transfusion management algorithms is associated with a reduction in blood loss and transfusion requirements in cardiac surgery patients.", "author" : [ { "dropping-particle" : "", "family" : "Corredor", "given" : "C", "non-dropping-particle" : "", "parse-names" : false, "suffix" : "" }, { "dropping-particle" : "", "family" : "Wasowicz", "given" : "M", "non-dropping-particle" : "", "parse-names" : false, "suffix" : "" }, { "dropping-particle" : "", "family" : "Karkouti", "given" : "K", "non-dropping-particle" : "", "parse-names" : false, "suffix" : "" }, { "dropping-particle" : "", "family" : "Sharma", "given" : "V", "non-dropping-particle" : "", "parse-names" : false, "suffix" : "" } ], "container-title" : "Anaesthesia", "id" : "ITEM-1", "issue" : "6", "issued" : { "date-parts" : [ [ "2015", "6", "1" ] ] }, "page" : "715-31", "title" : "The role of point-of-care platelet function testing in predicting postoperative bleeding following cardiac surgery: a systematic review and meta-analysis.", "type" : "article-journal", "volume" : "70" }, "uris" : [ "http://www.mendeley.com/documents/?uuid=0a8584e7-aa64-4acf-8aa2-1da360c7b515" ] } ], "mendeley" : { "formattedCitation" : "&lt;sup&gt;[126]&lt;/sup&gt;", "plainTextFormattedCitation" : "[126]", "previouslyFormattedCitation" : "&lt;sup&gt;[127]&lt;/sup&gt;"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[126]</w:t>
      </w:r>
      <w:r w:rsidR="00676839"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A Cochrane review</w:t>
      </w:r>
      <w:r w:rsidR="00646EB4" w:rsidRPr="00884A81">
        <w:rPr>
          <w:rFonts w:ascii="Book Antiqua" w:hAnsi="Book Antiqua"/>
        </w:rPr>
        <w:t xml:space="preserve"> including 9 RCTs</w:t>
      </w:r>
      <w:r w:rsidRPr="00884A81">
        <w:rPr>
          <w:rFonts w:ascii="Book Antiqua" w:hAnsi="Book Antiqua"/>
        </w:rPr>
        <w:t xml:space="preserve"> concluded that the use of ROTEM</w:t>
      </w:r>
      <w:r w:rsidR="00C02D59" w:rsidRPr="00884A81">
        <w:rPr>
          <w:rFonts w:ascii="Book Antiqua" w:hAnsi="Book Antiqua"/>
        </w:rPr>
        <w:t>™</w:t>
      </w:r>
      <w:r w:rsidRPr="00884A81">
        <w:rPr>
          <w:rFonts w:ascii="Book Antiqua" w:hAnsi="Book Antiqua"/>
        </w:rPr>
        <w:t xml:space="preserve"> or TEG</w:t>
      </w:r>
      <w:r w:rsidR="00C02D59" w:rsidRPr="00884A81">
        <w:rPr>
          <w:rFonts w:ascii="Book Antiqua" w:hAnsi="Book Antiqua"/>
        </w:rPr>
        <w:t>™</w:t>
      </w:r>
      <w:r w:rsidRPr="00884A81">
        <w:rPr>
          <w:rFonts w:ascii="Book Antiqua" w:hAnsi="Book Antiqua"/>
        </w:rPr>
        <w:t xml:space="preserve"> to guide transfusion strategies in patients with massive bleeding appears to reduce the amount of bleeding and requirement for blood and blood products</w:t>
      </w:r>
      <w:r w:rsidR="005E7658" w:rsidRPr="00884A81">
        <w:rPr>
          <w:rFonts w:ascii="Book Antiqua" w:hAnsi="Book Antiqua"/>
        </w:rPr>
        <w:t>,</w:t>
      </w:r>
      <w:r w:rsidR="00646EB4" w:rsidRPr="00884A81">
        <w:rPr>
          <w:rFonts w:ascii="Book Antiqua" w:hAnsi="Book Antiqua"/>
        </w:rPr>
        <w:t xml:space="preserve"> but</w:t>
      </w:r>
      <w:r w:rsidR="005E7658" w:rsidRPr="00884A81">
        <w:rPr>
          <w:rFonts w:ascii="Book Antiqua" w:hAnsi="Book Antiqua"/>
        </w:rPr>
        <w:t xml:space="preserve"> found</w:t>
      </w:r>
      <w:r w:rsidR="00646EB4" w:rsidRPr="00884A81">
        <w:rPr>
          <w:rFonts w:ascii="Book Antiqua" w:hAnsi="Book Antiqua"/>
        </w:rPr>
        <w:t xml:space="preserve"> no evidence of benefit in terms of morbidity and mortality</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"10.1002/14651858.CD007871.pub2", "ISBN" : "1469-493X (Electronic)\\r1361-6137 (Linking)", "ISSN" : "1469-493X", "PMID" : "21412912", "abstract" : "BACKGROUND Severe bleeding and coagulopathy as a result of massive transfusion are serious clinical conditions that are associated with high mortality. Thromboelastography (TEG) and thromboelastometry (ROTEM) are increasingly used to guide transfusion strategy but their roles remain disputed. OBJECTIVES To systematically assess the benefits and harms of a TEG or ROTEM guided transfusion strategy in randomized trials involving patients with severe bleeding. SEARCH STRATEGY Randomized clinical trials (RCTs) were identified from electronic databases: Cochrane Central Register of Controlled Trials (CENTRAL) (The Cochrane Library 2010, Issue 9); MEDLINE; EMBASE; Science Citation Index Expanded; International Web of Science; CINAHL; LILACS; and the Chinese Biomedical Literature Database (up to 31st October 2010). We contacted trial authors, authors of previous reviews, and manufacturers in the field. SELECTION CRITERIA We included all RCTs, irrespective of blinding or language, that compared transfusion guided by TEG or ROTEM to transfusion guided by clinical judgement and standard laboratory tests, or both. DATA COLLECTION AND ANALYSIS Two authors independently abstracted data; they resolved any disagreements by discussion. We presented pooled estimates of the intervention effects on dichotomous outcomes as relative risks (RR) and on continuous outcomes as mean differences, with 95% confidence intervals (CI). Our primary outcome measure was all cause mortality. We performed subgroup and sensitivity analyses to assess the effect of TEG or ROTEM in adults and children on various clinical and physiological outcomes. We assessed the risk of bias through assessment of trial methodological components and the risk of random error through trial sequential analysis. MAIN RESULTS We included nine RCTs with a total of 776 participants; only one trial had a low risk of bias. We found two ongoing trials but were unable to retrieve any data from them. Compared with standard treatment, TEG or ROTEM showed no statistically significant effect on overall mortality (3.78% versus 5.11%, RR 0.77, 95% CI 0.35 to 1.72; I(2) = 0%) but only five trials provided data on mortality. Our analyses demonstrated a statistically significant effect of TEG or ROTEM on the amount of bleeding (MD -85.05 ml, 95% CI -140.68 to -29.42; I(2) = 26%) but failed to show any statistically significant effect on other predefined outcomes. AUTHORS' CONCLUSIONS There is an absence of evidence that TEG or R\u2026", "author" : [ { "dropping-particle" : "", "family" : "Afshari", "given" : "Arash", "non-dropping-particle" : "", "parse-names" : false, "suffix" : "" }, { "dropping-particle" : "", "family" : "Wikkels\u00f8", "given" : "Anne", "non-dropping-particle" : "", "parse-names" : false, "suffix" : "" }, { "dropping-particle" : "", "family" : "Brok", "given" : "Jesper", "non-dropping-particle" : "", "parse-names" : false, "suffix" : "" }, { "dropping-particle" : "", "family" : "M\u00f8ller", "given" : "Ann Merete", "non-dropping-particle" : "", "parse-names" : false, "suffix" : "" }, { "dropping-particle" : "", "family" : "Wetterslev", "given" : "J\u00f8rn", "non-dropping-particle" : "", "parse-names" : false, "suffix" : "" } ], "container-title" : "The Cochrane database of systematic reviews", "editor" : [ { "dropping-particle" : "", "family" : "Afshari", "given" : "Arash", "non-dropping-particle" : "", "parse-names" : false, "suffix" : "" } ], "id" : "ITEM-1", "issue" : "3", "issued" : { "date-parts" : [ [ "2011", "7", "8" ] ] }, "page" : "CD007871", "publisher" : "John Wiley &amp; Sons, Ltd", "publisher-place" : "Chichester, UK", "title" : "Thrombelastography (TEG) or thromboelastometry (ROTEM) to monitor haemotherapy versus usual care in patients with massive transfusion.", "type" : "article-journal" }, "uris" : [ "http://www.mendeley.com/documents/?uuid=4943145e-e77b-4e8b-9997-c1a00aa195be" ] } ], "mendeley" : { "formattedCitation" : "&lt;sup&gt;[127]&lt;/sup&gt;", "plainTextFormattedCitation" : "[127]", "previouslyFormattedCitation" : "&lt;sup&gt;[128]&lt;/sup&gt;"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[127]</w:t>
      </w:r>
      <w:r w:rsidR="00676839" w:rsidRPr="00884A81">
        <w:rPr>
          <w:rFonts w:ascii="Book Antiqua" w:hAnsi="Book Antiqua"/>
        </w:rPr>
        <w:fldChar w:fldCharType="end"/>
      </w:r>
      <w:r w:rsidR="0045485A" w:rsidRPr="00884A81">
        <w:rPr>
          <w:rFonts w:ascii="Book Antiqua" w:hAnsi="Book Antiqua"/>
        </w:rPr>
        <w:t>.</w:t>
      </w:r>
      <w:r w:rsidRPr="00884A81">
        <w:rPr>
          <w:rFonts w:ascii="Book Antiqua" w:hAnsi="Book Antiqua"/>
        </w:rPr>
        <w:t xml:space="preserve"> </w:t>
      </w:r>
    </w:p>
    <w:p w14:paraId="32E9CC51" w14:textId="55029C47" w:rsidR="002A30AF"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t>Another Cochrane review studying interventions to reduce blood loss in liver transplantation analysed two randomised studies using thromboelastography in liver transplant populations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"10.1002/14651858.CD009052.pub2", "ISSN" : "1469-493X (Electronic)", "PMID" : "22161443", "abstract" : "BACKGROUND: Excessive blood loss and increased blood transfusion requirements may have significant impact on the short-term and long-term outcomes after liver transplantation. OBJECTIVES: To compare the potential benefits and harms of different methods of decreasing blood loss and blood transfusion requirements during liver transplantation. SEARCH METHODS: We searched The Cochrane Central Register of Controlled Trials in The Cochrane Library, MEDLINE, EMBASE, Science Citation Index Expanded, and metaRegister of Controlled Trials until September 2011. SELECTION CRITERIA: We included all randomised clinical trials that were performed to compare various methods of decreasing blood loss and blood transfusion requirements during liver transplantation. DATA COLLECTION AND ANALYSIS: Two authors independently identified the trials and extracted the data. We analysed the data with both the fixed-effect and the random-effects model using RevMan Analysis. For each outcome we calculated the risk ratio (RR), mean difference (MD), or standardised mean difference (SMD) with 95% confidence intervals (CI) based on available data analysis. We also conducted network meta-analysis. MAIN RESULTS: We included 33 trials involving 1913 patients. The sample size in the trials varied from 8 to 209 participants. The interventions included pharmacological interventions (aprotinin, tranexamic acid, epsilon amino caproic acid, antithrombin 3, recombinant factor (rFvIIa), oestrogen, prostaglandin, epinephrine), blood substitutes (blood components rather than whole blood, hydroxy-ethyl starch, thromboelastography), and cardiovascular interventions (low central venous pressure). All the trials were of high risk of bias. Primary outcomes were reported in at least two trials for the following comparisons: aprotinin versus control, tranexamic acid versus control, recombinant factor VIIa (rFVIIa) versus control, and tranexamic acid versus aprotinin. There were no significant differences in the 60-day mortality (3 trials; 6/161 (3.7%) in the aprotinin group versus 8/119 (6.7%) in the control group; RR 0.52; 95% CI 0.18 to 1.45), primary graft non-function (2 trials; 0/128 (0.0%) in the aprotinin group versus 4/89 (4.5%) in the control group; RR 0.15; 95% CI 0.02 to 1.25), retransplantation (3 trials; 2/256 (0.8%) in the aprotinin group versus 12/178 (6.7%) in the control group; RR 0.21; 95% CI 0.02 to 1.79), or thromboembolic episodes (3 trials; 4/161 (2.5%) in the aprotinin group versus 5/\u2026", "author" : [ { "dropping-particle" : "", "family" : "Gurusamy", "given" : "Kurinchi Selvan", "non-dropping-particle" : "", "parse-names" : false, "suffix" : "" }, { "dropping-particle" : "", "family" : "Pissanou", "given" : "Theodora", "non-dropping-particle" : "", "parse-names" : false, "suffix" : "" }, { "dropping-particle" : "", "family" : "Pikhart", "given" : "Hynek", "non-dropping-particle" : "", "parse-names" : false, "suffix" : "" }, { "dropping-particle" : "", "family" : "Vaughan", "given" : "Jessica", "non-dropping-particle" : "", "parse-names" : false, "suffix" : "" }, { "dropping-particle" : "", "family" : "Burroughs", "given" : "Andrew K", "non-dropping-particle" : "", "parse-names" : false, "suffix" : "" }, { "dropping-particle" : "", "family" : "Davidson", "given" : "Brian R", "non-dropping-particle" : "", "parse-names" : false, "suffix" : "" } ], "container-title" : "The Cochrane database of systematic reviews", "id" : "ITEM-1", "issue" : "12", "issued" : { "date-parts" : [ [ "2011" ] ] }, "language" : "eng", "page" : "CD009052", "publisher-place" : "England", "title" : "Methods to decrease blood loss and transfusion requirements for liver transplantation.", "type" : "article-journal" }, "uris" : [ "http://www.mendeley.com/documents/?uuid=a8d6ba53-4686-449f-8585-b316c479ce91" ] } ], "mendeley" : { "formattedCitation" : "&lt;sup&gt;[128]&lt;/sup&gt;", "plainTextFormattedCitation" : "[128]", "previouslyFormattedCitation" : "&lt;sup&gt;[129]&lt;/sup&gt;"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[128]</w:t>
      </w:r>
      <w:r w:rsidR="00676839" w:rsidRPr="00884A81">
        <w:rPr>
          <w:rFonts w:ascii="Book Antiqua" w:hAnsi="Book Antiqua"/>
        </w:rPr>
        <w:fldChar w:fldCharType="end"/>
      </w:r>
      <w:r w:rsidRPr="00884A81">
        <w:rPr>
          <w:rFonts w:ascii="Book Antiqua" w:hAnsi="Book Antiqua"/>
        </w:rPr>
        <w:t xml:space="preserve">. The studies were both single centre and included a population </w:t>
      </w:r>
      <w:r w:rsidR="00535F47" w:rsidRPr="00884A81">
        <w:rPr>
          <w:rFonts w:ascii="Book Antiqua" w:hAnsi="Book Antiqua"/>
        </w:rPr>
        <w:t xml:space="preserve">of </w:t>
      </w:r>
      <w:r w:rsidRPr="00884A81">
        <w:rPr>
          <w:rFonts w:ascii="Book Antiqua" w:hAnsi="Book Antiqua"/>
        </w:rPr>
        <w:t>adults undergoing OLT</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"10.1016/j.transproceed.2010.05.144", "ISBN" : "0041-1345", "ISSN" : "1873-2623", "PMID" : "20832550", "abstract" : "OBJECTIVE To test in a prospective randomized study the hypothesis that use of thromboelastography (TEG) decreases blood transfusion during major surgery. MATERIAL AND METHODS Twenty-eight patients undergoing orthotopic liver transplantation were recruited over 2 years. Patients were randomized into 2 groups: those monitored during surgery using point-of-care TEG analysis, and those monitored using standard laboratory measures of blood coagulation. Specific trigger points for transfusion were established in each group. RESULTS In patients monitored via TEG, significantly less fresh-frozen plasma was used (mean [SD], 12.8 [7.0] units vs 21.5 [12.7] units). There was a trend toward less blood loss in the TEG-monitored patients; however, the difference was not significant. There were no differences in total fluid administration and 3-year survival. CONCLUSION Thromboelastography-guided transfusion decreases transfusion of fresh- frozen plasma in patients undergoing orthotopic liver transplantation, but does not affect 3-year survival.", "author" : [ { "dropping-particle" : "", "family" : "Wang", "given" : "S.-C.", "non-dropping-particle" : "", "parse-names" : false, "suffix" : "" }, { "dropping-particle" : "", "family" : "Shieh", "given" : "J.-F.", "non-dropping-particle" : "", "parse-names" : false, "suffix" : "" }, { "dropping-particle" : "", "family" : "Chang", "given" : "K.-Y.", "non-dropping-particle" : "", "parse-names" : false, "suffix" : "" }, { "dropping-particle" : "", "family" : "Chu", "given" : "Y.-C.", "non-dropping-particle" : "", "parse-names" : false, "suffix" : "" }, { "dropping-particle" : "", "family" : "Liu", "given" : "C.-S.", "non-dropping-particle" : "", "parse-names" : false, "suffix" : "" }, { "dropping-particle" : "", "family" : "Loong", "given" : "C.-C.", "non-dropping-particle" : "", "parse-names" : false, "suffix" : "" }, { "dropping-particle" : "", "family" : "Chan", "given" : "K.-H.", "non-dropping-particle" : "", "parse-names" : false, "suffix" : "" }, { "dropping-particle" : "", "family" : "Mandell", "given" : "S.", "non-dropping-particle" : "", "parse-names" : false, "suffix" : "" }, { "dropping-particle" : "", "family" : "Tsou", "given" : "M.-Y.", "non-dropping-particle" : "", "parse-names" : false, "suffix" : "" } ], "container-title" : "Transplantation proceedings", "id" : "ITEM-1", "issue" : "7", "issued" : { "date-parts" : [ [ "2010", "9" ] ] }, "page" : "2590-3", "publisher" : "Elsevier USA (6277 Sea Harbor Drive, Orlando FL 32862 8239, United States)", "publisher-place" : "M.-Y. Tsou, Department of Anesthesiology, Taipei Veterans General Hospital, National Yang-Ming University, Taipei, Taiwan (Republic of China). E-mail: mytsou8094@gmail.com", "title" : "Thromboelastography-guided transfusion decreases intraoperative blood transfusion during orthotopic liver transplantation: randomized clinical trial.", "type" : "article-journal", "volume" : "42" }, "uris" : [ "http://www.mendeley.com/documents/?uuid=32417016-0790-41f5-8571-48cd01f31e0c" ] }, { "id" : "ITEM-2", "itemData" : { "DOI" : "10.1002/lt.22086", "ISSN" : "1527-6473", "PMID" : "20517922", "author" : [ { "dropping-particle" : "", "family" : "Rummo OO, Shcherba AE, Minou AF, Dzyadzko AM", "given" : "Avdey EI", "non-dropping-particle" : "", "parse-names" : false, "suffix" : "" } ], "container-title" : "Liver transplantation : official publication of the American Association for the Study of Liver Diseases and the International Liver Transplantation Society", "id" : "ITEM-2", "issue" : "S1", "issued" : { "date-parts" : [ [ "2010", "6" ] ] }, "page" : "S69-263", "title" : "Impact of thromboelastometry on requirement of blood transfusion and incidence of septic complications in deceased donor liver tranplantation.", "type" : "article-journal", "volume" : "16 Suppl 1" }, "uris" : [ "http://www.mendeley.com/documents/?uuid=aeb7c0a4-07f4-4a7a-a6ed-454f9338690d" ] } ], "mendeley" : { "formattedCitation" : "&lt;sup&gt;[129,130]&lt;/sup&gt;", "plainTextFormattedCitation" : "[129,130]", "previouslyFormattedCitation" : "&lt;sup&gt;[130,131]&lt;/sup&gt;"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[129,130]</w:t>
      </w:r>
      <w:r w:rsidR="00676839" w:rsidRPr="00884A81">
        <w:rPr>
          <w:rFonts w:ascii="Book Antiqua" w:hAnsi="Book Antiqua"/>
        </w:rPr>
        <w:fldChar w:fldCharType="end"/>
      </w:r>
      <w:r w:rsidR="0045485A" w:rsidRPr="00884A81">
        <w:rPr>
          <w:rFonts w:ascii="Book Antiqua" w:hAnsi="Book Antiqua"/>
        </w:rPr>
        <w:t>.</w:t>
      </w:r>
      <w:r w:rsidR="00835EF8" w:rsidRPr="00884A81">
        <w:rPr>
          <w:rFonts w:ascii="Book Antiqua" w:hAnsi="Book Antiqua"/>
        </w:rPr>
        <w:t xml:space="preserve"> </w:t>
      </w:r>
      <w:r w:rsidRPr="00884A81">
        <w:rPr>
          <w:rFonts w:ascii="Book Antiqua" w:hAnsi="Book Antiqua"/>
        </w:rPr>
        <w:t>The authors concluded that thromboelastography</w:t>
      </w:r>
      <w:r w:rsidR="00676839">
        <w:rPr>
          <w:rFonts w:ascii="Book Antiqua" w:eastAsia="宋体" w:hAnsi="Book Antiqua" w:hint="eastAsia"/>
          <w:lang w:eastAsia="zh-CN"/>
        </w:rPr>
        <w:t>-</w:t>
      </w:r>
      <w:r w:rsidRPr="00884A81">
        <w:rPr>
          <w:rFonts w:ascii="Book Antiqua" w:hAnsi="Book Antiqua"/>
        </w:rPr>
        <w:t xml:space="preserve">guided transfusion was associated with a reduction in FFP transfusion requirements but had no impact on 3-year survival rates, </w:t>
      </w:r>
      <w:r w:rsidR="00BB2339" w:rsidRPr="00884A81">
        <w:rPr>
          <w:rFonts w:ascii="Book Antiqua" w:hAnsi="Book Antiqua"/>
        </w:rPr>
        <w:t>RBC</w:t>
      </w:r>
      <w:r w:rsidRPr="00884A81">
        <w:rPr>
          <w:rFonts w:ascii="Book Antiqua" w:hAnsi="Book Antiqua"/>
        </w:rPr>
        <w:t xml:space="preserve"> or platelet transfusion requirements</w:t>
      </w:r>
      <w:r w:rsidR="005B64EF" w:rsidRPr="00884A81">
        <w:rPr>
          <w:rFonts w:ascii="Book Antiqua" w:hAnsi="Book Antiqua"/>
        </w:rPr>
        <w:t>.</w:t>
      </w:r>
      <w:r w:rsidRPr="00884A81">
        <w:rPr>
          <w:rFonts w:ascii="Book Antiqua" w:hAnsi="Book Antiqua"/>
        </w:rPr>
        <w:t xml:space="preserve"> The trials were</w:t>
      </w:r>
      <w:r w:rsidR="00646EB4" w:rsidRPr="00884A81">
        <w:rPr>
          <w:rFonts w:ascii="Book Antiqua" w:hAnsi="Book Antiqua"/>
        </w:rPr>
        <w:t xml:space="preserve"> however </w:t>
      </w:r>
      <w:r w:rsidRPr="00884A81">
        <w:rPr>
          <w:rFonts w:ascii="Book Antiqua" w:hAnsi="Book Antiqua"/>
        </w:rPr>
        <w:t xml:space="preserve">deemed to </w:t>
      </w:r>
      <w:r w:rsidR="00990D51" w:rsidRPr="00884A81">
        <w:rPr>
          <w:rFonts w:ascii="Book Antiqua" w:hAnsi="Book Antiqua"/>
        </w:rPr>
        <w:t>have a</w:t>
      </w:r>
      <w:r w:rsidRPr="00884A81">
        <w:rPr>
          <w:rFonts w:ascii="Book Antiqua" w:hAnsi="Book Antiqua"/>
        </w:rPr>
        <w:t xml:space="preserve"> high risk of bias by the Cochrane reviewers</w:t>
      </w:r>
      <w:r w:rsidR="0045485A" w:rsidRPr="00884A81">
        <w:rPr>
          <w:rFonts w:ascii="Book Antiqua" w:hAnsi="Book Antiqua"/>
        </w:rPr>
        <w:t>.</w:t>
      </w:r>
      <w:r w:rsidR="00790C51" w:rsidRPr="00884A81">
        <w:rPr>
          <w:rFonts w:ascii="Book Antiqua" w:hAnsi="Book Antiqua"/>
        </w:rPr>
        <w:t xml:space="preserve"> </w:t>
      </w:r>
    </w:p>
    <w:p w14:paraId="217DE5A0" w14:textId="77AEF46A" w:rsidR="0045485A" w:rsidRPr="00884A81" w:rsidRDefault="005E7658" w:rsidP="00676839">
      <w:pPr>
        <w:spacing w:line="360" w:lineRule="auto"/>
        <w:ind w:firstLineChars="100" w:firstLine="240"/>
        <w:jc w:val="both"/>
        <w:rPr>
          <w:rFonts w:ascii="Book Antiqua" w:hAnsi="Book Antiqua"/>
        </w:rPr>
      </w:pPr>
      <w:r w:rsidRPr="00884A81">
        <w:rPr>
          <w:rFonts w:ascii="Book Antiqua" w:hAnsi="Book Antiqua"/>
        </w:rPr>
        <w:t>V</w:t>
      </w:r>
      <w:r w:rsidR="002A30AF" w:rsidRPr="00884A81">
        <w:rPr>
          <w:rFonts w:ascii="Book Antiqua" w:hAnsi="Book Antiqua"/>
        </w:rPr>
        <w:t xml:space="preserve">iscoelastic tests </w:t>
      </w:r>
      <w:r w:rsidRPr="00884A81">
        <w:rPr>
          <w:rFonts w:ascii="Book Antiqua" w:hAnsi="Book Antiqua"/>
        </w:rPr>
        <w:t xml:space="preserve">can </w:t>
      </w:r>
      <w:r w:rsidR="002A30AF" w:rsidRPr="00884A81">
        <w:rPr>
          <w:rFonts w:ascii="Book Antiqua" w:hAnsi="Book Antiqua"/>
        </w:rPr>
        <w:t>detect the presence and degree of fibrinolysis at different stages of the transplant procedure</w:t>
      </w:r>
      <w:r w:rsidRPr="00884A81">
        <w:rPr>
          <w:rFonts w:ascii="Book Antiqua" w:hAnsi="Book Antiqua"/>
        </w:rPr>
        <w:t xml:space="preserve"> and </w:t>
      </w:r>
      <w:r w:rsidR="002A30AF" w:rsidRPr="00884A81">
        <w:rPr>
          <w:rFonts w:ascii="Book Antiqua" w:hAnsi="Book Antiqua"/>
        </w:rPr>
        <w:t>can be used effectively to guide the need for and response to anti-fibrinol</w:t>
      </w:r>
      <w:r w:rsidR="00990D51" w:rsidRPr="00884A81">
        <w:rPr>
          <w:rFonts w:ascii="Book Antiqua" w:hAnsi="Book Antiqua"/>
        </w:rPr>
        <w:t>y</w:t>
      </w:r>
      <w:r w:rsidR="002A30AF" w:rsidRPr="00884A81">
        <w:rPr>
          <w:rFonts w:ascii="Book Antiqua" w:hAnsi="Book Antiqua"/>
        </w:rPr>
        <w:t>tic therapy</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"ISSN" : "2329-0358", "PMID" : "20877262", "abstract" : "BACKGROUND Bleeding due to fibrinolysis is a serious intraoperative complication during orthotopic liver transplantation (OLT). For a number of years aprotinin was used to minimize risk of this complication. This drug was however banned in 2007 and substituted with other antifibrinolytics. The aim of the study was to assess the potential of intraoperative thromboelastometry to evaluate hemostasis and channelize antifibrinolytic therapy. MATERIAL/METHODS Since ban on aprotinin, 39 patients underwent OLT in our center with no monitoring of fibrinolysis (NMF). Severe disturbances of hemostasis assessed clinically only as a need for blood and blood products transfusion and were treated with transfusion of fresh frozen plasma only. In 2008 we started to use thromboelastometry (ROTEM group, n=39), which allowed for targeted treatment of hyperfibrinolysis with tranexamic acid. RESULTS The need for blood transfusion in ROTEM group was insignificantly a lower than in NMF group (4.1\u00b14.76 vs 5.53\u00b14.89 units, p=0.2). Patients from ROTEM group required also less plasma transfusions (10.01\u00b17.47 vs 13.15\u00b16.62, p=0.06). Severe fibrinolysis was found in 3 patients from ROTEM group (7.7%) and was treated with tranexamic acid. CONCLUSIONS Thromboelastometry provides an immediate diagnosis of fibrinolysis, justifies implementation of targeted treatment and confirms effectiveness of the therapy. In a larger study group it can also result in significant minimization of blood products transfusion during OLT.", "author" : [ { "dropping-particle" : "", "family" : "Trzebicki", "given" : "Janusz", "non-dropping-particle" : "", "parse-names" : false, "suffix" : "" }, { "dropping-particle" : "", "family" : "Flakiewicz", "given" : "Edyta", "non-dropping-particle" : "", "parse-names" : false, "suffix" : "" }, { "dropping-particle" : "", "family" : "Kosieradzki", "given" : "Maciej", "non-dropping-particle" : "", "parse-names" : false, "suffix" : "" }, { "dropping-particle" : "", "family" : "Blaszczyk", "given" : "Beata", "non-dropping-particle" : "", "parse-names" : false, "suffix" : "" }, { "dropping-particle" : "", "family" : "Ko\u0142acz", "given" : "Marcin", "non-dropping-particle" : "", "parse-names" : false, "suffix" : "" }, { "dropping-particle" : "", "family" : "Jureczko", "given" : "Lidia", "non-dropping-particle" : "", "parse-names" : false, "suffix" : "" }, { "dropping-particle" : "", "family" : "Pacholczyk", "given" : "Marek", "non-dropping-particle" : "", "parse-names" : false, "suffix" : "" }, { "dropping-particle" : "", "family" : "Chmura", "given" : "Andrzej", "non-dropping-particle" : "", "parse-names" : false, "suffix" : "" }, { "dropping-particle" : "", "family" : "Lagiewska", "given" : "Beata", "non-dropping-particle" : "", "parse-names" : false, "suffix" : "" }, { "dropping-particle" : "", "family" : "Lisik", "given" : "Wojciech", "non-dropping-particle" : "", "parse-names" : false, "suffix" : "" }, { "dropping-particle" : "", "family" : "Wasiak", "given" : "Dariusz", "non-dropping-particle" : "", "parse-names" : false, "suffix" : "" }, { "dropping-particle" : "", "family" : "Kosson", "given" : "Dariusz", "non-dropping-particle" : "", "parse-names" : false, "suffix" : "" }, { "dropping-particle" : "", "family" : "Kwiatkowski", "given" : "Artur", "non-dropping-particle" : "", "parse-names" : false, "suffix" : "" }, { "dropping-particle" : "", "family" : "Lazowski", "given" : "Tomasz", "non-dropping-particle" : "", "parse-names" : false, "suffix" : "" } ], "container-title" : "Annals of transplantation", "id" : "ITEM-1", "issue" : "3", "issued" : { "date-parts" : [ [ "2010" ] ] }, "page" : "19-24", "publisher" : "Trzebicki,Janusz. Department of Anesthesiology and Intensive Care, The Medical University of Warsaw, Poland. jtrzebicki@gmail.com", "publisher-place" : "Poland", "title" : "The use of thromboelastometry in the assessment of hemostasis during orthotopic liver transplantation reduces the demand for blood products.", "type" : "article-journal", "volume" : "15" }, "uris" : [ "http://www.mendeley.com/documents/?uuid=459fefc3-289c-4d00-a129-ad46379dd050" ] } ], "mendeley" : { "formattedCitation" : "&lt;sup&gt;[131]&lt;/sup&gt;", "plainTextFormattedCitation" : "[131]", "previouslyFormattedCitation" : "&lt;sup&gt;[132]&lt;/sup&gt;"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[131]</w:t>
      </w:r>
      <w:r w:rsidR="00676839" w:rsidRPr="00884A81">
        <w:rPr>
          <w:rFonts w:ascii="Book Antiqua" w:hAnsi="Book Antiqua"/>
        </w:rPr>
        <w:fldChar w:fldCharType="end"/>
      </w:r>
      <w:r w:rsidR="0045485A" w:rsidRPr="00884A81">
        <w:rPr>
          <w:rFonts w:ascii="Book Antiqua" w:hAnsi="Book Antiqua"/>
        </w:rPr>
        <w:t>.</w:t>
      </w:r>
      <w:r w:rsidR="00676839" w:rsidRPr="00884A81">
        <w:rPr>
          <w:rFonts w:ascii="Book Antiqua" w:hAnsi="Book Antiqua"/>
        </w:rPr>
        <w:t xml:space="preserve"> </w:t>
      </w:r>
    </w:p>
    <w:p w14:paraId="6F84B2CA" w14:textId="2D573656" w:rsidR="002A30AF" w:rsidRPr="00884A81" w:rsidRDefault="002A30AF" w:rsidP="00884A81">
      <w:pPr>
        <w:spacing w:line="360" w:lineRule="auto"/>
        <w:jc w:val="both"/>
        <w:rPr>
          <w:rFonts w:ascii="Book Antiqua" w:hAnsi="Book Antiqua"/>
        </w:rPr>
      </w:pPr>
    </w:p>
    <w:p w14:paraId="225B0F99" w14:textId="0DE37E79" w:rsidR="004574AB" w:rsidRPr="00676839" w:rsidRDefault="002A30AF" w:rsidP="00884A81">
      <w:pPr>
        <w:spacing w:line="360" w:lineRule="auto"/>
        <w:jc w:val="both"/>
        <w:rPr>
          <w:rFonts w:ascii="Book Antiqua" w:eastAsia="宋体" w:hAnsi="Book Antiqua"/>
          <w:b/>
          <w:i/>
          <w:lang w:eastAsia="zh-CN"/>
        </w:rPr>
      </w:pPr>
      <w:r w:rsidRPr="00676839">
        <w:rPr>
          <w:rFonts w:ascii="Book Antiqua" w:hAnsi="Book Antiqua"/>
          <w:b/>
          <w:i/>
        </w:rPr>
        <w:t>Antifibr</w:t>
      </w:r>
      <w:r w:rsidR="004574AB" w:rsidRPr="00676839">
        <w:rPr>
          <w:rFonts w:ascii="Book Antiqua" w:hAnsi="Book Antiqua"/>
          <w:b/>
          <w:i/>
        </w:rPr>
        <w:t>inolytics</w:t>
      </w:r>
    </w:p>
    <w:p w14:paraId="6CDAEEDF" w14:textId="6E3848E5" w:rsidR="004C31CC" w:rsidRPr="00884A81" w:rsidRDefault="00543A4A" w:rsidP="00884A81">
      <w:pPr>
        <w:spacing w:line="360" w:lineRule="auto"/>
        <w:jc w:val="both"/>
        <w:rPr>
          <w:rFonts w:ascii="Book Antiqua" w:hAnsi="Book Antiqua"/>
        </w:rPr>
      </w:pPr>
      <w:r w:rsidRPr="00884A81">
        <w:rPr>
          <w:rFonts w:ascii="Book Antiqua" w:hAnsi="Book Antiqua"/>
        </w:rPr>
        <w:t xml:space="preserve">There are 2 major classifications of antifibrinolytic agents, </w:t>
      </w:r>
      <w:r w:rsidR="00A72594" w:rsidRPr="00884A81">
        <w:rPr>
          <w:rFonts w:ascii="Book Antiqua" w:hAnsi="Book Antiqua"/>
        </w:rPr>
        <w:t xml:space="preserve">the lysine analogues </w:t>
      </w:r>
      <w:r w:rsidR="00676839">
        <w:rPr>
          <w:rFonts w:ascii="Book Antiqua" w:eastAsia="宋体" w:hAnsi="Book Antiqua" w:hint="eastAsia"/>
          <w:lang w:eastAsia="zh-CN"/>
        </w:rPr>
        <w:t>[</w:t>
      </w:r>
      <w:r w:rsidR="00A72594" w:rsidRPr="00884A81">
        <w:rPr>
          <w:rFonts w:ascii="Book Antiqua" w:hAnsi="Book Antiqua"/>
        </w:rPr>
        <w:t>aminocaproic acid, Amicar and cyclokapron</w:t>
      </w:r>
      <w:r w:rsidR="00980C44" w:rsidRPr="00884A81">
        <w:rPr>
          <w:rFonts w:ascii="Book Antiqua" w:hAnsi="Book Antiqua"/>
        </w:rPr>
        <w:t>,</w:t>
      </w:r>
      <w:r w:rsidR="00A72594" w:rsidRPr="00884A81">
        <w:rPr>
          <w:rFonts w:ascii="Book Antiqua" w:hAnsi="Book Antiqua"/>
        </w:rPr>
        <w:t xml:space="preserve"> Tranexamic acid, (TXA)</w:t>
      </w:r>
      <w:r w:rsidR="00676839">
        <w:rPr>
          <w:rFonts w:ascii="Book Antiqua" w:eastAsia="宋体" w:hAnsi="Book Antiqua" w:hint="eastAsia"/>
          <w:lang w:eastAsia="zh-CN"/>
        </w:rPr>
        <w:t>]</w:t>
      </w:r>
      <w:r w:rsidR="00A72594" w:rsidRPr="00884A81">
        <w:rPr>
          <w:rFonts w:ascii="Book Antiqua" w:hAnsi="Book Antiqua"/>
        </w:rPr>
        <w:t xml:space="preserve">, and </w:t>
      </w:r>
      <w:r w:rsidR="00CE2CAC" w:rsidRPr="00884A81">
        <w:rPr>
          <w:rFonts w:ascii="Book Antiqua" w:hAnsi="Book Antiqua"/>
        </w:rPr>
        <w:t xml:space="preserve">the </w:t>
      </w:r>
      <w:r w:rsidR="00A72594" w:rsidRPr="00884A81">
        <w:rPr>
          <w:rFonts w:ascii="Book Antiqua" w:hAnsi="Book Antiqua"/>
        </w:rPr>
        <w:t>trypsin inhibitor (</w:t>
      </w:r>
      <w:r w:rsidRPr="00884A81">
        <w:rPr>
          <w:rFonts w:ascii="Book Antiqua" w:hAnsi="Book Antiqua"/>
        </w:rPr>
        <w:t>aprotinin</w:t>
      </w:r>
      <w:r w:rsidR="00A72594" w:rsidRPr="00884A81">
        <w:rPr>
          <w:rFonts w:ascii="Book Antiqua" w:hAnsi="Book Antiqua"/>
        </w:rPr>
        <w:t>,</w:t>
      </w:r>
      <w:r w:rsidRPr="00884A81">
        <w:rPr>
          <w:rFonts w:ascii="Book Antiqua" w:hAnsi="Book Antiqua"/>
        </w:rPr>
        <w:t xml:space="preserve"> </w:t>
      </w:r>
      <w:r w:rsidR="00A72594" w:rsidRPr="00884A81">
        <w:rPr>
          <w:rFonts w:ascii="Book Antiqua" w:hAnsi="Book Antiqua"/>
        </w:rPr>
        <w:t>Trasylol).</w:t>
      </w:r>
      <w:r w:rsidR="00884A81" w:rsidRPr="00884A81">
        <w:rPr>
          <w:rFonts w:ascii="Book Antiqua" w:hAnsi="Book Antiqua"/>
        </w:rPr>
        <w:t xml:space="preserve"> </w:t>
      </w:r>
      <w:r w:rsidR="00091844" w:rsidRPr="00884A81">
        <w:rPr>
          <w:rFonts w:ascii="Book Antiqua" w:hAnsi="Book Antiqua"/>
        </w:rPr>
        <w:t>H</w:t>
      </w:r>
      <w:r w:rsidR="004C31CC" w:rsidRPr="00884A81">
        <w:rPr>
          <w:rFonts w:ascii="Book Antiqua" w:hAnsi="Book Antiqua"/>
        </w:rPr>
        <w:t>yperfibrinoly</w:t>
      </w:r>
      <w:r w:rsidR="005045D0" w:rsidRPr="00884A81">
        <w:rPr>
          <w:rFonts w:ascii="Book Antiqua" w:hAnsi="Book Antiqua"/>
        </w:rPr>
        <w:t>sis</w:t>
      </w:r>
      <w:r w:rsidR="00091844" w:rsidRPr="00884A81">
        <w:rPr>
          <w:rFonts w:ascii="Book Antiqua" w:hAnsi="Book Antiqua"/>
        </w:rPr>
        <w:t xml:space="preserve"> </w:t>
      </w:r>
      <w:r w:rsidR="00A72594" w:rsidRPr="00884A81">
        <w:rPr>
          <w:rFonts w:ascii="Book Antiqua" w:hAnsi="Book Antiqua"/>
        </w:rPr>
        <w:t xml:space="preserve">may </w:t>
      </w:r>
      <w:r w:rsidR="00091844" w:rsidRPr="00884A81">
        <w:rPr>
          <w:rFonts w:ascii="Book Antiqua" w:hAnsi="Book Antiqua"/>
        </w:rPr>
        <w:t xml:space="preserve">lead to significant blood loss due to diffuse microvascular </w:t>
      </w:r>
      <w:r w:rsidR="00D212F0" w:rsidRPr="00884A81">
        <w:rPr>
          <w:rFonts w:ascii="Book Antiqua" w:hAnsi="Book Antiqua"/>
        </w:rPr>
        <w:t>bleeding</w:t>
      </w:r>
      <w:r w:rsidR="00A72594" w:rsidRPr="00884A81">
        <w:rPr>
          <w:rFonts w:ascii="Book Antiqua" w:hAnsi="Book Antiqua"/>
        </w:rPr>
        <w:t>, h</w:t>
      </w:r>
      <w:r w:rsidR="004C31CC" w:rsidRPr="00884A81">
        <w:rPr>
          <w:rFonts w:ascii="Book Antiqua" w:hAnsi="Book Antiqua"/>
        </w:rPr>
        <w:t xml:space="preserve">owever, </w:t>
      </w:r>
      <w:r w:rsidR="00A72594" w:rsidRPr="00884A81">
        <w:rPr>
          <w:rFonts w:ascii="Book Antiqua" w:hAnsi="Book Antiqua"/>
        </w:rPr>
        <w:t xml:space="preserve">much of the fibrinolysis is self-limiting which might help to explain why </w:t>
      </w:r>
      <w:r w:rsidR="004C31CC" w:rsidRPr="00884A81">
        <w:rPr>
          <w:rFonts w:ascii="Book Antiqua" w:hAnsi="Book Antiqua"/>
        </w:rPr>
        <w:t>our ability to predict</w:t>
      </w:r>
      <w:r w:rsidR="00CA0309" w:rsidRPr="00884A81">
        <w:rPr>
          <w:rFonts w:ascii="Book Antiqua" w:hAnsi="Book Antiqua"/>
        </w:rPr>
        <w:t xml:space="preserve"> </w:t>
      </w:r>
      <w:r w:rsidR="004C31CC" w:rsidRPr="00884A81">
        <w:rPr>
          <w:rFonts w:ascii="Book Antiqua" w:hAnsi="Book Antiqua"/>
        </w:rPr>
        <w:t xml:space="preserve">massive transfusion </w:t>
      </w:r>
      <w:r w:rsidR="00A72594" w:rsidRPr="00884A81">
        <w:rPr>
          <w:rFonts w:ascii="Book Antiqua" w:hAnsi="Book Antiqua"/>
        </w:rPr>
        <w:t>is difficult and it calls into question t</w:t>
      </w:r>
      <w:r w:rsidR="00CA0309" w:rsidRPr="00884A81">
        <w:rPr>
          <w:rFonts w:ascii="Book Antiqua" w:hAnsi="Book Antiqua"/>
        </w:rPr>
        <w:t>he routine prophylactic use of anti</w:t>
      </w:r>
      <w:r w:rsidR="004C31CC" w:rsidRPr="00884A81">
        <w:rPr>
          <w:rFonts w:ascii="Book Antiqua" w:hAnsi="Book Antiqua"/>
        </w:rPr>
        <w:t>-</w:t>
      </w:r>
      <w:r w:rsidR="00CA0309" w:rsidRPr="00884A81">
        <w:rPr>
          <w:rFonts w:ascii="Book Antiqua" w:hAnsi="Book Antiqua"/>
        </w:rPr>
        <w:t>fibrinolytic therapy</w:t>
      </w:r>
      <w:r w:rsidR="00A72594" w:rsidRPr="00884A81">
        <w:rPr>
          <w:rFonts w:ascii="Book Antiqua" w:hAnsi="Book Antiqua"/>
        </w:rPr>
        <w:t>.</w:t>
      </w:r>
      <w:r w:rsidR="00FF4C65" w:rsidRPr="00884A81">
        <w:rPr>
          <w:rFonts w:ascii="Book Antiqua" w:hAnsi="Book Antiqua"/>
        </w:rPr>
        <w:t xml:space="preserve"> </w:t>
      </w:r>
      <w:r w:rsidR="00A72594" w:rsidRPr="00884A81">
        <w:rPr>
          <w:rFonts w:ascii="Book Antiqua" w:hAnsi="Book Antiqua"/>
        </w:rPr>
        <w:t xml:space="preserve">In most circumstances the risk of thromboembolic complications with an antifibrinolytic is low </w:t>
      </w:r>
      <w:r w:rsidR="00A72594" w:rsidRPr="00884A81">
        <w:rPr>
          <w:rFonts w:ascii="Book Antiqua" w:hAnsi="Book Antiqua"/>
        </w:rPr>
        <w:lastRenderedPageBreak/>
        <w:t xml:space="preserve">providing an excellent </w:t>
      </w:r>
      <w:r w:rsidR="00980C44" w:rsidRPr="00884A81">
        <w:rPr>
          <w:rFonts w:ascii="Book Antiqua" w:hAnsi="Book Antiqua"/>
        </w:rPr>
        <w:t>therapeutic index</w:t>
      </w:r>
      <w:r w:rsidR="00864269" w:rsidRPr="00884A81">
        <w:rPr>
          <w:rFonts w:ascii="Book Antiqua" w:hAnsi="Book Antiqua"/>
        </w:rPr>
        <w:t>,</w:t>
      </w:r>
      <w:r w:rsidR="00980C44" w:rsidRPr="00884A81">
        <w:rPr>
          <w:rFonts w:ascii="Book Antiqua" w:hAnsi="Book Antiqua"/>
        </w:rPr>
        <w:t xml:space="preserve"> but in liver failure our </w:t>
      </w:r>
      <w:r w:rsidR="003B41BA" w:rsidRPr="00884A81">
        <w:rPr>
          <w:rFonts w:ascii="Book Antiqua" w:hAnsi="Book Antiqua"/>
        </w:rPr>
        <w:t>in</w:t>
      </w:r>
      <w:r w:rsidR="00980C44" w:rsidRPr="00884A81">
        <w:rPr>
          <w:rFonts w:ascii="Book Antiqua" w:hAnsi="Book Antiqua"/>
        </w:rPr>
        <w:t>ability to identify thromboembolic risk is also limited</w:t>
      </w:r>
      <w:r w:rsidR="00966912"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"10.1111/j.1600-6143.2006.01591.x", "ISBN" : "1600-6135; 1600-6135", "ISSN" : "1600-6135", "PMID" : "17227567", "abstract" : "Although several randomized controlled trials (RCTs) have shown the efficacy of antifibrinolytic drugs in liver transplantation, their use remains debated due to concern for thromboembolic complications. None of the reported RCTs has shown a higher incidence of these complications in treated patients; however, none of the individual studies has been large enough to elucidate this issue completely. We therefore performed a systematic review and meta-analysis of efficacy and safety endpoints in all published controlled clinical trials on the use of antifibrinolytic drugs in liver transplantation. Studies were included if antifibrinolytic drugs (epsilon-aminocaproic acid, tranexamic acid (TA) or aprotinin) were compared with each other or with controls/placebo. Intraoperative red blood cell and fresh frozen plasma requirements, the perioperative incidence of hepatic artery thrombosis, venous thromboembolic events and mortality were analyzed. We identified 23 studies with a total of 1407 patients which met the inclusion criteria. Aprotinin and TA both reduced transfusion requirements compared with controls. No increased risk for hepatic artery thrombosis, venous thromboembolic events or perioperative mortality was observed for any of the investigated drugs. This systematic review and meta-analysis does not provide evidence for an increased risk of thromboembolic events associated with antifibrinolytic drugs in liver transplantation.", "author" : [ { "dropping-particle" : "", "family" : "Molenaar", "given" : "I. Q.", "non-dropping-particle" : "", "parse-names" : false, "suffix" : "" }, { "dropping-particle" : "", "family" : "Warnaar", "given" : "N.", "non-dropping-particle" : "", "parse-names" : false, "suffix" : "" }, { "dropping-particle" : "", "family" : "Groen", "given" : "H.", "non-dropping-particle" : "", "parse-names" : false, "suffix" : "" }, { "dropping-particle" : "", "family" : "Tenvergert", "given" : "E M", "non-dropping-particle" : "", "parse-names" : false, "suffix" : "" }, { "dropping-particle" : "", "family" : "Slooff", "given" : "M. J H", "non-dropping-particle" : "", "parse-names" : false, "suffix" : "" }, { "dropping-particle" : "", "family" : "Porte", "given" : "R. J.", "non-dropping-particle" : "", "parse-names" : false, "suffix" : "" } ], "container-title" : "American journal of transplantation : official journal of the American Society of Transplantation and the American Society of Transplant Surgeons", "id" : "ITEM-1", "issue" : "1", "issued" : { "date-parts" : [ [ "2007", "1" ] ] }, "page" : "185-94", "title" : "Efficacy and safety of antifibrinolytic drugs in liver transplantation: a systematic review and meta-analysis.", "type" : "article-journal", "volume" : "7" }, "uris" : [ "http://www.mendeley.com/documents/?uuid=3ec81764-0e36-41e7-9c7d-127a1c23e976" ] } ], "mendeley" : { "formattedCitation" : "&lt;sup&gt;[132]&lt;/sup&gt;", "plainTextFormattedCitation" : "[132]", "previouslyFormattedCitation" : "&lt;sup&gt;[133]&lt;/sup&gt;" }, "properties" : { "noteIndex" : 0 }, "schema" : "https://github.com/citation-style-language/schema/raw/master/csl-citation.json" }</w:instrText>
      </w:r>
      <w:r w:rsidR="00966912" w:rsidRPr="00884A81">
        <w:rPr>
          <w:rFonts w:ascii="Book Antiqua" w:hAnsi="Book Antiqua"/>
          <w:vertAlign w:val="superscript"/>
        </w:rPr>
        <w:fldChar w:fldCharType="separate"/>
      </w:r>
      <w:r w:rsidR="00217BDC" w:rsidRPr="00884A81">
        <w:rPr>
          <w:rFonts w:ascii="Book Antiqua" w:hAnsi="Book Antiqua"/>
          <w:noProof/>
          <w:vertAlign w:val="superscript"/>
        </w:rPr>
        <w:t>[132]</w:t>
      </w:r>
      <w:r w:rsidR="00966912" w:rsidRPr="00884A81">
        <w:rPr>
          <w:rFonts w:ascii="Book Antiqua" w:hAnsi="Book Antiqua"/>
          <w:vertAlign w:val="superscript"/>
        </w:rPr>
        <w:fldChar w:fldCharType="end"/>
      </w:r>
      <w:r w:rsidR="00980C44" w:rsidRPr="00884A81">
        <w:rPr>
          <w:rFonts w:ascii="Book Antiqua" w:hAnsi="Book Antiqua"/>
        </w:rPr>
        <w:t xml:space="preserve"> and therefore the judicious use of these agents is recommended. P</w:t>
      </w:r>
      <w:r w:rsidR="00473170" w:rsidRPr="00884A81">
        <w:rPr>
          <w:rFonts w:ascii="Book Antiqua" w:hAnsi="Book Antiqua"/>
        </w:rPr>
        <w:t xml:space="preserve">atients with a prothrombotic state, such as primary biliary cirrhosis, primary sclerosing cholangitis, hepatocellular carcinoma, portal vein thrombosis and Budd-Chiari syndrome, </w:t>
      </w:r>
      <w:r w:rsidR="004C31CC" w:rsidRPr="00884A81">
        <w:rPr>
          <w:rFonts w:ascii="Book Antiqua" w:hAnsi="Book Antiqua"/>
        </w:rPr>
        <w:t xml:space="preserve">may be at </w:t>
      </w:r>
      <w:r w:rsidR="00473170" w:rsidRPr="00884A81">
        <w:rPr>
          <w:rFonts w:ascii="Book Antiqua" w:hAnsi="Book Antiqua"/>
        </w:rPr>
        <w:t>particularly i</w:t>
      </w:r>
      <w:r w:rsidR="00980C44" w:rsidRPr="00884A81">
        <w:rPr>
          <w:rFonts w:ascii="Book Antiqua" w:hAnsi="Book Antiqua"/>
        </w:rPr>
        <w:t>ncreased risk of th</w:t>
      </w:r>
      <w:r w:rsidR="00426F28" w:rsidRPr="00884A81">
        <w:rPr>
          <w:rFonts w:ascii="Book Antiqua" w:hAnsi="Book Antiqua"/>
        </w:rPr>
        <w:t>romboembolic complications</w:t>
      </w:r>
      <w:r w:rsidR="00473170" w:rsidRPr="00884A81">
        <w:rPr>
          <w:rFonts w:ascii="Book Antiqua" w:hAnsi="Book Antiqua"/>
        </w:rPr>
        <w:t xml:space="preserve">. </w:t>
      </w:r>
    </w:p>
    <w:p w14:paraId="4C0A16F3" w14:textId="188EC828" w:rsidR="00966912" w:rsidRPr="00884A81" w:rsidRDefault="00175DD0" w:rsidP="00676839">
      <w:pPr>
        <w:spacing w:line="360" w:lineRule="auto"/>
        <w:ind w:firstLineChars="100" w:firstLine="240"/>
        <w:jc w:val="both"/>
        <w:rPr>
          <w:rFonts w:ascii="Book Antiqua" w:hAnsi="Book Antiqua"/>
        </w:rPr>
      </w:pPr>
      <w:r w:rsidRPr="00884A81">
        <w:rPr>
          <w:rFonts w:ascii="Book Antiqua" w:hAnsi="Book Antiqua"/>
        </w:rPr>
        <w:t>I</w:t>
      </w:r>
      <w:r w:rsidR="008C5897" w:rsidRPr="00884A81">
        <w:rPr>
          <w:rFonts w:ascii="Book Antiqua" w:hAnsi="Book Antiqua"/>
        </w:rPr>
        <w:t xml:space="preserve">n 1987 </w:t>
      </w:r>
      <w:r w:rsidR="00034F22" w:rsidRPr="00884A81">
        <w:rPr>
          <w:rFonts w:ascii="Book Antiqua" w:hAnsi="Book Antiqua"/>
        </w:rPr>
        <w:t xml:space="preserve">Royston demonstrated a dramatic reduction in blood loss with </w:t>
      </w:r>
      <w:r w:rsidR="00395174" w:rsidRPr="00884A81">
        <w:rPr>
          <w:rFonts w:ascii="Book Antiqua" w:hAnsi="Book Antiqua"/>
        </w:rPr>
        <w:t>aprotinin</w:t>
      </w:r>
      <w:r w:rsidR="00034F22" w:rsidRPr="00884A81">
        <w:rPr>
          <w:rFonts w:ascii="Book Antiqua" w:hAnsi="Book Antiqua"/>
        </w:rPr>
        <w:t xml:space="preserve"> in patients under undergoing repeat open heart surgery and its use </w:t>
      </w:r>
      <w:r w:rsidR="008C5897" w:rsidRPr="00884A81">
        <w:rPr>
          <w:rFonts w:ascii="Book Antiqua" w:hAnsi="Book Antiqua"/>
        </w:rPr>
        <w:t xml:space="preserve">in cardiac surgery was approved by the FDA in 1993. Concerns regarding an increased risk of renal dysfunction </w:t>
      </w:r>
      <w:r w:rsidR="00C454FD" w:rsidRPr="00884A81">
        <w:rPr>
          <w:rFonts w:ascii="Book Antiqua" w:hAnsi="Book Antiqua"/>
        </w:rPr>
        <w:t xml:space="preserve">were raised </w:t>
      </w:r>
      <w:r w:rsidR="008C5897" w:rsidRPr="00884A81">
        <w:rPr>
          <w:rFonts w:ascii="Book Antiqua" w:hAnsi="Book Antiqua"/>
        </w:rPr>
        <w:t>in several observational trials</w:t>
      </w:r>
      <w:r w:rsidR="008C5897"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"10.1111/j.1537-2995.2006.00724.x", "ISBN" : "0041-1132 (Print)\\n0041-1132 (Linking)", "ISSN" : "0041-1132", "PMID" : "16533273", "abstract" : "BACKGROUND Cardiac surgery with cardiopulmonary bypass may result in excessive fibrinolysis and platelet (PLT) dysfunction, resulting in impaired hemostasis and excessive blood loss. Prophylactic use of the antifibrinolytic drugs aprotinin and tranexamic acid is thought to prevent these hemostatic defects. Their relative clinical utility and safety in high-transfusion-risk cardiac surgery, however, is not known. STUDY DESIGN AND METHODS Using propensity scores, 449 patients who received aprotinin for high-transfusion-risk cardiac surgery were matched to 449 patients who received tranexamic acid from a pool of 10,870 consecutive patients who underwent cardiac surgery at a single center, 586 of whom received aprotinin and the remainder of whom received tranexamic acid. RESULTS The two matched groups were well balanced in terms of measured perioperative variables. Blood product transfusion rates were similar in the aprotinin and tranexamic acid groups: red blood cells, 79 percent versus 76 percent (p = 0.3); PLTs, 56 percent versus 50 percent (p = 0.06); and plasma, 66 percent versus 61 percent (p = 0.1). Adverse events rates were comparable in the two groups, except for renal dysfunction (defined as a greater than 50% increase in creatinine concentration during the first postoperative week to &gt;100 micromol/L in women and &gt;110 micromol/L in men or a new requirement for dialysis support), which occurred in 24 percent (107/449) of aprotinin patients and 17 percent (75/449) of tranexamic acid patients (p = 0.01). CONCLUSIONS Aprotinin and tranexamic acid have similar hemostatic effectiveness in high-transfusion-risk cardiac surgery. Within the confines of propensity score matching, our results suggest that aprotinin may be associated with renal dysfunction.", "author" : [ { "dropping-particle" : "", "family" : "Karkouti", "given" : "Keyvan", "non-dropping-particle" : "", "parse-names" : false, "suffix" : "" }, { "dropping-particle" : "", "family" : "Beattie", "given" : "W Scott", "non-dropping-particle" : "", "parse-names" : false, "suffix" : "" }, { "dropping-particle" : "", "family" : "Dattilo", "given" : "Kathleen M", "non-dropping-particle" : "", "parse-names" : false, "suffix" : "" }, { "dropping-particle" : "", "family" : "McCluskey", "given" : "Stuart a", "non-dropping-particle" : "", "parse-names" : false, "suffix" : "" }, { "dropping-particle" : "", "family" : "Ghannam", "given" : "Mohammed", "non-dropping-particle" : "", "parse-names" : false, "suffix" : "" }, { "dropping-particle" : "", "family" : "Hamdy", "given" : "Ahmed", "non-dropping-particle" : "", "parse-names" : false, "suffix" : "" }, { "dropping-particle" : "", "family" : "Wijeysundera", "given" : "Duminda N", "non-dropping-particle" : "", "parse-names" : false, "suffix" : "" }, { "dropping-particle" : "", "family" : "Fedorko", "given" : "Ludwik", "non-dropping-particle" : "", "parse-names" : false, "suffix" : "" }, { "dropping-particle" : "", "family" : "Yau", "given" : "Terrence M", "non-dropping-particle" : "", "parse-names" : false, "suffix" : "" } ], "container-title" : "Transfusion", "id" : "ITEM-1", "issue" : "3", "issued" : { "date-parts" : [ [ "2006", "3" ] ] }, "page" : "327-38", "title" : "A propensity score case-control comparison of aprotinin and tranexamic acid in high-transfusion-risk cardiac surgery.", "type" : "article-journal", "volume" : "46" }, "uris" : [ "http://www.mendeley.com/documents/?uuid=7b3862d7-de39-4414-a331-83c3ba777e70" ] }, { "id" : "ITEM-2", "itemData" : { "DOI" : "10.1056/NEJMoa051379", "ISBN" : "1533-4406 (Electronic)\\r0028-4793 (Linking)", "ISSN" : "1533-4406", "PMID" : "16436767", "abstract" : "BACKGROUND The majority of patients undergoing surgical treatment for ST-elevation myocardial infarction receive antifibrinolytic therapy to limit blood loss. This approach appears counterintuitive to the accepted medical treatment of the same condition--namely, fibrinolysis to limit thrombosis. Despite this concern, no independent, large-scale safety assessment has been undertaken. METHODS In this observational study involving 4374 patients undergoing revascularization, we prospectively assessed three agents (aprotinin [1295 patients], aminocaproic acid [883], and tranexamic acid [822]) as compared with no agent (1374 patients) with regard to serious outcomes by propensity and multivariable methods. (Although aprotinin is a serine protease inhibitor, here we use the term antifibrinolytic therapy to include all three agents.) RESULTS In propensity-adjusted, multivariable logistic regression (C-index, 0.72), use of aprotinin was associated with a doubling in the risk of renal failure requiring dialysis among patients undergoing complex coronary-artery surgery (odds ratio, 2.59; 95 percent confidence interval, 1.36 to 4.95) or primary surgery (odds ratio, 2.34; 95 percent confidence interval, 1.27 to 4.31). Similarly, use of aprotinin in the latter group was associated with a 55 percent increase in the risk of myocardial infarction or heart failure (P&lt;0.001) and a 181 percent increase in the risk of stroke or encephalopathy (P=0.001). Neither aminocaproic acid nor tranexamic acid was associated with an increased risk of renal, cardiac, or cerebral events. Adjustment according to propensity score for the use of any one of the three agents as compared with no agent yielded nearly identical findings. All the agents reduced blood loss. CONCLUSIONS The association between aprotinin and serious end-organ damage indicates that continued use is not prudent. In contrast, the less expensive generic medications aminocaproic acid and tranexamic acid are safe alternatives.", "author" : [ { "dropping-particle" : "", "family" : "Mangano", "given" : "Dennis T", "non-dropping-particle" : "", "parse-names" : false, "suffix" : "" }, { "dropping-particle" : "", "family" : "Tudor", "given" : "Iulia C", "non-dropping-particle" : "", "parse-names" : false, "suffix" : "" }, { "dropping-particle" : "", "family" : "Dietzel", "given" : "Cynthia", "non-dropping-particle" : "", "parse-names" : false, "suffix" : "" }, { "dropping-particle" : "", "family" : "Multicenter Study of Perioperative Ischemia Research Group", "given" : "", "non-dropping-particle" : "", "parse-names" : false, "suffix" : "" }, { "dropping-particle" : "", "family" : "Ischemia Research and Education Foundation", "given" : "", "non-dropping-particle" : "", "parse-names" : false, "suffix" : "" } ], "container-title" : "The New England journal of medicine", "id" : "ITEM-2", "issue" : "4", "issued" : { "date-parts" : [ [ "2006", "1", "26" ] ] }, "page" : "353-65", "title" : "The risk associated with aprotinin in cardiac surgery.", "type" : "article-journal", "volume" : "354" }, "uris" : [ "http://www.mendeley.com/documents/?uuid=5ed43bda-f860-4299-bae0-7a171e7bcb0f" ] } ], "mendeley" : { "formattedCitation" : "&lt;sup&gt;[133,134]&lt;/sup&gt;", "plainTextFormattedCitation" : "[133,134]", "previouslyFormattedCitation" : "&lt;sup&gt;[134,135]&lt;/sup&gt;" }, "properties" : { "noteIndex" : 0 }, "schema" : "https://github.com/citation-style-language/schema/raw/master/csl-citation.json" }</w:instrText>
      </w:r>
      <w:r w:rsidR="008C5897" w:rsidRPr="00884A81">
        <w:rPr>
          <w:rFonts w:ascii="Book Antiqua" w:hAnsi="Book Antiqua"/>
        </w:rPr>
        <w:fldChar w:fldCharType="separate"/>
      </w:r>
      <w:r w:rsidR="00217BDC" w:rsidRPr="00884A81">
        <w:rPr>
          <w:rFonts w:ascii="Book Antiqua" w:hAnsi="Book Antiqua"/>
          <w:noProof/>
          <w:vertAlign w:val="superscript"/>
        </w:rPr>
        <w:t>[133,134]</w:t>
      </w:r>
      <w:r w:rsidR="008C5897" w:rsidRPr="00884A81">
        <w:rPr>
          <w:rFonts w:ascii="Book Antiqua" w:hAnsi="Book Antiqua"/>
        </w:rPr>
        <w:fldChar w:fldCharType="end"/>
      </w:r>
      <w:r w:rsidR="00676839">
        <w:rPr>
          <w:rFonts w:ascii="Book Antiqua" w:eastAsia="宋体" w:hAnsi="Book Antiqua" w:hint="eastAsia"/>
          <w:lang w:eastAsia="zh-CN"/>
        </w:rPr>
        <w:t>.</w:t>
      </w:r>
      <w:r w:rsidR="00884A81" w:rsidRPr="00884A81">
        <w:rPr>
          <w:rFonts w:ascii="Book Antiqua" w:hAnsi="Book Antiqua"/>
        </w:rPr>
        <w:t xml:space="preserve"> </w:t>
      </w:r>
      <w:r w:rsidR="00395174" w:rsidRPr="00884A81">
        <w:rPr>
          <w:rFonts w:ascii="Book Antiqua" w:hAnsi="Book Antiqua"/>
        </w:rPr>
        <w:t xml:space="preserve">The </w:t>
      </w:r>
      <w:r w:rsidR="00C454FD" w:rsidRPr="00884A81">
        <w:rPr>
          <w:rFonts w:ascii="Book Antiqua" w:hAnsi="Book Antiqua"/>
        </w:rPr>
        <w:t xml:space="preserve">publication of the </w:t>
      </w:r>
      <w:r w:rsidR="005E7BCA" w:rsidRPr="00884A81">
        <w:rPr>
          <w:rFonts w:ascii="Book Antiqua" w:hAnsi="Book Antiqua"/>
        </w:rPr>
        <w:t>Blood Conservation Using Antifibrinolytics in a Randomized Trial (</w:t>
      </w:r>
      <w:r w:rsidR="00C454FD" w:rsidRPr="00884A81">
        <w:rPr>
          <w:rFonts w:ascii="Book Antiqua" w:hAnsi="Book Antiqua"/>
        </w:rPr>
        <w:t>BART</w:t>
      </w:r>
      <w:r w:rsidR="005E7BCA" w:rsidRPr="00884A81">
        <w:rPr>
          <w:rFonts w:ascii="Book Antiqua" w:hAnsi="Book Antiqua"/>
        </w:rPr>
        <w:t>)</w:t>
      </w:r>
      <w:r w:rsidR="00C454FD" w:rsidRPr="00884A81">
        <w:rPr>
          <w:rFonts w:ascii="Book Antiqua" w:hAnsi="Book Antiqua"/>
        </w:rPr>
        <w:t xml:space="preserve"> trial </w:t>
      </w:r>
      <w:r w:rsidR="00395174" w:rsidRPr="00884A81">
        <w:rPr>
          <w:rFonts w:ascii="Book Antiqua" w:hAnsi="Book Antiqua"/>
        </w:rPr>
        <w:t xml:space="preserve">raised additional concerns </w:t>
      </w:r>
      <w:r w:rsidR="00C454FD" w:rsidRPr="00884A81">
        <w:rPr>
          <w:rFonts w:ascii="Book Antiqua" w:hAnsi="Book Antiqua"/>
        </w:rPr>
        <w:t xml:space="preserve">where patients undergoing high risk </w:t>
      </w:r>
      <w:r w:rsidR="00395174" w:rsidRPr="00884A81">
        <w:rPr>
          <w:rFonts w:ascii="Book Antiqua" w:hAnsi="Book Antiqua"/>
        </w:rPr>
        <w:t xml:space="preserve">cardiac </w:t>
      </w:r>
      <w:r w:rsidR="00C454FD" w:rsidRPr="00884A81">
        <w:rPr>
          <w:rFonts w:ascii="Book Antiqua" w:hAnsi="Book Antiqua"/>
        </w:rPr>
        <w:t>surgery were shown to ha</w:t>
      </w:r>
      <w:r w:rsidR="00676839">
        <w:rPr>
          <w:rFonts w:ascii="Book Antiqua" w:hAnsi="Book Antiqua"/>
        </w:rPr>
        <w:t>ve a significantly higher 30-d</w:t>
      </w:r>
      <w:r w:rsidR="00C454FD" w:rsidRPr="00884A81">
        <w:rPr>
          <w:rFonts w:ascii="Book Antiqua" w:hAnsi="Book Antiqua"/>
        </w:rPr>
        <w:t xml:space="preserve"> mortality when given aprotinin </w:t>
      </w:r>
      <w:r w:rsidR="00C454FD" w:rsidRPr="008F6787">
        <w:rPr>
          <w:rFonts w:ascii="Book Antiqua" w:hAnsi="Book Antiqua"/>
          <w:i/>
        </w:rPr>
        <w:t>vs</w:t>
      </w:r>
      <w:r w:rsidR="00C454FD" w:rsidRPr="00884A81">
        <w:rPr>
          <w:rFonts w:ascii="Book Antiqua" w:hAnsi="Book Antiqua"/>
        </w:rPr>
        <w:t xml:space="preserve"> tranexamic acid or aminocaproic acid</w:t>
      </w:r>
      <w:r w:rsidR="00F9695C"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"10.1056/NEJMoa0802395", "ISBN" : "1533-4406 (Electronic)\\r0028-4793 (Linking)", "ISSN" : "1533-4406", "PMID" : "18480196", "abstract" : "BACKGROUND Antifibrinolytic agents are commonly used during cardiac surgery to minimize bleeding and to reduce exposure to blood products. We sought to determine whether aprotinin was superior to either tranexamic acid or aminocaproic acid in decreasing massive postoperative bleeding and other clinically important consequences. METHODS In this multicenter, blinded trial, we randomly assigned 2331 high-risk cardiac surgical patients to one of three groups: 781 received aprotinin, 770 received tranexamic acid, and 780 received aminocaproic acid. The primary outcome was massive postoperative bleeding. Secondary outcomes included death from any cause at 30 days. RESULTS The trial was terminated early because of a higher rate of death in patients receiving aprotinin. A total of 74 patients (9.5%) in the aprotinin group had massive bleeding, as compared with 93 (12.1%) in the tranexamic acid group and 94 (12.1%) in the aminocaproic acid group (relative risk in the aprotinin group for both comparisons, 0.79; 95% confidence interval [CI], 0.59 to 1.05). At 30 days, the rate of death from any cause was 6.0% in the aprotinin group, as compared with 3.9% in the tranexamic acid group (relative risk, 1.55; 95% CI, 0.99 to 2.42) and 4.0% in the aminocaproic acid group (relative risk, 1.52; 95% CI, 0.98 to 2.36). The relative risk of death in the aprotinin group, as compared with that in both groups receiving lysine analogues, was 1.53 (95% CI, 1.06 to 2.22). CONCLUSIONS Despite the possibility of a modest reduction in the risk of massive bleeding, the strong and consistent negative mortality trend associated with aprotinin, as compared with the lysine analogues, precludes its use in high-risk cardiac surgery. (Current Controlled Trials number, ISRCTN15166455 [controlled-trials.com].).", "author" : [ { "dropping-particle" : "", "family" : "Fergusson", "given" : "Dean A", "non-dropping-particle" : "", "parse-names" : false, "suffix" : "" }, { "dropping-particle" : "", "family" : "H\u00e9bert", "given" : "Paul C", "non-dropping-particle" : "", "parse-names" : false, "suffix" : "" }, { "dropping-particle" : "", "family" : "Mazer", "given" : "C David", "non-dropping-particle" : "", "parse-names" : false, "suffix" : "" }, { "dropping-particle" : "", "family" : "Fremes", "given" : "Stephen", "non-dropping-particle" : "", "parse-names" : false, "suffix" : "" }, { "dropping-particle" : "", "family" : "MacAdams", "given" : "Charles", "non-dropping-particle" : "", "parse-names" : false, "suffix" : "" }, { "dropping-particle" : "", "family" : "Murkin", "given" : "John M", "non-dropping-particle" : "", "parse-names" : false, "suffix" : "" }, { "dropping-particle" : "", "family" : "Teoh", "given" : "Kevin", "non-dropping-particle" : "", "parse-names" : false, "suffix" : "" }, { "dropping-particle" : "", "family" : "Duke", "given" : "Peter C", "non-dropping-particle" : "", "parse-names" : false, "suffix" : "" }, { "dropping-particle" : "", "family" : "Arellano", "given" : "Ramiro", "non-dropping-particle" : "", "parse-names" : false, "suffix" : "" }, { "dropping-particle" : "", "family" : "Blajchman", "given" : "Morris A", "non-dropping-particle" : "", "parse-names" : false, "suffix" : "" }, { "dropping-particle" : "", "family" : "Bussi\u00e8res", "given" : "Jean S", "non-dropping-particle" : "", "parse-names" : false, "suffix" : "" }, { "dropping-particle" : "", "family" : "C\u00f4t\u00e9", "given" : "Dany", "non-dropping-particle" : "", "parse-names" : false, "suffix" : "" }, { "dropping-particle" : "", "family" : "Karski", "given" : "Jacek", "non-dropping-particle" : "", "parse-names" : false, "suffix" : "" }, { "dropping-particle" : "", "family" : "Martineau", "given" : "Raymond", "non-dropping-particle" : "", "parse-names" : false, "suffix" : "" }, { "dropping-particle" : "", "family" : "Robblee", "given" : "James A", "non-dropping-particle" : "", "parse-names" : false, "suffix" : "" }, { "dropping-particle" : "", "family" : "Rodger", "given" : "Marc", "non-dropping-particle" : "", "parse-names" : false, "suffix" : "" }, { "dropping-particle" : "", "family" : "Wells", "given" : "George", "non-dropping-particle" : "", "parse-names" : false, "suffix" : "" }, { "dropping-particle" : "", "family" : "Clinch", "given" : "Jennifer", "non-dropping-particle" : "", "parse-names" : false, "suffix" : "" }, { "dropping-particle" : "", "family" : "Pretorius", "given" : "Roanda", "non-dropping-particle" : "", "parse-names" : false, "suffix" : "" }, { "dropping-particle" : "", "family" : "BART Investigators", "given" : "", "non-dropping-particle" : "", "parse-names" : false, "suffix" : "" } ], "container-title" : "The New England journal of medicine", "id" : "ITEM-1", "issue" : "22", "issued" : { "date-parts" : [ [ "2008", "5", "29" ] ] }, "page" : "2319-31", "title" : "A comparison of aprotinin and lysine analogues in high-risk cardiac surgery.", "type" : "article-journal", "volume" : "358" }, "uris" : [ "http://www.mendeley.com/documents/?uuid=a68d265b-ae7f-417a-a92b-5a66968aec65" ] } ], "mendeley" : { "formattedCitation" : "&lt;sup&gt;[135]&lt;/sup&gt;", "plainTextFormattedCitation" : "[135]", "previouslyFormattedCitation" : "&lt;sup&gt;[136]&lt;/sup&gt;" }, "properties" : { "noteIndex" : 0 }, "schema" : "https://github.com/citation-style-language/schema/raw/master/csl-citation.json" }</w:instrText>
      </w:r>
      <w:r w:rsidR="00F9695C" w:rsidRPr="00884A81">
        <w:rPr>
          <w:rFonts w:ascii="Book Antiqua" w:hAnsi="Book Antiqua"/>
        </w:rPr>
        <w:fldChar w:fldCharType="separate"/>
      </w:r>
      <w:r w:rsidR="00217BDC" w:rsidRPr="00884A81">
        <w:rPr>
          <w:rFonts w:ascii="Book Antiqua" w:hAnsi="Book Antiqua"/>
          <w:noProof/>
          <w:vertAlign w:val="superscript"/>
        </w:rPr>
        <w:t>[135]</w:t>
      </w:r>
      <w:r w:rsidR="00F9695C" w:rsidRPr="00884A81">
        <w:rPr>
          <w:rFonts w:ascii="Book Antiqua" w:hAnsi="Book Antiqua"/>
        </w:rPr>
        <w:fldChar w:fldCharType="end"/>
      </w:r>
      <w:r w:rsidR="00F9695C" w:rsidRPr="00884A81">
        <w:rPr>
          <w:rFonts w:ascii="Book Antiqua" w:hAnsi="Book Antiqua"/>
        </w:rPr>
        <w:t xml:space="preserve"> led to </w:t>
      </w:r>
      <w:r w:rsidR="00395174" w:rsidRPr="00884A81">
        <w:rPr>
          <w:rFonts w:ascii="Book Antiqua" w:hAnsi="Book Antiqua"/>
        </w:rPr>
        <w:t>its</w:t>
      </w:r>
      <w:r w:rsidR="00F9695C" w:rsidRPr="00884A81">
        <w:rPr>
          <w:rFonts w:ascii="Book Antiqua" w:hAnsi="Book Antiqua"/>
        </w:rPr>
        <w:t xml:space="preserve"> licence being withdrawn in a number of countries. A number of concerns regarding the methodology of the BART trial have subsequently been raised and a review by Health Canada found that the trial was too small to reliably assess mortality</w:t>
      </w:r>
      <w:r w:rsidR="00863E6C" w:rsidRPr="00884A81">
        <w:rPr>
          <w:rFonts w:ascii="Book Antiqua" w:hAnsi="Book Antiqua"/>
        </w:rPr>
        <w:t xml:space="preserve"> and concluded that the benefits of aprotinin outweighed it’s risk</w:t>
      </w:r>
      <w:r w:rsidR="00C55BF3" w:rsidRPr="00884A81">
        <w:rPr>
          <w:rFonts w:ascii="Book Antiqua" w:hAnsi="Book Antiqua"/>
        </w:rPr>
        <w:t>s</w:t>
      </w:r>
      <w:r w:rsidR="00C55BF3" w:rsidRPr="00884A81">
        <w:rPr>
          <w:rFonts w:ascii="Book Antiqua" w:hAnsi="Book Antiqua"/>
        </w:rPr>
        <w:fldChar w:fldCharType="begin" w:fldLock="1"/>
      </w:r>
      <w:r w:rsidR="00C55BF3" w:rsidRPr="00884A81">
        <w:rPr>
          <w:rFonts w:ascii="Book Antiqua" w:hAnsi="Book Antiqua"/>
        </w:rPr>
        <w:instrText>ADDIN CSL_CITATION { "citationItems" : [ { "id" : "ITEM-1", "itemData" : { "abstract" : "Health Canada's response to the 2011 final report of the Expert Advisory Panel on Trasylol", "author" : [ { "dropping-particle" : "", "family" : "Government of Canada", "given" : "Health Canada, Health Products and Food Branch, HPFB Inspectorate, Inspectorate Ottawa, Compliance, Enforcement and Coordination Division #1, Drug GMP Inspection Unit", "non-dropping-particle" : "", "parse-names" : false, "suffix" : "" } ], "id" : "ITEM-1", "issued" : { "date-parts" : [ [ "2011", "9", "15" ] ] }, "language" : "eng", "title" : "MedEffect - Health Canada's Response to the Final Report of the Expert Advisory Panel on Trasylol (aprotinin)", "type" : "report" }, "uris" : [ "http://www.mendeley.com/documents/?uuid=635ef9dd-8dcc-400c-84e1-a9f06cf825a2" ] } ], "mendeley" : { "formattedCitation" : "&lt;sup&gt;[136]&lt;/sup&gt;", "plainTextFormattedCitation" : "[136]", "previouslyFormattedCitation" : "&lt;sup&gt;[137]&lt;/sup&gt;" }, "properties" : { "noteIndex" : 0 }, "schema" : "https://github.com/citation-style-language/schema/raw/master/csl-citation.json" }</w:instrText>
      </w:r>
      <w:r w:rsidR="00C55BF3" w:rsidRPr="00884A81">
        <w:rPr>
          <w:rFonts w:ascii="Book Antiqua" w:hAnsi="Book Antiqua"/>
        </w:rPr>
        <w:fldChar w:fldCharType="separate"/>
      </w:r>
      <w:r w:rsidR="00C55BF3" w:rsidRPr="00884A81">
        <w:rPr>
          <w:rFonts w:ascii="Book Antiqua" w:hAnsi="Book Antiqua"/>
          <w:noProof/>
          <w:vertAlign w:val="superscript"/>
        </w:rPr>
        <w:t>[136]</w:t>
      </w:r>
      <w:r w:rsidR="00C55BF3" w:rsidRPr="00884A81">
        <w:rPr>
          <w:rFonts w:ascii="Book Antiqua" w:hAnsi="Book Antiqua"/>
        </w:rPr>
        <w:fldChar w:fldCharType="end"/>
      </w:r>
      <w:r w:rsidR="00863E6C" w:rsidRPr="00884A81">
        <w:rPr>
          <w:rFonts w:ascii="Book Antiqua" w:hAnsi="Book Antiqua"/>
        </w:rPr>
        <w:t xml:space="preserve">. </w:t>
      </w:r>
      <w:r w:rsidR="005D0BDA" w:rsidRPr="00884A81">
        <w:rPr>
          <w:rFonts w:ascii="Book Antiqua" w:hAnsi="Book Antiqua"/>
        </w:rPr>
        <w:t>Studies investigating the aprotinin ban on blood loss in liver transplantation give mixed results</w:t>
      </w:r>
      <w:r w:rsidR="00786A11" w:rsidRPr="00884A81">
        <w:rPr>
          <w:rFonts w:ascii="Book Antiqua" w:hAnsi="Book Antiqua"/>
        </w:rPr>
        <w:t xml:space="preserve"> with both an increase in blood transfusion</w:t>
      </w:r>
      <w:r w:rsidR="00676839">
        <w:rPr>
          <w:rFonts w:ascii="Book Antiqua" w:hAnsi="Book Antiqua"/>
        </w:rPr>
        <w:t xml:space="preserve"> rates following its withdrawal</w:t>
      </w:r>
      <w:r w:rsidR="00786A11"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"10.1016/j.transproceed.2011.01.182", "ISSN" : "1873-2623", "PMID" : "21693266", "abstract" : "BACKGROUND Aprotinin, a plasmin inhibitor, had been used for reduction of intraoperative bleeding caused by hyperfibrinolysis during extensive surgery. Prophylaxis with aprotinin to limit blood loss during orthotopic liver transplantation (OLT) had been widely applied until the drug was weaned off the therapeutic list for severe complications. We compared the need for blood and blood products transfusion in patients undergoing OLT with and without the use of aprotinin. MATERIALS AND METHODS A retrospective analysis was performed on 150 patients, who underwent OLT between March 2004 and August 2008 and were divided into 2 groups: the APRO group (n = 111) after induction of anesthesia was given a bolus of 500 kIU of aprotinin in a 30-minutes infusion followed by 140 kIU/h till the end of the OLT in which aprotinin was not administered, and the NON-APRO group (n = 39). RESULTS Patients from the NON-APRO group needed significantly more units of packed red blood cells (PRBC) than the APRO group (5.53 \u00b1 4.89 vs 3.99 \u00b1 3.58 units; P = .037). Avoidance of aprotinin administration (\u03b2 = 1.408), Child-Pugh score (\u03b2 = 0.519), and duration of anhepatic phase (\u03b2 = 0.03) affected the volume of transfused blood according to multiple regression analysis (P &lt; .05). CONCLUSIONS Our study confirmed the important prophylactic role aprotinin used to have during OLT in limiting the need for blood transfusions. Further research and progress in methods of blood loss minimization and monitoring of hemostasis are needed to warrant safe liver transplantation.", "author" : [ { "dropping-particle" : "", "family" : "Trzebicki", "given" : "J", "non-dropping-particle" : "", "parse-names" : false, "suffix" : "" }, { "dropping-particle" : "", "family" : "Kosieradzki", "given" : "M", "non-dropping-particle" : "", "parse-names" : false, "suffix" : "" }, { "dropping-particle" : "", "family" : "Flakiewicz", "given" : "E", "non-dropping-particle" : "", "parse-names" : false, "suffix" : "" }, { "dropping-particle" : "", "family" : "Kuzminska", "given" : "G", "non-dropping-particle" : "", "parse-names" : false, "suffix" : "" }, { "dropping-particle" : "", "family" : "Wasiak", "given" : "D", "non-dropping-particle" : "", "parse-names" : false, "suffix" : "" }, { "dropping-particle" : "", "family" : "Pacholczyk", "given" : "M", "non-dropping-particle" : "", "parse-names" : false, "suffix" : "" }, { "dropping-particle" : "", "family" : "Lagiewska", "given" : "B", "non-dropping-particle" : "", "parse-names" : false, "suffix" : "" }, { "dropping-particle" : "", "family" : "Lisik", "given" : "W", "non-dropping-particle" : "", "parse-names" : false, "suffix" : "" }, { "dropping-particle" : "", "family" : "Kosson", "given" : "D", "non-dropping-particle" : "", "parse-names" : false, "suffix" : "" }, { "dropping-particle" : "", "family" : "Kulik", "given" : "A", "non-dropping-particle" : "", "parse-names" : false, "suffix" : "" }, { "dropping-particle" : "", "family" : "Chmura", "given" : "A", "non-dropping-particle" : "", "parse-names" : false, "suffix" : "" }, { "dropping-particle" : "", "family" : "Lazowski", "given" : "T", "non-dropping-particle" : "", "parse-names" : false, "suffix" : "" } ], "container-title" : "Transplantation proceedings", "id" : "ITEM-1", "issue" : "5", "issued" : { "date-parts" : [ [ "2011", "6" ] ] }, "page" : "1725-7", "publisher" : "Trzebicki,J. Department of Anesthesiology and Intensive Care, Medical University of Warsaw, Warsaw, Poland.", "publisher-place" : "United States", "title" : "Detrimental effect of aprotinin ban on amount of blood loss during liver transplantation: single-center experience.", "type" : "article-journal", "volume" : "43" }, "uris" : [ "http://www.mendeley.com/documents/?uuid=5b899313-ce00-40cf-b84b-d553773c18dd" ] } ], "mendeley" : { "formattedCitation" : "&lt;sup&gt;[137]&lt;/sup&gt;", "plainTextFormattedCitation" : "[137]", "previouslyFormattedCitation" : "&lt;sup&gt;[138]&lt;/sup&gt;" }, "properties" : { "noteIndex" : 0 }, "schema" : "https://github.com/citation-style-language/schema/raw/master/csl-citation.json" }</w:instrText>
      </w:r>
      <w:r w:rsidR="00786A11" w:rsidRPr="00884A81">
        <w:rPr>
          <w:rFonts w:ascii="Book Antiqua" w:hAnsi="Book Antiqua"/>
        </w:rPr>
        <w:fldChar w:fldCharType="separate"/>
      </w:r>
      <w:r w:rsidR="00217BDC" w:rsidRPr="00884A81">
        <w:rPr>
          <w:rFonts w:ascii="Book Antiqua" w:hAnsi="Book Antiqua"/>
          <w:noProof/>
          <w:vertAlign w:val="superscript"/>
        </w:rPr>
        <w:t>[137]</w:t>
      </w:r>
      <w:r w:rsidR="00786A11" w:rsidRPr="00884A81">
        <w:rPr>
          <w:rFonts w:ascii="Book Antiqua" w:hAnsi="Book Antiqua"/>
        </w:rPr>
        <w:fldChar w:fldCharType="end"/>
      </w:r>
      <w:r w:rsidR="00676839">
        <w:rPr>
          <w:rFonts w:ascii="Book Antiqua" w:hAnsi="Book Antiqua"/>
        </w:rPr>
        <w:t xml:space="preserve"> and no change</w:t>
      </w:r>
      <w:r w:rsidR="00786A11"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"10.1002/lt.23839", "ISSN" : "1527-6473", "PMID" : "24481770", "abstract" : "The aims of this study were to determine whether the withdrawal of aprotinin (APRO) led to an increased bleeding risk in patients undergoing orthotopic liver transplantation (OLT). A retrospective analysis compared consecutive patients undergoing OLT and treated with aprotinin (APRO group; n = 100) with a group in which aprotinin was not used (no-APRO group; n = 100). Propensity score matching was then performed for each group to identify 2 matched cohorts. Patients were matched by their primary diagnoses and Model for End-Stage Liver Disease scores. This resulted in 2 matched cohorts with 55 patients in each group. None of the patients in the APRO group had significant fibrinolysis. In the no-APRO group, 23.6% of the patients developed fibrinolysis (P &lt; 0.003). Tranexamic acid was used in 61.5% of the patients (n = 8) in the no-APRO group in whom lysis was present, and this resolved the fibrinolysis in all but 1 of these patients. There were no differences in red blood cell, fresh frozen plasma, platelet concentrate, or cryoprecipitate transfusions between the 2 groups. In conclusion, we have shown a significant increase in the prevalence of fibrinolysis during OLT since the withdrawal of APRO. However, there has been no increase in transfusion requirements.", "author" : [ { "dropping-particle" : "", "family" : "Schofield", "given" : "Nick", "non-dropping-particle" : "", "parse-names" : false, "suffix" : "" }, { "dropping-particle" : "", "family" : "Sugavanam", "given" : "Anita", "non-dropping-particle" : "", "parse-names" : false, "suffix" : "" }, { "dropping-particle" : "", "family" : "Thompson", "given" : "Karen", "non-dropping-particle" : "", "parse-names" : false, "suffix" : "" }, { "dropping-particle" : "V", "family" : "Mallett", "given" : "Susan", "non-dropping-particle" : "", "parse-names" : false, "suffix" : "" } ], "container-title" : "Liver transplantation : official publication of the American Association for the Study of Liver Diseases and the International Liver Transplantation Society", "id" : "ITEM-1", "issue" : "5", "issued" : { "date-parts" : [ [ "2014", "5" ] ] }, "page" : "584-90", "publisher" : "Schofield,Nick. Department of Anaesthesia, Royal Free Hospital, Hampstead, London, United Kingdom.", "publisher-place" : "United States", "title" : "No increase in blood transfusions during liver transplantation since the withdrawal of aprotinin.", "type" : "article-journal", "volume" : "20" }, "uris" : [ "http://www.mendeley.com/documents/?uuid=1ba1ac02-fba8-415b-977a-d7117a673734" ] } ], "mendeley" : { "formattedCitation" : "&lt;sup&gt;[138]&lt;/sup&gt;", "plainTextFormattedCitation" : "[138]", "previouslyFormattedCitation" : "&lt;sup&gt;[139]&lt;/sup&gt;" }, "properties" : { "noteIndex" : 0 }, "schema" : "https://github.com/citation-style-language/schema/raw/master/csl-citation.json" }</w:instrText>
      </w:r>
      <w:r w:rsidR="00786A11" w:rsidRPr="00884A81">
        <w:rPr>
          <w:rFonts w:ascii="Book Antiqua" w:hAnsi="Book Antiqua"/>
        </w:rPr>
        <w:fldChar w:fldCharType="separate"/>
      </w:r>
      <w:r w:rsidR="00217BDC" w:rsidRPr="00884A81">
        <w:rPr>
          <w:rFonts w:ascii="Book Antiqua" w:hAnsi="Book Antiqua"/>
          <w:noProof/>
          <w:vertAlign w:val="superscript"/>
        </w:rPr>
        <w:t>[138]</w:t>
      </w:r>
      <w:r w:rsidR="00786A11" w:rsidRPr="00884A81">
        <w:rPr>
          <w:rFonts w:ascii="Book Antiqua" w:hAnsi="Book Antiqua"/>
        </w:rPr>
        <w:fldChar w:fldCharType="end"/>
      </w:r>
      <w:r w:rsidR="00786A11" w:rsidRPr="00884A81">
        <w:rPr>
          <w:rFonts w:ascii="Book Antiqua" w:hAnsi="Book Antiqua"/>
        </w:rPr>
        <w:t xml:space="preserve"> being reported. </w:t>
      </w:r>
    </w:p>
    <w:p w14:paraId="1A7B2F78" w14:textId="0E8967C8" w:rsidR="002A30AF" w:rsidRPr="00884A81" w:rsidRDefault="00395174" w:rsidP="00676839">
      <w:pPr>
        <w:spacing w:line="360" w:lineRule="auto"/>
        <w:ind w:firstLineChars="100" w:firstLine="240"/>
        <w:jc w:val="both"/>
        <w:rPr>
          <w:rFonts w:ascii="Book Antiqua" w:hAnsi="Book Antiqua"/>
        </w:rPr>
      </w:pPr>
      <w:r w:rsidRPr="00884A81">
        <w:rPr>
          <w:rFonts w:ascii="Book Antiqua" w:hAnsi="Book Antiqua"/>
        </w:rPr>
        <w:t>Several systematic</w:t>
      </w:r>
      <w:r w:rsidR="00786A11" w:rsidRPr="00884A81">
        <w:rPr>
          <w:rFonts w:ascii="Book Antiqua" w:hAnsi="Book Antiqua"/>
        </w:rPr>
        <w:t xml:space="preserve"> reviews have investigated the use of antifibrinolytics in liver surgery.</w:t>
      </w:r>
      <w:r w:rsidR="00175DD0" w:rsidRPr="00884A81">
        <w:rPr>
          <w:rFonts w:ascii="Book Antiqua" w:hAnsi="Book Antiqua"/>
        </w:rPr>
        <w:t xml:space="preserve"> </w:t>
      </w:r>
      <w:r w:rsidR="00786A11" w:rsidRPr="00884A81">
        <w:rPr>
          <w:rFonts w:ascii="Book Antiqua" w:hAnsi="Book Antiqua"/>
        </w:rPr>
        <w:t>A</w:t>
      </w:r>
      <w:r w:rsidR="002A30AF" w:rsidRPr="00884A81">
        <w:rPr>
          <w:rFonts w:ascii="Book Antiqua" w:hAnsi="Book Antiqua"/>
        </w:rPr>
        <w:t xml:space="preserve"> recent Cochrane review focused on methods to decrease blood loss and transfusion requirements</w:t>
      </w:r>
      <w:r w:rsidR="00786A11" w:rsidRPr="00884A81">
        <w:rPr>
          <w:rFonts w:ascii="Book Antiqua" w:hAnsi="Book Antiqua"/>
        </w:rPr>
        <w:t xml:space="preserve"> in liver resection surgery</w:t>
      </w:r>
      <w:r w:rsidR="002A30AF" w:rsidRPr="00884A81">
        <w:rPr>
          <w:rFonts w:ascii="Book Antiqua" w:hAnsi="Book Antiqua"/>
        </w:rPr>
        <w:t xml:space="preserve"> including 33 trials involving 1913 patients with interventions comparing aprotinin </w:t>
      </w:r>
      <w:r w:rsidR="008F6787" w:rsidRPr="008F6787">
        <w:rPr>
          <w:rFonts w:ascii="Book Antiqua" w:hAnsi="Book Antiqua"/>
          <w:i/>
        </w:rPr>
        <w:t>vs</w:t>
      </w:r>
      <w:r w:rsidR="002A30AF" w:rsidRPr="00884A81">
        <w:rPr>
          <w:rFonts w:ascii="Book Antiqua" w:hAnsi="Book Antiqua"/>
        </w:rPr>
        <w:t xml:space="preserve"> control, </w:t>
      </w:r>
      <w:r w:rsidR="003B41BA" w:rsidRPr="00884A81">
        <w:rPr>
          <w:rFonts w:ascii="Book Antiqua" w:hAnsi="Book Antiqua"/>
        </w:rPr>
        <w:t xml:space="preserve">TXA </w:t>
      </w:r>
      <w:r w:rsidR="002A30AF" w:rsidRPr="00676839">
        <w:rPr>
          <w:rFonts w:ascii="Book Antiqua" w:hAnsi="Book Antiqua"/>
          <w:i/>
        </w:rPr>
        <w:t>vs</w:t>
      </w:r>
      <w:r w:rsidR="002A30AF" w:rsidRPr="00884A81">
        <w:rPr>
          <w:rFonts w:ascii="Book Antiqua" w:hAnsi="Book Antiqua"/>
        </w:rPr>
        <w:t xml:space="preserve"> control and </w:t>
      </w:r>
      <w:r w:rsidR="003B41BA" w:rsidRPr="00884A81">
        <w:rPr>
          <w:rFonts w:ascii="Book Antiqua" w:hAnsi="Book Antiqua"/>
        </w:rPr>
        <w:t>TXA</w:t>
      </w:r>
      <w:r w:rsidR="002A30AF" w:rsidRPr="00884A81">
        <w:rPr>
          <w:rFonts w:ascii="Book Antiqua" w:hAnsi="Book Antiqua"/>
        </w:rPr>
        <w:t xml:space="preserve"> </w:t>
      </w:r>
      <w:r w:rsidR="002A30AF" w:rsidRPr="00676839">
        <w:rPr>
          <w:rFonts w:ascii="Book Antiqua" w:hAnsi="Book Antiqua"/>
          <w:i/>
        </w:rPr>
        <w:t>vs</w:t>
      </w:r>
      <w:r w:rsidR="002A30AF" w:rsidRPr="00884A81">
        <w:rPr>
          <w:rFonts w:ascii="Book Antiqua" w:hAnsi="Book Antiqua"/>
        </w:rPr>
        <w:t xml:space="preserve"> aprotinin</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"10.1002/14651858.CD007338.pub2", "ISBN" : "1469-493X", "ISSN" : "1469-493X", "PMID" : "19821405", "abstract" : "BACKGROUND: Blood loss during liver resection is one of the most important factors affecting the peri-operative outcomes of patients undergoing liver resection. OBJECTIVES: To determine the benefits and harms of cardiopulmonary interventions to decrease blood loss and to decrease allogeneic blood transfusion requirements in patients undergoing liver resections. SEARCH STRATEGY: We searched The Cochrane Hepato-Biliary Group Controlled Trials Register, the Cochrane Central Register of Controlled Trials (CENTRAL) in The Cochrane Library, MEDLINE, EMBASE, and Science Citation Index Expanded until November 2008 for identifying the randomised trials. SELECTION CRITERIA: We included all randomised clinical trials comparing various cardiopulmonary interventions aimed at decreasing blood loss and allogeneic blood transfusion requirements in liver resection. Trials were included irrespective of whether they included major or minor liver resections, normal or cirrhotic livers, vascular occlusion was used or not, and irrespective of the reason for liver resection. DATA COLLECTION AND ANALYSIS: Two authors independently identified trials for inclusion and independently extracted data. We analysed the data with both the fixed-effect and the random-effects models using RevMan Analysis. For each outcome we calculated the risk ratio (RR), mean difference (MD), or standardised mean difference (SMD) with 95% confidence intervals (CI) based on intention-to-treat analysis or available case-analysis. For dichotomous outcomes with only one trial included under the outcome, we performed the Fisher's exact test. MAIN RESULTS: Nine trials involving 587 patients satisfied the inclusion criteria. The interventions included low central venous pressure (CVP), autologous blood donation, haemodilution, haemodilution with controlled hypotension, and hypoventilation. Only one or two trials were included under most comparisons. All trials had a high risk of bias. There was no significant difference in the peri-operative mortality or other peri-operative morbidity. None of the trials reported long-term survival or liver failure.The risk ratio of requiring allogeneic blood transfusion was significantly lower in the haemodilution and haemodilution with controlled hypotension groups than the respective control groups. Other interventions did not show significant decreases of allogeneic transfusion requirements. AUTHORS' CONCLUSIONS: None of the interventions seem to decrease peri-operative m\u2026", "author" : [ { "dropping-particle" : "", "family" : "Gurusamy", "given" : "Kurinchi Selvan", "non-dropping-particle" : "", "parse-names" : false, "suffix" : "" }, { "dropping-particle" : "", "family" : "Li", "given" : "Jun", "non-dropping-particle" : "", "parse-names" : false, "suffix" : "" }, { "dropping-particle" : "", "family" : "Sharma", "given" : "Dinesh", "non-dropping-particle" : "", "parse-names" : false, "suffix" : "" }, { "dropping-particle" : "", "family" : "Davidson", "given" : "Brian R", "non-dropping-particle" : "", "parse-names" : false, "suffix" : "" } ], "container-title" : "Cochrane database of systematic reviews (Online)", "id" : "ITEM-1", "issue" : "4", "issued" : { "date-parts" : [ [ "2009" ] ] }, "page" : "CD007338", "title" : "Cardiopulmonary interventions to decrease blood loss and blood transfusion requirements for liver resection.", "type" : "article-journal" }, "uris" : [ "http://www.mendeley.com/documents/?uuid=75a75772-b4d9-4aab-8656-79ea27acf90f" ] } ], "mendeley" : { "formattedCitation" : "&lt;sup&gt;[139]&lt;/sup&gt;", "plainTextFormattedCitation" : "[139]", "previouslyFormattedCitation" : "&lt;sup&gt;[140]&lt;/sup&gt;"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[139]</w:t>
      </w:r>
      <w:r w:rsidR="00676839" w:rsidRPr="00884A81">
        <w:rPr>
          <w:rFonts w:ascii="Book Antiqua" w:hAnsi="Book Antiqua"/>
        </w:rPr>
        <w:fldChar w:fldCharType="end"/>
      </w:r>
      <w:r w:rsidR="00694227" w:rsidRPr="00884A81">
        <w:rPr>
          <w:rFonts w:ascii="Book Antiqua" w:hAnsi="Book Antiqua"/>
        </w:rPr>
        <w:t xml:space="preserve">. There </w:t>
      </w:r>
      <w:r w:rsidR="00C24346" w:rsidRPr="00884A81">
        <w:rPr>
          <w:rFonts w:ascii="Book Antiqua" w:hAnsi="Book Antiqua"/>
        </w:rPr>
        <w:t>was</w:t>
      </w:r>
      <w:r w:rsidR="00694227" w:rsidRPr="00884A81">
        <w:rPr>
          <w:rFonts w:ascii="Book Antiqua" w:hAnsi="Book Antiqua"/>
        </w:rPr>
        <w:t xml:space="preserve"> no</w:t>
      </w:r>
      <w:r w:rsidR="002A30AF" w:rsidRPr="00884A81">
        <w:rPr>
          <w:rFonts w:ascii="Book Antiqua" w:hAnsi="Book Antiqua"/>
        </w:rPr>
        <w:t xml:space="preserve"> significant difference</w:t>
      </w:r>
      <w:r w:rsidR="00C24346" w:rsidRPr="00884A81">
        <w:rPr>
          <w:rFonts w:ascii="Book Antiqua" w:hAnsi="Book Antiqua"/>
        </w:rPr>
        <w:t xml:space="preserve"> in </w:t>
      </w:r>
      <w:r w:rsidR="00676839">
        <w:rPr>
          <w:rFonts w:ascii="Book Antiqua" w:hAnsi="Book Antiqua"/>
        </w:rPr>
        <w:t>60-d</w:t>
      </w:r>
      <w:r w:rsidR="002A30AF" w:rsidRPr="00884A81">
        <w:rPr>
          <w:rFonts w:ascii="Book Antiqua" w:hAnsi="Book Antiqua"/>
        </w:rPr>
        <w:t xml:space="preserve"> mortality or thromboembolic episodes</w:t>
      </w:r>
      <w:r w:rsidR="00C24346" w:rsidRPr="00884A81">
        <w:rPr>
          <w:rFonts w:ascii="Book Antiqua" w:hAnsi="Book Antiqua"/>
        </w:rPr>
        <w:t xml:space="preserve"> and</w:t>
      </w:r>
      <w:r w:rsidR="00884A81" w:rsidRPr="00884A81">
        <w:rPr>
          <w:rFonts w:ascii="Book Antiqua" w:hAnsi="Book Antiqua"/>
        </w:rPr>
        <w:t xml:space="preserve"> </w:t>
      </w:r>
      <w:r w:rsidR="002A30AF" w:rsidRPr="00884A81">
        <w:rPr>
          <w:rFonts w:ascii="Book Antiqua" w:hAnsi="Book Antiqua"/>
        </w:rPr>
        <w:t>aprotinin was associated with</w:t>
      </w:r>
      <w:r w:rsidR="00863E6C" w:rsidRPr="00884A81">
        <w:rPr>
          <w:rFonts w:ascii="Book Antiqua" w:hAnsi="Book Antiqua"/>
        </w:rPr>
        <w:t xml:space="preserve"> </w:t>
      </w:r>
      <w:r w:rsidR="005E1FB3" w:rsidRPr="00884A81">
        <w:rPr>
          <w:rFonts w:ascii="Book Antiqua" w:hAnsi="Book Antiqua"/>
        </w:rPr>
        <w:t xml:space="preserve">a </w:t>
      </w:r>
      <w:r w:rsidR="002A30AF" w:rsidRPr="00884A81">
        <w:rPr>
          <w:rFonts w:ascii="Book Antiqua" w:hAnsi="Book Antiqua"/>
        </w:rPr>
        <w:t>significantly lower allogenic blood transfusion requirement</w:t>
      </w:r>
      <w:r w:rsidR="00E522F6" w:rsidRPr="00884A81">
        <w:rPr>
          <w:rFonts w:ascii="Book Antiqua" w:hAnsi="Book Antiqua"/>
        </w:rPr>
        <w:t>s</w:t>
      </w:r>
      <w:r w:rsidR="002A30AF" w:rsidRPr="00884A81">
        <w:rPr>
          <w:rFonts w:ascii="Book Antiqua" w:hAnsi="Book Antiqua"/>
        </w:rPr>
        <w:t xml:space="preserve"> </w:t>
      </w:r>
      <w:r w:rsidR="00CE2CAC" w:rsidRPr="00884A81">
        <w:rPr>
          <w:rFonts w:ascii="Book Antiqua" w:hAnsi="Book Antiqua"/>
        </w:rPr>
        <w:t xml:space="preserve">it </w:t>
      </w:r>
      <w:r w:rsidR="002A30AF" w:rsidRPr="00884A81">
        <w:rPr>
          <w:rFonts w:ascii="Book Antiqua" w:hAnsi="Book Antiqua"/>
        </w:rPr>
        <w:t xml:space="preserve">did not confer any </w:t>
      </w:r>
      <w:r w:rsidR="00CE2CAC" w:rsidRPr="00884A81">
        <w:rPr>
          <w:rFonts w:ascii="Book Antiqua" w:hAnsi="Book Antiqua"/>
        </w:rPr>
        <w:t xml:space="preserve">outcome </w:t>
      </w:r>
      <w:r w:rsidR="002A30AF" w:rsidRPr="00884A81">
        <w:rPr>
          <w:rFonts w:ascii="Book Antiqua" w:hAnsi="Book Antiqua"/>
        </w:rPr>
        <w:t>benefit</w:t>
      </w:r>
      <w:r w:rsidR="00CE2CAC" w:rsidRPr="00884A81">
        <w:rPr>
          <w:rFonts w:ascii="Book Antiqua" w:hAnsi="Book Antiqua"/>
        </w:rPr>
        <w:t>.</w:t>
      </w:r>
      <w:r w:rsidR="00884A81" w:rsidRPr="00884A81">
        <w:rPr>
          <w:rFonts w:ascii="Book Antiqua" w:hAnsi="Book Antiqua"/>
        </w:rPr>
        <w:t xml:space="preserve"> </w:t>
      </w:r>
      <w:r w:rsidR="002A30AF" w:rsidRPr="00884A81">
        <w:rPr>
          <w:rFonts w:ascii="Book Antiqua" w:hAnsi="Book Antiqua"/>
        </w:rPr>
        <w:t>I</w:t>
      </w:r>
      <w:r w:rsidR="00CE2CAC" w:rsidRPr="00884A81">
        <w:rPr>
          <w:rFonts w:ascii="Book Antiqua" w:hAnsi="Book Antiqua"/>
        </w:rPr>
        <w:t xml:space="preserve">mportantly, </w:t>
      </w:r>
      <w:r w:rsidR="002A30AF" w:rsidRPr="00884A81">
        <w:rPr>
          <w:rFonts w:ascii="Book Antiqua" w:hAnsi="Book Antiqua"/>
        </w:rPr>
        <w:t xml:space="preserve">the reviewers deemed all the trials to have high risk of bias </w:t>
      </w:r>
      <w:r w:rsidR="00CE2CAC" w:rsidRPr="00884A81">
        <w:rPr>
          <w:rFonts w:ascii="Book Antiqua" w:hAnsi="Book Antiqua"/>
        </w:rPr>
        <w:t xml:space="preserve">thus further </w:t>
      </w:r>
      <w:r w:rsidR="002A30AF" w:rsidRPr="00884A81">
        <w:rPr>
          <w:rFonts w:ascii="Book Antiqua" w:hAnsi="Book Antiqua"/>
        </w:rPr>
        <w:t>weakening the strength of the conclusions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"10.1002/14651858.CD007338.pub2", "ISBN" : "1469-493X", "ISSN" : "1469-493X", "PMID" : "19821405", "abstract" : "BACKGROUND: Blood loss during liver resection is one of the most important factors affecting the peri-operative outcomes of patients undergoing liver resection. OBJECTIVES: To determine the benefits and harms of cardiopulmonary interventions to decrease blood loss and to decrease allogeneic blood transfusion requirements in patients undergoing liver resections. SEARCH STRATEGY: We searched The Cochrane Hepato-Biliary Group Controlled Trials Register, the Cochrane Central Register of Controlled Trials (CENTRAL) in The Cochrane Library, MEDLINE, EMBASE, and Science Citation Index Expanded until November 2008 for identifying the randomised trials. SELECTION CRITERIA: We included all randomised clinical trials comparing various cardiopulmonary interventions aimed at decreasing blood loss and allogeneic blood transfusion requirements in liver resection. Trials were included irrespective of whether they included major or minor liver resections, normal or cirrhotic livers, vascular occlusion was used or not, and irrespective of the reason for liver resection. DATA COLLECTION AND ANALYSIS: Two authors independently identified trials for inclusion and independently extracted data. We analysed the data with both the fixed-effect and the random-effects models using RevMan Analysis. For each outcome we calculated the risk ratio (RR), mean difference (MD), or standardised mean difference (SMD) with 95% confidence intervals (CI) based on intention-to-treat analysis or available case-analysis. For dichotomous outcomes with only one trial included under the outcome, we performed the Fisher's exact test. MAIN RESULTS: Nine trials involving 587 patients satisfied the inclusion criteria. The interventions included low central venous pressure (CVP), autologous blood donation, haemodilution, haemodilution with controlled hypotension, and hypoventilation. Only one or two trials were included under most comparisons. All trials had a high risk of bias. There was no significant difference in the peri-operative mortality or other peri-operative morbidity. None of the trials reported long-term survival or liver failure.The risk ratio of requiring allogeneic blood transfusion was significantly lower in the haemodilution and haemodilution with controlled hypotension groups than the respective control groups. Other interventions did not show significant decreases of allogeneic transfusion requirements. AUTHORS' CONCLUSIONS: None of the interventions seem to decrease peri-operative m\u2026", "author" : [ { "dropping-particle" : "", "family" : "Gurusamy", "given" : "Kurinchi Selvan", "non-dropping-particle" : "", "parse-names" : false, "suffix" : "" }, { "dropping-particle" : "", "family" : "Li", "given" : "Jun", "non-dropping-particle" : "", "parse-names" : false, "suffix" : "" }, { "dropping-particle" : "", "family" : "Sharma", "given" : "Dinesh", "non-dropping-particle" : "", "parse-names" : false, "suffix" : "" }, { "dropping-particle" : "", "family" : "Davidson", "given" : "Brian R", "non-dropping-particle" : "", "parse-names" : false, "suffix" : "" } ], "container-title" : "Cochrane database of systematic reviews (Online)", "id" : "ITEM-1", "issue" : "4", "issued" : { "date-parts" : [ [ "2009" ] ] }, "page" : "CD007338", "title" : "Cardiopulmonary interventions to decrease blood loss and blood transfusion requirements for liver resection.", "type" : "article-journal" }, "uris" : [ "http://www.mendeley.com/documents/?uuid=75a75772-b4d9-4aab-8656-79ea27acf90f" ] } ], "mendeley" : { "formattedCitation" : "&lt;sup&gt;[139]&lt;/sup&gt;", "plainTextFormattedCitation" : "[139]", "previouslyFormattedCitation" : "&lt;sup&gt;[140]&lt;/sup&gt;"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[139]</w:t>
      </w:r>
      <w:r w:rsidR="00676839" w:rsidRPr="00884A81">
        <w:rPr>
          <w:rFonts w:ascii="Book Antiqua" w:hAnsi="Book Antiqua"/>
        </w:rPr>
        <w:fldChar w:fldCharType="end"/>
      </w:r>
      <w:r w:rsidR="00D23FD2" w:rsidRPr="00884A81">
        <w:rPr>
          <w:rFonts w:ascii="Book Antiqua" w:hAnsi="Book Antiqua"/>
        </w:rPr>
        <w:t>.</w:t>
      </w:r>
      <w:r w:rsidR="002A30AF" w:rsidRPr="00884A81">
        <w:rPr>
          <w:rFonts w:ascii="Book Antiqua" w:hAnsi="Book Antiqua"/>
        </w:rPr>
        <w:t xml:space="preserve"> </w:t>
      </w:r>
    </w:p>
    <w:p w14:paraId="53B6CDC0" w14:textId="55FE50E3" w:rsidR="00175DD0" w:rsidRPr="00884A81" w:rsidRDefault="00175DD0" w:rsidP="00676839">
      <w:pPr>
        <w:spacing w:line="360" w:lineRule="auto"/>
        <w:ind w:firstLineChars="100" w:firstLine="240"/>
        <w:jc w:val="both"/>
        <w:rPr>
          <w:rFonts w:ascii="Book Antiqua" w:hAnsi="Book Antiqua"/>
        </w:rPr>
      </w:pPr>
      <w:r w:rsidRPr="00884A81">
        <w:rPr>
          <w:rFonts w:ascii="Book Antiqua" w:hAnsi="Book Antiqua"/>
        </w:rPr>
        <w:lastRenderedPageBreak/>
        <w:t>In liver transplantation recipients a systematic review and meta-analysis of 23 studies including 1407 patients analysed the effect of either TXA or aprotinin on blood loss, transfusion requirements and incidence of throm</w:t>
      </w:r>
      <w:r w:rsidR="00676839">
        <w:rPr>
          <w:rFonts w:ascii="Book Antiqua" w:hAnsi="Book Antiqua"/>
        </w:rPr>
        <w:t>boembolic</w:t>
      </w:r>
      <w:r w:rsidRPr="00884A81">
        <w:rPr>
          <w:rFonts w:ascii="Book Antiqua" w:hAnsi="Book Antiqua"/>
          <w:vertAlign w:val="superscript"/>
        </w:rPr>
        <w:fldChar w:fldCharType="begin" w:fldLock="1"/>
      </w:r>
      <w:r w:rsidR="00217BDC" w:rsidRPr="00884A81">
        <w:rPr>
          <w:rFonts w:ascii="Book Antiqua" w:hAnsi="Book Antiqua"/>
          <w:vertAlign w:val="superscript"/>
        </w:rPr>
        <w:instrText>ADDIN CSL_CITATION { "citationItems" : [ { "id" : "ITEM-1", "itemData" : { "DOI" : "10.1111/j.1600-6143.2006.01591.x", "ISBN" : "1600-6135; 1600-6135", "ISSN" : "1600-6135", "PMID" : "17227567", "abstract" : "Although several randomized controlled trials (RCTs) have shown the efficacy of antifibrinolytic drugs in liver transplantation, their use remains debated due to concern for thromboembolic complications. None of the reported RCTs has shown a higher incidence of these complications in treated patients; however, none of the individual studies has been large enough to elucidate this issue completely. We therefore performed a systematic review and meta-analysis of efficacy and safety endpoints in all published controlled clinical trials on the use of antifibrinolytic drugs in liver transplantation. Studies were included if antifibrinolytic drugs (epsilon-aminocaproic acid, tranexamic acid (TA) or aprotinin) were compared with each other or with controls/placebo. Intraoperative red blood cell and fresh frozen plasma requirements, the perioperative incidence of hepatic artery thrombosis, venous thromboembolic events and mortality were analyzed. We identified 23 studies with a total of 1407 patients which met the inclusion criteria. Aprotinin and TA both reduced transfusion requirements compared with controls. No increased risk for hepatic artery thrombosis, venous thromboembolic events or perioperative mortality was observed for any of the investigated drugs. This systematic review and meta-analysis does not provide evidence for an increased risk of thromboembolic events associated with antifibrinolytic drugs in liver transplantation.", "author" : [ { "dropping-particle" : "", "family" : "Molenaar", "given" : "I. Q.", "non-dropping-particle" : "", "parse-names" : false, "suffix" : "" }, { "dropping-particle" : "", "family" : "Warnaar", "given" : "N.", "non-dropping-particle" : "", "parse-names" : false, "suffix" : "" }, { "dropping-particle" : "", "family" : "Groen", "given" : "H.", "non-dropping-particle" : "", "parse-names" : false, "suffix" : "" }, { "dropping-particle" : "", "family" : "Tenvergert", "given" : "E M", "non-dropping-particle" : "", "parse-names" : false, "suffix" : "" }, { "dropping-particle" : "", "family" : "Slooff", "given" : "M. J H", "non-dropping-particle" : "", "parse-names" : false, "suffix" : "" }, { "dropping-particle" : "", "family" : "Porte", "given" : "R. J.", "non-dropping-particle" : "", "parse-names" : false, "suffix" : "" } ], "container-title" : "American journal of transplantation : official journal of the American Society of Transplantation and the American Society of Transplant Surgeons", "id" : "ITEM-1", "issue" : "1", "issued" : { "date-parts" : [ [ "2007", "1" ] ] }, "page" : "185-94", "title" : "Efficacy and safety of antifibrinolytic drugs in liver transplantation: a systematic review and meta-analysis.", "type" : "article-journal", "volume" : "7" }, "uris" : [ "http://www.mendeley.com/documents/?uuid=3ec81764-0e36-41e7-9c7d-127a1c23e976" ] } ], "mendeley" : { "formattedCitation" : "&lt;sup&gt;[132]&lt;/sup&gt;", "plainTextFormattedCitation" : "[132]", "previouslyFormattedCitation" : "&lt;sup&gt;[133]&lt;/sup&gt;" }, "properties" : { "noteIndex" : 0 }, "schema" : "https://github.com/citation-style-language/schema/raw/master/csl-citation.json" }</w:instrText>
      </w:r>
      <w:r w:rsidRPr="00884A81">
        <w:rPr>
          <w:rFonts w:ascii="Book Antiqua" w:hAnsi="Book Antiqua"/>
          <w:vertAlign w:val="superscript"/>
        </w:rPr>
        <w:fldChar w:fldCharType="separate"/>
      </w:r>
      <w:r w:rsidR="00217BDC" w:rsidRPr="00884A81">
        <w:rPr>
          <w:rFonts w:ascii="Book Antiqua" w:hAnsi="Book Antiqua"/>
          <w:noProof/>
          <w:vertAlign w:val="superscript"/>
        </w:rPr>
        <w:t>[132]</w:t>
      </w:r>
      <w:r w:rsidRPr="00884A81">
        <w:rPr>
          <w:rFonts w:ascii="Book Antiqua" w:hAnsi="Book Antiqua"/>
          <w:vertAlign w:val="superscript"/>
        </w:rPr>
        <w:fldChar w:fldCharType="end"/>
      </w:r>
      <w:r w:rsidR="00676839">
        <w:rPr>
          <w:rFonts w:ascii="Book Antiqua" w:eastAsia="宋体" w:hAnsi="Book Antiqua" w:hint="eastAsia"/>
          <w:lang w:eastAsia="zh-CN"/>
        </w:rPr>
        <w:t>.</w:t>
      </w:r>
      <w:r w:rsidR="00884A81" w:rsidRPr="00884A81">
        <w:rPr>
          <w:rFonts w:ascii="Book Antiqua" w:hAnsi="Book Antiqua"/>
        </w:rPr>
        <w:t xml:space="preserve"> </w:t>
      </w:r>
      <w:r w:rsidRPr="00884A81">
        <w:rPr>
          <w:rFonts w:ascii="Book Antiqua" w:hAnsi="Book Antiqua"/>
        </w:rPr>
        <w:t>Blood loss and transfusion requirements were lower with TXA compared to controls, but the thromboembolic risk was unchanged in groups of patient receiving anti-fibrinolytic therapy</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"10.1111/j.1600-6143.2006.01591.x", "ISBN" : "1600-6135; 1600-6135", "ISSN" : "1600-6135", "PMID" : "17227567", "abstract" : "Although several randomized controlled trials (RCTs) have shown the efficacy of antifibrinolytic drugs in liver transplantation, their use remains debated due to concern for thromboembolic complications. None of the reported RCTs has shown a higher incidence of these complications in treated patients; however, none of the individual studies has been large enough to elucidate this issue completely. We therefore performed a systematic review and meta-analysis of efficacy and safety endpoints in all published controlled clinical trials on the use of antifibrinolytic drugs in liver transplantation. Studies were included if antifibrinolytic drugs (epsilon-aminocaproic acid, tranexamic acid (TA) or aprotinin) were compared with each other or with controls/placebo. Intraoperative red blood cell and fresh frozen plasma requirements, the perioperative incidence of hepatic artery thrombosis, venous thromboembolic events and mortality were analyzed. We identified 23 studies with a total of 1407 patients which met the inclusion criteria. Aprotinin and TA both reduced transfusion requirements compared with controls. No increased risk for hepatic artery thrombosis, venous thromboembolic events or perioperative mortality was observed for any of the investigated drugs. This systematic review and meta-analysis does not provide evidence for an increased risk of thromboembolic events associated with antifibrinolytic drugs in liver transplantation.", "author" : [ { "dropping-particle" : "", "family" : "Molenaar", "given" : "I. Q.", "non-dropping-particle" : "", "parse-names" : false, "suffix" : "" }, { "dropping-particle" : "", "family" : "Warnaar", "given" : "N.", "non-dropping-particle" : "", "parse-names" : false, "suffix" : "" }, { "dropping-particle" : "", "family" : "Groen", "given" : "H.", "non-dropping-particle" : "", "parse-names" : false, "suffix" : "" }, { "dropping-particle" : "", "family" : "Tenvergert", "given" : "E M", "non-dropping-particle" : "", "parse-names" : false, "suffix" : "" }, { "dropping-particle" : "", "family" : "Slooff", "given" : "M. J H", "non-dropping-particle" : "", "parse-names" : false, "suffix" : "" }, { "dropping-particle" : "", "family" : "Porte", "given" : "R. J.", "non-dropping-particle" : "", "parse-names" : false, "suffix" : "" } ], "container-title" : "American journal of transplantation : official journal of the American Society of Transplantation and the American Society of Transplant Surgeons", "id" : "ITEM-1", "issue" : "1", "issued" : { "date-parts" : [ [ "2007", "1" ] ] }, "page" : "185-94", "title" : "Efficacy and safety of antifibrinolytic drugs in liver transplantation: a systematic review and meta-analysis.", "type" : "article-journal", "volume" : "7" }, "uris" : [ "http://www.mendeley.com/documents/?uuid=3ec81764-0e36-41e7-9c7d-127a1c23e976" ] } ], "mendeley" : { "formattedCitation" : "&lt;sup&gt;[132]&lt;/sup&gt;", "plainTextFormattedCitation" : "[132]", "previouslyFormattedCitation" : "&lt;sup&gt;[133]&lt;/sup&gt;"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[132]</w:t>
      </w:r>
      <w:r w:rsidR="00676839" w:rsidRPr="00884A81">
        <w:rPr>
          <w:rFonts w:ascii="Book Antiqua" w:hAnsi="Book Antiqua"/>
        </w:rPr>
        <w:fldChar w:fldCharType="end"/>
      </w:r>
      <w:r w:rsidRPr="00884A81">
        <w:rPr>
          <w:rFonts w:ascii="Book Antiqua" w:hAnsi="Book Antiqua"/>
        </w:rPr>
        <w:t>.</w:t>
      </w:r>
      <w:r w:rsidR="00884A81" w:rsidRPr="00884A81">
        <w:rPr>
          <w:rFonts w:ascii="Book Antiqua" w:hAnsi="Book Antiqua"/>
        </w:rPr>
        <w:t xml:space="preserve"> </w:t>
      </w:r>
    </w:p>
    <w:p w14:paraId="53417F69" w14:textId="5BED4FA7" w:rsidR="002A30AF" w:rsidRPr="00884A81" w:rsidRDefault="003B41BA" w:rsidP="00676839">
      <w:pPr>
        <w:spacing w:line="360" w:lineRule="auto"/>
        <w:ind w:firstLineChars="100" w:firstLine="240"/>
        <w:jc w:val="both"/>
        <w:rPr>
          <w:rFonts w:ascii="Book Antiqua" w:hAnsi="Book Antiqua"/>
        </w:rPr>
      </w:pPr>
      <w:r w:rsidRPr="00884A81">
        <w:rPr>
          <w:rFonts w:ascii="Book Antiqua" w:hAnsi="Book Antiqua"/>
        </w:rPr>
        <w:t>In OLT, t</w:t>
      </w:r>
      <w:r w:rsidR="006070A8" w:rsidRPr="00884A81">
        <w:rPr>
          <w:rFonts w:ascii="Book Antiqua" w:hAnsi="Book Antiqua"/>
        </w:rPr>
        <w:t>hromboembolic events are relatively rare and as such trials studying</w:t>
      </w:r>
      <w:r w:rsidR="00426F28" w:rsidRPr="00884A81">
        <w:rPr>
          <w:rFonts w:ascii="Book Antiqua" w:hAnsi="Book Antiqua"/>
        </w:rPr>
        <w:t xml:space="preserve"> TXA</w:t>
      </w:r>
      <w:r w:rsidR="006070A8" w:rsidRPr="00884A81">
        <w:rPr>
          <w:rFonts w:ascii="Book Antiqua" w:hAnsi="Book Antiqua"/>
        </w:rPr>
        <w:t xml:space="preserve"> lack statistical power to detect clinically significant important increases on thromboembolic risk</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"10.1136/bmj.e3054", "ISBN" : "1756-1833 (Electronic) 0959-535X (Linking)", "ISSN" : "1756-1833", "PMID" : "22611164", "abstract" : "OBJECTIVE To assess the effect of tranexamic acid on blood transfusion, thromboembolic events, and mortality in surgical patients. DESIGN Systematic review and meta-analysis. DATA SOURCES Cochrane central register of controlled trials, Medline, and Embase, from inception to September 2011, the World Health Organization International Clinical Trials Registry Platform, and the reference lists of relevant articles. STUDY SELECTION Randomised controlled trials comparing tranexamic acid with no tranexamic acid or placebo in surgical patients. Outcome measures of interest were the number of patients receiving a blood transfusion; the number of patients with a thromboembolic event (myocardial infarction, stroke, deep vein thrombosis, and pulmonary embolism); and the number of deaths. Trials were included irrespective of language or publication status. RESULTS 129 trials, totalling 10,488 patients, carried out between 1972 and 2011 were included. Tranexamic acid reduced the probability of receiving a blood transfusion by a third (risk ratio 0.62, 95% confidence interval 0.58 to 0.65; P&lt;0.001). This effect remained when the analysis was restricted to trials using adequate allocation concealment (0.68, 0.62 to 0.74; P&lt;0.001). The effect of tranexamic acid on myocardial infarction (0.68, 0.43 to 1.09; P = 0.11), stroke (1.14, 0.65 to 2.00; P = 0.65), deep vein thrombosis (0.86, 0.53 to 1.39; P = 0.54), and pulmonary embolism (0.61, 0.25 to 1.47; P=0.27) was uncertain. Fewer deaths occurred in the tranexamic acid group (0.61, 0.38 to 0.98; P = 0.04), although when the analysis was restricted to trials using adequate concealment there was considerable uncertainty (0.67, 0.33 to 1.34; P = 0.25). Cumulative meta-analysis showed that reliable evidence that tranexamic acid reduces the need for transfusion has been available for over 10 years. CONCLUSIONS Strong evidence that tranexamic acid reduces blood transfusion in surgery has been available for many years. Further trials on the effect of tranexamic acid on blood transfusion are unlikely to add useful new information. However, the effect of tranexamic acid on thromboembolic events and mortality remains uncertain. Surgical patients should be made aware of this evidence so that they can make an informed choice.", "author" : [ { "dropping-particle" : "", "family" : "Ker", "given" : "Katharine", "non-dropping-particle" : "", "parse-names" : false, "suffix" : "" }, { "dropping-particle" : "", "family" : "Edwards", "given" : "Phil", "non-dropping-particle" : "", "parse-names" : false, "suffix" : "" }, { "dropping-particle" : "", "family" : "Perel", "given" : "Pablo", "non-dropping-particle" : "", "parse-names" : false, "suffix" : "" }, { "dropping-particle" : "", "family" : "Shakur", "given" : "Haleema", "non-dropping-particle" : "", "parse-names" : false, "suffix" : "" }, { "dropping-particle" : "", "family" : "Roberts", "given" : "Ian", "non-dropping-particle" : "", "parse-names" : false, "suffix" : "" } ], "container-title" : "BMJ (Clinical research ed.)", "id" : "ITEM-1", "issue" : "may17 1", "issued" : { "date-parts" : [ [ "2012" ] ] }, "page" : "e3054", "title" : "Effect of tranexamic acid on surgical bleeding: systematic review and cumulative meta-analysis.", "type" : "article-journal", "volume" : "344" }, "uris" : [ "http://www.mendeley.com/documents/?uuid=212c4eb4-baf4-447a-9907-3628ed3ac588" ] } ], "mendeley" : { "formattedCitation" : "&lt;sup&gt;[140]&lt;/sup&gt;", "plainTextFormattedCitation" : "[140]", "previouslyFormattedCitation" : "&lt;sup&gt;[141]&lt;/sup&gt;"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[140]</w:t>
      </w:r>
      <w:r w:rsidR="00676839" w:rsidRPr="00884A81">
        <w:rPr>
          <w:rFonts w:ascii="Book Antiqua" w:hAnsi="Book Antiqua"/>
        </w:rPr>
        <w:fldChar w:fldCharType="end"/>
      </w:r>
      <w:r w:rsidR="00D23FD2" w:rsidRPr="00884A81">
        <w:rPr>
          <w:rFonts w:ascii="Book Antiqua" w:hAnsi="Book Antiqua"/>
        </w:rPr>
        <w:t>.</w:t>
      </w:r>
      <w:r w:rsidR="006070A8" w:rsidRPr="00884A81">
        <w:rPr>
          <w:rFonts w:ascii="Book Antiqua" w:hAnsi="Book Antiqua"/>
        </w:rPr>
        <w:t xml:space="preserve"> </w:t>
      </w:r>
      <w:r w:rsidRPr="00884A81">
        <w:rPr>
          <w:rFonts w:ascii="Book Antiqua" w:hAnsi="Book Antiqua"/>
        </w:rPr>
        <w:t xml:space="preserve">However, it would be prudent to treat with </w:t>
      </w:r>
      <w:r w:rsidR="00B61E9A" w:rsidRPr="00884A81">
        <w:rPr>
          <w:rFonts w:ascii="Book Antiqua" w:hAnsi="Book Antiqua"/>
        </w:rPr>
        <w:t>T</w:t>
      </w:r>
      <w:r w:rsidRPr="00884A81">
        <w:rPr>
          <w:rFonts w:ascii="Book Antiqua" w:hAnsi="Book Antiqua"/>
        </w:rPr>
        <w:t xml:space="preserve">XA </w:t>
      </w:r>
      <w:r w:rsidR="00426F28" w:rsidRPr="00884A81">
        <w:rPr>
          <w:rFonts w:ascii="Book Antiqua" w:hAnsi="Book Antiqua"/>
        </w:rPr>
        <w:t>only in</w:t>
      </w:r>
      <w:r w:rsidRPr="00884A81">
        <w:rPr>
          <w:rFonts w:ascii="Book Antiqua" w:hAnsi="Book Antiqua"/>
        </w:rPr>
        <w:t xml:space="preserve"> </w:t>
      </w:r>
      <w:r w:rsidR="00330953" w:rsidRPr="00884A81">
        <w:rPr>
          <w:rFonts w:ascii="Book Antiqua" w:hAnsi="Book Antiqua"/>
        </w:rPr>
        <w:t xml:space="preserve">presence </w:t>
      </w:r>
      <w:r w:rsidR="00694227" w:rsidRPr="00884A81">
        <w:rPr>
          <w:rFonts w:ascii="Book Antiqua" w:hAnsi="Book Antiqua"/>
        </w:rPr>
        <w:t>of fibrinolysis</w:t>
      </w:r>
      <w:r w:rsidR="00473170" w:rsidRPr="00884A81">
        <w:rPr>
          <w:rFonts w:ascii="Book Antiqua" w:hAnsi="Book Antiqua"/>
        </w:rPr>
        <w:t xml:space="preserve">, observed clinically as microvascular </w:t>
      </w:r>
      <w:r w:rsidR="00D212F0" w:rsidRPr="00884A81">
        <w:rPr>
          <w:rFonts w:ascii="Book Antiqua" w:hAnsi="Book Antiqua"/>
        </w:rPr>
        <w:t>bleeding</w:t>
      </w:r>
      <w:r w:rsidR="00473170" w:rsidRPr="00884A81">
        <w:rPr>
          <w:rFonts w:ascii="Book Antiqua" w:hAnsi="Book Antiqua"/>
        </w:rPr>
        <w:t xml:space="preserve"> </w:t>
      </w:r>
      <w:r w:rsidR="00B61E9A" w:rsidRPr="00884A81">
        <w:rPr>
          <w:rFonts w:ascii="Book Antiqua" w:hAnsi="Book Antiqua"/>
        </w:rPr>
        <w:t xml:space="preserve">or evidenced by </w:t>
      </w:r>
      <w:r w:rsidR="00676839" w:rsidRPr="00884A81">
        <w:rPr>
          <w:rFonts w:ascii="Book Antiqua" w:hAnsi="Book Antiqua"/>
        </w:rPr>
        <w:t>POC</w:t>
      </w:r>
      <w:r w:rsidR="00B61E9A" w:rsidRPr="00884A81">
        <w:rPr>
          <w:rFonts w:ascii="Book Antiqua" w:hAnsi="Book Antiqua"/>
        </w:rPr>
        <w:t xml:space="preserve"> test such as TEG</w:t>
      </w:r>
      <w:r w:rsidR="00694227" w:rsidRPr="00884A81">
        <w:rPr>
          <w:rFonts w:ascii="Book Antiqua" w:hAnsi="Book Antiqua"/>
        </w:rPr>
        <w:t>™</w:t>
      </w:r>
      <w:r w:rsidR="00B61E9A" w:rsidRPr="00884A81">
        <w:rPr>
          <w:rFonts w:ascii="Book Antiqua" w:hAnsi="Book Antiqua"/>
        </w:rPr>
        <w:t xml:space="preserve"> or ROTEM</w:t>
      </w:r>
      <w:r w:rsidR="00694227" w:rsidRPr="00884A81">
        <w:rPr>
          <w:rFonts w:ascii="Book Antiqua" w:hAnsi="Book Antiqua"/>
        </w:rPr>
        <w:t>™</w:t>
      </w:r>
      <w:r w:rsidR="00B61E9A" w:rsidRPr="00884A81">
        <w:rPr>
          <w:rFonts w:ascii="Book Antiqua" w:hAnsi="Book Antiqua"/>
        </w:rPr>
        <w:t>.</w:t>
      </w:r>
      <w:r w:rsidR="00884A81" w:rsidRPr="00884A81">
        <w:rPr>
          <w:rFonts w:ascii="Book Antiqua" w:hAnsi="Book Antiqua"/>
        </w:rPr>
        <w:t xml:space="preserve"> </w:t>
      </w:r>
      <w:r w:rsidR="00B61E9A" w:rsidRPr="00884A81">
        <w:rPr>
          <w:rFonts w:ascii="Book Antiqua" w:hAnsi="Book Antiqua"/>
        </w:rPr>
        <w:t>Routine used is no longer recommended in international guidelines</w:t>
      </w:r>
      <w:r w:rsidR="00330953"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"10.1097/EJA.0b013e32835f4d5b", "ISSN" : "1365-2346", "PMID" : "23656742", "abstract" : "The aims of severe perioperative bleeding management are three-fold. First, preoperative identification by anamesis and laboratory testing of those patients for whom the perioperative bleeding risk may be increased. Second, implementation of strategies for correcting preoperative anaemia and stabilisation of the macro- and microcirculations in order to optimise the patient's tolerance to bleeding. Third, targeted procoagulant interventions to reduce the amount of bleeding, morbidity, mortality and costs. The purpose of these guidelines is to provide an overview of current knowledge on the subject with an assessment of the quality of the evidence in order to allow anaesthetists throughout Europe to integrate this knowledge into daily patient care wherever possible. The Guidelines Committee of the European Society of Anaesthesiology (ESA) formed a task force with members of scientific subcommittees and individual expert members of the ESA. Electronic databases were searched without language restrictions from the year 2000 until 2012. These searches produced 20 664 abstracts. Relevant systematic reviews with meta-analyses, randomised controlled trials, cohort studies, case-control studies and cross-sectional surveys were selected. At the suggestion of the ESA Guideline Committee, the Scottish Intercollegiate Guidelines Network (SIGN) grading system was initially used to assess the level of evidence and to grade recommendations. During the process of guideline development, the official position of the ESA changed to favour the Grading of Recommendations Assessment, Development and Evaluation (GRADE) system. This report includes general recommendations as well as specific recommendations in various fields of surgical interventions. The final draft guideline was posted on the ESA website for four weeks and the link was sent to all ESA members. Comments were collated and the guidelines amended as appropriate. When the final draft was complete, the Guidelines Committee and ESA Board ratified the guidelines.", "author" : [ { "dropping-particle" : "", "family" : "Kozek-Langenecker", "given" : "Sibylle a", "non-dropping-particle" : "", "parse-names" : false, "suffix" : "" }, { "dropping-particle" : "", "family" : "Afshari", "given" : "Arash", "non-dropping-particle" : "", "parse-names" : false, "suffix" : "" }, { "dropping-particle" : "", "family" : "Albaladejo", "given" : "Pierre", "non-dropping-particle" : "", "parse-names" : false, "suffix" : "" }, { "dropping-particle" : "", "family" : "Santullano", "given" : "Cesar Aldecoa Alvarez", "non-dropping-particle" : "", "parse-names" : false, "suffix" : "" }, { "dropping-particle" : "", "family" : "Robertis", "given" : "Edoardo", "non-dropping-particle" : "De", "parse-names" : false, "suffix" : "" }, { "dropping-particle" : "", "family" : "Filipescu", "given" : "Daniela C", "non-dropping-particle" : "", "parse-names" : false, "suffix" : "" }, { "dropping-particle" : "", "family" : "Fries", "given" : "Dietmar", "non-dropping-particle" : "", "parse-names" : false, "suffix" : "" }, { "dropping-particle" : "", "family" : "G\u00f6rlinger", "given" : "Klaus", "non-dropping-particle" : "", "parse-names" : false, "suffix" : "" }, { "dropping-particle" : "", "family" : "Haas", "given" : "Thorsten", "non-dropping-particle" : "", "parse-names" : false, "suffix" : "" }, { "dropping-particle" : "", "family" : "Imberger", "given" : "Georgina", "non-dropping-particle" : "", "parse-names" : false, "suffix" : "" }, { "dropping-particle" : "", "family" : "Jacob", "given" : "Matthias", "non-dropping-particle" : "", "parse-names" : false, "suffix" : "" }, { "dropping-particle" : "", "family" : "Lanc\u00e9", "given" : "Marcus", "non-dropping-particle" : "", "parse-names" : false, "suffix" : "" }, { "dropping-particle" : "", "family" : "Llau", "given" : "Juan", "non-dropping-particle" : "", "parse-names" : false, "suffix" : "" }, { "dropping-particle" : "", "family" : "Mallett", "given" : "Sue", "non-dropping-particle" : "", "parse-names" : false, "suffix" : "" }, { "dropping-particle" : "", "family" : "Meier", "given" : "Jens", "non-dropping-particle" : "", "parse-names" : false, "suffix" : "" }, { "dropping-particle" : "", "family" : "Rahe-Meyer", "given" : "Niels", "non-dropping-particle" : "", "parse-names" : false, "suffix" : "" }, { "dropping-particle" : "", "family" : "Samama", "given" : "Charles Marc", "non-dropping-particle" : "", "parse-names" : false, "suffix" : "" }, { "dropping-particle" : "", "family" : "Smith", "given" : "Andrew", "non-dropping-particle" : "", "parse-names" : false, "suffix" : "" }, { "dropping-particle" : "", "family" : "Solomon", "given" : "Cristina", "non-dropping-particle" : "", "parse-names" : false, "suffix" : "" }, { "dropping-particle" : "", "family" : "Linden", "given" : "Philippe", "non-dropping-particle" : "Van der", "parse-names" : false, "suffix" : "" }, { "dropping-particle" : "", "family" : "Wikkels\u00f8", "given" : "Anne Juul", "non-dropping-particle" : "", "parse-names" : false, "suffix" : "" }, { "dropping-particle" : "", "family" : "Wouters", "given" : "Patrick", "non-dropping-particle" : "", "parse-names" : false, "suffix" : "" }, { "dropping-particle" : "", "family" : "Wyffels", "given" : "Piet", "non-dropping-particle" : "", "parse-names" : false, "suffix" : "" } ], "container-title" : "European journal of anaesthesiology", "id" : "ITEM-1", "issue" : "6", "issued" : { "date-parts" : [ [ "2013", "6" ] ] }, "page" : "270-382", "title" : "Management of severe perioperative bleeding: guidelines from the European Society of Anaesthesiology.", "type" : "article-journal", "volume" : "30" }, "uris" : [ "http://www.mendeley.com/documents/?uuid=4042ed4f-8711-4b77-8726-f5cb673cd10b" ] } ], "mendeley" : { "formattedCitation" : "&lt;sup&gt;[141]&lt;/sup&gt;", "plainTextFormattedCitation" : "[141]", "previouslyFormattedCitation" : "&lt;sup&gt;[142]&lt;/sup&gt;" }, "properties" : { "noteIndex" : 0 }, "schema" : "https://github.com/citation-style-language/schema/raw/master/csl-citation.json" }</w:instrText>
      </w:r>
      <w:r w:rsidR="00330953" w:rsidRPr="00884A81">
        <w:rPr>
          <w:rFonts w:ascii="Book Antiqua" w:hAnsi="Book Antiqua"/>
        </w:rPr>
        <w:fldChar w:fldCharType="separate"/>
      </w:r>
      <w:r w:rsidR="00217BDC" w:rsidRPr="00884A81">
        <w:rPr>
          <w:rFonts w:ascii="Book Antiqua" w:hAnsi="Book Antiqua"/>
          <w:noProof/>
          <w:vertAlign w:val="superscript"/>
        </w:rPr>
        <w:t>[141]</w:t>
      </w:r>
      <w:r w:rsidR="00330953" w:rsidRPr="00884A81">
        <w:rPr>
          <w:rFonts w:ascii="Book Antiqua" w:hAnsi="Book Antiqua"/>
        </w:rPr>
        <w:fldChar w:fldCharType="end"/>
      </w:r>
      <w:r w:rsidR="00694227" w:rsidRPr="00884A81">
        <w:rPr>
          <w:rFonts w:ascii="Book Antiqua" w:hAnsi="Book Antiqua"/>
        </w:rPr>
        <w:t xml:space="preserve"> </w:t>
      </w:r>
      <w:r w:rsidR="00B61E9A" w:rsidRPr="00884A81">
        <w:rPr>
          <w:rFonts w:ascii="Book Antiqua" w:hAnsi="Book Antiqua"/>
        </w:rPr>
        <w:t>and should be carefully considered in patients at risk of thromboembolic complications.</w:t>
      </w:r>
      <w:r w:rsidR="00884A81" w:rsidRPr="00884A81">
        <w:rPr>
          <w:rFonts w:ascii="Book Antiqua" w:hAnsi="Book Antiqua"/>
        </w:rPr>
        <w:t xml:space="preserve"> </w:t>
      </w:r>
    </w:p>
    <w:p w14:paraId="302744A7" w14:textId="77777777" w:rsidR="00A46865" w:rsidRPr="00676839" w:rsidRDefault="00A46865" w:rsidP="00884A81">
      <w:pPr>
        <w:spacing w:line="360" w:lineRule="auto"/>
        <w:jc w:val="both"/>
        <w:rPr>
          <w:rFonts w:ascii="Book Antiqua" w:eastAsia="宋体" w:hAnsi="Book Antiqua"/>
          <w:i/>
          <w:lang w:eastAsia="zh-CN"/>
        </w:rPr>
      </w:pPr>
    </w:p>
    <w:p w14:paraId="7382C672" w14:textId="3A159083" w:rsidR="002A30AF" w:rsidRPr="00676839" w:rsidRDefault="002A30AF" w:rsidP="00884A81">
      <w:pPr>
        <w:spacing w:line="360" w:lineRule="auto"/>
        <w:jc w:val="both"/>
        <w:rPr>
          <w:rFonts w:ascii="Book Antiqua" w:eastAsia="宋体" w:hAnsi="Book Antiqua"/>
          <w:b/>
          <w:i/>
          <w:lang w:eastAsia="zh-CN"/>
        </w:rPr>
      </w:pPr>
      <w:r w:rsidRPr="00676839">
        <w:rPr>
          <w:rFonts w:ascii="Book Antiqua" w:hAnsi="Book Antiqua"/>
          <w:b/>
          <w:i/>
        </w:rPr>
        <w:t>Cell salvage</w:t>
      </w:r>
    </w:p>
    <w:p w14:paraId="12C65B66" w14:textId="6E9DDEA3" w:rsidR="002A30AF" w:rsidRPr="00884A81" w:rsidRDefault="002A30AF" w:rsidP="00884A81">
      <w:pPr>
        <w:spacing w:line="360" w:lineRule="auto"/>
        <w:jc w:val="both"/>
        <w:rPr>
          <w:rFonts w:ascii="Book Antiqua" w:hAnsi="Book Antiqua"/>
        </w:rPr>
      </w:pPr>
      <w:r w:rsidRPr="00884A81">
        <w:rPr>
          <w:rFonts w:ascii="Book Antiqua" w:hAnsi="Book Antiqua"/>
        </w:rPr>
        <w:t xml:space="preserve">Intraoperative cell salvage has been adopted in a variety of surgical settings </w:t>
      </w:r>
      <w:r w:rsidR="00535F47" w:rsidRPr="00884A81">
        <w:rPr>
          <w:rFonts w:ascii="Book Antiqua" w:hAnsi="Book Antiqua"/>
        </w:rPr>
        <w:t xml:space="preserve">in an effort to </w:t>
      </w:r>
      <w:r w:rsidR="00694227" w:rsidRPr="00884A81">
        <w:rPr>
          <w:rFonts w:ascii="Book Antiqua" w:hAnsi="Book Antiqua"/>
        </w:rPr>
        <w:t xml:space="preserve">reduce allogeneic </w:t>
      </w:r>
      <w:r w:rsidR="00334A0B" w:rsidRPr="00884A81">
        <w:rPr>
          <w:rFonts w:ascii="Book Antiqua" w:hAnsi="Book Antiqua"/>
        </w:rPr>
        <w:t xml:space="preserve">blood </w:t>
      </w:r>
      <w:r w:rsidR="00535F47" w:rsidRPr="00884A81">
        <w:rPr>
          <w:rFonts w:ascii="Book Antiqua" w:hAnsi="Book Antiqua"/>
        </w:rPr>
        <w:t>t</w:t>
      </w:r>
      <w:r w:rsidRPr="00884A81">
        <w:rPr>
          <w:rFonts w:ascii="Book Antiqua" w:hAnsi="Book Antiqua"/>
        </w:rPr>
        <w:t xml:space="preserve">ransfusion rates </w:t>
      </w:r>
      <w:r w:rsidR="00535F47" w:rsidRPr="00884A81">
        <w:rPr>
          <w:rFonts w:ascii="Book Antiqua" w:hAnsi="Book Antiqua"/>
        </w:rPr>
        <w:t xml:space="preserve">and </w:t>
      </w:r>
      <w:r w:rsidRPr="00884A81">
        <w:rPr>
          <w:rFonts w:ascii="Book Antiqua" w:hAnsi="Book Antiqua"/>
        </w:rPr>
        <w:t xml:space="preserve">thus potential complications and cost associated with the transfusion of </w:t>
      </w:r>
      <w:r w:rsidR="00990D51" w:rsidRPr="00884A81">
        <w:rPr>
          <w:rFonts w:ascii="Book Antiqua" w:hAnsi="Book Antiqua"/>
        </w:rPr>
        <w:t>allogeneic</w:t>
      </w:r>
      <w:r w:rsidRPr="00884A81">
        <w:rPr>
          <w:rFonts w:ascii="Book Antiqua" w:hAnsi="Book Antiqua"/>
        </w:rPr>
        <w:t xml:space="preserve"> blood</w:t>
      </w:r>
      <w:r w:rsidR="00C55BF3" w:rsidRPr="00884A81">
        <w:rPr>
          <w:rFonts w:ascii="Book Antiqua" w:hAnsi="Book Antiqua"/>
        </w:rPr>
        <w:fldChar w:fldCharType="begin" w:fldLock="1"/>
      </w:r>
      <w:r w:rsidR="00C55BF3" w:rsidRPr="00884A81">
        <w:rPr>
          <w:rFonts w:ascii="Book Antiqua" w:hAnsi="Book Antiqua"/>
        </w:rPr>
        <w:instrText>ADDIN CSL_CITATION { "citationItems" : [ { "id" : "ITEM-1", "itemData" : { "DOI" : "10.1002/14651858.CD001888.pub4", "ISSN" : "1469-493X", "PMID" : "20393932", "abstract" : "BACKGROUND Concerns regarding the safety of transfused blood have prompted reconsideration of the use of allogeneic (from an unrelated donor) red blood cell (RBC) transfusion, and a range of techniques to minimise transfusion requirements. OBJECTIVES To examine the evidence for the efficacy of cell salvage in reducing allogeneic blood transfusion and the evidence for any effect on clinical outcomes. SEARCH STRATEGY We identified studies by searching CENTRAL (The Cochrane Library 2009, Issue 2), MEDLINE (1950 to June 2009), EMBASE (1980 to June 2009), the internet (to August 2009) and bibliographies of published articles. SELECTION CRITERIA Randomised controlled trials with a concurrent control group in which adult patients, scheduled for non-urgent surgery, were randomised to cell salvage (autotransfusion) or to a control group who did not receive the intervention. DATA COLLECTION AND ANALYSIS Data were independently extracted and the risk of bias assessed. Relative risks (RR) and weighted mean differences (WMD) with 95% confidence intervals (CIs) were calculated. Data were pooled using a random-effects model. The primary outcomes were the number of patients exposed to allogeneic red cell transfusion and the amount of blood transfused. Other clinical outcomes are detailed in the review. MAIN RESULTS A total of 75 trials were included. Overall, the use of cell salvage reduced the rate of exposure to allogeneic RBC transfusion by a relative 38% (RR 0.62; 95% CI 0.55 to 0.70). The absolute reduction in risk (ARR) of receiving an allogeneic RBC transfusion was 21% (95% CI 15% to 26%). In orthopaedic procedures the RR of exposure to RBC transfusion was 0.46 (95% CI 0.37 to 0.57) compared to 0.77 (95% CI 0.69 to 0.86) for cardiac procedures. The use of cell salvage resulted in an average saving of 0.68 units of allogeneic RBC per patient (WMD -0.68; 95% CI -0.88 to -0.49). Cell salvage did not appear to impact adversely on clinical outcomes. AUTHORS' CONCLUSIONS The results suggest cell salvage is efficacious in reducing the need for allogeneic red cell transfusion in adult elective cardiac and orthopaedic surgery. The use of cell salvage did not appear to impact adversely on clinical outcomes. However, the methodological quality of trials was poor. As the trials were unblinded and lacked adequate concealment of treatment allocation, transfusion practices may have been influenced by knowledge of the patients' treatment status potentially biasing the results i\u2026",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"The Cochrane database of systematic reviews", "id" : "ITEM-1", "issue" : "4", "issued" : { "date-parts" : [ [ "2010", "4", "14" ] ] }, "page" : "CD001888", "title" : "Cell salvage for minimising perioperative allogeneic blood transfusion.", "type" : "article-journal" }, "uris" : [ "http://www.mendeley.com/documents/?uuid=edceccef-0642-4497-ae70-a8df1f8795e5" ] } ], "mendeley" : { "formattedCitation" : "&lt;sup&gt;[142]&lt;/sup&gt;", "plainTextFormattedCitation" : "[142]", "previouslyFormattedCitation" : "&lt;sup&gt;[143]&lt;/sup&gt;" }, "properties" : { "noteIndex" : 0 }, "schema" : "https://github.com/citation-style-language/schema/raw/master/csl-citation.json" }</w:instrText>
      </w:r>
      <w:r w:rsidR="00C55BF3" w:rsidRPr="00884A81">
        <w:rPr>
          <w:rFonts w:ascii="Book Antiqua" w:hAnsi="Book Antiqua"/>
        </w:rPr>
        <w:fldChar w:fldCharType="separate"/>
      </w:r>
      <w:r w:rsidR="00C55BF3" w:rsidRPr="00884A81">
        <w:rPr>
          <w:rFonts w:ascii="Book Antiqua" w:hAnsi="Book Antiqua"/>
          <w:noProof/>
          <w:vertAlign w:val="superscript"/>
        </w:rPr>
        <w:t>[142]</w:t>
      </w:r>
      <w:r w:rsidR="00C55BF3" w:rsidRPr="00884A81">
        <w:rPr>
          <w:rFonts w:ascii="Book Antiqua" w:hAnsi="Book Antiqua"/>
        </w:rPr>
        <w:fldChar w:fldCharType="end"/>
      </w:r>
      <w:r w:rsidR="00D23FD2" w:rsidRPr="00884A81">
        <w:rPr>
          <w:rFonts w:ascii="Book Antiqua" w:hAnsi="Book Antiqua"/>
        </w:rPr>
        <w:t>.</w:t>
      </w:r>
      <w:r w:rsidRPr="00884A81">
        <w:rPr>
          <w:rFonts w:ascii="Book Antiqua" w:hAnsi="Book Antiqua"/>
        </w:rPr>
        <w:t xml:space="preserve"> </w:t>
      </w:r>
      <w:r w:rsidR="008416B7" w:rsidRPr="00884A81">
        <w:rPr>
          <w:rFonts w:ascii="Book Antiqua" w:hAnsi="Book Antiqua"/>
        </w:rPr>
        <w:t>Controversy</w:t>
      </w:r>
      <w:r w:rsidRPr="00884A81">
        <w:rPr>
          <w:rFonts w:ascii="Book Antiqua" w:hAnsi="Book Antiqua"/>
        </w:rPr>
        <w:t xml:space="preserve"> exists surrounding the use of cell salvage in liver transplantation.</w:t>
      </w:r>
      <w:r w:rsidR="00884A81" w:rsidRPr="00884A81">
        <w:rPr>
          <w:rFonts w:ascii="Book Antiqua" w:hAnsi="Book Antiqua"/>
        </w:rPr>
        <w:t xml:space="preserve"> </w:t>
      </w:r>
      <w:r w:rsidRPr="00884A81">
        <w:rPr>
          <w:rFonts w:ascii="Book Antiqua" w:hAnsi="Book Antiqua"/>
        </w:rPr>
        <w:t xml:space="preserve">The washed </w:t>
      </w:r>
      <w:r w:rsidR="002548AA" w:rsidRPr="00884A81">
        <w:rPr>
          <w:rFonts w:ascii="Book Antiqua" w:hAnsi="Book Antiqua"/>
        </w:rPr>
        <w:t>RBC</w:t>
      </w:r>
      <w:r w:rsidRPr="00884A81">
        <w:rPr>
          <w:rFonts w:ascii="Book Antiqua" w:hAnsi="Book Antiqua"/>
        </w:rPr>
        <w:t>s ar</w:t>
      </w:r>
      <w:r w:rsidR="00334A0B" w:rsidRPr="00884A81">
        <w:rPr>
          <w:rFonts w:ascii="Book Antiqua" w:hAnsi="Book Antiqua"/>
        </w:rPr>
        <w:t xml:space="preserve">e devoid of clotting factors and </w:t>
      </w:r>
      <w:r w:rsidRPr="00884A81">
        <w:rPr>
          <w:rFonts w:ascii="Book Antiqua" w:hAnsi="Book Antiqua"/>
        </w:rPr>
        <w:t>platelets and there is potential for accumulation of fibr</w:t>
      </w:r>
      <w:r w:rsidR="009A5C71" w:rsidRPr="00884A81">
        <w:rPr>
          <w:rFonts w:ascii="Book Antiqua" w:hAnsi="Book Antiqua"/>
        </w:rPr>
        <w:t>inolytic</w:t>
      </w:r>
      <w:r w:rsidRPr="00884A81">
        <w:rPr>
          <w:rFonts w:ascii="Book Antiqua" w:hAnsi="Book Antiqua"/>
        </w:rPr>
        <w:t xml:space="preserve"> factors released by the processed </w:t>
      </w:r>
      <w:r w:rsidR="00334A0B" w:rsidRPr="00884A81">
        <w:rPr>
          <w:rFonts w:ascii="Book Antiqua" w:hAnsi="Book Antiqua"/>
        </w:rPr>
        <w:t>RBC</w:t>
      </w:r>
      <w:r w:rsidRPr="00884A81">
        <w:rPr>
          <w:rFonts w:ascii="Book Antiqua" w:hAnsi="Book Antiqua"/>
        </w:rPr>
        <w:t xml:space="preserve"> or the transplanted liver.</w:t>
      </w:r>
      <w:r w:rsidR="00884A81" w:rsidRPr="00884A81">
        <w:rPr>
          <w:rFonts w:ascii="Book Antiqua" w:hAnsi="Book Antiqua"/>
        </w:rPr>
        <w:t xml:space="preserve"> </w:t>
      </w:r>
      <w:r w:rsidRPr="00884A81">
        <w:rPr>
          <w:rFonts w:ascii="Book Antiqua" w:hAnsi="Book Antiqua"/>
        </w:rPr>
        <w:t>Older studies appeared to substantiate these concerns suggesting that transfusion of salvaged blood was associated with increase blood loss and requirement for blood products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"10.1097/00001721-200004001-00017", "ISSN" : "0957-5235", "PMID" : "10850571", "abstract" : "Liver transplantation is associated with excessive blood loss. In order to identify factors influencing blood loss and to provide a basis for a pilot study to evaluate recombinant activated factor VII as a haemostatic agent, a retrospective study was performed in 164 consecutive patients with cholestatic or noncholestatic liver disease, who underwent orthotopic liver transplantation at a single centre between 1989 and 1996. Transfusion of allogeneic and autologous (cell saver) blood was used as a measurement of blood loss. Transfusion requirements were associated with age, gender, primary disease, Child-Pugh classification, serum levels of activated partial thromboplastin time, antithrombin III, urea and creatinine, platelet number, year of transplantation, length of cold ischaemia time and autologous blood transfusion. Of these variables, Child-Pugh classification (P = 0.001), urea (P = 0.0007), year of transplantation (P = 0.002), cold ischaemia time (P = 0.01) and autologous blood transfusion (P &lt; 0.0001) were independent predictors of transfusion requirements by multivariate analysis. Thus, blood loss and transfusion requirements depend primarily on the severity of liver disease, quality of the donor liver, experience of the transplantation team and use of autologous (cell saver) blood transfusion. These findings emphasize the need for appropriate drug therapy and a critical reappraisal of current transfusion policy.", "author" : [ { "dropping-particle" : "", "family" : "Hendriks", "given" : "H G", "non-dropping-particle" : "", "parse-names" : false, "suffix" : "" }, { "dropping-particle" : "", "family" : "Meer", "given" : "J", "non-dropping-particle" : "van der", "parse-names" : false, "suffix" : "" }, { "dropping-particle" : "", "family" : "Klompmaker", "given" : "I J", "non-dropping-particle" : "", "parse-names" : false, "suffix" : "" }, { "dropping-particle" : "", "family" : "Choudhury", "given" : "N", "non-dropping-particle" : "", "parse-names" : false, "suffix" : "" }, { "dropping-particle" : "", "family" : "Hagenaars", "given" : "J A", "non-dropping-particle" : "", "parse-names" : false, "suffix" : "" }, { "dropping-particle" : "", "family" : "Porte", "given" : "R J", "non-dropping-particle" : "", "parse-names" : false, "suffix" : "" }, { "dropping-particle" : "", "family" : "Kam", "given" : "P J", "non-dropping-particle" : "de", "parse-names" : false, "suffix" : "" }, { "dropping-particle" : "", "family" : "Slooff", "given" : "M J", "non-dropping-particle" : "", "parse-names" : false, "suffix" : "" }, { "dropping-particle" : "", "family" : "Wolf", "given" : "J T", "non-dropping-particle" : "de", "parse-names" : false, "suffix" : "" } ], "container-title" : "Blood coagulation &amp; fibrinolysis : an international journal in haemostasis and thrombosis", "id" : "ITEM-1", "issued" : { "date-parts" : [ [ "2000", "4" ] ] }, "page" : "S87-93", "publisher" : "Hendriks,H G. Department of Anaesthesiology, Groningen University Hospital, The Netherlands. h.g.d.hendriks@anest.azg.nl", "publisher-place" : "ENGLAND", "title" : "Blood loss in orthotopic liver transplantation: a retrospective analysis of transfusion requirements and the effects of autotransfusion of cell saver blood in 164 consecutive patients.", "type" : "article-journal", "volume" : "11 Suppl 1" }, "uris" : [ "http://www.mendeley.com/documents/?uuid=d85f9673-b420-49e3-b08f-8910bee9df58" ] } ], "mendeley" : { "formattedCitation" : "&lt;sup&gt;[143]&lt;/sup&gt;", "plainTextFormattedCitation" : "[143]", "previouslyFormattedCitation" : "&lt;sup&gt;[144]&lt;/sup&gt;"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[143]</w:t>
      </w:r>
      <w:r w:rsidR="00676839" w:rsidRPr="00884A81">
        <w:rPr>
          <w:rFonts w:ascii="Book Antiqua" w:hAnsi="Book Antiqua"/>
        </w:rPr>
        <w:fldChar w:fldCharType="end"/>
      </w:r>
      <w:r w:rsidR="00D23FD2" w:rsidRPr="00884A81">
        <w:rPr>
          <w:rFonts w:ascii="Book Antiqua" w:hAnsi="Book Antiqua"/>
        </w:rPr>
        <w:t>.</w:t>
      </w:r>
      <w:r w:rsidRPr="00884A81">
        <w:rPr>
          <w:rFonts w:ascii="Book Antiqua" w:hAnsi="Book Antiqua"/>
        </w:rPr>
        <w:t xml:space="preserve"> The cost effectiveness of cell salvage has also being questioned</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"10.1002/lt.500030506", "ISSN" : "1074-3022", "PMID" : "9346794", "abstract" : "Approximately 6,000 to 7,000 orthotopic liver transplantation (OLT) procedures are performed annually, which require the administration of large volumes of blood products. Thus liver transplantation can significantly strain local and regional blood resources at a time when transfusion practices are changing dramatically, in large part because of anxiety caused by the human immunodeficiency virus. Intraoperative autologous transfusion has been proposed as a means of both reducing transfusion demands and lessening the hazards of allogeneic transfusion. However, the cost effectiveness of intraoperative blood salvage has not been unequivocally determined. We retrospectively examined the cost of intraoperative autologous transfusion during OLT for a 2-year period at the University of Cincinnati Hospital. A direct comparison was made between the charge for autologous transfusion and the calculated cost of allogeneic transfusion. Seventy OLT procedures were performed during the years 1993-1994. The average charge for autologous transfusion was $1,048.73 per case. Cell-salvage volumes for all cases were added, and the calculated conservation of allogeneic packed red blood cells totaled 359.6 units, worth $30,026.60 or $428.95 per case. The break-even point is approximately 12.6 units, and most patient do not receive this volume of salvaged blood. In fact, cell salvage reached cost equivalence in only three cases (4.8%). Moreover, the cost deficit of autologous transfusion during this 2-year period averaged $586.56 per case.", "author" : [ { "dropping-particle" : "", "family" : "Kemper", "given" : "R R", "non-dropping-particle" : "", "parse-names" : false, "suffix" : "" }, { "dropping-particle" : "", "family" : "Menitove", "given" : "J E", "non-dropping-particle" : "", "parse-names" : false, "suffix" : "" }, { "dropping-particle" : "", "family" : "Hanto", "given" : "D W", "non-dropping-particle" : "", "parse-names" : false, "suffix" : "" } ], "container-title" : "Liver transplantation and surgery : official publication of the American Association for the Study of Liver Diseases and the International Liver Transplantation Society", "id" : "ITEM-1", "issue" : "5", "issued" : { "date-parts" : [ [ "1997", "9" ] ] }, "page" : "513-7", "title" : "Cost analysis of intraoperative blood salvage during orthotopic liver transplantation.", "type" : "article-journal", "volume" : "3" }, "uris" : [ "http://www.mendeley.com/documents/?uuid=59088688-0637-493d-ad5e-0609c7504cc0" ] } ], "mendeley" : { "formattedCitation" : "&lt;sup&gt;[144]&lt;/sup&gt;", "plainTextFormattedCitation" : "[144]", "previouslyFormattedCitation" : "&lt;sup&gt;[145]&lt;/sup&gt;"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[144]</w:t>
      </w:r>
      <w:r w:rsidR="00676839" w:rsidRPr="00884A81">
        <w:rPr>
          <w:rFonts w:ascii="Book Antiqua" w:hAnsi="Book Antiqua"/>
        </w:rPr>
        <w:fldChar w:fldCharType="end"/>
      </w:r>
      <w:r w:rsidR="00D23FD2" w:rsidRPr="00884A81">
        <w:rPr>
          <w:rFonts w:ascii="Book Antiqua" w:hAnsi="Book Antiqua"/>
        </w:rPr>
        <w:t>.</w:t>
      </w:r>
      <w:r w:rsidRPr="00884A81">
        <w:rPr>
          <w:rFonts w:ascii="Book Antiqua" w:hAnsi="Book Antiqua"/>
        </w:rPr>
        <w:t xml:space="preserve"> More recent studies have demonstrated the efficacy of cell salvage in reducing the need for </w:t>
      </w:r>
      <w:r w:rsidR="00990D51" w:rsidRPr="00884A81">
        <w:rPr>
          <w:rFonts w:ascii="Book Antiqua" w:hAnsi="Book Antiqua"/>
        </w:rPr>
        <w:t>allogeneic</w:t>
      </w:r>
      <w:r w:rsidRPr="00884A81">
        <w:rPr>
          <w:rFonts w:ascii="Book Antiqua" w:hAnsi="Book Antiqua"/>
        </w:rPr>
        <w:t xml:space="preserve"> blood tran</w:t>
      </w:r>
      <w:r w:rsidR="0019162E" w:rsidRPr="00884A81">
        <w:rPr>
          <w:rFonts w:ascii="Book Antiqua" w:hAnsi="Book Antiqua"/>
        </w:rPr>
        <w:t>sfusion for both OLT</w:t>
      </w:r>
      <w:r w:rsidR="0019162E" w:rsidRPr="00884A81">
        <w:rPr>
          <w:rFonts w:ascii="Book Antiqua" w:hAnsi="Book Antiqua"/>
        </w:rPr>
        <w:fldChar w:fldCharType="begin" w:fldLock="1"/>
      </w:r>
      <w:r w:rsidR="00217BDC" w:rsidRPr="00884A81">
        <w:rPr>
          <w:rFonts w:ascii="Book Antiqua" w:hAnsi="Book Antiqua"/>
        </w:rPr>
        <w:instrText>ADDIN CSL_CITATION { "citationItems" : [ { "id" : "ITEM-1", "itemData" : { "DOI" : "10.1080/13651820601090596", "ISBN" : "1365-182X", "ISSN" : "1365-182X", "PMID" : "18333113", "abstract" : "BACKGROUND Orthotopic liver transplantation (OLT) may be associated with massive blood loss and the need for allogenic blood product transfusions. Cell salvage autotransfusion (CS) is an attractive alternative to allogenic red blood cell (RBC) transfusion. However, controversy surrounds its usefulness during OLT; some studies stated that CS decreased transfusions of allogenic blood products and others stated that blood loss was increased. The aim of this study was to evaluate the efficiency of the CS during OLT. PATIENTS AND METHODS After approval by the institutional ethics committee, a prospective survey was undertaken. A total of 150 consecutive OLTs were included in the study. Two groups of patients were formed. Period 1 included patients 1-75 with no CS use. Period 2 comprised patients 76-150 with systematic CS use. RESULTS Patients from both periods were comparable. CS was used in all cases in period 2, and there was enough salvaged blood to retransfuse 65% of these OLTs. The mean volume of retransfused blood was 338+/-339 ml. The transfusion rate did not change from period 1 to period 2. The mean number of RBC units transfused per patient was 0.4+/-0.9 vs 0.4+/-1.2 with 78.7% vs 81.3% of cases not receiving transfusion of any blood product. The threshold for RBC transfusions was the same. The length of surgery and blood loss were greater in period 2 than in period 1 (associated with the arrival of two junior surgeons), but the hemoglobin (Hb) value was also higher at the end of surgery (93.8+/-19.3 g/L vs 85.2+/-17.8 g/L, p&lt;0.0001). CONCLUSION Despite increased blood loss in period 2, CS saved 21 g/L of Hb per patient or two RBC unit transfusions. As long as we cannot predict with accuracy which patients will bleed, we will continue to use the CS for all OLTs.", "author" : [ { "dropping-particle" : "", "family" : "Massicotte", "given" : "Luc", "non-dropping-particle" : "", "parse-names" : false, "suffix" : "" }, { "dropping-particle" : "", "family" : "Thibeault", "given" : "Lynda", "non-dropping-particle" : "", "parse-names" : false, "suffix" : "" }, { "dropping-particle" : "", "family" : "Beaulieu", "given" : "Danielle", "non-dropping-particle" : "", "parse-names" : false, "suffix" : "" }, { "dropping-particle" : "", "family" : "Roy", "given" : "Jean-Denis", "non-dropping-particle" : "", "parse-names" : false, "suffix" : "" }, { "dropping-particle" : "", "family" : "Roy", "given" : "Andr\u00e9", "non-dropping-particle" : "", "parse-names" : false, "suffix" : "" } ], "container-title" : "HPB : the official journal of the International Hepato Pancreato Biliary Association", "id" : "ITEM-1", "issue" : "1", "issued" : { "date-parts" : [ [ "2007" ] ] }, "page" : "52-7", "title" : "Evaluation of cell salvage autotransfusion utility during liver transplantation.", "type" : "article-journal", "volume" : "9" }, "uris" : [ "http://www.mendeley.com/documents/?uuid=0e91b2a2-c690-4f0a-b020-c305107b321f" ] } ], "mendeley" : { "formattedCitation" : "&lt;sup&gt;[145]&lt;/sup&gt;", "plainTextFormattedCitation" : "[145]", "previouslyFormattedCitation" : "&lt;sup&gt;[146]&lt;/sup&gt;" }, "properties" : { "noteIndex" : 0 }, "schema" : "https://github.com/citation-style-language/schema/raw/master/csl-citation.json" }</w:instrText>
      </w:r>
      <w:r w:rsidR="0019162E" w:rsidRPr="00884A81">
        <w:rPr>
          <w:rFonts w:ascii="Book Antiqua" w:hAnsi="Book Antiqua"/>
        </w:rPr>
        <w:fldChar w:fldCharType="separate"/>
      </w:r>
      <w:r w:rsidR="00217BDC" w:rsidRPr="00884A81">
        <w:rPr>
          <w:rFonts w:ascii="Book Antiqua" w:hAnsi="Book Antiqua"/>
          <w:noProof/>
          <w:vertAlign w:val="superscript"/>
        </w:rPr>
        <w:t>[145]</w:t>
      </w:r>
      <w:r w:rsidR="0019162E" w:rsidRPr="00884A81">
        <w:rPr>
          <w:rFonts w:ascii="Book Antiqua" w:hAnsi="Book Antiqua"/>
        </w:rPr>
        <w:fldChar w:fldCharType="end"/>
      </w:r>
      <w:r w:rsidRPr="00884A81">
        <w:rPr>
          <w:rFonts w:ascii="Book Antiqua" w:hAnsi="Book Antiqua"/>
        </w:rPr>
        <w:t xml:space="preserve"> and living donor liver transplantation</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"10.6002/ect.mesot2014.p153", "ISSN" : "2146-8427", "PMID" : "25894181", "abstract" : "OBJECTIVES Liver transplant currently is the best treatment option for end-stage liver disease. During liver transplant, there is major blood loss due to surgery and primary disease. By using a cell saver, the need for blood transfusion is markedly reduced. In this study, we aimed to evaluate the efficacy of cell saver use on morbidity and mortality in living-donor liver transplant. MATERIALS AND METHODS We retrospectively evaluated 178 living-donor liver transplants, performed from 2005 to 2013 in our center. Child-Turcotte-Pugh A patients, deceased-donor liver transplants, and liver transplants performed for fulminant hepatic failure were not included in this study. Intraoperative blood transfusion was done in all patients to keep hemoglobin level between 10 and 12 g/dL. Cell saver was used in all liver transplants except in patients with malignancy, hepatitis B, and hepatitis C. RESULTS We included 126 patients in the study. Cell saver was used in 84 liver transplants (66%). In 42 patients (34%), liver transplant was performed without a cell saver. In living-donor liver transplant with cell saver use, 10 mL/kg blood (range, 2-50 mL/kg blood) was transfused from the cell saver; in addition, 5 to 10 mL/kg allogeneic blood was transfused. In living-donor liver transplant without cell saver, 20 to 25 mL/kg allogeneic blood was transfused. CONCLUSIONS During liver transplant, major blood transfusion is needed because of surgery and primary disease. Cell saver use markedly decreases the need for allogeneic blood transfusion and avoids adverse events of massive transfusion.", "author" : [ { "dropping-particle" : "", "family" : "K\u0131rnap", "given" : "Mahir", "non-dropping-particle" : "", "parse-names" : false, "suffix" : "" }, { "dropping-particle" : "", "family" : "Tezcaner", "given" : "Tugan", "non-dropping-particle" : "", "parse-names" : false, "suffix" : "" }, { "dropping-particle" : "", "family" : "Ayvazo\u011flu Soy", "given" : "Hatice Ebru", "non-dropping-particle" : "", "parse-names" : false, "suffix" : "" }, { "dropping-particle" : "", "family" : "Akdur", "given" : "Ayd\u0131ncan", "non-dropping-particle" : "", "parse-names" : false, "suffix" : "" }, { "dropping-particle" : "", "family" : "Y\u0131ld\u0131r\u0131m", "given" : "Sedat", "non-dropping-particle" : "", "parse-names" : false, "suffix" : "" }, { "dropping-particle" : "", "family" : "Torgay", "given" : "Adnan", "non-dropping-particle" : "", "parse-names" : false, "suffix" : "" }, { "dropping-particle" : "", "family" : "Moray", "given" : "G\u00f6khan", "non-dropping-particle" : "", "parse-names" : false, "suffix" : "" }, { "dropping-particle" : "", "family" : "Haberal", "given" : "Mehmet", "non-dropping-particle" : "", "parse-names" : false, "suffix" : "" } ], "container-title" : "Experimental and clinical transplantation : official journal of the Middle East Society for Organ Transplantation", "id" : "ITEM-1", "issued" : { "date-parts" : [ [ "2015", "4" ] ] }, "language" : "eng", "page" : "315-7", "publisher-place" : "Turkey", "title" : "Efficacy of cell saver use in living-donor liver transplant.", "type" : "article-journal", "volume" : "13 Suppl 1" }, "uris" : [ "http://www.mendeley.com/documents/?uuid=9c08f950-1890-4dc3-82e9-4e990751a09f" ] } ], "mendeley" : { "formattedCitation" : "&lt;sup&gt;[146]&lt;/sup&gt;", "plainTextFormattedCitation" : "[146]", "previouslyFormattedCitation" : "&lt;sup&gt;[147]&lt;/sup&gt;"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[146]</w:t>
      </w:r>
      <w:r w:rsidR="00676839" w:rsidRPr="00884A81">
        <w:rPr>
          <w:rFonts w:ascii="Book Antiqua" w:hAnsi="Book Antiqua"/>
        </w:rPr>
        <w:fldChar w:fldCharType="end"/>
      </w:r>
      <w:r w:rsidR="00D23FD2" w:rsidRPr="00884A81">
        <w:rPr>
          <w:rFonts w:ascii="Book Antiqua" w:hAnsi="Book Antiqua"/>
        </w:rPr>
        <w:t>.</w:t>
      </w:r>
      <w:r w:rsidRPr="00884A81">
        <w:rPr>
          <w:rFonts w:ascii="Book Antiqua" w:hAnsi="Book Antiqua"/>
        </w:rPr>
        <w:t xml:space="preserve"> The cost effectiveness cell salvage was also established in a large prospective study including 660 liver transplant patients</w:t>
      </w:r>
      <w:r w:rsidR="00A175F8" w:rsidRPr="00884A81">
        <w:rPr>
          <w:rFonts w:ascii="Book Antiqua" w:hAnsi="Book Antiqua"/>
        </w:rPr>
        <w:t xml:space="preserve"> where a total cost saving of </w:t>
      </w:r>
      <w:r w:rsidR="00C8118D" w:rsidRPr="00884A81">
        <w:rPr>
          <w:rFonts w:ascii="Book Antiqua" w:hAnsi="Book Antiqua"/>
        </w:rPr>
        <w:t>$</w:t>
      </w:r>
      <w:r w:rsidR="00A175F8" w:rsidRPr="00884A81">
        <w:rPr>
          <w:rFonts w:ascii="Book Antiqua" w:hAnsi="Book Antiqua"/>
        </w:rPr>
        <w:t>188618 US dollars was achieved over the study period</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"10.1097/01.tp.0000199318.17013.c5", "ISBN" : "0041-1337", "ISSN" : "0041-1337", "PMID" : "16495800", "abstract" : "BACKGROUND Adult orthotopic liver transplantation is associated with significant use of allogenic blood products, which places considerable demands on finite resources. This could be reduced by autologous red cell salvage use, and we evaluated its cost effectiveness in this prospective study. METHODS Intraoperative autotransfusion was used in 660 adult liver transplant patients between January 1997 and July 2002. These included 134 with acute liver failure, 62 retransplants, 90 alcohol-related, 183 viral, 98 cholestatic chronic liver diseases, and 93 with other etiologies. RESULTS The total volume of red blood cells transfused was 3641+/-315 ml, 2805+/-234 ml, 2603+/-443 ml, and 2785+/-337 ml for alcohol-related, viral, cholestatic, and others, respectively. Low preoperative hemoglobin was significantly associated with higher intraoperative transfusion requirements. Blood volumes transfused at retransplantation were significantly higher (7077+/-1110 ml vs. 2864+/-138 ml; P&lt;0.001) than for acute liver failure and chronic liver disease. Autologous blood volumes transfused were similar in all diagnostic groups, but were significantly greater in retransplantation (2754+/-541 ml vs. 1524+/-77 ml; P&lt;0.01). Venovenous bypass was significantly associated with higher transfusion requirements. Total savings per case were similar for all diagnostic groups but were greater in cases of retransplantation (864+/-222 pounds (1235+/-317 US dollars) vs. 238+/-24 pounds (340+/-34 US dollars; P&lt;0.001). With the use of autologous transfusion over the study period, a cost saving of 131,901 pounds (188,618 US dollars) was achieved. CONCLUSIONS Intraoperative red blood cell salvage and autologous transfusion is cost effective in adult liver transplantation. Currently, where optimum resource utilization and fiscal constraint are paramount in healthcare delivery, autologous transfusion is an important adjunct in liver transplantation.", "author" : [ { "dropping-particle" : "", "family" : "Phillips", "given" : "Simon D", "non-dropping-particle" : "", "parse-names" : false, "suffix" : "" }, { "dropping-particle" : "", "family" : "Maguire", "given" : "Donal", "non-dropping-particle" : "", "parse-names" : false, "suffix" : "" }, { "dropping-particle" : "", "family" : "Deshpande", "given" : "Rahul", "non-dropping-particle" : "", "parse-names" : false, "suffix" : "" }, { "dropping-particle" : "", "family" : "Muiesan", "given" : "Paolo", "non-dropping-particle" : "", "parse-names" : false, "suffix" : "" }, { "dropping-particle" : "", "family" : "Bowles", "given" : "Matthew J", "non-dropping-particle" : "", "parse-names" : false, "suffix" : "" }, { "dropping-particle" : "", "family" : "Rela", "given" : "Mohamad", "non-dropping-particle" : "", "parse-names" : false, "suffix" : "" }, { "dropping-particle" : "", "family" : "Heaton", "given" : "Nigel D", "non-dropping-particle" : "", "parse-names" : false, "suffix" : "" } ], "container-title" : "Transplantation", "id" : "ITEM-1", "issue" : "4", "issued" : { "date-parts" : [ [ "2006", "2", "27" ] ] }, "page" : "536-40", "title" : "A prospective study investigating the cost effectiveness of intraoperative blood salvage during liver transplantation.", "type" : "article-journal", "volume" : "81" }, "uris" : [ "http://www.mendeley.com/documents/?uuid=c93484c0-bef4-4320-a1a7-e5e431a6677a" ] } ], "mendeley" : { "formattedCitation" : "&lt;sup&gt;[147]&lt;/sup&gt;", "plainTextFormattedCitation" : "[147]", "previouslyFormattedCitation" : "&lt;sup&gt;[148]&lt;/sup&gt;"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[147]</w:t>
      </w:r>
      <w:r w:rsidR="00676839" w:rsidRPr="00884A81">
        <w:rPr>
          <w:rFonts w:ascii="Book Antiqua" w:hAnsi="Book Antiqua"/>
        </w:rPr>
        <w:fldChar w:fldCharType="end"/>
      </w:r>
      <w:r w:rsidR="00D23FD2" w:rsidRPr="00884A81">
        <w:rPr>
          <w:rFonts w:ascii="Book Antiqua" w:hAnsi="Book Antiqua"/>
        </w:rPr>
        <w:t>.</w:t>
      </w:r>
      <w:r w:rsidR="00676839" w:rsidRPr="00884A81">
        <w:rPr>
          <w:rFonts w:ascii="Book Antiqua" w:hAnsi="Book Antiqua"/>
        </w:rPr>
        <w:t xml:space="preserve"> </w:t>
      </w:r>
    </w:p>
    <w:p w14:paraId="5C0D0F93" w14:textId="7E40319D" w:rsidR="0019162E"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lastRenderedPageBreak/>
        <w:t xml:space="preserve">Malignant disease is a </w:t>
      </w:r>
      <w:r w:rsidR="00AF2B32" w:rsidRPr="00884A81">
        <w:rPr>
          <w:rFonts w:ascii="Book Antiqua" w:hAnsi="Book Antiqua"/>
        </w:rPr>
        <w:t xml:space="preserve">relative </w:t>
      </w:r>
      <w:r w:rsidRPr="00884A81">
        <w:rPr>
          <w:rFonts w:ascii="Book Antiqua" w:hAnsi="Book Antiqua"/>
        </w:rPr>
        <w:t>contraindication for cell salvage due to the risk of metastasis arising from cancerous cells that are not eliminated by the cell salvage process.</w:t>
      </w:r>
      <w:r w:rsidR="00884A81" w:rsidRPr="00884A81">
        <w:rPr>
          <w:rFonts w:ascii="Book Antiqua" w:hAnsi="Book Antiqua"/>
        </w:rPr>
        <w:t xml:space="preserve"> </w:t>
      </w:r>
      <w:r w:rsidRPr="00884A81">
        <w:rPr>
          <w:rFonts w:ascii="Book Antiqua" w:hAnsi="Book Antiqua"/>
        </w:rPr>
        <w:t xml:space="preserve">Intraoperative cell salvage has </w:t>
      </w:r>
      <w:r w:rsidR="0019162E" w:rsidRPr="00884A81">
        <w:rPr>
          <w:rFonts w:ascii="Book Antiqua" w:hAnsi="Book Antiqua"/>
        </w:rPr>
        <w:t xml:space="preserve">however </w:t>
      </w:r>
      <w:r w:rsidRPr="00884A81">
        <w:rPr>
          <w:rFonts w:ascii="Book Antiqua" w:hAnsi="Book Antiqua"/>
        </w:rPr>
        <w:t>been used in the setting of hepatocellular carcinoma with no apparent increase in recurrence rates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"10.1159/000330746", "ISBN" : "0014-312X", "ISSN" : "1421-9921", "PMID" : "21986299", "abstract" : "BACKGROUND/AIMS The use of intraoperative blood salvage autotransfusion (IBSA) during surgical approaches may contribute to tumour cell dissemination. Therefore, IBSA should be avoided in cases of malignancy. However, the risks of IBSA might be acceptable in liver transplantation (LT) for selected small hepatocellular carcinoma (HCC). METHODS In total, 136 recipients of LT with histologically proven HCC in the explanted liver were included in this analysis. With regard to tumour recurrence, 40 patients receiving IBSA despite HCC (IBSA group) were compared to 96 patients without IBSA (non-IBSA group). RESULTS Milan criteria as assessed in the explanted liver were fulfilled in 24 of 40 IBSA patients and 58 of 96 non-IBSA patients (p = 0.85). Five of 40 patients in the IBSA group and 18 of 96 patients in the non-IBSA group experienced tumour recurrence (p = 0.29). In spite the theoretical risk of tumour cell dissemination, the recurrence rate was not increased in the IBSA group. CONCLUSION Our results indicate that IBSA does not modify the risk of HCC recurrence. Therefore, in highly selected HCC patients undergoing LT, the use of IBSA appears to be justified.", "author" : [ { "dropping-particle" : "", "family" : "Foltys", "given" : "D.", "non-dropping-particle" : "", "parse-names" : false, "suffix" : "" }, { "dropping-particle" : "", "family" : "Zimmermann", "given" : "T.", "non-dropping-particle" : "", "parse-names" : false, "suffix" : "" }, { "dropping-particle" : "", "family" : "Heise", "given" : "M.", "non-dropping-particle" : "", "parse-names" : false, "suffix" : "" }, { "dropping-particle" : "", "family" : "Kaths", "given" : "M.", "non-dropping-particle" : "", "parse-names" : false, "suffix" : "" }, { "dropping-particle" : "", "family" : "Lautem", "given" : "A.", "non-dropping-particle" : "", "parse-names" : false, "suffix" : "" }, { "dropping-particle" : "", "family" : "Wisser", "given" : "G.", "non-dropping-particle" : "", "parse-names" : false, "suffix" : "" }, { "dropping-particle" : "", "family" : "Weiler", "given" : "N.", "non-dropping-particle" : "", "parse-names" : false, "suffix" : "" }, { "dropping-particle" : "", "family" : "Hoppe-Lotichius", "given" : "M.", "non-dropping-particle" : "", "parse-names" : false, "suffix" : "" }, { "dropping-particle" : "", "family" : "Hansen", "given" : "T.", "non-dropping-particle" : "", "parse-names" : false, "suffix" : "" }, { "dropping-particle" : "", "family" : "Otto", "given" : "G.", "non-dropping-particle" : "", "parse-names" : false, "suffix" : "" } ], "container-title" : "European surgical research. Europa\u0308ische chirurgische Forschung. Recherches chirurgicales europe\u0301ennes", "id" : "ITEM-1", "issue" : "3", "issued" : { "date-parts" : [ [ "2011" ] ] }, "page" : "182-7", "title" : "Liver transplantation for hepatocellular carcinoma--is there a risk of recurrence caused by intraoperative blood salvage autotransfusion?", "type" : "article-journal", "volume" : "47" }, "uris" : [ "http://www.mendeley.com/documents/?uuid=35bcd7b4-51dc-44db-a1f3-20559865f7aa" ] } ], "mendeley" : { "formattedCitation" : "&lt;sup&gt;[148]&lt;/sup&gt;", "plainTextFormattedCitation" : "[148]", "previouslyFormattedCitation" : "&lt;sup&gt;[149]&lt;/sup&gt;"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[148]</w:t>
      </w:r>
      <w:r w:rsidR="00676839" w:rsidRPr="00884A81">
        <w:rPr>
          <w:rFonts w:ascii="Book Antiqua" w:hAnsi="Book Antiqua"/>
        </w:rPr>
        <w:fldChar w:fldCharType="end"/>
      </w:r>
      <w:r w:rsidR="00D23FD2" w:rsidRPr="00884A81">
        <w:rPr>
          <w:rFonts w:ascii="Book Antiqua" w:hAnsi="Book Antiqua"/>
        </w:rPr>
        <w:t>.</w:t>
      </w:r>
      <w:r w:rsidRPr="00884A81">
        <w:rPr>
          <w:rFonts w:ascii="Book Antiqua" w:hAnsi="Book Antiqua"/>
        </w:rPr>
        <w:t xml:space="preserve"> Leucocyte depletion filters incorporated into cell salvage circuits have shown to effectively remove malignant cells when used during liver transplantation</w:t>
      </w:r>
      <w:r w:rsidR="00334A0B" w:rsidRPr="00884A81">
        <w:rPr>
          <w:rFonts w:ascii="Book Antiqua" w:hAnsi="Book Antiqua"/>
        </w:rPr>
        <w:t xml:space="preserve"> of patients with non-</w:t>
      </w:r>
      <w:r w:rsidR="004574AB" w:rsidRPr="00884A81">
        <w:rPr>
          <w:rFonts w:ascii="Book Antiqua" w:hAnsi="Book Antiqua"/>
        </w:rPr>
        <w:t xml:space="preserve">ruptured </w:t>
      </w:r>
      <w:r w:rsidRPr="00884A81">
        <w:rPr>
          <w:rFonts w:ascii="Book Antiqua" w:hAnsi="Book Antiqua"/>
        </w:rPr>
        <w:t>hepatocellular tumours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"10.1097/TP.0b013e3181671f2e", "ISSN" : "0041-1337", "PMID" : "18360269", "abstract" : "BACKGROUND Intraoperative blood salvage (IBS) reduces homologous transfusion in orthotopic liver transplantation (OLT), but may carry with it the risk of reinfusing tumor cells in patients with hepatocellular carcinoma (HCC). The use of leukocyte depletion filters (LDFs) for the removal of tumor cells is rarely reported in clinical OLT. The aims of this study were to evaluate the frequency of tumor cell contamination in surgical field during OLT for HCC recipients and to investigate the efficiency of additional LDFs for eliminating tumor cells from IBS. METHODS Thirty-two HCC patients with preoperatively elevated serum alpha-fetoprotein (AFP) underwent OLT. The blood from the surgical field was collected and processed by an autotransfusion device (Cell Saver 5), followed by 2 consecutive LDF filtrations. The HCC cells in IBS samples and filtered samples were determined using a nested RT-PCR technique to detect the AFP mRNA. RESULTS The shed blood samples from 20 (62.5%) of the 32 HCC patients were contaminated with HCC cells and 15 of them remained positive after Cell Saver processing. Patients within the Milan or UCSF criteria were less likely to have HCC cell contamination and the contaminated HCC cells were more likely to be removed by the Cell Saver in these patients as compared to other patients (P&lt;0.01). After filtration through an additional LDF, most cases (13/15) became negative except for those with ruptured tumors (P&lt;0.05). CONCLUSIONS Our results suggest that blood filtration with the LDF can efficiently remove tumor cells and the use of an additional LDF after use of the Cell Saver could markedly reduce the risk of tumor cell reintroduction during the OLT in HCC recipients with nonruptured tumors.", "author" : [ { "dropping-particle" : "", "family" : "Liang", "given" : "Ting-Bo", "non-dropping-particle" : "", "parse-names" : false, "suffix" : "" }, { "dropping-particle" : "", "family" : "Li", "given" : "Dong-Lin", "non-dropping-particle" : "", "parse-names" : false, "suffix" : "" }, { "dropping-particle" : "", "family" : "Liang", "given" : "Liang", "non-dropping-particle" : "", "parse-names" : false, "suffix" : "" }, { "dropping-particle" : "", "family" : "Li", "given" : "Jun-Jian", "non-dropping-particle" : "", "parse-names" : false, "suffix" : "" }, { "dropping-particle" : "", "family" : "Bai", "given" : "Xue-Li", "non-dropping-particle" : "", "parse-names" : false, "suffix" : "" }, { "dropping-particle" : "", "family" : "Yu", "given" : "Wei", "non-dropping-particle" : "", "parse-names" : false, "suffix" : "" }, { "dropping-particle" : "", "family" : "Wang", "given" : "Wei-Lin", "non-dropping-particle" : "", "parse-names" : false, "suffix" : "" }, { "dropping-particle" : "", "family" : "Shen", "given" : "Yan", "non-dropping-particle" : "", "parse-names" : false, "suffix" : "" }, { "dropping-particle" : "", "family" : "Zhang", "given" : "Min", "non-dropping-particle" : "", "parse-names" : false, "suffix" : "" }, { "dropping-particle" : "", "family" : "Zheng", "given" : "Shu-Sen", "non-dropping-particle" : "", "parse-names" : false, "suffix" : "" } ], "container-title" : "Transplantation", "id" : "ITEM-1", "issue" : "6", "issued" : { "date-parts" : [ [ "2008", "3", "27" ] ] }, "page" : "863-9", "publisher" : "Liang,Ting-Bo. Department of General Surgery, Key Laboratory of Multi-organ Transplantation of Ministry of Public Health, the First Affiliated Hospital, School of Medicine, Zhejiang University, Hangzhou, P.R. China.", "publisher-place" : "United States", "title" : "Intraoperative blood salvage during liver transplantation in patients with hepatocellular carcinoma: efficiency of leukocyte depletion filters in the removal of tumor cells.", "type" : "article-journal", "volume" : "85" }, "uris" : [ "http://www.mendeley.com/documents/?uuid=4d40bcec-f967-46c7-b6c4-37560b34d493" ] } ], "mendeley" : { "formattedCitation" : "&lt;sup&gt;[149]&lt;/sup&gt;", "plainTextFormattedCitation" : "[149]", "previouslyFormattedCitation" : "&lt;sup&gt;[150]&lt;/sup&gt;"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[149]</w:t>
      </w:r>
      <w:r w:rsidR="00676839" w:rsidRPr="00884A81">
        <w:rPr>
          <w:rFonts w:ascii="Book Antiqua" w:hAnsi="Book Antiqua"/>
        </w:rPr>
        <w:fldChar w:fldCharType="end"/>
      </w:r>
      <w:r w:rsidR="00D23FD2" w:rsidRPr="00884A81">
        <w:rPr>
          <w:rFonts w:ascii="Book Antiqua" w:hAnsi="Book Antiqua"/>
        </w:rPr>
        <w:t>.</w:t>
      </w:r>
      <w:r w:rsidR="00676839" w:rsidRPr="00884A81">
        <w:rPr>
          <w:rFonts w:ascii="Book Antiqua" w:hAnsi="Book Antiqua"/>
        </w:rPr>
        <w:t xml:space="preserve"> </w:t>
      </w:r>
    </w:p>
    <w:p w14:paraId="65FEE368" w14:textId="75EAF26A" w:rsidR="002A30AF" w:rsidRPr="00884A81" w:rsidRDefault="002A30AF" w:rsidP="00676839">
      <w:pPr>
        <w:spacing w:line="360" w:lineRule="auto"/>
        <w:ind w:firstLineChars="100" w:firstLine="240"/>
        <w:jc w:val="both"/>
        <w:rPr>
          <w:rFonts w:ascii="Book Antiqua" w:hAnsi="Book Antiqua"/>
        </w:rPr>
      </w:pPr>
      <w:r w:rsidRPr="00884A81">
        <w:rPr>
          <w:rFonts w:ascii="Book Antiqua" w:hAnsi="Book Antiqua"/>
        </w:rPr>
        <w:t>Bacteria can contaminate salvaged red cells when suctioned blood is mixed with biliary, bowel secretions or is in contact with the skin. A study analysing bacterial contamination of salvaged blood during liver transplant found that even though micro-organisms can be observed in to up to 70% of the processed and reinfused units, none of the postoperative blood cultures revealed growth of the same micro-organisms</w:t>
      </w:r>
      <w:r w:rsidR="00676839" w:rsidRPr="00884A81">
        <w:rPr>
          <w:rFonts w:ascii="Book Antiqua" w:hAnsi="Book Antiqua"/>
        </w:rPr>
        <w:fldChar w:fldCharType="begin" w:fldLock="1"/>
      </w:r>
      <w:r w:rsidR="00676839" w:rsidRPr="00884A81">
        <w:rPr>
          <w:rFonts w:ascii="Book Antiqua" w:hAnsi="Book Antiqua"/>
        </w:rPr>
        <w:instrText>ADDIN CSL_CITATION { "citationItems" : [ { "id" : "ITEM-1", "itemData" : { "DOI" : "10.1016/j.transproceed.2007.05.005", "ISSN" : "0041-1345", "PMID" : "17692644", "abstract" : "Bacterial contamination is one of the potential risks of blood salvage and reinfusion during orthotopic liver transplantation (OLT) because cell-saver machines lack antibacterial protection devices. This study was designed to analyze the potential bacterial contamination of blood salvaged during OLT; a secondary end point was to evaluate whether reinfusion of potentially contaminated blood may have been responsible for clinically manifested infective complications in the same patient. After induction of anesthesia, a blood sample was drawn from the central venous catheter (CVC) immediately after its positioning, to exclude potential coexisting hematic contamination of the recipient. During the procedure, 2 other samples of salvaged blood were collected for bacteriological analysis. Twenty-six of 38 samples of salvaged blood were positive for microorganisms, whereas 12 did not reveal the presence of infectious agents. In 19 of 26 positive samples, Staphylococcus species (73%) were isolated with only 2 of 38 samples drawn from CVC being contaminated. Candida Albicans was cultured in 2 samples. The high percentage (73%) of coagulase-negative Staphylococci indicates that blood contamination could have been caused by microorganisms from the air or suctioned from contact surfaces and the surgical field. Although almost 70% of processed and reinfused units tested positive for microbes, none of the postoperative blood cultures (at day 1 and day 3) revealed growth of the same species, not even in the 2 patients who had positive CVC cultures after induction of anesthesia.", "author" : [ { "dropping-particle" : "", "family" : "Feltracco", "given" : "P", "non-dropping-particle" : "", "parse-names" : false, "suffix" : "" }, { "dropping-particle" : "", "family" : "Michieletto", "given" : "E", "non-dropping-particle" : "", "parse-names" : false, "suffix" : "" }, { "dropping-particle" : "", "family" : "Barbieri", "given" : "S", "non-dropping-particle" : "", "parse-names" : false, "suffix" : "" }, { "dropping-particle" : "", "family" : "Serra", "given" : "E", "non-dropping-particle" : "", "parse-names" : false, "suffix" : "" }, { "dropping-particle" : "", "family" : "Rizzi", "given" : "S", "non-dropping-particle" : "", "parse-names" : false, "suffix" : "" }, { "dropping-particle" : "", "family" : "Salvaterra", "given" : "F", "non-dropping-particle" : "", "parse-names" : false, "suffix" : "" }, { "dropping-particle" : "", "family" : "Cillo", "given" : "U", "non-dropping-particle" : "", "parse-names" : false, "suffix" : "" }, { "dropping-particle" : "", "family" : "Ori", "given" : "C", "non-dropping-particle" : "", "parse-names" : false, "suffix" : "" } ], "container-title" : "Transplantation proceedings", "id" : "ITEM-1", "issue" : "6", "issued" : { "date-parts" : [ [ "2007" ] ] }, "language" : "eng", "page" : "1889-91", "publisher-place" : "United States", "title" : "Microbiologic contamination of intraoperative blood salvaged during liver transplantation.", "type" : "article-journal", "volume" : "39" }, "uris" : [ "http://www.mendeley.com/documents/?uuid=ab26be45-a7e6-48b7-8e27-3c2717b48c86" ] } ], "mendeley" : { "formattedCitation" : "&lt;sup&gt;[150]&lt;/sup&gt;", "plainTextFormattedCitation" : "[150]", "previouslyFormattedCitation" : "&lt;sup&gt;[151]&lt;/sup&gt;" }, "properties" : { "noteIndex" : 0 }, "schema" : "https://github.com/citation-style-language/schema/raw/master/csl-citation.json" }</w:instrText>
      </w:r>
      <w:r w:rsidR="00676839" w:rsidRPr="00884A81">
        <w:rPr>
          <w:rFonts w:ascii="Book Antiqua" w:hAnsi="Book Antiqua"/>
        </w:rPr>
        <w:fldChar w:fldCharType="separate"/>
      </w:r>
      <w:r w:rsidR="00676839" w:rsidRPr="00884A81">
        <w:rPr>
          <w:rFonts w:ascii="Book Antiqua" w:hAnsi="Book Antiqua"/>
          <w:noProof/>
          <w:vertAlign w:val="superscript"/>
        </w:rPr>
        <w:t>[150]</w:t>
      </w:r>
      <w:r w:rsidR="00676839" w:rsidRPr="00884A81">
        <w:rPr>
          <w:rFonts w:ascii="Book Antiqua" w:hAnsi="Book Antiqua"/>
        </w:rPr>
        <w:fldChar w:fldCharType="end"/>
      </w:r>
      <w:r w:rsidR="00D23FD2" w:rsidRPr="00884A81">
        <w:rPr>
          <w:rFonts w:ascii="Book Antiqua" w:hAnsi="Book Antiqua"/>
        </w:rPr>
        <w:t>.</w:t>
      </w:r>
      <w:r w:rsidR="00884A81" w:rsidRPr="00884A81">
        <w:rPr>
          <w:rFonts w:ascii="Book Antiqua" w:hAnsi="Book Antiqua"/>
        </w:rPr>
        <w:t xml:space="preserve"> </w:t>
      </w:r>
      <w:r w:rsidRPr="00884A81">
        <w:rPr>
          <w:rFonts w:ascii="Book Antiqua" w:hAnsi="Book Antiqua"/>
        </w:rPr>
        <w:t>It is however</w:t>
      </w:r>
      <w:r w:rsidR="00676839">
        <w:rPr>
          <w:rFonts w:ascii="Book Antiqua" w:eastAsia="宋体" w:hAnsi="Book Antiqua" w:hint="eastAsia"/>
          <w:lang w:eastAsia="zh-CN"/>
        </w:rPr>
        <w:t>,</w:t>
      </w:r>
      <w:r w:rsidRPr="00884A81">
        <w:rPr>
          <w:rFonts w:ascii="Book Antiqua" w:hAnsi="Book Antiqua"/>
        </w:rPr>
        <w:t xml:space="preserve"> advisable to avoid aspiration of blood after initiation </w:t>
      </w:r>
      <w:r w:rsidR="0019162E" w:rsidRPr="00884A81">
        <w:rPr>
          <w:rFonts w:ascii="Book Antiqua" w:hAnsi="Book Antiqua"/>
        </w:rPr>
        <w:t>of the biliary anastomosis stage</w:t>
      </w:r>
      <w:r w:rsidRPr="00884A81">
        <w:rPr>
          <w:rFonts w:ascii="Book Antiqua" w:hAnsi="Book Antiqua"/>
        </w:rPr>
        <w:t xml:space="preserve"> of the liver transplant procedure. </w:t>
      </w:r>
    </w:p>
    <w:p w14:paraId="7CFB0CEE" w14:textId="77777777" w:rsidR="002A30AF" w:rsidRPr="00884A81" w:rsidRDefault="002A30AF" w:rsidP="00884A81">
      <w:pPr>
        <w:spacing w:line="360" w:lineRule="auto"/>
        <w:jc w:val="both"/>
        <w:rPr>
          <w:rFonts w:ascii="Book Antiqua" w:hAnsi="Book Antiqua"/>
        </w:rPr>
      </w:pPr>
    </w:p>
    <w:p w14:paraId="091812E1" w14:textId="54600A5E" w:rsidR="00636B2A" w:rsidRPr="00884A81" w:rsidRDefault="00676839" w:rsidP="00884A81">
      <w:pPr>
        <w:spacing w:line="360" w:lineRule="auto"/>
        <w:jc w:val="both"/>
        <w:rPr>
          <w:rFonts w:ascii="Book Antiqua" w:hAnsi="Book Antiqua"/>
          <w:b/>
        </w:rPr>
      </w:pPr>
      <w:r w:rsidRPr="00884A81">
        <w:rPr>
          <w:rFonts w:ascii="Book Antiqua" w:hAnsi="Book Antiqua"/>
          <w:b/>
        </w:rPr>
        <w:t>CONCLUSION</w:t>
      </w:r>
    </w:p>
    <w:p w14:paraId="54382370" w14:textId="0144862B" w:rsidR="002A30AF" w:rsidRPr="00884A81" w:rsidRDefault="00526550" w:rsidP="00884A81">
      <w:pPr>
        <w:spacing w:line="360" w:lineRule="auto"/>
        <w:jc w:val="both"/>
        <w:rPr>
          <w:rFonts w:ascii="Book Antiqua" w:hAnsi="Book Antiqua"/>
        </w:rPr>
      </w:pPr>
      <w:r w:rsidRPr="00884A81">
        <w:rPr>
          <w:rFonts w:ascii="Book Antiqua" w:hAnsi="Book Antiqua"/>
        </w:rPr>
        <w:t>The management of bleeding associated with liver transplantation remains an important area of investigation and no one change in clinical practice will have a dramatic impact.</w:t>
      </w:r>
      <w:r w:rsidR="00884A81" w:rsidRPr="00884A81">
        <w:rPr>
          <w:rFonts w:ascii="Book Antiqua" w:hAnsi="Book Antiqua"/>
        </w:rPr>
        <w:t xml:space="preserve"> </w:t>
      </w:r>
      <w:r w:rsidRPr="00884A81">
        <w:rPr>
          <w:rFonts w:ascii="Book Antiqua" w:hAnsi="Book Antiqua"/>
        </w:rPr>
        <w:t>What is required is a concert</w:t>
      </w:r>
      <w:r w:rsidR="00334A0B" w:rsidRPr="00884A81">
        <w:rPr>
          <w:rFonts w:ascii="Book Antiqua" w:hAnsi="Book Antiqua"/>
        </w:rPr>
        <w:t>ed effor</w:t>
      </w:r>
      <w:r w:rsidRPr="00884A81">
        <w:rPr>
          <w:rFonts w:ascii="Book Antiqua" w:hAnsi="Book Antiqua"/>
        </w:rPr>
        <w:t xml:space="preserve">t including the identification of patients at risk for massive blood loss, POC evaluation of medically manageable bleeding, and cost effective </w:t>
      </w:r>
      <w:r w:rsidR="00334A0B" w:rsidRPr="00884A81">
        <w:rPr>
          <w:rFonts w:ascii="Book Antiqua" w:hAnsi="Book Antiqua"/>
        </w:rPr>
        <w:t xml:space="preserve">blood </w:t>
      </w:r>
      <w:r w:rsidRPr="00884A81">
        <w:rPr>
          <w:rFonts w:ascii="Book Antiqua" w:hAnsi="Book Antiqua"/>
        </w:rPr>
        <w:t>conservation strategies designed specifically for each patient.</w:t>
      </w:r>
      <w:r w:rsidR="00884A81" w:rsidRPr="00884A81">
        <w:rPr>
          <w:rFonts w:ascii="Book Antiqua" w:hAnsi="Book Antiqua"/>
        </w:rPr>
        <w:t xml:space="preserve"> </w:t>
      </w:r>
      <w:r w:rsidRPr="00884A81">
        <w:rPr>
          <w:rFonts w:ascii="Book Antiqua" w:hAnsi="Book Antiqua"/>
        </w:rPr>
        <w:t>The b</w:t>
      </w:r>
      <w:r w:rsidR="00334A0B" w:rsidRPr="00884A81">
        <w:rPr>
          <w:rFonts w:ascii="Book Antiqua" w:hAnsi="Book Antiqua"/>
        </w:rPr>
        <w:t>eneficiaries of our efforts will</w:t>
      </w:r>
      <w:r w:rsidRPr="00884A81">
        <w:rPr>
          <w:rFonts w:ascii="Book Antiqua" w:hAnsi="Book Antiqua"/>
        </w:rPr>
        <w:t xml:space="preserve"> be the transplant recipients in prolonged disease free survival and our health care systems in reduce cost per patient by both reducing blood product utilization and hospital length of stay.</w:t>
      </w:r>
      <w:r w:rsidR="00884A81" w:rsidRPr="00884A81">
        <w:rPr>
          <w:rFonts w:ascii="Book Antiqua" w:hAnsi="Book Antiqua"/>
        </w:rPr>
        <w:t xml:space="preserve"> </w:t>
      </w:r>
      <w:r w:rsidR="002A30AF" w:rsidRPr="00884A81">
        <w:rPr>
          <w:rFonts w:ascii="Book Antiqua" w:hAnsi="Book Antiqua"/>
        </w:rPr>
        <w:br w:type="page"/>
      </w:r>
    </w:p>
    <w:p w14:paraId="15C9A554" w14:textId="67A68E0C" w:rsidR="00FC7C75" w:rsidRPr="002E3D4C" w:rsidRDefault="00676839" w:rsidP="002E3D4C">
      <w:pPr>
        <w:spacing w:line="360" w:lineRule="auto"/>
        <w:jc w:val="both"/>
        <w:rPr>
          <w:rFonts w:ascii="Book Antiqua" w:eastAsia="宋体" w:hAnsi="Book Antiqua"/>
          <w:b/>
          <w:lang w:eastAsia="zh-CN"/>
        </w:rPr>
      </w:pPr>
      <w:r w:rsidRPr="002E3D4C">
        <w:rPr>
          <w:rFonts w:ascii="Book Antiqua" w:hAnsi="Book Antiqua"/>
          <w:b/>
        </w:rPr>
        <w:lastRenderedPageBreak/>
        <w:t>REFERENCES</w:t>
      </w:r>
    </w:p>
    <w:p w14:paraId="6E5040C8" w14:textId="0518B10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 </w:t>
      </w:r>
      <w:r w:rsidRPr="002E3D4C">
        <w:rPr>
          <w:rFonts w:ascii="Book Antiqua" w:eastAsia="宋体" w:hAnsi="Book Antiqua" w:cs="宋体"/>
          <w:b/>
          <w:bCs/>
          <w:lang w:val="en-US" w:eastAsia="zh-CN"/>
        </w:rPr>
        <w:t>M</w:t>
      </w:r>
      <w:r w:rsidR="00EA4568" w:rsidRPr="002E3D4C">
        <w:rPr>
          <w:rFonts w:ascii="Book Antiqua" w:eastAsia="宋体" w:hAnsi="Book Antiqua" w:cs="宋体"/>
          <w:b/>
          <w:bCs/>
          <w:lang w:val="en-US" w:eastAsia="zh-CN"/>
        </w:rPr>
        <w:t>errill</w:t>
      </w:r>
      <w:r w:rsidRPr="002E3D4C">
        <w:rPr>
          <w:rFonts w:ascii="Book Antiqua" w:eastAsia="宋体" w:hAnsi="Book Antiqua" w:cs="宋体"/>
          <w:b/>
          <w:bCs/>
          <w:lang w:val="en-US" w:eastAsia="zh-CN"/>
        </w:rPr>
        <w:t xml:space="preserve"> JP</w:t>
      </w:r>
      <w:r w:rsidRPr="002E3D4C">
        <w:rPr>
          <w:rFonts w:ascii="Book Antiqua" w:eastAsia="宋体" w:hAnsi="Book Antiqua" w:cs="宋体"/>
          <w:lang w:val="en-US" w:eastAsia="zh-CN"/>
        </w:rPr>
        <w:t>, M</w:t>
      </w:r>
      <w:r w:rsidR="00EA4568" w:rsidRPr="002E3D4C">
        <w:rPr>
          <w:rFonts w:ascii="Book Antiqua" w:eastAsia="宋体" w:hAnsi="Book Antiqua" w:cs="宋体"/>
          <w:lang w:val="en-US" w:eastAsia="zh-CN"/>
        </w:rPr>
        <w:t>urray</w:t>
      </w:r>
      <w:r w:rsidRPr="002E3D4C">
        <w:rPr>
          <w:rFonts w:ascii="Book Antiqua" w:eastAsia="宋体" w:hAnsi="Book Antiqua" w:cs="宋体"/>
          <w:lang w:val="en-US" w:eastAsia="zh-CN"/>
        </w:rPr>
        <w:t xml:space="preserve"> JE, H</w:t>
      </w:r>
      <w:r w:rsidR="00EA4568" w:rsidRPr="002E3D4C">
        <w:rPr>
          <w:rFonts w:ascii="Book Antiqua" w:eastAsia="宋体" w:hAnsi="Book Antiqua" w:cs="宋体"/>
          <w:lang w:val="en-US" w:eastAsia="zh-CN"/>
        </w:rPr>
        <w:t>arrison</w:t>
      </w:r>
      <w:r w:rsidRPr="002E3D4C">
        <w:rPr>
          <w:rFonts w:ascii="Book Antiqua" w:eastAsia="宋体" w:hAnsi="Book Antiqua" w:cs="宋体"/>
          <w:lang w:val="en-US" w:eastAsia="zh-CN"/>
        </w:rPr>
        <w:t xml:space="preserve"> JH, G</w:t>
      </w:r>
      <w:r w:rsidR="00EA4568" w:rsidRPr="002E3D4C">
        <w:rPr>
          <w:rFonts w:ascii="Book Antiqua" w:eastAsia="宋体" w:hAnsi="Book Antiqua" w:cs="宋体"/>
          <w:lang w:val="en-US" w:eastAsia="zh-CN"/>
        </w:rPr>
        <w:t>uild</w:t>
      </w:r>
      <w:r w:rsidRPr="002E3D4C">
        <w:rPr>
          <w:rFonts w:ascii="Book Antiqua" w:eastAsia="宋体" w:hAnsi="Book Antiqua" w:cs="宋体"/>
          <w:lang w:val="en-US" w:eastAsia="zh-CN"/>
        </w:rPr>
        <w:t xml:space="preserve"> WR. Successful homotransplantation of the human kidney between identical twins. </w:t>
      </w:r>
      <w:r w:rsidRPr="002E3D4C">
        <w:rPr>
          <w:rFonts w:ascii="Book Antiqua" w:eastAsia="宋体" w:hAnsi="Book Antiqua" w:cs="宋体"/>
          <w:i/>
          <w:iCs/>
          <w:lang w:val="en-US" w:eastAsia="zh-CN"/>
        </w:rPr>
        <w:t>J Am Med Assoc</w:t>
      </w:r>
      <w:r w:rsidRPr="002E3D4C">
        <w:rPr>
          <w:rFonts w:ascii="Book Antiqua" w:eastAsia="宋体" w:hAnsi="Book Antiqua" w:cs="宋体"/>
          <w:lang w:val="en-US" w:eastAsia="zh-CN"/>
        </w:rPr>
        <w:t xml:space="preserve"> 1956; </w:t>
      </w:r>
      <w:r w:rsidRPr="002E3D4C">
        <w:rPr>
          <w:rFonts w:ascii="Book Antiqua" w:eastAsia="宋体" w:hAnsi="Book Antiqua" w:cs="宋体"/>
          <w:b/>
          <w:bCs/>
          <w:lang w:val="en-US" w:eastAsia="zh-CN"/>
        </w:rPr>
        <w:t>160</w:t>
      </w:r>
      <w:r w:rsidRPr="002E3D4C">
        <w:rPr>
          <w:rFonts w:ascii="Book Antiqua" w:eastAsia="宋体" w:hAnsi="Book Antiqua" w:cs="宋体"/>
          <w:lang w:val="en-US" w:eastAsia="zh-CN"/>
        </w:rPr>
        <w:t>: 277-282 [PMID: 13278189 DOI: 10.1001/jama.1956.02960390027008]</w:t>
      </w:r>
    </w:p>
    <w:p w14:paraId="17D22C59" w14:textId="6E24D0A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 </w:t>
      </w:r>
      <w:r w:rsidRPr="002E3D4C">
        <w:rPr>
          <w:rFonts w:ascii="Book Antiqua" w:eastAsia="宋体" w:hAnsi="Book Antiqua" w:cs="宋体"/>
          <w:b/>
          <w:bCs/>
          <w:lang w:val="en-US" w:eastAsia="zh-CN"/>
        </w:rPr>
        <w:t>Calne RY</w:t>
      </w:r>
      <w:r w:rsidRPr="002E3D4C">
        <w:rPr>
          <w:rFonts w:ascii="Book Antiqua" w:eastAsia="宋体" w:hAnsi="Book Antiqua" w:cs="宋体"/>
          <w:lang w:val="en-US" w:eastAsia="zh-CN"/>
        </w:rPr>
        <w:t xml:space="preserve">. Surgical aspects of clinical liver transplantation in 14 cases. </w:t>
      </w:r>
      <w:r w:rsidRPr="002E3D4C">
        <w:rPr>
          <w:rFonts w:ascii="Book Antiqua" w:eastAsia="宋体" w:hAnsi="Book Antiqua" w:cs="宋体"/>
          <w:i/>
          <w:iCs/>
          <w:lang w:val="en-US" w:eastAsia="zh-CN"/>
        </w:rPr>
        <w:t>Br J Surg</w:t>
      </w:r>
      <w:r w:rsidRPr="002E3D4C">
        <w:rPr>
          <w:rFonts w:ascii="Book Antiqua" w:eastAsia="宋体" w:hAnsi="Book Antiqua" w:cs="宋体"/>
          <w:lang w:val="en-US" w:eastAsia="zh-CN"/>
        </w:rPr>
        <w:t xml:space="preserve"> 1969; </w:t>
      </w:r>
      <w:r w:rsidRPr="002E3D4C">
        <w:rPr>
          <w:rFonts w:ascii="Book Antiqua" w:eastAsia="宋体" w:hAnsi="Book Antiqua" w:cs="宋体"/>
          <w:b/>
          <w:bCs/>
          <w:lang w:val="en-US" w:eastAsia="zh-CN"/>
        </w:rPr>
        <w:t>56</w:t>
      </w:r>
      <w:r w:rsidRPr="002E3D4C">
        <w:rPr>
          <w:rFonts w:ascii="Book Antiqua" w:eastAsia="宋体" w:hAnsi="Book Antiqua" w:cs="宋体"/>
          <w:lang w:val="en-US" w:eastAsia="zh-CN"/>
        </w:rPr>
        <w:t>: 729-736 [PMID: 4899842 DOI: 10.1002/bjs.1800561009]</w:t>
      </w:r>
    </w:p>
    <w:p w14:paraId="74FC1730" w14:textId="0BF21AB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 </w:t>
      </w:r>
      <w:r w:rsidRPr="002E3D4C">
        <w:rPr>
          <w:rFonts w:ascii="Book Antiqua" w:eastAsia="宋体" w:hAnsi="Book Antiqua" w:cs="宋体"/>
          <w:b/>
          <w:bCs/>
          <w:lang w:val="en-US" w:eastAsia="zh-CN"/>
        </w:rPr>
        <w:t>S</w:t>
      </w:r>
      <w:r w:rsidR="00EA4568" w:rsidRPr="002E3D4C">
        <w:rPr>
          <w:rFonts w:ascii="Book Antiqua" w:eastAsia="宋体" w:hAnsi="Book Antiqua" w:cs="宋体"/>
          <w:b/>
          <w:bCs/>
          <w:lang w:val="en-US" w:eastAsia="zh-CN"/>
        </w:rPr>
        <w:t xml:space="preserve">tarzl </w:t>
      </w:r>
      <w:r w:rsidRPr="002E3D4C">
        <w:rPr>
          <w:rFonts w:ascii="Book Antiqua" w:eastAsia="宋体" w:hAnsi="Book Antiqua" w:cs="宋体"/>
          <w:b/>
          <w:bCs/>
          <w:lang w:val="en-US" w:eastAsia="zh-CN"/>
        </w:rPr>
        <w:t>TE</w:t>
      </w:r>
      <w:r w:rsidRPr="002E3D4C">
        <w:rPr>
          <w:rFonts w:ascii="Book Antiqua" w:eastAsia="宋体" w:hAnsi="Book Antiqua" w:cs="宋体"/>
          <w:lang w:val="en-US" w:eastAsia="zh-CN"/>
        </w:rPr>
        <w:t>, M</w:t>
      </w:r>
      <w:r w:rsidR="00EA4568" w:rsidRPr="002E3D4C">
        <w:rPr>
          <w:rFonts w:ascii="Book Antiqua" w:eastAsia="宋体" w:hAnsi="Book Antiqua" w:cs="宋体"/>
          <w:lang w:val="en-US" w:eastAsia="zh-CN"/>
        </w:rPr>
        <w:t>archioro</w:t>
      </w:r>
      <w:r w:rsidRPr="002E3D4C">
        <w:rPr>
          <w:rFonts w:ascii="Book Antiqua" w:eastAsia="宋体" w:hAnsi="Book Antiqua" w:cs="宋体"/>
          <w:lang w:val="en-US" w:eastAsia="zh-CN"/>
        </w:rPr>
        <w:t xml:space="preserve"> TL, V</w:t>
      </w:r>
      <w:r w:rsidR="00EA4568" w:rsidRPr="002E3D4C">
        <w:rPr>
          <w:rFonts w:ascii="Book Antiqua" w:eastAsia="宋体" w:hAnsi="Book Antiqua" w:cs="宋体"/>
          <w:lang w:val="en-US" w:eastAsia="zh-CN"/>
        </w:rPr>
        <w:t>onkaulla</w:t>
      </w:r>
      <w:r w:rsidRPr="002E3D4C">
        <w:rPr>
          <w:rFonts w:ascii="Book Antiqua" w:eastAsia="宋体" w:hAnsi="Book Antiqua" w:cs="宋体"/>
          <w:lang w:val="en-US" w:eastAsia="zh-CN"/>
        </w:rPr>
        <w:t xml:space="preserve"> KN, H</w:t>
      </w:r>
      <w:r w:rsidR="00EA4568" w:rsidRPr="002E3D4C">
        <w:rPr>
          <w:rFonts w:ascii="Book Antiqua" w:eastAsia="宋体" w:hAnsi="Book Antiqua" w:cs="宋体"/>
          <w:lang w:val="en-US" w:eastAsia="zh-CN"/>
        </w:rPr>
        <w:t>ermann</w:t>
      </w:r>
      <w:r w:rsidRPr="002E3D4C">
        <w:rPr>
          <w:rFonts w:ascii="Book Antiqua" w:eastAsia="宋体" w:hAnsi="Book Antiqua" w:cs="宋体"/>
          <w:lang w:val="en-US" w:eastAsia="zh-CN"/>
        </w:rPr>
        <w:t xml:space="preserve"> G, B</w:t>
      </w:r>
      <w:r w:rsidR="00EA4568" w:rsidRPr="002E3D4C">
        <w:rPr>
          <w:rFonts w:ascii="Book Antiqua" w:eastAsia="宋体" w:hAnsi="Book Antiqua" w:cs="宋体"/>
          <w:lang w:val="en-US" w:eastAsia="zh-CN"/>
        </w:rPr>
        <w:t>rittain</w:t>
      </w:r>
      <w:r w:rsidRPr="002E3D4C">
        <w:rPr>
          <w:rFonts w:ascii="Book Antiqua" w:eastAsia="宋体" w:hAnsi="Book Antiqua" w:cs="宋体"/>
          <w:lang w:val="en-US" w:eastAsia="zh-CN"/>
        </w:rPr>
        <w:t xml:space="preserve"> RS, W</w:t>
      </w:r>
      <w:r w:rsidR="00EA4568" w:rsidRPr="002E3D4C">
        <w:rPr>
          <w:rFonts w:ascii="Book Antiqua" w:eastAsia="宋体" w:hAnsi="Book Antiqua" w:cs="宋体"/>
          <w:lang w:val="en-US" w:eastAsia="zh-CN"/>
        </w:rPr>
        <w:t xml:space="preserve">addell </w:t>
      </w:r>
      <w:r w:rsidRPr="002E3D4C">
        <w:rPr>
          <w:rFonts w:ascii="Book Antiqua" w:eastAsia="宋体" w:hAnsi="Book Antiqua" w:cs="宋体"/>
          <w:lang w:val="en-US" w:eastAsia="zh-CN"/>
        </w:rPr>
        <w:t>WR. H</w:t>
      </w:r>
      <w:r w:rsidR="00EA4568" w:rsidRPr="002E3D4C">
        <w:rPr>
          <w:rFonts w:ascii="Book Antiqua" w:eastAsia="宋体" w:hAnsi="Book Antiqua" w:cs="宋体"/>
          <w:lang w:val="en-US" w:eastAsia="zh-CN"/>
        </w:rPr>
        <w:t>omotransplantation of the liver in humans</w:t>
      </w:r>
      <w:r w:rsidRPr="002E3D4C">
        <w:rPr>
          <w:rFonts w:ascii="Book Antiqua" w:eastAsia="宋体" w:hAnsi="Book Antiqua" w:cs="宋体"/>
          <w:lang w:val="en-US" w:eastAsia="zh-CN"/>
        </w:rPr>
        <w:t xml:space="preserve">. </w:t>
      </w:r>
      <w:r w:rsidRPr="002E3D4C">
        <w:rPr>
          <w:rFonts w:ascii="Book Antiqua" w:eastAsia="宋体" w:hAnsi="Book Antiqua" w:cs="宋体"/>
          <w:i/>
          <w:iCs/>
          <w:lang w:val="en-US" w:eastAsia="zh-CN"/>
        </w:rPr>
        <w:t>Surg Gynecol Obstet</w:t>
      </w:r>
      <w:r w:rsidRPr="002E3D4C">
        <w:rPr>
          <w:rFonts w:ascii="Book Antiqua" w:eastAsia="宋体" w:hAnsi="Book Antiqua" w:cs="宋体"/>
          <w:lang w:val="en-US" w:eastAsia="zh-CN"/>
        </w:rPr>
        <w:t xml:space="preserve"> 1963; </w:t>
      </w:r>
      <w:r w:rsidRPr="002E3D4C">
        <w:rPr>
          <w:rFonts w:ascii="Book Antiqua" w:eastAsia="宋体" w:hAnsi="Book Antiqua" w:cs="宋体"/>
          <w:b/>
          <w:bCs/>
          <w:lang w:val="en-US" w:eastAsia="zh-CN"/>
        </w:rPr>
        <w:t>117</w:t>
      </w:r>
      <w:r w:rsidRPr="002E3D4C">
        <w:rPr>
          <w:rFonts w:ascii="Book Antiqua" w:eastAsia="宋体" w:hAnsi="Book Antiqua" w:cs="宋体"/>
          <w:lang w:val="en-US" w:eastAsia="zh-CN"/>
        </w:rPr>
        <w:t>: 659-676 [PMID: 14100514]</w:t>
      </w:r>
    </w:p>
    <w:p w14:paraId="061289DF" w14:textId="6F73CF0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 </w:t>
      </w:r>
      <w:r w:rsidRPr="002E3D4C">
        <w:rPr>
          <w:rFonts w:ascii="Book Antiqua" w:eastAsia="宋体" w:hAnsi="Book Antiqua" w:cs="宋体"/>
          <w:b/>
          <w:bCs/>
          <w:lang w:val="en-US" w:eastAsia="zh-CN"/>
        </w:rPr>
        <w:t>Starzl TE</w:t>
      </w:r>
      <w:r w:rsidRPr="002E3D4C">
        <w:rPr>
          <w:rFonts w:ascii="Book Antiqua" w:eastAsia="宋体" w:hAnsi="Book Antiqua" w:cs="宋体"/>
          <w:lang w:val="en-US" w:eastAsia="zh-CN"/>
        </w:rPr>
        <w:t xml:space="preserve">, Iwatsuki S, Van Thiel DH, Gartner JC, Zitelli BJ, Malatack JJ, Schade RR, Shaw BW, Hakala TR, Rosenthal JT, Porter KA. Evolution of liver transplantation. </w:t>
      </w:r>
      <w:r w:rsidRPr="002E3D4C">
        <w:rPr>
          <w:rFonts w:ascii="Book Antiqua" w:eastAsia="宋体" w:hAnsi="Book Antiqua" w:cs="宋体"/>
          <w:i/>
          <w:iCs/>
          <w:lang w:val="en-US" w:eastAsia="zh-CN"/>
        </w:rPr>
        <w:t>Hepatology</w:t>
      </w:r>
      <w:r w:rsidRPr="002E3D4C">
        <w:rPr>
          <w:rFonts w:ascii="Book Antiqua" w:eastAsia="宋体" w:hAnsi="Book Antiqua" w:cs="宋体"/>
          <w:lang w:val="en-US" w:eastAsia="zh-CN"/>
        </w:rPr>
        <w:t xml:space="preserve"> </w:t>
      </w:r>
      <w:r w:rsidR="00EA4568">
        <w:rPr>
          <w:rFonts w:ascii="Book Antiqua" w:eastAsia="宋体" w:hAnsi="Book Antiqua" w:cs="宋体" w:hint="eastAsia"/>
          <w:lang w:val="en-US" w:eastAsia="zh-CN"/>
        </w:rPr>
        <w:t>2007</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2</w:t>
      </w:r>
      <w:r w:rsidRPr="002E3D4C">
        <w:rPr>
          <w:rFonts w:ascii="Book Antiqua" w:eastAsia="宋体" w:hAnsi="Book Antiqua" w:cs="宋体"/>
          <w:lang w:val="en-US" w:eastAsia="zh-CN"/>
        </w:rPr>
        <w:t>: 614-636 [PMID: 6749635 DOI: 10.1002/hep.1840020516]</w:t>
      </w:r>
    </w:p>
    <w:p w14:paraId="103FE630" w14:textId="3B498B1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 </w:t>
      </w:r>
      <w:r w:rsidRPr="002E3D4C">
        <w:rPr>
          <w:rFonts w:ascii="Book Antiqua" w:eastAsia="宋体" w:hAnsi="Book Antiqua" w:cs="宋体"/>
          <w:b/>
          <w:bCs/>
          <w:lang w:val="en-US" w:eastAsia="zh-CN"/>
        </w:rPr>
        <w:t>Song AT</w:t>
      </w:r>
      <w:r w:rsidRPr="002E3D4C">
        <w:rPr>
          <w:rFonts w:ascii="Book Antiqua" w:eastAsia="宋体" w:hAnsi="Book Antiqua" w:cs="宋体"/>
          <w:lang w:val="en-US" w:eastAsia="zh-CN"/>
        </w:rPr>
        <w:t xml:space="preserve">, Avelino-Silva VI, Pecora RA, Pugliese V, D'Albuquerque LA, Abdala E. Liver transplantation: fifty years of experience. </w:t>
      </w:r>
      <w:r w:rsidRPr="002E3D4C">
        <w:rPr>
          <w:rFonts w:ascii="Book Antiqua" w:eastAsia="宋体" w:hAnsi="Book Antiqua" w:cs="宋体"/>
          <w:i/>
          <w:iCs/>
          <w:lang w:val="en-US" w:eastAsia="zh-CN"/>
        </w:rPr>
        <w:t>World J Gastroenterol</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20</w:t>
      </w:r>
      <w:r w:rsidRPr="002E3D4C">
        <w:rPr>
          <w:rFonts w:ascii="Book Antiqua" w:eastAsia="宋体" w:hAnsi="Book Antiqua" w:cs="宋体"/>
          <w:lang w:val="en-US" w:eastAsia="zh-CN"/>
        </w:rPr>
        <w:t>: 5363-5374 [PMID: 24833866 DOI: 10.3748/wjg.v20.i18.5363]</w:t>
      </w:r>
    </w:p>
    <w:p w14:paraId="7E6E7F6C"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 </w:t>
      </w:r>
      <w:r w:rsidRPr="002E3D4C">
        <w:rPr>
          <w:rFonts w:ascii="Book Antiqua" w:eastAsia="宋体" w:hAnsi="Book Antiqua" w:cs="宋体"/>
          <w:b/>
          <w:bCs/>
          <w:lang w:val="en-US" w:eastAsia="zh-CN"/>
        </w:rPr>
        <w:t>Calne RY</w:t>
      </w:r>
      <w:r w:rsidRPr="002E3D4C">
        <w:rPr>
          <w:rFonts w:ascii="Book Antiqua" w:eastAsia="宋体" w:hAnsi="Book Antiqua" w:cs="宋体"/>
          <w:lang w:val="en-US" w:eastAsia="zh-CN"/>
        </w:rPr>
        <w:t xml:space="preserve">, White DJ, Rolles K, Smith DP, Herbertson BM. Prolonged survival of pig orthotopic heart grafts treated with cyclosporin A. </w:t>
      </w:r>
      <w:r w:rsidRPr="002E3D4C">
        <w:rPr>
          <w:rFonts w:ascii="Book Antiqua" w:eastAsia="宋体" w:hAnsi="Book Antiqua" w:cs="宋体"/>
          <w:i/>
          <w:iCs/>
          <w:lang w:val="en-US" w:eastAsia="zh-CN"/>
        </w:rPr>
        <w:t>Lancet</w:t>
      </w:r>
      <w:r w:rsidRPr="002E3D4C">
        <w:rPr>
          <w:rFonts w:ascii="Book Antiqua" w:eastAsia="宋体" w:hAnsi="Book Antiqua" w:cs="宋体"/>
          <w:lang w:val="en-US" w:eastAsia="zh-CN"/>
        </w:rPr>
        <w:t xml:space="preserve"> 1978; </w:t>
      </w:r>
      <w:r w:rsidRPr="002E3D4C">
        <w:rPr>
          <w:rFonts w:ascii="Book Antiqua" w:eastAsia="宋体" w:hAnsi="Book Antiqua" w:cs="宋体"/>
          <w:b/>
          <w:bCs/>
          <w:lang w:val="en-US" w:eastAsia="zh-CN"/>
        </w:rPr>
        <w:t>1</w:t>
      </w:r>
      <w:r w:rsidRPr="002E3D4C">
        <w:rPr>
          <w:rFonts w:ascii="Book Antiqua" w:eastAsia="宋体" w:hAnsi="Book Antiqua" w:cs="宋体"/>
          <w:lang w:val="en-US" w:eastAsia="zh-CN"/>
        </w:rPr>
        <w:t>: 1183-1185 [PMID: 77948 DOI: 10.1016/S0140-6736(78)90971-6]</w:t>
      </w:r>
    </w:p>
    <w:p w14:paraId="701B5714" w14:textId="0F6A33F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 </w:t>
      </w:r>
      <w:r w:rsidRPr="002E3D4C">
        <w:rPr>
          <w:rFonts w:ascii="Book Antiqua" w:eastAsia="宋体" w:hAnsi="Book Antiqua" w:cs="宋体"/>
          <w:b/>
          <w:bCs/>
          <w:lang w:val="en-US" w:eastAsia="zh-CN"/>
        </w:rPr>
        <w:t>Macdougall BR</w:t>
      </w:r>
      <w:r w:rsidRPr="002E3D4C">
        <w:rPr>
          <w:rFonts w:ascii="Book Antiqua" w:eastAsia="宋体" w:hAnsi="Book Antiqua" w:cs="宋体"/>
          <w:lang w:val="en-US" w:eastAsia="zh-CN"/>
        </w:rPr>
        <w:t xml:space="preserve">, Calne RY, McMaster P, Williams R. Survival and rehabilitation after orthotopic liver transplantation. </w:t>
      </w:r>
      <w:r w:rsidRPr="002E3D4C">
        <w:rPr>
          <w:rFonts w:ascii="Book Antiqua" w:eastAsia="宋体" w:hAnsi="Book Antiqua" w:cs="宋体"/>
          <w:i/>
          <w:iCs/>
          <w:lang w:val="en-US" w:eastAsia="zh-CN"/>
        </w:rPr>
        <w:t>Lancet</w:t>
      </w:r>
      <w:r w:rsidRPr="002E3D4C">
        <w:rPr>
          <w:rFonts w:ascii="Book Antiqua" w:eastAsia="宋体" w:hAnsi="Book Antiqua" w:cs="宋体"/>
          <w:lang w:val="en-US" w:eastAsia="zh-CN"/>
        </w:rPr>
        <w:t xml:space="preserve"> 1980; </w:t>
      </w:r>
      <w:r w:rsidRPr="002E3D4C">
        <w:rPr>
          <w:rFonts w:ascii="Book Antiqua" w:eastAsia="宋体" w:hAnsi="Book Antiqua" w:cs="宋体"/>
          <w:b/>
          <w:bCs/>
          <w:lang w:val="en-US" w:eastAsia="zh-CN"/>
        </w:rPr>
        <w:t>1</w:t>
      </w:r>
      <w:r w:rsidRPr="002E3D4C">
        <w:rPr>
          <w:rFonts w:ascii="Book Antiqua" w:eastAsia="宋体" w:hAnsi="Book Antiqua" w:cs="宋体"/>
          <w:lang w:val="en-US" w:eastAsia="zh-CN"/>
        </w:rPr>
        <w:t>: 1326-1328 [PMID: 6104130 DOI: 10.1016/S0140-6736(80)91785-7]</w:t>
      </w:r>
    </w:p>
    <w:p w14:paraId="63E89C6A" w14:textId="53BD444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 </w:t>
      </w:r>
      <w:r w:rsidRPr="002E3D4C">
        <w:rPr>
          <w:rFonts w:ascii="Book Antiqua" w:eastAsia="宋体" w:hAnsi="Book Antiqua" w:cs="宋体"/>
          <w:b/>
          <w:bCs/>
          <w:lang w:val="en-US" w:eastAsia="zh-CN"/>
        </w:rPr>
        <w:t>Scharschmidt BF</w:t>
      </w:r>
      <w:r w:rsidRPr="002E3D4C">
        <w:rPr>
          <w:rFonts w:ascii="Book Antiqua" w:eastAsia="宋体" w:hAnsi="Book Antiqua" w:cs="宋体"/>
          <w:lang w:val="en-US" w:eastAsia="zh-CN"/>
        </w:rPr>
        <w:t xml:space="preserve">. Human liver transplantation: analysis of data on 540 patients from four centers. </w:t>
      </w:r>
      <w:r w:rsidRPr="002E3D4C">
        <w:rPr>
          <w:rFonts w:ascii="Book Antiqua" w:eastAsia="宋体" w:hAnsi="Book Antiqua" w:cs="宋体"/>
          <w:i/>
          <w:iCs/>
          <w:lang w:val="en-US" w:eastAsia="zh-CN"/>
        </w:rPr>
        <w:t>Hepatology</w:t>
      </w:r>
      <w:r w:rsidRPr="002E3D4C">
        <w:rPr>
          <w:rFonts w:ascii="Book Antiqua" w:eastAsia="宋体" w:hAnsi="Book Antiqua" w:cs="宋体"/>
          <w:lang w:val="en-US" w:eastAsia="zh-CN"/>
        </w:rPr>
        <w:t xml:space="preserve"> </w:t>
      </w:r>
      <w:r w:rsidR="0029483E">
        <w:rPr>
          <w:rFonts w:ascii="Book Antiqua" w:eastAsia="宋体" w:hAnsi="Book Antiqua" w:cs="宋体" w:hint="eastAsia"/>
          <w:lang w:val="en-US" w:eastAsia="zh-CN"/>
        </w:rPr>
        <w:t>1984</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4</w:t>
      </w:r>
      <w:r w:rsidRPr="002E3D4C">
        <w:rPr>
          <w:rFonts w:ascii="Book Antiqua" w:eastAsia="宋体" w:hAnsi="Book Antiqua" w:cs="宋体"/>
          <w:lang w:val="en-US" w:eastAsia="zh-CN"/>
        </w:rPr>
        <w:t>: 95S-101S [PMID: 6363266 DOI: 10.1002/hep.1840040723]</w:t>
      </w:r>
    </w:p>
    <w:p w14:paraId="6DC57BFA" w14:textId="280F4E3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 </w:t>
      </w:r>
      <w:r w:rsidRPr="002E3D4C">
        <w:rPr>
          <w:rFonts w:ascii="Book Antiqua" w:eastAsia="宋体" w:hAnsi="Book Antiqua" w:cs="宋体"/>
          <w:b/>
          <w:bCs/>
          <w:lang w:val="en-US" w:eastAsia="zh-CN"/>
        </w:rPr>
        <w:t>Butler P</w:t>
      </w:r>
      <w:r w:rsidRPr="002E3D4C">
        <w:rPr>
          <w:rFonts w:ascii="Book Antiqua" w:eastAsia="宋体" w:hAnsi="Book Antiqua" w:cs="宋体"/>
          <w:lang w:val="en-US" w:eastAsia="zh-CN"/>
        </w:rPr>
        <w:t xml:space="preserve">, Israel L, Nusbacher J, Jenkins DE, Starzl TE. Blood transfusion in liver transplantation.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w:t>
      </w:r>
      <w:r w:rsidR="0029483E">
        <w:rPr>
          <w:rFonts w:ascii="Book Antiqua" w:eastAsia="宋体" w:hAnsi="Book Antiqua" w:cs="宋体" w:hint="eastAsia"/>
          <w:lang w:val="en-US" w:eastAsia="zh-CN"/>
        </w:rPr>
        <w:t>1985</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25</w:t>
      </w:r>
      <w:r w:rsidRPr="002E3D4C">
        <w:rPr>
          <w:rFonts w:ascii="Book Antiqua" w:eastAsia="宋体" w:hAnsi="Book Antiqua" w:cs="宋体"/>
          <w:lang w:val="en-US" w:eastAsia="zh-CN"/>
        </w:rPr>
        <w:t>: 120-123 [PMID: 3885484 DOI: 10.1046/j.1537-2995.1985.25285169201.x]</w:t>
      </w:r>
    </w:p>
    <w:p w14:paraId="4C320E1F" w14:textId="31D8284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 </w:t>
      </w:r>
      <w:r w:rsidRPr="002E3D4C">
        <w:rPr>
          <w:rFonts w:ascii="Book Antiqua" w:eastAsia="宋体" w:hAnsi="Book Antiqua" w:cs="宋体"/>
          <w:b/>
          <w:bCs/>
          <w:lang w:val="en-US" w:eastAsia="zh-CN"/>
        </w:rPr>
        <w:t>Lewis JH</w:t>
      </w:r>
      <w:r w:rsidRPr="002E3D4C">
        <w:rPr>
          <w:rFonts w:ascii="Book Antiqua" w:eastAsia="宋体" w:hAnsi="Book Antiqua" w:cs="宋体"/>
          <w:lang w:val="en-US" w:eastAsia="zh-CN"/>
        </w:rPr>
        <w:t xml:space="preserve">, Bontempo FA, Cornell F, Kiss JE, Larson P, Ragni MV, Rice EO, Spero JA, Starzl TE. Blood use in liver transplantation.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w:t>
      </w:r>
      <w:r w:rsidR="0029483E">
        <w:rPr>
          <w:rFonts w:ascii="Book Antiqua" w:eastAsia="宋体" w:hAnsi="Book Antiqua" w:cs="宋体" w:hint="eastAsia"/>
          <w:lang w:val="en-US" w:eastAsia="zh-CN"/>
        </w:rPr>
        <w:t>1987</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27</w:t>
      </w:r>
      <w:r w:rsidRPr="002E3D4C">
        <w:rPr>
          <w:rFonts w:ascii="Book Antiqua" w:eastAsia="宋体" w:hAnsi="Book Antiqua" w:cs="宋体"/>
          <w:lang w:val="en-US" w:eastAsia="zh-CN"/>
        </w:rPr>
        <w:t>: 222-225 [PMID: 3296340 DOI: 10.1046/j.1537-2995.1987.27387235624.x]</w:t>
      </w:r>
    </w:p>
    <w:p w14:paraId="37548F1B" w14:textId="691CEB2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11 </w:t>
      </w:r>
      <w:r w:rsidRPr="002E3D4C">
        <w:rPr>
          <w:rFonts w:ascii="Book Antiqua" w:eastAsia="宋体" w:hAnsi="Book Antiqua" w:cs="宋体"/>
          <w:b/>
          <w:bCs/>
          <w:lang w:val="en-US" w:eastAsia="zh-CN"/>
        </w:rPr>
        <w:t>Farrar RP</w:t>
      </w:r>
      <w:r w:rsidRPr="002E3D4C">
        <w:rPr>
          <w:rFonts w:ascii="Book Antiqua" w:eastAsia="宋体" w:hAnsi="Book Antiqua" w:cs="宋体"/>
          <w:lang w:val="en-US" w:eastAsia="zh-CN"/>
        </w:rPr>
        <w:t xml:space="preserve">, Hanto DW, Flye MW, Chaplin H. Blood component use in orthotopic liver transplantation.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w:t>
      </w:r>
      <w:r w:rsidR="0029483E">
        <w:rPr>
          <w:rFonts w:ascii="Book Antiqua" w:eastAsia="宋体" w:hAnsi="Book Antiqua" w:cs="宋体" w:hint="eastAsia"/>
          <w:lang w:val="en-US" w:eastAsia="zh-CN"/>
        </w:rPr>
        <w:t>1988</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28</w:t>
      </w:r>
      <w:r w:rsidRPr="002E3D4C">
        <w:rPr>
          <w:rFonts w:ascii="Book Antiqua" w:eastAsia="宋体" w:hAnsi="Book Antiqua" w:cs="宋体"/>
          <w:lang w:val="en-US" w:eastAsia="zh-CN"/>
        </w:rPr>
        <w:t>: 474-478 [PMID: 3047921 DOI: 10.1046/j.1537-2995.1988.28588337341.x]</w:t>
      </w:r>
    </w:p>
    <w:p w14:paraId="4202E277" w14:textId="15759CD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 </w:t>
      </w:r>
      <w:r w:rsidRPr="002E3D4C">
        <w:rPr>
          <w:rFonts w:ascii="Book Antiqua" w:eastAsia="宋体" w:hAnsi="Book Antiqua" w:cs="宋体"/>
          <w:b/>
          <w:bCs/>
          <w:lang w:val="en-US" w:eastAsia="zh-CN"/>
        </w:rPr>
        <w:t>Danielson CF</w:t>
      </w:r>
      <w:r w:rsidRPr="002E3D4C">
        <w:rPr>
          <w:rFonts w:ascii="Book Antiqua" w:eastAsia="宋体" w:hAnsi="Book Antiqua" w:cs="宋体"/>
          <w:lang w:val="en-US" w:eastAsia="zh-CN"/>
        </w:rPr>
        <w:t xml:space="preserve">, Filo RS, O'Donnell JA, McCarthy LJ. Institutional variation in hemotherapy for solid organ transplantation.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1996; </w:t>
      </w:r>
      <w:r w:rsidRPr="002E3D4C">
        <w:rPr>
          <w:rFonts w:ascii="Book Antiqua" w:eastAsia="宋体" w:hAnsi="Book Antiqua" w:cs="宋体"/>
          <w:b/>
          <w:bCs/>
          <w:lang w:val="en-US" w:eastAsia="zh-CN"/>
        </w:rPr>
        <w:t>36</w:t>
      </w:r>
      <w:r w:rsidRPr="002E3D4C">
        <w:rPr>
          <w:rFonts w:ascii="Book Antiqua" w:eastAsia="宋体" w:hAnsi="Book Antiqua" w:cs="宋体"/>
          <w:lang w:val="en-US" w:eastAsia="zh-CN"/>
        </w:rPr>
        <w:t>: 263-267 [PMID: 8604514 DOI: 10.1046/j.1537-2995.1996.36396182147.x]</w:t>
      </w:r>
    </w:p>
    <w:p w14:paraId="03B6B90A" w14:textId="5C0FD3D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 </w:t>
      </w:r>
      <w:r w:rsidRPr="002E3D4C">
        <w:rPr>
          <w:rFonts w:ascii="Book Antiqua" w:eastAsia="宋体" w:hAnsi="Book Antiqua" w:cs="宋体"/>
          <w:b/>
          <w:bCs/>
          <w:lang w:val="en-US" w:eastAsia="zh-CN"/>
        </w:rPr>
        <w:t>Kim WR</w:t>
      </w:r>
      <w:r w:rsidRPr="002E3D4C">
        <w:rPr>
          <w:rFonts w:ascii="Book Antiqua" w:eastAsia="宋体" w:hAnsi="Book Antiqua" w:cs="宋体"/>
          <w:lang w:val="en-US" w:eastAsia="zh-CN"/>
        </w:rPr>
        <w:t xml:space="preserve">, Lake JR, Smith JM, Skeans MA, Schladt DP, Edwards EB, Harper AM, Wainright JL, Snyder JJ, Israni AK, Kasiske BL. OPTN/SRTR 2013 Annual Data Report: liver. </w:t>
      </w:r>
      <w:r w:rsidRPr="002E3D4C">
        <w:rPr>
          <w:rFonts w:ascii="Book Antiqua" w:eastAsia="宋体" w:hAnsi="Book Antiqua" w:cs="宋体"/>
          <w:i/>
          <w:iCs/>
          <w:lang w:val="en-US" w:eastAsia="zh-CN"/>
        </w:rPr>
        <w:t>Am J Transplant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 xml:space="preserve">15 </w:t>
      </w:r>
      <w:r w:rsidRPr="0029483E">
        <w:rPr>
          <w:rFonts w:ascii="Book Antiqua" w:eastAsia="宋体" w:hAnsi="Book Antiqua" w:cs="宋体"/>
          <w:bCs/>
          <w:lang w:val="en-US" w:eastAsia="zh-CN"/>
        </w:rPr>
        <w:t>Suppl 2</w:t>
      </w:r>
      <w:r w:rsidRPr="0029483E">
        <w:rPr>
          <w:rFonts w:ascii="Book Antiqua" w:eastAsia="宋体" w:hAnsi="Book Antiqua" w:cs="宋体"/>
          <w:lang w:val="en-US" w:eastAsia="zh-CN"/>
        </w:rPr>
        <w:t>:</w:t>
      </w:r>
      <w:r w:rsidRPr="002E3D4C">
        <w:rPr>
          <w:rFonts w:ascii="Book Antiqua" w:eastAsia="宋体" w:hAnsi="Book Antiqua" w:cs="宋体"/>
          <w:lang w:val="en-US" w:eastAsia="zh-CN"/>
        </w:rPr>
        <w:t xml:space="preserve"> 1-28 [PMID: 25626341 DOI: 10.1111/ajt.13197]</w:t>
      </w:r>
    </w:p>
    <w:p w14:paraId="13E564E4" w14:textId="663F3EE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 </w:t>
      </w:r>
      <w:r w:rsidRPr="002E3D4C">
        <w:rPr>
          <w:rFonts w:ascii="Book Antiqua" w:eastAsia="宋体" w:hAnsi="Book Antiqua" w:cs="宋体"/>
          <w:b/>
          <w:bCs/>
          <w:lang w:val="en-US" w:eastAsia="zh-CN"/>
        </w:rPr>
        <w:t>Malinchoc M</w:t>
      </w:r>
      <w:r w:rsidRPr="002E3D4C">
        <w:rPr>
          <w:rFonts w:ascii="Book Antiqua" w:eastAsia="宋体" w:hAnsi="Book Antiqua" w:cs="宋体"/>
          <w:lang w:val="en-US" w:eastAsia="zh-CN"/>
        </w:rPr>
        <w:t xml:space="preserve">, Kamath PS, Gordon FD, Peine CJ, Rank J, ter Borg PC. A model to predict poor survival in patients undergoing transjugular intrahepatic portosystemic shunts. </w:t>
      </w:r>
      <w:r w:rsidRPr="002E3D4C">
        <w:rPr>
          <w:rFonts w:ascii="Book Antiqua" w:eastAsia="宋体" w:hAnsi="Book Antiqua" w:cs="宋体"/>
          <w:i/>
          <w:iCs/>
          <w:lang w:val="en-US" w:eastAsia="zh-CN"/>
        </w:rPr>
        <w:t>Hepatology</w:t>
      </w:r>
      <w:r w:rsidRPr="002E3D4C">
        <w:rPr>
          <w:rFonts w:ascii="Book Antiqua" w:eastAsia="宋体" w:hAnsi="Book Antiqua" w:cs="宋体"/>
          <w:lang w:val="en-US" w:eastAsia="zh-CN"/>
        </w:rPr>
        <w:t xml:space="preserve"> 2000; </w:t>
      </w:r>
      <w:r w:rsidRPr="002E3D4C">
        <w:rPr>
          <w:rFonts w:ascii="Book Antiqua" w:eastAsia="宋体" w:hAnsi="Book Antiqua" w:cs="宋体"/>
          <w:b/>
          <w:bCs/>
          <w:lang w:val="en-US" w:eastAsia="zh-CN"/>
        </w:rPr>
        <w:t>31</w:t>
      </w:r>
      <w:r w:rsidRPr="002E3D4C">
        <w:rPr>
          <w:rFonts w:ascii="Book Antiqua" w:eastAsia="宋体" w:hAnsi="Book Antiqua" w:cs="宋体"/>
          <w:lang w:val="en-US" w:eastAsia="zh-CN"/>
        </w:rPr>
        <w:t>: 864-871 [PMID: 10733541 DOI: 10.1053/he.2000.5852]</w:t>
      </w:r>
    </w:p>
    <w:p w14:paraId="625C3167" w14:textId="235D865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15 </w:t>
      </w:r>
      <w:r w:rsidRPr="002E3D4C">
        <w:rPr>
          <w:rFonts w:ascii="Book Antiqua" w:eastAsia="宋体" w:hAnsi="Book Antiqua" w:cs="宋体"/>
          <w:b/>
          <w:bCs/>
          <w:lang w:val="en-US" w:eastAsia="zh-CN"/>
        </w:rPr>
        <w:t>Freeman RB</w:t>
      </w:r>
      <w:r w:rsidRPr="002E3D4C">
        <w:rPr>
          <w:rFonts w:ascii="Book Antiqua" w:eastAsia="宋体" w:hAnsi="Book Antiqua" w:cs="宋体"/>
          <w:lang w:val="en-US" w:eastAsia="zh-CN"/>
        </w:rPr>
        <w:t xml:space="preserve">, Wiesner RH, Harper A, McDiarmid SV, Lake J, Edwards E, Merion R, Wolfe R, Turcotte J, Teperman L. The new liver allocation system: moving toward evidence-based transplantation policy.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2002; </w:t>
      </w:r>
      <w:r w:rsidRPr="002E3D4C">
        <w:rPr>
          <w:rFonts w:ascii="Book Antiqua" w:eastAsia="宋体" w:hAnsi="Book Antiqua" w:cs="宋体"/>
          <w:b/>
          <w:bCs/>
          <w:lang w:val="en-US" w:eastAsia="zh-CN"/>
        </w:rPr>
        <w:t>8</w:t>
      </w:r>
      <w:r w:rsidRPr="002E3D4C">
        <w:rPr>
          <w:rFonts w:ascii="Book Antiqua" w:eastAsia="宋体" w:hAnsi="Book Antiqua" w:cs="宋体"/>
          <w:lang w:val="en-US" w:eastAsia="zh-CN"/>
        </w:rPr>
        <w:t>: 851-858 [PMID: 12200791 DOI: 10.1053/jlts.2002.35927]</w:t>
      </w:r>
    </w:p>
    <w:p w14:paraId="05E02D90" w14:textId="55F8016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16 </w:t>
      </w:r>
      <w:r w:rsidRPr="002E3D4C">
        <w:rPr>
          <w:rFonts w:ascii="Book Antiqua" w:eastAsia="宋体" w:hAnsi="Book Antiqua" w:cs="宋体"/>
          <w:b/>
          <w:bCs/>
          <w:lang w:val="en-US" w:eastAsia="zh-CN"/>
        </w:rPr>
        <w:t>Wiesner R</w:t>
      </w:r>
      <w:r w:rsidRPr="002E3D4C">
        <w:rPr>
          <w:rFonts w:ascii="Book Antiqua" w:eastAsia="宋体" w:hAnsi="Book Antiqua" w:cs="宋体"/>
          <w:lang w:val="en-US" w:eastAsia="zh-CN"/>
        </w:rPr>
        <w:t xml:space="preserve">, Edwards E, Freeman R, Harper A, Kim R, Kamath P, Kremers W, Lake J, Howard T, Merion RM, Wolfe RA, Krom R. Model for end-stage liver disease (MELD) and allocation of donor livers. </w:t>
      </w:r>
      <w:r w:rsidRPr="002E3D4C">
        <w:rPr>
          <w:rFonts w:ascii="Book Antiqua" w:eastAsia="宋体" w:hAnsi="Book Antiqua" w:cs="宋体"/>
          <w:i/>
          <w:iCs/>
          <w:lang w:val="en-US" w:eastAsia="zh-CN"/>
        </w:rPr>
        <w:t>Gastroenterology</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124</w:t>
      </w:r>
      <w:r w:rsidRPr="002E3D4C">
        <w:rPr>
          <w:rFonts w:ascii="Book Antiqua" w:eastAsia="宋体" w:hAnsi="Book Antiqua" w:cs="宋体"/>
          <w:lang w:val="en-US" w:eastAsia="zh-CN"/>
        </w:rPr>
        <w:t>: 91-96 [PMID: 12512033 DOI: 10.1053/gast.2003.50016]</w:t>
      </w:r>
    </w:p>
    <w:p w14:paraId="0440AB6F"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17 </w:t>
      </w:r>
      <w:r w:rsidRPr="002E3D4C">
        <w:rPr>
          <w:rFonts w:ascii="Book Antiqua" w:eastAsia="宋体" w:hAnsi="Book Antiqua" w:cs="宋体"/>
          <w:b/>
          <w:bCs/>
          <w:lang w:val="en-US" w:eastAsia="zh-CN"/>
        </w:rPr>
        <w:t>Ozier Y</w:t>
      </w:r>
      <w:r w:rsidRPr="002E3D4C">
        <w:rPr>
          <w:rFonts w:ascii="Book Antiqua" w:eastAsia="宋体" w:hAnsi="Book Antiqua" w:cs="宋体"/>
          <w:lang w:val="en-US" w:eastAsia="zh-CN"/>
        </w:rPr>
        <w:t xml:space="preserve">, Tsou MY. Changing trends in transfusion practice in liver transplantation. </w:t>
      </w:r>
      <w:r w:rsidRPr="002E3D4C">
        <w:rPr>
          <w:rFonts w:ascii="Book Antiqua" w:eastAsia="宋体" w:hAnsi="Book Antiqua" w:cs="宋体"/>
          <w:i/>
          <w:iCs/>
          <w:lang w:val="en-US" w:eastAsia="zh-CN"/>
        </w:rPr>
        <w:t>Curr Opin Organ Transplant</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13</w:t>
      </w:r>
      <w:r w:rsidRPr="002E3D4C">
        <w:rPr>
          <w:rFonts w:ascii="Book Antiqua" w:eastAsia="宋体" w:hAnsi="Book Antiqua" w:cs="宋体"/>
          <w:lang w:val="en-US" w:eastAsia="zh-CN"/>
        </w:rPr>
        <w:t>: 304-309 [PMID: 18685322 DOI: 10.1097/MOT.0b013e3282faa0dd]</w:t>
      </w:r>
    </w:p>
    <w:p w14:paraId="3FFD64B1" w14:textId="265A12E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18 </w:t>
      </w:r>
      <w:r w:rsidRPr="002E3D4C">
        <w:rPr>
          <w:rFonts w:ascii="Book Antiqua" w:eastAsia="宋体" w:hAnsi="Book Antiqua" w:cs="宋体"/>
          <w:b/>
          <w:bCs/>
          <w:lang w:val="en-US" w:eastAsia="zh-CN"/>
        </w:rPr>
        <w:t>Porte RJ</w:t>
      </w:r>
      <w:r w:rsidRPr="002E3D4C">
        <w:rPr>
          <w:rFonts w:ascii="Book Antiqua" w:eastAsia="宋体" w:hAnsi="Book Antiqua" w:cs="宋体"/>
          <w:lang w:val="en-US" w:eastAsia="zh-CN"/>
        </w:rPr>
        <w:t xml:space="preserve">, Hendriks HG, Slooff MJ. Blood conservation in liver transplantation: The role of aprotinin. </w:t>
      </w:r>
      <w:r w:rsidRPr="002E3D4C">
        <w:rPr>
          <w:rFonts w:ascii="Book Antiqua" w:eastAsia="宋体" w:hAnsi="Book Antiqua" w:cs="宋体"/>
          <w:i/>
          <w:iCs/>
          <w:lang w:val="en-US" w:eastAsia="zh-CN"/>
        </w:rPr>
        <w:t>J Cardiothorac Vasc Anesth</w:t>
      </w:r>
      <w:r w:rsidRPr="002E3D4C">
        <w:rPr>
          <w:rFonts w:ascii="Book Antiqua" w:eastAsia="宋体" w:hAnsi="Book Antiqua" w:cs="宋体"/>
          <w:lang w:val="en-US" w:eastAsia="zh-CN"/>
        </w:rPr>
        <w:t xml:space="preserve"> 2004; </w:t>
      </w:r>
      <w:r w:rsidRPr="002E3D4C">
        <w:rPr>
          <w:rFonts w:ascii="Book Antiqua" w:eastAsia="宋体" w:hAnsi="Book Antiqua" w:cs="宋体"/>
          <w:b/>
          <w:bCs/>
          <w:lang w:val="en-US" w:eastAsia="zh-CN"/>
        </w:rPr>
        <w:t>18</w:t>
      </w:r>
      <w:r w:rsidRPr="002E3D4C">
        <w:rPr>
          <w:rFonts w:ascii="Book Antiqua" w:eastAsia="宋体" w:hAnsi="Book Antiqua" w:cs="宋体"/>
          <w:lang w:val="en-US" w:eastAsia="zh-CN"/>
        </w:rPr>
        <w:t>: 31S-37S [PMID: 15368204 DOI: 10.1053/j.jvca.2004.05.004]</w:t>
      </w:r>
    </w:p>
    <w:p w14:paraId="770CA9F2" w14:textId="6892E20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19 </w:t>
      </w:r>
      <w:r w:rsidRPr="002E3D4C">
        <w:rPr>
          <w:rFonts w:ascii="Book Antiqua" w:eastAsia="宋体" w:hAnsi="Book Antiqua" w:cs="宋体"/>
          <w:b/>
          <w:bCs/>
          <w:lang w:val="en-US" w:eastAsia="zh-CN"/>
        </w:rPr>
        <w:t>Ramos HC</w:t>
      </w:r>
      <w:r w:rsidRPr="002E3D4C">
        <w:rPr>
          <w:rFonts w:ascii="Book Antiqua" w:eastAsia="宋体" w:hAnsi="Book Antiqua" w:cs="宋体"/>
          <w:lang w:val="en-US" w:eastAsia="zh-CN"/>
        </w:rPr>
        <w:t xml:space="preserve">, Todo S, Kang Y, Felekouras E, Doyle HR, Starzl TE. Liver transplantation without the use of blood products. </w:t>
      </w:r>
      <w:r w:rsidRPr="002E3D4C">
        <w:rPr>
          <w:rFonts w:ascii="Book Antiqua" w:eastAsia="宋体" w:hAnsi="Book Antiqua" w:cs="宋体"/>
          <w:i/>
          <w:iCs/>
          <w:lang w:val="en-US" w:eastAsia="zh-CN"/>
        </w:rPr>
        <w:t>Arch Surg</w:t>
      </w:r>
      <w:r w:rsidRPr="002E3D4C">
        <w:rPr>
          <w:rFonts w:ascii="Book Antiqua" w:eastAsia="宋体" w:hAnsi="Book Antiqua" w:cs="宋体"/>
          <w:lang w:val="en-US" w:eastAsia="zh-CN"/>
        </w:rPr>
        <w:t xml:space="preserve"> 1994; </w:t>
      </w:r>
      <w:r w:rsidRPr="002E3D4C">
        <w:rPr>
          <w:rFonts w:ascii="Book Antiqua" w:eastAsia="宋体" w:hAnsi="Book Antiqua" w:cs="宋体"/>
          <w:b/>
          <w:bCs/>
          <w:lang w:val="en-US" w:eastAsia="zh-CN"/>
        </w:rPr>
        <w:t>129</w:t>
      </w:r>
      <w:r w:rsidRPr="002E3D4C">
        <w:rPr>
          <w:rFonts w:ascii="Book Antiqua" w:eastAsia="宋体" w:hAnsi="Book Antiqua" w:cs="宋体"/>
          <w:lang w:val="en-US" w:eastAsia="zh-CN"/>
        </w:rPr>
        <w:t>: 528-32; discussion 532-3 [PMID: 8185476 DOI: 10.1001/archsurg.1994.01420290074011]</w:t>
      </w:r>
    </w:p>
    <w:p w14:paraId="3BE0AC57" w14:textId="65F631C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20 </w:t>
      </w:r>
      <w:r w:rsidRPr="002E3D4C">
        <w:rPr>
          <w:rFonts w:ascii="Book Antiqua" w:eastAsia="宋体" w:hAnsi="Book Antiqua" w:cs="宋体"/>
          <w:b/>
          <w:bCs/>
          <w:lang w:val="en-US" w:eastAsia="zh-CN"/>
        </w:rPr>
        <w:t>Massicotte L</w:t>
      </w:r>
      <w:r w:rsidRPr="002E3D4C">
        <w:rPr>
          <w:rFonts w:ascii="Book Antiqua" w:eastAsia="宋体" w:hAnsi="Book Antiqua" w:cs="宋体"/>
          <w:lang w:val="en-US" w:eastAsia="zh-CN"/>
        </w:rPr>
        <w:t xml:space="preserve">, Thibeault L, Roy A. Classical Notions of Coagulation Revisited in Relation with Blood Losses, Transfusion Rate for 700 Consecutive Liver Transplantations. </w:t>
      </w:r>
      <w:r w:rsidRPr="002E3D4C">
        <w:rPr>
          <w:rFonts w:ascii="Book Antiqua" w:eastAsia="宋体" w:hAnsi="Book Antiqua" w:cs="宋体"/>
          <w:i/>
          <w:iCs/>
          <w:lang w:val="en-US" w:eastAsia="zh-CN"/>
        </w:rPr>
        <w:t>Semin Thromb Hemost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41</w:t>
      </w:r>
      <w:r w:rsidRPr="002E3D4C">
        <w:rPr>
          <w:rFonts w:ascii="Book Antiqua" w:eastAsia="宋体" w:hAnsi="Book Antiqua" w:cs="宋体"/>
          <w:lang w:val="en-US" w:eastAsia="zh-CN"/>
        </w:rPr>
        <w:t>: 538-546 [PMID: 26080304 DOI: 10.1055/s-0035-1550428]</w:t>
      </w:r>
    </w:p>
    <w:p w14:paraId="35405029" w14:textId="30DFCC0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21 </w:t>
      </w:r>
      <w:r w:rsidRPr="002E3D4C">
        <w:rPr>
          <w:rFonts w:ascii="Book Antiqua" w:eastAsia="宋体" w:hAnsi="Book Antiqua" w:cs="宋体"/>
          <w:b/>
          <w:bCs/>
          <w:lang w:val="en-US" w:eastAsia="zh-CN"/>
        </w:rPr>
        <w:t>Stoye A</w:t>
      </w:r>
      <w:r w:rsidRPr="002E3D4C">
        <w:rPr>
          <w:rFonts w:ascii="Book Antiqua" w:eastAsia="宋体" w:hAnsi="Book Antiqua" w:cs="宋体"/>
          <w:lang w:val="en-US" w:eastAsia="zh-CN"/>
        </w:rPr>
        <w:t xml:space="preserve">, Chapin JW, Botha J, Grant W. Bloodless liver transplantation in a Jehovah's Witness. </w:t>
      </w:r>
      <w:r w:rsidRPr="002E3D4C">
        <w:rPr>
          <w:rFonts w:ascii="Book Antiqua" w:eastAsia="宋体" w:hAnsi="Book Antiqua" w:cs="宋体"/>
          <w:i/>
          <w:iCs/>
          <w:lang w:val="en-US" w:eastAsia="zh-CN"/>
        </w:rPr>
        <w:t>Int Anesthesiol Clin</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49</w:t>
      </w:r>
      <w:r w:rsidRPr="002E3D4C">
        <w:rPr>
          <w:rFonts w:ascii="Book Antiqua" w:eastAsia="宋体" w:hAnsi="Book Antiqua" w:cs="宋体"/>
          <w:lang w:val="en-US" w:eastAsia="zh-CN"/>
        </w:rPr>
        <w:t>: 108-115 [PMID: 21441809 DOI: 10.1097/AIA.0b013e3181fa1482]</w:t>
      </w:r>
    </w:p>
    <w:p w14:paraId="7F500477" w14:textId="14A3C9C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22 </w:t>
      </w:r>
      <w:r w:rsidRPr="002E3D4C">
        <w:rPr>
          <w:rFonts w:ascii="Book Antiqua" w:eastAsia="宋体" w:hAnsi="Book Antiqua" w:cs="宋体"/>
          <w:b/>
          <w:bCs/>
          <w:lang w:val="en-US" w:eastAsia="zh-CN"/>
        </w:rPr>
        <w:t>Jabbour N</w:t>
      </w:r>
      <w:r w:rsidRPr="002E3D4C">
        <w:rPr>
          <w:rFonts w:ascii="Book Antiqua" w:eastAsia="宋体" w:hAnsi="Book Antiqua" w:cs="宋体"/>
          <w:lang w:val="en-US" w:eastAsia="zh-CN"/>
        </w:rPr>
        <w:t xml:space="preserve">, Gagandeep S, Shah H, Mateo R, Stapfer M, Genyk Y, Sher L, Zwierzchoniewska M, Selby R, Zeger G. Impact of a transfusion-free program on non-Jehovah's Witness patients undergoing liver transplantation. </w:t>
      </w:r>
      <w:r w:rsidRPr="002E3D4C">
        <w:rPr>
          <w:rFonts w:ascii="Book Antiqua" w:eastAsia="宋体" w:hAnsi="Book Antiqua" w:cs="宋体"/>
          <w:i/>
          <w:iCs/>
          <w:lang w:val="en-US" w:eastAsia="zh-CN"/>
        </w:rPr>
        <w:t>Arch Surg</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141</w:t>
      </w:r>
      <w:r w:rsidRPr="002E3D4C">
        <w:rPr>
          <w:rFonts w:ascii="Book Antiqua" w:eastAsia="宋体" w:hAnsi="Book Antiqua" w:cs="宋体"/>
          <w:lang w:val="en-US" w:eastAsia="zh-CN"/>
        </w:rPr>
        <w:t>: 913-917 [PMID: 17001788 DOI: 10.1001/archsurg.141.9.913]</w:t>
      </w:r>
    </w:p>
    <w:p w14:paraId="3BC845B0" w14:textId="559C74D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23 </w:t>
      </w:r>
      <w:r w:rsidRPr="002E3D4C">
        <w:rPr>
          <w:rFonts w:ascii="Book Antiqua" w:eastAsia="宋体" w:hAnsi="Book Antiqua" w:cs="宋体"/>
          <w:b/>
          <w:bCs/>
          <w:lang w:val="en-US" w:eastAsia="zh-CN"/>
        </w:rPr>
        <w:t>Cacciarelli TV</w:t>
      </w:r>
      <w:r w:rsidRPr="002E3D4C">
        <w:rPr>
          <w:rFonts w:ascii="Book Antiqua" w:eastAsia="宋体" w:hAnsi="Book Antiqua" w:cs="宋体"/>
          <w:lang w:val="en-US" w:eastAsia="zh-CN"/>
        </w:rPr>
        <w:t xml:space="preserve">, Keeffe EB, Moore DH, Burns W, Chuljian P, Busque S, Concepcion W, So SK, Esquivel CO. Primary liver transplantation without transfusion of red blood cells. </w:t>
      </w:r>
      <w:r w:rsidRPr="002E3D4C">
        <w:rPr>
          <w:rFonts w:ascii="Book Antiqua" w:eastAsia="宋体" w:hAnsi="Book Antiqua" w:cs="宋体"/>
          <w:i/>
          <w:iCs/>
          <w:lang w:val="en-US" w:eastAsia="zh-CN"/>
        </w:rPr>
        <w:t>Surgery</w:t>
      </w:r>
      <w:r w:rsidRPr="002E3D4C">
        <w:rPr>
          <w:rFonts w:ascii="Book Antiqua" w:eastAsia="宋体" w:hAnsi="Book Antiqua" w:cs="宋体"/>
          <w:lang w:val="en-US" w:eastAsia="zh-CN"/>
        </w:rPr>
        <w:t xml:space="preserve"> 1996; </w:t>
      </w:r>
      <w:r w:rsidRPr="002E3D4C">
        <w:rPr>
          <w:rFonts w:ascii="Book Antiqua" w:eastAsia="宋体" w:hAnsi="Book Antiqua" w:cs="宋体"/>
          <w:b/>
          <w:bCs/>
          <w:lang w:val="en-US" w:eastAsia="zh-CN"/>
        </w:rPr>
        <w:t>120</w:t>
      </w:r>
      <w:r w:rsidRPr="002E3D4C">
        <w:rPr>
          <w:rFonts w:ascii="Book Antiqua" w:eastAsia="宋体" w:hAnsi="Book Antiqua" w:cs="宋体"/>
          <w:lang w:val="en-US" w:eastAsia="zh-CN"/>
        </w:rPr>
        <w:t>: 698-704; discussion 704-</w:t>
      </w:r>
      <w:r w:rsidR="0029483E">
        <w:rPr>
          <w:rFonts w:ascii="Book Antiqua" w:eastAsia="宋体" w:hAnsi="Book Antiqua" w:cs="宋体" w:hint="eastAsia"/>
          <w:lang w:val="en-US" w:eastAsia="zh-CN"/>
        </w:rPr>
        <w:t>70</w:t>
      </w:r>
      <w:r w:rsidRPr="002E3D4C">
        <w:rPr>
          <w:rFonts w:ascii="Book Antiqua" w:eastAsia="宋体" w:hAnsi="Book Antiqua" w:cs="宋体"/>
          <w:lang w:val="en-US" w:eastAsia="zh-CN"/>
        </w:rPr>
        <w:t>5 [PMID: 8862380 DOI: 10.1016/S0039-6060(96)80019-5]</w:t>
      </w:r>
    </w:p>
    <w:p w14:paraId="0D263F8A" w14:textId="6E3C831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24 </w:t>
      </w:r>
      <w:r w:rsidRPr="002E3D4C">
        <w:rPr>
          <w:rFonts w:ascii="Book Antiqua" w:eastAsia="宋体" w:hAnsi="Book Antiqua" w:cs="宋体"/>
          <w:b/>
          <w:bCs/>
          <w:lang w:val="en-US" w:eastAsia="zh-CN"/>
        </w:rPr>
        <w:t>Ozier Y</w:t>
      </w:r>
      <w:r w:rsidRPr="002E3D4C">
        <w:rPr>
          <w:rFonts w:ascii="Book Antiqua" w:eastAsia="宋体" w:hAnsi="Book Antiqua" w:cs="宋体"/>
          <w:lang w:val="en-US" w:eastAsia="zh-CN"/>
        </w:rPr>
        <w:t xml:space="preserve">, Pessione F, Samain E, Courtois F. Institutional variability in transfusion practice for liver transplantation. </w:t>
      </w:r>
      <w:r w:rsidRPr="002E3D4C">
        <w:rPr>
          <w:rFonts w:ascii="Book Antiqua" w:eastAsia="宋体" w:hAnsi="Book Antiqua" w:cs="宋体"/>
          <w:i/>
          <w:iCs/>
          <w:lang w:val="en-US" w:eastAsia="zh-CN"/>
        </w:rPr>
        <w:t>Anesth Analg</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97</w:t>
      </w:r>
      <w:r w:rsidRPr="002E3D4C">
        <w:rPr>
          <w:rFonts w:ascii="Book Antiqua" w:eastAsia="宋体" w:hAnsi="Book Antiqua" w:cs="宋体"/>
          <w:lang w:val="en-US" w:eastAsia="zh-CN"/>
        </w:rPr>
        <w:t>: 671-679 [PMID: 12933381 DOI: 10.1213/01.ANE.0000073354.38695.7C]</w:t>
      </w:r>
    </w:p>
    <w:p w14:paraId="0F60595E" w14:textId="227D579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25 </w:t>
      </w:r>
      <w:r w:rsidRPr="002E3D4C">
        <w:rPr>
          <w:rFonts w:ascii="Book Antiqua" w:eastAsia="宋体" w:hAnsi="Book Antiqua" w:cs="宋体"/>
          <w:b/>
          <w:bCs/>
          <w:lang w:val="en-US" w:eastAsia="zh-CN"/>
        </w:rPr>
        <w:t>Cywinski JB</w:t>
      </w:r>
      <w:r w:rsidRPr="002E3D4C">
        <w:rPr>
          <w:rFonts w:ascii="Book Antiqua" w:eastAsia="宋体" w:hAnsi="Book Antiqua" w:cs="宋体"/>
          <w:lang w:val="en-US" w:eastAsia="zh-CN"/>
        </w:rPr>
        <w:t xml:space="preserve">, You J, Argalious M, Irefin S, Parker BM, Fung JJ, Koch CG. Transfusion of older red blood cells is associated with decreased graft survival after orthotopic liver transplantation.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19</w:t>
      </w:r>
      <w:r w:rsidRPr="002E3D4C">
        <w:rPr>
          <w:rFonts w:ascii="Book Antiqua" w:eastAsia="宋体" w:hAnsi="Book Antiqua" w:cs="宋体"/>
          <w:lang w:val="en-US" w:eastAsia="zh-CN"/>
        </w:rPr>
        <w:t>: 1181-1188 [PMID: 23813754 DOI: 10.1002/lt.23695]</w:t>
      </w:r>
    </w:p>
    <w:p w14:paraId="7E512284" w14:textId="55493ED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26 </w:t>
      </w:r>
      <w:r w:rsidRPr="002E3D4C">
        <w:rPr>
          <w:rFonts w:ascii="Book Antiqua" w:eastAsia="宋体" w:hAnsi="Book Antiqua" w:cs="宋体"/>
          <w:b/>
          <w:bCs/>
          <w:lang w:val="en-US" w:eastAsia="zh-CN"/>
        </w:rPr>
        <w:t>Chung HS</w:t>
      </w:r>
      <w:r w:rsidRPr="002E3D4C">
        <w:rPr>
          <w:rFonts w:ascii="Book Antiqua" w:eastAsia="宋体" w:hAnsi="Book Antiqua" w:cs="宋体"/>
          <w:lang w:val="en-US" w:eastAsia="zh-CN"/>
        </w:rPr>
        <w:t xml:space="preserve">, Jung DH, Park CS. Intraoperative predictors of short-term mortality in living donor liver transplantation due to acute liver failure.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w:t>
      </w:r>
      <w:r w:rsidR="0029483E">
        <w:rPr>
          <w:rFonts w:ascii="Book Antiqua" w:eastAsia="宋体" w:hAnsi="Book Antiqua" w:cs="宋体" w:hint="eastAsia"/>
          <w:lang w:val="en-US" w:eastAsia="zh-CN"/>
        </w:rPr>
        <w:t>2013</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45</w:t>
      </w:r>
      <w:r w:rsidRPr="002E3D4C">
        <w:rPr>
          <w:rFonts w:ascii="Book Antiqua" w:eastAsia="宋体" w:hAnsi="Book Antiqua" w:cs="宋体"/>
          <w:lang w:val="en-US" w:eastAsia="zh-CN"/>
        </w:rPr>
        <w:t>: 236-240 [PMID: 23375307 DOI: 10.1016/j.transproceed.2012.06.077]</w:t>
      </w:r>
    </w:p>
    <w:p w14:paraId="09A62B13" w14:textId="75FC11D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27 </w:t>
      </w:r>
      <w:r w:rsidRPr="002E3D4C">
        <w:rPr>
          <w:rFonts w:ascii="Book Antiqua" w:eastAsia="宋体" w:hAnsi="Book Antiqua" w:cs="宋体"/>
          <w:b/>
          <w:bCs/>
          <w:lang w:val="en-US" w:eastAsia="zh-CN"/>
        </w:rPr>
        <w:t>Ozkardesler S</w:t>
      </w:r>
      <w:r w:rsidRPr="002E3D4C">
        <w:rPr>
          <w:rFonts w:ascii="Book Antiqua" w:eastAsia="宋体" w:hAnsi="Book Antiqua" w:cs="宋体"/>
          <w:lang w:val="en-US" w:eastAsia="zh-CN"/>
        </w:rPr>
        <w:t xml:space="preserve">, Avkan-Oguz V, Akan M, Unek T, Ozbilgin M, Meseri R, Cimen M, Karademir S. Effects of blood products on nosocomial infections in liver transplant recipients. </w:t>
      </w:r>
      <w:r w:rsidRPr="002E3D4C">
        <w:rPr>
          <w:rFonts w:ascii="Book Antiqua" w:eastAsia="宋体" w:hAnsi="Book Antiqua" w:cs="宋体"/>
          <w:i/>
          <w:iCs/>
          <w:lang w:val="en-US" w:eastAsia="zh-CN"/>
        </w:rPr>
        <w:t>Exp Clin Transplant</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11</w:t>
      </w:r>
      <w:r w:rsidRPr="002E3D4C">
        <w:rPr>
          <w:rFonts w:ascii="Book Antiqua" w:eastAsia="宋体" w:hAnsi="Book Antiqua" w:cs="宋体"/>
          <w:lang w:val="en-US" w:eastAsia="zh-CN"/>
        </w:rPr>
        <w:t>: 530-536 [PMID: 23901878 DOI: 10.6002/ect.2012.0286]</w:t>
      </w:r>
    </w:p>
    <w:p w14:paraId="46CF3AF7" w14:textId="6244981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28 </w:t>
      </w:r>
      <w:r w:rsidRPr="002E3D4C">
        <w:rPr>
          <w:rFonts w:ascii="Book Antiqua" w:eastAsia="宋体" w:hAnsi="Book Antiqua" w:cs="宋体"/>
          <w:b/>
          <w:bCs/>
          <w:lang w:val="en-US" w:eastAsia="zh-CN"/>
        </w:rPr>
        <w:t>Rana A</w:t>
      </w:r>
      <w:r w:rsidRPr="002E3D4C">
        <w:rPr>
          <w:rFonts w:ascii="Book Antiqua" w:eastAsia="宋体" w:hAnsi="Book Antiqua" w:cs="宋体"/>
          <w:lang w:val="en-US" w:eastAsia="zh-CN"/>
        </w:rPr>
        <w:t xml:space="preserve">, Petrowsky H, Hong JC, Agopian VG, Kaldas FM, Farmer D, Yersiz H, Hiatt JR, Busuttil RW. Blood transfusion requirement during liver </w:t>
      </w:r>
      <w:r w:rsidRPr="002E3D4C">
        <w:rPr>
          <w:rFonts w:ascii="Book Antiqua" w:eastAsia="宋体" w:hAnsi="Book Antiqua" w:cs="宋体"/>
          <w:lang w:val="en-US" w:eastAsia="zh-CN"/>
        </w:rPr>
        <w:lastRenderedPageBreak/>
        <w:t xml:space="preserve">transplantation is an important risk factor for mortality. </w:t>
      </w:r>
      <w:r w:rsidRPr="002E3D4C">
        <w:rPr>
          <w:rFonts w:ascii="Book Antiqua" w:eastAsia="宋体" w:hAnsi="Book Antiqua" w:cs="宋体"/>
          <w:i/>
          <w:iCs/>
          <w:lang w:val="en-US" w:eastAsia="zh-CN"/>
        </w:rPr>
        <w:t>J Am Coll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216</w:t>
      </w:r>
      <w:r w:rsidRPr="002E3D4C">
        <w:rPr>
          <w:rFonts w:ascii="Book Antiqua" w:eastAsia="宋体" w:hAnsi="Book Antiqua" w:cs="宋体"/>
          <w:lang w:val="en-US" w:eastAsia="zh-CN"/>
        </w:rPr>
        <w:t>: 902-907 [PMID: 23478547 DOI: 10.1016/j.jamcollsurg.2012.12.047]</w:t>
      </w:r>
    </w:p>
    <w:p w14:paraId="1715DF03" w14:textId="7C8B1B9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29 </w:t>
      </w:r>
      <w:r w:rsidRPr="002E3D4C">
        <w:rPr>
          <w:rFonts w:ascii="Book Antiqua" w:eastAsia="宋体" w:hAnsi="Book Antiqua" w:cs="宋体"/>
          <w:b/>
          <w:bCs/>
          <w:lang w:val="en-US" w:eastAsia="zh-CN"/>
        </w:rPr>
        <w:t>Reichert B</w:t>
      </w:r>
      <w:r w:rsidRPr="002E3D4C">
        <w:rPr>
          <w:rFonts w:ascii="Book Antiqua" w:eastAsia="宋体" w:hAnsi="Book Antiqua" w:cs="宋体"/>
          <w:lang w:val="en-US" w:eastAsia="zh-CN"/>
        </w:rPr>
        <w:t xml:space="preserve">, Kaltenborn A, Becker T, Schiffer M, Klempnauer J, Schrem H. Massive blood transfusion after the first cut in liver transplantation predicts renal outcome and survival. </w:t>
      </w:r>
      <w:r w:rsidRPr="002E3D4C">
        <w:rPr>
          <w:rFonts w:ascii="Book Antiqua" w:eastAsia="宋体" w:hAnsi="Book Antiqua" w:cs="宋体"/>
          <w:i/>
          <w:iCs/>
          <w:lang w:val="en-US" w:eastAsia="zh-CN"/>
        </w:rPr>
        <w:t>Langenbecks Arch Surg</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399</w:t>
      </w:r>
      <w:r w:rsidRPr="002E3D4C">
        <w:rPr>
          <w:rFonts w:ascii="Book Antiqua" w:eastAsia="宋体" w:hAnsi="Book Antiqua" w:cs="宋体"/>
          <w:lang w:val="en-US" w:eastAsia="zh-CN"/>
        </w:rPr>
        <w:t>: 429-440 [PMID: 24682384 DOI: 10.1007/s00423-014-1181-y]</w:t>
      </w:r>
    </w:p>
    <w:p w14:paraId="3D19424B"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30 </w:t>
      </w:r>
      <w:r w:rsidRPr="002E3D4C">
        <w:rPr>
          <w:rFonts w:ascii="Book Antiqua" w:eastAsia="宋体" w:hAnsi="Book Antiqua" w:cs="宋体"/>
          <w:b/>
          <w:bCs/>
          <w:lang w:val="en-US" w:eastAsia="zh-CN"/>
        </w:rPr>
        <w:t>Feltracco P</w:t>
      </w:r>
      <w:r w:rsidRPr="002E3D4C">
        <w:rPr>
          <w:rFonts w:ascii="Book Antiqua" w:eastAsia="宋体" w:hAnsi="Book Antiqua" w:cs="宋体"/>
          <w:lang w:val="en-US" w:eastAsia="zh-CN"/>
        </w:rPr>
        <w:t xml:space="preserve">, Brezzi M, Barbieri S, Galligioni H, Milevoj M, Carollo C, Ori C. Blood loss, predictors of bleeding, transfusion practice and strategies of blood cell salvaging during liver transplantation. </w:t>
      </w:r>
      <w:r w:rsidRPr="002E3D4C">
        <w:rPr>
          <w:rFonts w:ascii="Book Antiqua" w:eastAsia="宋体" w:hAnsi="Book Antiqua" w:cs="宋体"/>
          <w:i/>
          <w:iCs/>
          <w:lang w:val="en-US" w:eastAsia="zh-CN"/>
        </w:rPr>
        <w:t>World J Hepatol</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5</w:t>
      </w:r>
      <w:r w:rsidRPr="002E3D4C">
        <w:rPr>
          <w:rFonts w:ascii="Book Antiqua" w:eastAsia="宋体" w:hAnsi="Book Antiqua" w:cs="宋体"/>
          <w:lang w:val="en-US" w:eastAsia="zh-CN"/>
        </w:rPr>
        <w:t>: 1-15 [PMID: 23383361 DOI: 10.4254/wjh.v5.i1.1]</w:t>
      </w:r>
    </w:p>
    <w:p w14:paraId="0D1106AC" w14:textId="7FAE785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31 </w:t>
      </w:r>
      <w:r w:rsidRPr="002E3D4C">
        <w:rPr>
          <w:rFonts w:ascii="Book Antiqua" w:eastAsia="宋体" w:hAnsi="Book Antiqua" w:cs="宋体"/>
          <w:b/>
          <w:bCs/>
          <w:lang w:val="en-US" w:eastAsia="zh-CN"/>
        </w:rPr>
        <w:t>Pandey CK</w:t>
      </w:r>
      <w:r w:rsidRPr="002E3D4C">
        <w:rPr>
          <w:rFonts w:ascii="Book Antiqua" w:eastAsia="宋体" w:hAnsi="Book Antiqua" w:cs="宋体"/>
          <w:lang w:val="en-US" w:eastAsia="zh-CN"/>
        </w:rPr>
        <w:t xml:space="preserve">, Singh A, Kajal K, Dhankhar M, Tandon M, Pandey VK, Karna ST. Intraoperative blood loss in orthotopic liver transplantation: The predictive factors. </w:t>
      </w:r>
      <w:r w:rsidRPr="002E3D4C">
        <w:rPr>
          <w:rFonts w:ascii="Book Antiqua" w:eastAsia="宋体" w:hAnsi="Book Antiqua" w:cs="宋体"/>
          <w:i/>
          <w:iCs/>
          <w:lang w:val="en-US" w:eastAsia="zh-CN"/>
        </w:rPr>
        <w:t>World J Gastrointest Surg</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7</w:t>
      </w:r>
      <w:r w:rsidRPr="002E3D4C">
        <w:rPr>
          <w:rFonts w:ascii="Book Antiqua" w:eastAsia="宋体" w:hAnsi="Book Antiqua" w:cs="宋体"/>
          <w:lang w:val="en-US" w:eastAsia="zh-CN"/>
        </w:rPr>
        <w:t>: 86-93 [PMID: 26131330 DOI: 10.4240/wjgs.v7.i6.86]</w:t>
      </w:r>
    </w:p>
    <w:p w14:paraId="6139BCA3" w14:textId="634CD2E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32 </w:t>
      </w:r>
      <w:r w:rsidRPr="002E3D4C">
        <w:rPr>
          <w:rFonts w:ascii="Book Antiqua" w:eastAsia="宋体" w:hAnsi="Book Antiqua" w:cs="宋体"/>
          <w:b/>
          <w:bCs/>
          <w:lang w:val="en-US" w:eastAsia="zh-CN"/>
        </w:rPr>
        <w:t>Donohue CI</w:t>
      </w:r>
      <w:r w:rsidRPr="002E3D4C">
        <w:rPr>
          <w:rFonts w:ascii="Book Antiqua" w:eastAsia="宋体" w:hAnsi="Book Antiqua" w:cs="宋体"/>
          <w:lang w:val="en-US" w:eastAsia="zh-CN"/>
        </w:rPr>
        <w:t xml:space="preserve">, Mallett SV. Reducing transfusion requirements in liver transplantation. </w:t>
      </w:r>
      <w:r w:rsidRPr="002E3D4C">
        <w:rPr>
          <w:rFonts w:ascii="Book Antiqua" w:eastAsia="宋体" w:hAnsi="Book Antiqua" w:cs="宋体"/>
          <w:i/>
          <w:iCs/>
          <w:lang w:val="en-US" w:eastAsia="zh-CN"/>
        </w:rPr>
        <w:t>World J Transplant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5</w:t>
      </w:r>
      <w:r w:rsidRPr="002E3D4C">
        <w:rPr>
          <w:rFonts w:ascii="Book Antiqua" w:eastAsia="宋体" w:hAnsi="Book Antiqua" w:cs="宋体"/>
          <w:lang w:val="en-US" w:eastAsia="zh-CN"/>
        </w:rPr>
        <w:t>: 165-182 [PMID: 26722645 DOI: 10.5500/wjt.v5.i4.165]</w:t>
      </w:r>
    </w:p>
    <w:p w14:paraId="7F06B657" w14:textId="1544455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33 </w:t>
      </w:r>
      <w:r w:rsidRPr="002E3D4C">
        <w:rPr>
          <w:rFonts w:ascii="Book Antiqua" w:eastAsia="宋体" w:hAnsi="Book Antiqua" w:cs="宋体"/>
          <w:b/>
          <w:bCs/>
          <w:lang w:val="en-US" w:eastAsia="zh-CN"/>
        </w:rPr>
        <w:t>Clevenger B</w:t>
      </w:r>
      <w:r w:rsidRPr="002E3D4C">
        <w:rPr>
          <w:rFonts w:ascii="Book Antiqua" w:eastAsia="宋体" w:hAnsi="Book Antiqua" w:cs="宋体"/>
          <w:lang w:val="en-US" w:eastAsia="zh-CN"/>
        </w:rPr>
        <w:t xml:space="preserve">, Mallett SV. Transfusion and coagulation management in liver transplantation. </w:t>
      </w:r>
      <w:r w:rsidRPr="002E3D4C">
        <w:rPr>
          <w:rFonts w:ascii="Book Antiqua" w:eastAsia="宋体" w:hAnsi="Book Antiqua" w:cs="宋体"/>
          <w:i/>
          <w:iCs/>
          <w:lang w:val="en-US" w:eastAsia="zh-CN"/>
        </w:rPr>
        <w:t>World J Gastroenterol</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20</w:t>
      </w:r>
      <w:r w:rsidRPr="002E3D4C">
        <w:rPr>
          <w:rFonts w:ascii="Book Antiqua" w:eastAsia="宋体" w:hAnsi="Book Antiqua" w:cs="宋体"/>
          <w:lang w:val="en-US" w:eastAsia="zh-CN"/>
        </w:rPr>
        <w:t>: 6146-6158 [PMID: 24876736 DOI: 10.3748/wjg.v20.i20.6146]</w:t>
      </w:r>
    </w:p>
    <w:p w14:paraId="3F8E34D8" w14:textId="77249E0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34 </w:t>
      </w:r>
      <w:r w:rsidRPr="002E3D4C">
        <w:rPr>
          <w:rFonts w:ascii="Book Antiqua" w:eastAsia="宋体" w:hAnsi="Book Antiqua" w:cs="宋体"/>
          <w:b/>
          <w:bCs/>
          <w:lang w:val="en-US" w:eastAsia="zh-CN"/>
        </w:rPr>
        <w:t>Stainsby D</w:t>
      </w:r>
      <w:r w:rsidRPr="002E3D4C">
        <w:rPr>
          <w:rFonts w:ascii="Book Antiqua" w:eastAsia="宋体" w:hAnsi="Book Antiqua" w:cs="宋体"/>
          <w:lang w:val="en-US" w:eastAsia="zh-CN"/>
        </w:rPr>
        <w:t xml:space="preserve">, MacLennan S, Hamilton PJ. Management of massive blood loss: a template guideline. </w:t>
      </w:r>
      <w:r w:rsidRPr="002E3D4C">
        <w:rPr>
          <w:rFonts w:ascii="Book Antiqua" w:eastAsia="宋体" w:hAnsi="Book Antiqua" w:cs="宋体"/>
          <w:i/>
          <w:iCs/>
          <w:lang w:val="en-US" w:eastAsia="zh-CN"/>
        </w:rPr>
        <w:t>Br J Anaesth</w:t>
      </w:r>
      <w:r w:rsidRPr="002E3D4C">
        <w:rPr>
          <w:rFonts w:ascii="Book Antiqua" w:eastAsia="宋体" w:hAnsi="Book Antiqua" w:cs="宋体"/>
          <w:lang w:val="en-US" w:eastAsia="zh-CN"/>
        </w:rPr>
        <w:t xml:space="preserve"> 2000; </w:t>
      </w:r>
      <w:r w:rsidRPr="002E3D4C">
        <w:rPr>
          <w:rFonts w:ascii="Book Antiqua" w:eastAsia="宋体" w:hAnsi="Book Antiqua" w:cs="宋体"/>
          <w:b/>
          <w:bCs/>
          <w:lang w:val="en-US" w:eastAsia="zh-CN"/>
        </w:rPr>
        <w:t>85</w:t>
      </w:r>
      <w:r w:rsidRPr="002E3D4C">
        <w:rPr>
          <w:rFonts w:ascii="Book Antiqua" w:eastAsia="宋体" w:hAnsi="Book Antiqua" w:cs="宋体"/>
          <w:lang w:val="en-US" w:eastAsia="zh-CN"/>
        </w:rPr>
        <w:t>: 487-491 [PMID: 11103199 DOI: 10.1093/bja/85.3.487]</w:t>
      </w:r>
    </w:p>
    <w:p w14:paraId="4D8E2B71" w14:textId="52D0403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35 </w:t>
      </w:r>
      <w:r w:rsidRPr="002E3D4C">
        <w:rPr>
          <w:rFonts w:ascii="Book Antiqua" w:eastAsia="宋体" w:hAnsi="Book Antiqua" w:cs="宋体"/>
          <w:b/>
          <w:bCs/>
          <w:lang w:val="en-US" w:eastAsia="zh-CN"/>
        </w:rPr>
        <w:t>Rahbar E</w:t>
      </w:r>
      <w:r w:rsidRPr="002E3D4C">
        <w:rPr>
          <w:rFonts w:ascii="Book Antiqua" w:eastAsia="宋体" w:hAnsi="Book Antiqua" w:cs="宋体"/>
          <w:lang w:val="en-US" w:eastAsia="zh-CN"/>
        </w:rPr>
        <w:t xml:space="preserve">, Fox EE, del Junco DJ, Harvin JA, Holcomb JB, Wade CE, Schreiber MA, Rahbar MH, Bulger EM, Phelan HA, Brasel KJ, Alarcon LH, Myers JG, Cohen MJ, Muskat P, Cotton BA. Early resuscitation intensity as a surrogate for bleeding severity and early mortality in the PROMMTT study.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75</w:t>
      </w:r>
      <w:r w:rsidRPr="002E3D4C">
        <w:rPr>
          <w:rFonts w:ascii="Book Antiqua" w:eastAsia="宋体" w:hAnsi="Book Antiqua" w:cs="宋体"/>
          <w:lang w:val="en-US" w:eastAsia="zh-CN"/>
        </w:rPr>
        <w:t>: S16-S23 [PMID: 23778506 DOI: 10.1097/TA.0b013e31828fa535]</w:t>
      </w:r>
    </w:p>
    <w:p w14:paraId="62257A3F" w14:textId="1A3BB88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36 </w:t>
      </w:r>
      <w:r w:rsidRPr="002E3D4C">
        <w:rPr>
          <w:rFonts w:ascii="Book Antiqua" w:eastAsia="宋体" w:hAnsi="Book Antiqua" w:cs="宋体"/>
          <w:b/>
          <w:bCs/>
          <w:lang w:val="en-US" w:eastAsia="zh-CN"/>
        </w:rPr>
        <w:t>Rahbar MH</w:t>
      </w:r>
      <w:r w:rsidRPr="002E3D4C">
        <w:rPr>
          <w:rFonts w:ascii="Book Antiqua" w:eastAsia="宋体" w:hAnsi="Book Antiqua" w:cs="宋体"/>
          <w:lang w:val="en-US" w:eastAsia="zh-CN"/>
        </w:rPr>
        <w:t xml:space="preserve">, del Junco DJ, Huang H, Ning J, Fox EE, Zhang X, Schreiber MA, Brasel KJ, Bulger EM, Wade CE, Cotton BA, Phelan HA, Cohen MJ, Myers JG, Alarcon LH, Muskat P, Holcomb JB. A latent class model for </w:t>
      </w:r>
      <w:r w:rsidRPr="002E3D4C">
        <w:rPr>
          <w:rFonts w:ascii="Book Antiqua" w:eastAsia="宋体" w:hAnsi="Book Antiqua" w:cs="宋体"/>
          <w:lang w:val="en-US" w:eastAsia="zh-CN"/>
        </w:rPr>
        <w:lastRenderedPageBreak/>
        <w:t xml:space="preserve">defining severe hemorrhage: experience from the PROMMTT study.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75</w:t>
      </w:r>
      <w:r w:rsidRPr="002E3D4C">
        <w:rPr>
          <w:rFonts w:ascii="Book Antiqua" w:eastAsia="宋体" w:hAnsi="Book Antiqua" w:cs="宋体"/>
          <w:lang w:val="en-US" w:eastAsia="zh-CN"/>
        </w:rPr>
        <w:t>: S82-S88 [PMID: 23778516 DOI: 10.1097/TA.0b013e31828fa3d3]</w:t>
      </w:r>
    </w:p>
    <w:p w14:paraId="52CFA7D0" w14:textId="0022B7E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37 </w:t>
      </w:r>
      <w:r w:rsidRPr="002E3D4C">
        <w:rPr>
          <w:rFonts w:ascii="Book Antiqua" w:eastAsia="宋体" w:hAnsi="Book Antiqua" w:cs="宋体"/>
          <w:b/>
          <w:bCs/>
          <w:lang w:val="en-US" w:eastAsia="zh-CN"/>
        </w:rPr>
        <w:t>Holcomb JB</w:t>
      </w:r>
      <w:r w:rsidRPr="002E3D4C">
        <w:rPr>
          <w:rFonts w:ascii="Book Antiqua" w:eastAsia="宋体" w:hAnsi="Book Antiqua" w:cs="宋体"/>
          <w:lang w:val="en-US" w:eastAsia="zh-CN"/>
        </w:rPr>
        <w:t xml:space="preserve">, Fox EE, Wade CE. The PRospective Observational Multicenter Major Trauma Transfusion (PROMMTT) study.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75</w:t>
      </w:r>
      <w:r w:rsidRPr="002E3D4C">
        <w:rPr>
          <w:rFonts w:ascii="Book Antiqua" w:eastAsia="宋体" w:hAnsi="Book Antiqua" w:cs="宋体"/>
          <w:lang w:val="en-US" w:eastAsia="zh-CN"/>
        </w:rPr>
        <w:t>: S1-S2 [PMID: 23778505 DOI: 10.1097/TA.0b013e3182983876]</w:t>
      </w:r>
    </w:p>
    <w:p w14:paraId="0365CA1B" w14:textId="4EF6273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38 </w:t>
      </w:r>
      <w:r w:rsidRPr="002E3D4C">
        <w:rPr>
          <w:rFonts w:ascii="Book Antiqua" w:eastAsia="宋体" w:hAnsi="Book Antiqua" w:cs="宋体"/>
          <w:b/>
          <w:bCs/>
          <w:lang w:val="en-US" w:eastAsia="zh-CN"/>
        </w:rPr>
        <w:t>Hayter MA</w:t>
      </w:r>
      <w:r w:rsidRPr="002E3D4C">
        <w:rPr>
          <w:rFonts w:ascii="Book Antiqua" w:eastAsia="宋体" w:hAnsi="Book Antiqua" w:cs="宋体"/>
          <w:lang w:val="en-US" w:eastAsia="zh-CN"/>
        </w:rPr>
        <w:t xml:space="preserve">, Pavenski K, Baker J. Massive transfusion in the trauma patient: Continuing Professional Development. </w:t>
      </w:r>
      <w:r w:rsidRPr="002E3D4C">
        <w:rPr>
          <w:rFonts w:ascii="Book Antiqua" w:eastAsia="宋体" w:hAnsi="Book Antiqua" w:cs="宋体"/>
          <w:i/>
          <w:iCs/>
          <w:lang w:val="en-US" w:eastAsia="zh-CN"/>
        </w:rPr>
        <w:t>Can J Anaesth</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59</w:t>
      </w:r>
      <w:r w:rsidRPr="002E3D4C">
        <w:rPr>
          <w:rFonts w:ascii="Book Antiqua" w:eastAsia="宋体" w:hAnsi="Book Antiqua" w:cs="宋体"/>
          <w:lang w:val="en-US" w:eastAsia="zh-CN"/>
        </w:rPr>
        <w:t>: 1130-1145 [PMID: 23076727 DOI: 10.1007/s12630-012-9795-4]</w:t>
      </w:r>
    </w:p>
    <w:p w14:paraId="730724BA" w14:textId="544AF39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39 </w:t>
      </w:r>
      <w:r w:rsidRPr="002E3D4C">
        <w:rPr>
          <w:rFonts w:ascii="Book Antiqua" w:eastAsia="宋体" w:hAnsi="Book Antiqua" w:cs="宋体"/>
          <w:b/>
          <w:bCs/>
          <w:lang w:val="en-US" w:eastAsia="zh-CN"/>
        </w:rPr>
        <w:t>Mitra B</w:t>
      </w:r>
      <w:r w:rsidRPr="002E3D4C">
        <w:rPr>
          <w:rFonts w:ascii="Book Antiqua" w:eastAsia="宋体" w:hAnsi="Book Antiqua" w:cs="宋体"/>
          <w:lang w:val="en-US" w:eastAsia="zh-CN"/>
        </w:rPr>
        <w:t xml:space="preserve">, Olaussen A, Cameron PA, O'Donohoe T, Fitzgerald M. Massive blood transfusions post trauma in the elderly compared to younger patients. </w:t>
      </w:r>
      <w:r w:rsidRPr="002E3D4C">
        <w:rPr>
          <w:rFonts w:ascii="Book Antiqua" w:eastAsia="宋体" w:hAnsi="Book Antiqua" w:cs="宋体"/>
          <w:i/>
          <w:iCs/>
          <w:lang w:val="en-US" w:eastAsia="zh-CN"/>
        </w:rPr>
        <w:t>Injury</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45</w:t>
      </w:r>
      <w:r w:rsidRPr="002E3D4C">
        <w:rPr>
          <w:rFonts w:ascii="Book Antiqua" w:eastAsia="宋体" w:hAnsi="Book Antiqua" w:cs="宋体"/>
          <w:lang w:val="en-US" w:eastAsia="zh-CN"/>
        </w:rPr>
        <w:t>: 1296-1300 [PMID: 24560872 DOI: 10.1016/j.injury.2014.01.016]</w:t>
      </w:r>
    </w:p>
    <w:p w14:paraId="7418F93D" w14:textId="5A70FB0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40 </w:t>
      </w:r>
      <w:r w:rsidRPr="002E3D4C">
        <w:rPr>
          <w:rFonts w:ascii="Book Antiqua" w:eastAsia="宋体" w:hAnsi="Book Antiqua" w:cs="宋体"/>
          <w:b/>
          <w:bCs/>
          <w:lang w:val="en-US" w:eastAsia="zh-CN"/>
        </w:rPr>
        <w:t>Hunt BJ</w:t>
      </w:r>
      <w:r w:rsidRPr="002E3D4C">
        <w:rPr>
          <w:rFonts w:ascii="Book Antiqua" w:eastAsia="宋体" w:hAnsi="Book Antiqua" w:cs="宋体"/>
          <w:lang w:val="en-US" w:eastAsia="zh-CN"/>
        </w:rPr>
        <w:t xml:space="preserve">, Allard S, Keeling D, Norfolk D, Stanworth SJ, Pendry K. A practical guideline for the haematological management of major haemorrhage. </w:t>
      </w:r>
      <w:r w:rsidRPr="002E3D4C">
        <w:rPr>
          <w:rFonts w:ascii="Book Antiqua" w:eastAsia="宋体" w:hAnsi="Book Antiqua" w:cs="宋体"/>
          <w:i/>
          <w:iCs/>
          <w:lang w:val="en-US" w:eastAsia="zh-CN"/>
        </w:rPr>
        <w:t>Br J Haematol</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170</w:t>
      </w:r>
      <w:r w:rsidRPr="002E3D4C">
        <w:rPr>
          <w:rFonts w:ascii="Book Antiqua" w:eastAsia="宋体" w:hAnsi="Book Antiqua" w:cs="宋体"/>
          <w:lang w:val="en-US" w:eastAsia="zh-CN"/>
        </w:rPr>
        <w:t>: 788-803 [PMID: 26147359 DOI: 10.1111/bjh.13580]</w:t>
      </w:r>
    </w:p>
    <w:p w14:paraId="7D1E9B28" w14:textId="68421D91" w:rsidR="002E3D4C" w:rsidRPr="002E3D4C" w:rsidRDefault="0029483E"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41 </w:t>
      </w:r>
      <w:r w:rsidR="002E3D4C" w:rsidRPr="0029483E">
        <w:rPr>
          <w:rFonts w:ascii="Book Antiqua" w:eastAsia="宋体" w:hAnsi="Book Antiqua" w:cs="宋体"/>
          <w:b/>
          <w:lang w:val="en-US" w:eastAsia="zh-CN"/>
        </w:rPr>
        <w:t>Royal College of Obstetricians and Gynaecologists</w:t>
      </w:r>
      <w:r w:rsidR="00A33C12">
        <w:rPr>
          <w:rFonts w:ascii="Book Antiqua" w:eastAsia="宋体" w:hAnsi="Book Antiqua" w:cs="宋体"/>
          <w:b/>
          <w:lang w:val="en-US" w:eastAsia="zh-CN"/>
        </w:rPr>
        <w:t xml:space="preserve"> (</w:t>
      </w:r>
      <w:r w:rsidR="00A33C12" w:rsidRPr="0029483E">
        <w:rPr>
          <w:rFonts w:ascii="Book Antiqua" w:eastAsia="宋体" w:hAnsi="Book Antiqua" w:cs="宋体"/>
          <w:b/>
          <w:lang w:val="en-US" w:eastAsia="zh-CN"/>
        </w:rPr>
        <w:t>RCOG</w:t>
      </w:r>
      <w:r w:rsidR="00A33C12">
        <w:rPr>
          <w:rFonts w:ascii="Book Antiqua" w:eastAsia="宋体" w:hAnsi="Book Antiqua" w:cs="宋体"/>
          <w:b/>
          <w:lang w:val="en-US" w:eastAsia="zh-CN"/>
        </w:rPr>
        <w:t>)</w:t>
      </w:r>
      <w:r w:rsidR="002E3D4C" w:rsidRPr="002E3D4C">
        <w:rPr>
          <w:rFonts w:ascii="Book Antiqua" w:eastAsia="宋体" w:hAnsi="Book Antiqua" w:cs="宋体"/>
          <w:lang w:val="en-US" w:eastAsia="zh-CN"/>
        </w:rPr>
        <w:t xml:space="preserve">. Prevention and Management of Post-Partum Haemorrhage. </w:t>
      </w:r>
      <w:r w:rsidR="002E3D4C" w:rsidRPr="0029483E">
        <w:rPr>
          <w:rFonts w:ascii="Book Antiqua" w:eastAsia="宋体" w:hAnsi="Book Antiqua" w:cs="宋体"/>
          <w:i/>
          <w:lang w:val="en-US" w:eastAsia="zh-CN"/>
        </w:rPr>
        <w:t>Green Top Guidel 52</w:t>
      </w:r>
      <w:r w:rsidR="002E3D4C" w:rsidRPr="002E3D4C">
        <w:rPr>
          <w:rFonts w:ascii="Book Antiqua" w:eastAsia="宋体" w:hAnsi="Book Antiqua" w:cs="宋体"/>
          <w:lang w:val="en-US" w:eastAsia="zh-CN"/>
        </w:rPr>
        <w:t xml:space="preserve"> 2011: </w:t>
      </w:r>
      <w:r>
        <w:rPr>
          <w:rFonts w:ascii="Book Antiqua" w:eastAsia="宋体" w:hAnsi="Book Antiqua" w:cs="宋体"/>
          <w:lang w:val="en-US" w:eastAsia="zh-CN"/>
        </w:rPr>
        <w:t>1-24</w:t>
      </w:r>
      <w:r w:rsidR="00A33C12">
        <w:rPr>
          <w:rFonts w:ascii="Book Antiqua" w:eastAsia="宋体" w:hAnsi="Book Antiqua" w:cs="宋体"/>
          <w:lang w:val="en-US" w:eastAsia="zh-CN"/>
        </w:rPr>
        <w:t>.</w:t>
      </w:r>
      <w:r>
        <w:rPr>
          <w:rFonts w:ascii="Book Antiqua" w:eastAsia="宋体" w:hAnsi="Book Antiqua" w:cs="宋体"/>
          <w:lang w:val="en-US" w:eastAsia="zh-CN"/>
        </w:rPr>
        <w:t xml:space="preserve"> Available from: URL: http:</w:t>
      </w:r>
      <w:r w:rsidR="002E3D4C" w:rsidRPr="002E3D4C">
        <w:rPr>
          <w:rFonts w:ascii="Book Antiqua" w:eastAsia="宋体" w:hAnsi="Book Antiqua" w:cs="宋体"/>
          <w:lang w:val="en-US" w:eastAsia="zh-CN"/>
        </w:rPr>
        <w:t>//www.rcog.org.uk/files/rcog-corp/GT52PostpartumHaemorrhage0411.pdf</w:t>
      </w:r>
    </w:p>
    <w:p w14:paraId="1A33536E" w14:textId="5021512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42 </w:t>
      </w:r>
      <w:r w:rsidRPr="002E3D4C">
        <w:rPr>
          <w:rFonts w:ascii="Book Antiqua" w:eastAsia="宋体" w:hAnsi="Book Antiqua" w:cs="宋体"/>
          <w:b/>
          <w:bCs/>
          <w:lang w:val="en-US" w:eastAsia="zh-CN"/>
        </w:rPr>
        <w:t>McCluskey SA</w:t>
      </w:r>
      <w:r w:rsidRPr="002E3D4C">
        <w:rPr>
          <w:rFonts w:ascii="Book Antiqua" w:eastAsia="宋体" w:hAnsi="Book Antiqua" w:cs="宋体"/>
          <w:lang w:val="en-US" w:eastAsia="zh-CN"/>
        </w:rPr>
        <w:t xml:space="preserve">, Karkouti K, Wijeysundera DN, Kakizawa K, Ghannam M, Hamdy A, Grant D, Levy G. Derivation of a risk index for the prediction of massive blood transfusion in liver transplantation.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12</w:t>
      </w:r>
      <w:r w:rsidRPr="002E3D4C">
        <w:rPr>
          <w:rFonts w:ascii="Book Antiqua" w:eastAsia="宋体" w:hAnsi="Book Antiqua" w:cs="宋体"/>
          <w:lang w:val="en-US" w:eastAsia="zh-CN"/>
        </w:rPr>
        <w:t>: 1584-1593 [PMID: 16952177 DOI: 10.1002/lt.20868]</w:t>
      </w:r>
    </w:p>
    <w:p w14:paraId="3E146D37" w14:textId="2932F7D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43 </w:t>
      </w:r>
      <w:r w:rsidRPr="002E3D4C">
        <w:rPr>
          <w:rFonts w:ascii="Book Antiqua" w:eastAsia="宋体" w:hAnsi="Book Antiqua" w:cs="宋体"/>
          <w:b/>
          <w:bCs/>
          <w:lang w:val="en-US" w:eastAsia="zh-CN"/>
        </w:rPr>
        <w:t>Esmat Gamil M</w:t>
      </w:r>
      <w:r w:rsidRPr="002E3D4C">
        <w:rPr>
          <w:rFonts w:ascii="Book Antiqua" w:eastAsia="宋体" w:hAnsi="Book Antiqua" w:cs="宋体"/>
          <w:lang w:val="en-US" w:eastAsia="zh-CN"/>
        </w:rPr>
        <w:t xml:space="preserve">, Pirenne J, Van Malenstein H, Verhaegen M, Desschans B, Monbaliu D, Aerts R, Laleman W, Cassiman D, Verslype C, Van Steenbergen W, Van Pelt J, Nevens F. Risk factors for bleeding and clinical implications in patients undergoing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44</w:t>
      </w:r>
      <w:r w:rsidRPr="002E3D4C">
        <w:rPr>
          <w:rFonts w:ascii="Book Antiqua" w:eastAsia="宋体" w:hAnsi="Book Antiqua" w:cs="宋体"/>
          <w:lang w:val="en-US" w:eastAsia="zh-CN"/>
        </w:rPr>
        <w:t>: 2857-2860 [PMID: 23146542 DOI: 10.1016/j.transproceed.2012.09.085]</w:t>
      </w:r>
    </w:p>
    <w:p w14:paraId="30AEB10C" w14:textId="235A050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44 </w:t>
      </w:r>
      <w:r w:rsidRPr="002E3D4C">
        <w:rPr>
          <w:rFonts w:ascii="Book Antiqua" w:eastAsia="宋体" w:hAnsi="Book Antiqua" w:cs="宋体"/>
          <w:b/>
          <w:bCs/>
          <w:lang w:val="en-US" w:eastAsia="zh-CN"/>
        </w:rPr>
        <w:t>Ramos E</w:t>
      </w:r>
      <w:r w:rsidRPr="002E3D4C">
        <w:rPr>
          <w:rFonts w:ascii="Book Antiqua" w:eastAsia="宋体" w:hAnsi="Book Antiqua" w:cs="宋体"/>
          <w:lang w:val="en-US" w:eastAsia="zh-CN"/>
        </w:rPr>
        <w:t xml:space="preserve">, Dalmau A, Sabate A, Lama C, Llado L, Figueras J, Jaurrieta E. Intraoperative red blood cell transfusion in liver transplantation: influence on </w:t>
      </w:r>
      <w:r w:rsidRPr="002E3D4C">
        <w:rPr>
          <w:rFonts w:ascii="Book Antiqua" w:eastAsia="宋体" w:hAnsi="Book Antiqua" w:cs="宋体"/>
          <w:lang w:val="en-US" w:eastAsia="zh-CN"/>
        </w:rPr>
        <w:lastRenderedPageBreak/>
        <w:t xml:space="preserve">patient outcome, prediction of requirements, and measures to reduce them.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9</w:t>
      </w:r>
      <w:r w:rsidRPr="002E3D4C">
        <w:rPr>
          <w:rFonts w:ascii="Book Antiqua" w:eastAsia="宋体" w:hAnsi="Book Antiqua" w:cs="宋体"/>
          <w:lang w:val="en-US" w:eastAsia="zh-CN"/>
        </w:rPr>
        <w:t>: 1320-1327 [PMID: 14625833 DOI: 10.1016/jlts.2003.50204]</w:t>
      </w:r>
    </w:p>
    <w:p w14:paraId="38CAD993"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45 </w:t>
      </w:r>
      <w:r w:rsidRPr="002E3D4C">
        <w:rPr>
          <w:rFonts w:ascii="Book Antiqua" w:eastAsia="宋体" w:hAnsi="Book Antiqua" w:cs="宋体"/>
          <w:b/>
          <w:bCs/>
          <w:lang w:val="en-US" w:eastAsia="zh-CN"/>
        </w:rPr>
        <w:t>Starr SP</w:t>
      </w:r>
      <w:r w:rsidRPr="002E3D4C">
        <w:rPr>
          <w:rFonts w:ascii="Book Antiqua" w:eastAsia="宋体" w:hAnsi="Book Antiqua" w:cs="宋体"/>
          <w:lang w:val="en-US" w:eastAsia="zh-CN"/>
        </w:rPr>
        <w:t xml:space="preserve">, Raines D. Cirrhosis: diagnosis, management, and prevention. </w:t>
      </w:r>
      <w:r w:rsidRPr="002E3D4C">
        <w:rPr>
          <w:rFonts w:ascii="Book Antiqua" w:eastAsia="宋体" w:hAnsi="Book Antiqua" w:cs="宋体"/>
          <w:i/>
          <w:iCs/>
          <w:lang w:val="en-US" w:eastAsia="zh-CN"/>
        </w:rPr>
        <w:t>Am Fam Physician</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84</w:t>
      </w:r>
      <w:r w:rsidRPr="002E3D4C">
        <w:rPr>
          <w:rFonts w:ascii="Book Antiqua" w:eastAsia="宋体" w:hAnsi="Book Antiqua" w:cs="宋体"/>
          <w:lang w:val="en-US" w:eastAsia="zh-CN"/>
        </w:rPr>
        <w:t>: 1353-1359 [PMID: 22230269]</w:t>
      </w:r>
    </w:p>
    <w:p w14:paraId="5909A96D" w14:textId="4F800AA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46 </w:t>
      </w:r>
      <w:r w:rsidRPr="002E3D4C">
        <w:rPr>
          <w:rFonts w:ascii="Book Antiqua" w:eastAsia="宋体" w:hAnsi="Book Antiqua" w:cs="宋体"/>
          <w:b/>
          <w:bCs/>
          <w:lang w:val="en-US" w:eastAsia="zh-CN"/>
        </w:rPr>
        <w:t>García-Pagán JC</w:t>
      </w:r>
      <w:r w:rsidRPr="002E3D4C">
        <w:rPr>
          <w:rFonts w:ascii="Book Antiqua" w:eastAsia="宋体" w:hAnsi="Book Antiqua" w:cs="宋体"/>
          <w:lang w:val="en-US" w:eastAsia="zh-CN"/>
        </w:rPr>
        <w:t xml:space="preserve">, Gracia-Sancho J, Bosch J. Functional aspects on the pathophysiology of portal hypertension in cirrhosis. </w:t>
      </w:r>
      <w:r w:rsidRPr="002E3D4C">
        <w:rPr>
          <w:rFonts w:ascii="Book Antiqua" w:eastAsia="宋体" w:hAnsi="Book Antiqua" w:cs="宋体"/>
          <w:i/>
          <w:iCs/>
          <w:lang w:val="en-US" w:eastAsia="zh-CN"/>
        </w:rPr>
        <w:t>J Hepatol</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57</w:t>
      </w:r>
      <w:r w:rsidRPr="002E3D4C">
        <w:rPr>
          <w:rFonts w:ascii="Book Antiqua" w:eastAsia="宋体" w:hAnsi="Book Antiqua" w:cs="宋体"/>
          <w:lang w:val="en-US" w:eastAsia="zh-CN"/>
        </w:rPr>
        <w:t>: 458-461 [PMID: 22504334 DOI: 10.1016/j.jhep.2012.03.007]</w:t>
      </w:r>
    </w:p>
    <w:p w14:paraId="62B5B04F" w14:textId="7E248C9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47 </w:t>
      </w:r>
      <w:r w:rsidRPr="002E3D4C">
        <w:rPr>
          <w:rFonts w:ascii="Book Antiqua" w:eastAsia="宋体" w:hAnsi="Book Antiqua" w:cs="宋体"/>
          <w:b/>
          <w:bCs/>
          <w:lang w:val="en-US" w:eastAsia="zh-CN"/>
        </w:rPr>
        <w:t>Tripodi A</w:t>
      </w:r>
      <w:r w:rsidRPr="002E3D4C">
        <w:rPr>
          <w:rFonts w:ascii="Book Antiqua" w:eastAsia="宋体" w:hAnsi="Book Antiqua" w:cs="宋体"/>
          <w:lang w:val="en-US" w:eastAsia="zh-CN"/>
        </w:rPr>
        <w:t xml:space="preserve">, Mannucci PM. The coagulopathy of chronic liver disease.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365</w:t>
      </w:r>
      <w:r w:rsidRPr="002E3D4C">
        <w:rPr>
          <w:rFonts w:ascii="Book Antiqua" w:eastAsia="宋体" w:hAnsi="Book Antiqua" w:cs="宋体"/>
          <w:lang w:val="en-US" w:eastAsia="zh-CN"/>
        </w:rPr>
        <w:t>: 147-156 [PMID: 21751907 DOI: 10.1056/NEJMra1011170]</w:t>
      </w:r>
    </w:p>
    <w:p w14:paraId="6F39AE3F" w14:textId="5B326F5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48 </w:t>
      </w:r>
      <w:r w:rsidRPr="002E3D4C">
        <w:rPr>
          <w:rFonts w:ascii="Book Antiqua" w:eastAsia="宋体" w:hAnsi="Book Antiqua" w:cs="宋体"/>
          <w:b/>
          <w:bCs/>
          <w:lang w:val="en-US" w:eastAsia="zh-CN"/>
        </w:rPr>
        <w:t>Townsend JC</w:t>
      </w:r>
      <w:r w:rsidRPr="002E3D4C">
        <w:rPr>
          <w:rFonts w:ascii="Book Antiqua" w:eastAsia="宋体" w:hAnsi="Book Antiqua" w:cs="宋体"/>
          <w:lang w:val="en-US" w:eastAsia="zh-CN"/>
        </w:rPr>
        <w:t xml:space="preserve">, Heard R, Powers ER, Reuben A. Usefulness of international normalized ratio to predict bleeding complications in patients with end-stage liver disease who undergo cardiac catheterization. </w:t>
      </w:r>
      <w:r w:rsidRPr="002E3D4C">
        <w:rPr>
          <w:rFonts w:ascii="Book Antiqua" w:eastAsia="宋体" w:hAnsi="Book Antiqua" w:cs="宋体"/>
          <w:i/>
          <w:iCs/>
          <w:lang w:val="en-US" w:eastAsia="zh-CN"/>
        </w:rPr>
        <w:t>Am J Cardiol</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110</w:t>
      </w:r>
      <w:r w:rsidRPr="002E3D4C">
        <w:rPr>
          <w:rFonts w:ascii="Book Antiqua" w:eastAsia="宋体" w:hAnsi="Book Antiqua" w:cs="宋体"/>
          <w:lang w:val="en-US" w:eastAsia="zh-CN"/>
        </w:rPr>
        <w:t>: 1062-1065 [PMID: 22728001 DOI: 10.1016/j.amjcard.2012.05.043]</w:t>
      </w:r>
    </w:p>
    <w:p w14:paraId="12DEA824" w14:textId="38E671C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49 </w:t>
      </w:r>
      <w:r w:rsidRPr="002E3D4C">
        <w:rPr>
          <w:rFonts w:ascii="Book Antiqua" w:eastAsia="宋体" w:hAnsi="Book Antiqua" w:cs="宋体"/>
          <w:b/>
          <w:bCs/>
          <w:lang w:val="en-US" w:eastAsia="zh-CN"/>
        </w:rPr>
        <w:t>Perdigão JP</w:t>
      </w:r>
      <w:r w:rsidRPr="002E3D4C">
        <w:rPr>
          <w:rFonts w:ascii="Book Antiqua" w:eastAsia="宋体" w:hAnsi="Book Antiqua" w:cs="宋体"/>
          <w:lang w:val="en-US" w:eastAsia="zh-CN"/>
        </w:rPr>
        <w:t xml:space="preserve">, de Almeida PC, Rocha TD, Mota MR, Soares EC, Alves AP, Sousa FB. Postoperative bleeding after dental extraction in liver pretransplant patients. </w:t>
      </w:r>
      <w:r w:rsidRPr="002E3D4C">
        <w:rPr>
          <w:rFonts w:ascii="Book Antiqua" w:eastAsia="宋体" w:hAnsi="Book Antiqua" w:cs="宋体"/>
          <w:i/>
          <w:iCs/>
          <w:lang w:val="en-US" w:eastAsia="zh-CN"/>
        </w:rPr>
        <w:t>J Oral Maxillofac Surg</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70</w:t>
      </w:r>
      <w:r w:rsidRPr="002E3D4C">
        <w:rPr>
          <w:rFonts w:ascii="Book Antiqua" w:eastAsia="宋体" w:hAnsi="Book Antiqua" w:cs="宋体"/>
          <w:lang w:val="en-US" w:eastAsia="zh-CN"/>
        </w:rPr>
        <w:t>: e177-e184 [PMID: 22374059 DOI: 10.1016/j.joms.2011.10.033]</w:t>
      </w:r>
    </w:p>
    <w:p w14:paraId="02E52D4C" w14:textId="7BA81EA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50 </w:t>
      </w:r>
      <w:r w:rsidRPr="002E3D4C">
        <w:rPr>
          <w:rFonts w:ascii="Book Antiqua" w:eastAsia="宋体" w:hAnsi="Book Antiqua" w:cs="宋体"/>
          <w:b/>
          <w:bCs/>
          <w:lang w:val="en-US" w:eastAsia="zh-CN"/>
        </w:rPr>
        <w:t>Hoffman M</w:t>
      </w:r>
      <w:r w:rsidRPr="002E3D4C">
        <w:rPr>
          <w:rFonts w:ascii="Book Antiqua" w:eastAsia="宋体" w:hAnsi="Book Antiqua" w:cs="宋体"/>
          <w:lang w:val="en-US" w:eastAsia="zh-CN"/>
        </w:rPr>
        <w:t xml:space="preserve">. Coagulation in Liver Disease. </w:t>
      </w:r>
      <w:r w:rsidRPr="002E3D4C">
        <w:rPr>
          <w:rFonts w:ascii="Book Antiqua" w:eastAsia="宋体" w:hAnsi="Book Antiqua" w:cs="宋体"/>
          <w:i/>
          <w:iCs/>
          <w:lang w:val="en-US" w:eastAsia="zh-CN"/>
        </w:rPr>
        <w:t>Semin Thromb Hemost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41</w:t>
      </w:r>
      <w:r w:rsidRPr="002E3D4C">
        <w:rPr>
          <w:rFonts w:ascii="Book Antiqua" w:eastAsia="宋体" w:hAnsi="Book Antiqua" w:cs="宋体"/>
          <w:lang w:val="en-US" w:eastAsia="zh-CN"/>
        </w:rPr>
        <w:t>: 447-454 [PMID: 26049068 DOI: 10.1055/s-0035-1550435]</w:t>
      </w:r>
    </w:p>
    <w:p w14:paraId="2D076346" w14:textId="7BAD0FC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51 </w:t>
      </w:r>
      <w:r w:rsidRPr="002E3D4C">
        <w:rPr>
          <w:rFonts w:ascii="Book Antiqua" w:eastAsia="宋体" w:hAnsi="Book Antiqua" w:cs="宋体"/>
          <w:b/>
          <w:bCs/>
          <w:lang w:val="en-US" w:eastAsia="zh-CN"/>
        </w:rPr>
        <w:t>Lisman T</w:t>
      </w:r>
      <w:r w:rsidRPr="002E3D4C">
        <w:rPr>
          <w:rFonts w:ascii="Book Antiqua" w:eastAsia="宋体" w:hAnsi="Book Antiqua" w:cs="宋体"/>
          <w:lang w:val="en-US" w:eastAsia="zh-CN"/>
        </w:rPr>
        <w:t xml:space="preserve">, Stravitz RT. Rebalanced Hemostasis in Patients with Acute Liver Failure. </w:t>
      </w:r>
      <w:r w:rsidRPr="002E3D4C">
        <w:rPr>
          <w:rFonts w:ascii="Book Antiqua" w:eastAsia="宋体" w:hAnsi="Book Antiqua" w:cs="宋体"/>
          <w:i/>
          <w:iCs/>
          <w:lang w:val="en-US" w:eastAsia="zh-CN"/>
        </w:rPr>
        <w:t>Semin Thromb Hemost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41</w:t>
      </w:r>
      <w:r w:rsidRPr="002E3D4C">
        <w:rPr>
          <w:rFonts w:ascii="Book Antiqua" w:eastAsia="宋体" w:hAnsi="Book Antiqua" w:cs="宋体"/>
          <w:lang w:val="en-US" w:eastAsia="zh-CN"/>
        </w:rPr>
        <w:t>: 468-473 [PMID: 26049071 DOI: 10.1055/s-0035-1550430]</w:t>
      </w:r>
    </w:p>
    <w:p w14:paraId="0F7843C9"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52 </w:t>
      </w:r>
      <w:r w:rsidRPr="002E3D4C">
        <w:rPr>
          <w:rFonts w:ascii="Book Antiqua" w:eastAsia="宋体" w:hAnsi="Book Antiqua" w:cs="宋体"/>
          <w:b/>
          <w:bCs/>
          <w:lang w:val="en-US" w:eastAsia="zh-CN"/>
        </w:rPr>
        <w:t>Kravetz D</w:t>
      </w:r>
      <w:r w:rsidRPr="002E3D4C">
        <w:rPr>
          <w:rFonts w:ascii="Book Antiqua" w:eastAsia="宋体" w:hAnsi="Book Antiqua" w:cs="宋体"/>
          <w:lang w:val="en-US" w:eastAsia="zh-CN"/>
        </w:rPr>
        <w:t xml:space="preserve">, Sikuler E, Groszmann RJ. Splanchnic and systemic hemodynamics in portal hypertensive rats during hemorrhage and blood volume restitution. </w:t>
      </w:r>
      <w:r w:rsidRPr="002E3D4C">
        <w:rPr>
          <w:rFonts w:ascii="Book Antiqua" w:eastAsia="宋体" w:hAnsi="Book Antiqua" w:cs="宋体"/>
          <w:i/>
          <w:iCs/>
          <w:lang w:val="en-US" w:eastAsia="zh-CN"/>
        </w:rPr>
        <w:t>Gastroenterology</w:t>
      </w:r>
      <w:r w:rsidRPr="002E3D4C">
        <w:rPr>
          <w:rFonts w:ascii="Book Antiqua" w:eastAsia="宋体" w:hAnsi="Book Antiqua" w:cs="宋体"/>
          <w:lang w:val="en-US" w:eastAsia="zh-CN"/>
        </w:rPr>
        <w:t xml:space="preserve"> 1986; </w:t>
      </w:r>
      <w:r w:rsidRPr="002E3D4C">
        <w:rPr>
          <w:rFonts w:ascii="Book Antiqua" w:eastAsia="宋体" w:hAnsi="Book Antiqua" w:cs="宋体"/>
          <w:b/>
          <w:bCs/>
          <w:lang w:val="en-US" w:eastAsia="zh-CN"/>
        </w:rPr>
        <w:t>90</w:t>
      </w:r>
      <w:r w:rsidRPr="002E3D4C">
        <w:rPr>
          <w:rFonts w:ascii="Book Antiqua" w:eastAsia="宋体" w:hAnsi="Book Antiqua" w:cs="宋体"/>
          <w:lang w:val="en-US" w:eastAsia="zh-CN"/>
        </w:rPr>
        <w:t>: 1232-1240 [PMID: 3956942]</w:t>
      </w:r>
    </w:p>
    <w:p w14:paraId="13CD27DA" w14:textId="39437C7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53 </w:t>
      </w:r>
      <w:r w:rsidRPr="002E3D4C">
        <w:rPr>
          <w:rFonts w:ascii="Book Antiqua" w:eastAsia="宋体" w:hAnsi="Book Antiqua" w:cs="宋体"/>
          <w:b/>
          <w:bCs/>
          <w:lang w:val="en-US" w:eastAsia="zh-CN"/>
        </w:rPr>
        <w:t>Castañeda B</w:t>
      </w:r>
      <w:r w:rsidRPr="002E3D4C">
        <w:rPr>
          <w:rFonts w:ascii="Book Antiqua" w:eastAsia="宋体" w:hAnsi="Book Antiqua" w:cs="宋体"/>
          <w:lang w:val="en-US" w:eastAsia="zh-CN"/>
        </w:rPr>
        <w:t xml:space="preserve">, Morales J, Lionetti R, Moitinho E, Andreu V, Pérez-Del-Pulgar S, Pizcueta P, Rodés J, Bosch J. Effects of blood volume restitution following a portal hypertensive-related bleeding in anesthetized cirrhotic rats. </w:t>
      </w:r>
      <w:r w:rsidRPr="002E3D4C">
        <w:rPr>
          <w:rFonts w:ascii="Book Antiqua" w:eastAsia="宋体" w:hAnsi="Book Antiqua" w:cs="宋体"/>
          <w:i/>
          <w:iCs/>
          <w:lang w:val="en-US" w:eastAsia="zh-CN"/>
        </w:rPr>
        <w:t>Hepatology</w:t>
      </w:r>
      <w:r w:rsidRPr="002E3D4C">
        <w:rPr>
          <w:rFonts w:ascii="Book Antiqua" w:eastAsia="宋体" w:hAnsi="Book Antiqua" w:cs="宋体"/>
          <w:lang w:val="en-US" w:eastAsia="zh-CN"/>
        </w:rPr>
        <w:t xml:space="preserve"> 2001; </w:t>
      </w:r>
      <w:r w:rsidRPr="002E3D4C">
        <w:rPr>
          <w:rFonts w:ascii="Book Antiqua" w:eastAsia="宋体" w:hAnsi="Book Antiqua" w:cs="宋体"/>
          <w:b/>
          <w:bCs/>
          <w:lang w:val="en-US" w:eastAsia="zh-CN"/>
        </w:rPr>
        <w:t>33</w:t>
      </w:r>
      <w:r w:rsidRPr="002E3D4C">
        <w:rPr>
          <w:rFonts w:ascii="Book Antiqua" w:eastAsia="宋体" w:hAnsi="Book Antiqua" w:cs="宋体"/>
          <w:lang w:val="en-US" w:eastAsia="zh-CN"/>
        </w:rPr>
        <w:t>: 821-825 [PMID: 11283845 DOI: 10.1053/jhep.2001.23437]</w:t>
      </w:r>
    </w:p>
    <w:p w14:paraId="407E81A7" w14:textId="6D0BCBF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54 </w:t>
      </w:r>
      <w:r w:rsidRPr="002E3D4C">
        <w:rPr>
          <w:rFonts w:ascii="Book Antiqua" w:eastAsia="宋体" w:hAnsi="Book Antiqua" w:cs="宋体"/>
          <w:b/>
          <w:bCs/>
          <w:lang w:val="en-US" w:eastAsia="zh-CN"/>
        </w:rPr>
        <w:t>Villanueva C</w:t>
      </w:r>
      <w:r w:rsidRPr="002E3D4C">
        <w:rPr>
          <w:rFonts w:ascii="Book Antiqua" w:eastAsia="宋体" w:hAnsi="Book Antiqua" w:cs="宋体"/>
          <w:lang w:val="en-US" w:eastAsia="zh-CN"/>
        </w:rPr>
        <w:t xml:space="preserve">, Colomo A, Bosch A, Concepción M, Hernandez-Gea V, Aracil C, Graupera I, Poca M, Alvarez-Urturi C, Gordillo J, Guarner-Argente C, Santaló M, Muñiz E, Guarner C. Transfusion strategies for acute upper </w:t>
      </w:r>
      <w:r w:rsidRPr="002E3D4C">
        <w:rPr>
          <w:rFonts w:ascii="Book Antiqua" w:eastAsia="宋体" w:hAnsi="Book Antiqua" w:cs="宋体"/>
          <w:lang w:val="en-US" w:eastAsia="zh-CN"/>
        </w:rPr>
        <w:lastRenderedPageBreak/>
        <w:t xml:space="preserve">gastrointestinal bleeding.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368</w:t>
      </w:r>
      <w:r w:rsidRPr="002E3D4C">
        <w:rPr>
          <w:rFonts w:ascii="Book Antiqua" w:eastAsia="宋体" w:hAnsi="Book Antiqua" w:cs="宋体"/>
          <w:lang w:val="en-US" w:eastAsia="zh-CN"/>
        </w:rPr>
        <w:t>: 11-21 [PMID: 23281973 DOI: 10.1056/NEJMoa1211801]</w:t>
      </w:r>
    </w:p>
    <w:p w14:paraId="5040CAFE" w14:textId="5ED61C25" w:rsidR="002E3D4C" w:rsidRPr="002E3D4C" w:rsidRDefault="00546711"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55 </w:t>
      </w:r>
      <w:r w:rsidR="002E3D4C" w:rsidRPr="00546711">
        <w:rPr>
          <w:rFonts w:ascii="Book Antiqua" w:eastAsia="宋体" w:hAnsi="Book Antiqua" w:cs="宋体"/>
          <w:b/>
          <w:lang w:val="en-US" w:eastAsia="zh-CN"/>
        </w:rPr>
        <w:t>Groenland TH</w:t>
      </w:r>
      <w:r w:rsidR="002E3D4C" w:rsidRPr="002E3D4C">
        <w:rPr>
          <w:rFonts w:ascii="Book Antiqua" w:eastAsia="宋体" w:hAnsi="Book Antiqua" w:cs="宋体"/>
          <w:lang w:val="en-US" w:eastAsia="zh-CN"/>
        </w:rPr>
        <w:t xml:space="preserve">, Porte RJ, Metselaar HJ. Liver transplantation and risk of bleeding. </w:t>
      </w:r>
      <w:r w:rsidR="002E3D4C" w:rsidRPr="00546711">
        <w:rPr>
          <w:rFonts w:ascii="Book Antiqua" w:eastAsia="宋体" w:hAnsi="Book Antiqua" w:cs="宋体"/>
          <w:i/>
          <w:lang w:val="en-US" w:eastAsia="zh-CN"/>
        </w:rPr>
        <w:t>Curr Opin Organ Transplant</w:t>
      </w:r>
      <w:r w:rsidR="002E3D4C" w:rsidRPr="002E3D4C">
        <w:rPr>
          <w:rFonts w:ascii="Book Antiqua" w:eastAsia="宋体" w:hAnsi="Book Antiqua" w:cs="宋体"/>
          <w:lang w:val="en-US" w:eastAsia="zh-CN"/>
        </w:rPr>
        <w:t xml:space="preserve"> 2007; </w:t>
      </w:r>
      <w:r w:rsidR="002E3D4C" w:rsidRPr="00546711">
        <w:rPr>
          <w:rFonts w:ascii="Book Antiqua" w:eastAsia="宋体" w:hAnsi="Book Antiqua" w:cs="宋体"/>
          <w:b/>
          <w:lang w:val="en-US" w:eastAsia="zh-CN"/>
        </w:rPr>
        <w:t>12</w:t>
      </w:r>
      <w:r w:rsidR="002E3D4C" w:rsidRPr="002E3D4C">
        <w:rPr>
          <w:rFonts w:ascii="Book Antiqua" w:eastAsia="宋体" w:hAnsi="Book Antiqua" w:cs="宋体"/>
          <w:lang w:val="en-US" w:eastAsia="zh-CN"/>
        </w:rPr>
        <w:t>: 287-293 [DOI: 10.1097/MOT.0b013e32814e6bb0]</w:t>
      </w:r>
    </w:p>
    <w:p w14:paraId="60B85E9E"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56 </w:t>
      </w:r>
      <w:r w:rsidRPr="002E3D4C">
        <w:rPr>
          <w:rFonts w:ascii="Book Antiqua" w:eastAsia="宋体" w:hAnsi="Book Antiqua" w:cs="宋体"/>
          <w:b/>
          <w:bCs/>
          <w:lang w:val="en-US" w:eastAsia="zh-CN"/>
        </w:rPr>
        <w:t>Kong HY</w:t>
      </w:r>
      <w:r w:rsidRPr="002E3D4C">
        <w:rPr>
          <w:rFonts w:ascii="Book Antiqua" w:eastAsia="宋体" w:hAnsi="Book Antiqua" w:cs="宋体"/>
          <w:lang w:val="en-US" w:eastAsia="zh-CN"/>
        </w:rPr>
        <w:t xml:space="preserve">, Huang SQ, Zhu SM, Wen XH. Role of anhepatic time in endothelial-related coagulation in liver transplantation. </w:t>
      </w:r>
      <w:r w:rsidRPr="002E3D4C">
        <w:rPr>
          <w:rFonts w:ascii="Book Antiqua" w:eastAsia="宋体" w:hAnsi="Book Antiqua" w:cs="宋体"/>
          <w:i/>
          <w:iCs/>
          <w:lang w:val="en-US" w:eastAsia="zh-CN"/>
        </w:rPr>
        <w:t>Minerva Anestesiol</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79</w:t>
      </w:r>
      <w:r w:rsidRPr="002E3D4C">
        <w:rPr>
          <w:rFonts w:ascii="Book Antiqua" w:eastAsia="宋体" w:hAnsi="Book Antiqua" w:cs="宋体"/>
          <w:lang w:val="en-US" w:eastAsia="zh-CN"/>
        </w:rPr>
        <w:t>: 391-397 [PMID: 23419336]</w:t>
      </w:r>
    </w:p>
    <w:p w14:paraId="1C12C644" w14:textId="57029FD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57 </w:t>
      </w:r>
      <w:r w:rsidRPr="002E3D4C">
        <w:rPr>
          <w:rFonts w:ascii="Book Antiqua" w:eastAsia="宋体" w:hAnsi="Book Antiqua" w:cs="宋体"/>
          <w:b/>
          <w:bCs/>
          <w:lang w:val="en-US" w:eastAsia="zh-CN"/>
        </w:rPr>
        <w:t>de Boer MT</w:t>
      </w:r>
      <w:r w:rsidRPr="002E3D4C">
        <w:rPr>
          <w:rFonts w:ascii="Book Antiqua" w:eastAsia="宋体" w:hAnsi="Book Antiqua" w:cs="宋体"/>
          <w:lang w:val="en-US" w:eastAsia="zh-CN"/>
        </w:rPr>
        <w:t xml:space="preserve">, Molenaar IQ, Hendriks HG, Slooff MJ, Porte RJ. Minimizing blood loss in liver transplantation: progress through research and evolution of techniques. </w:t>
      </w:r>
      <w:r w:rsidRPr="002E3D4C">
        <w:rPr>
          <w:rFonts w:ascii="Book Antiqua" w:eastAsia="宋体" w:hAnsi="Book Antiqua" w:cs="宋体"/>
          <w:i/>
          <w:iCs/>
          <w:lang w:val="en-US" w:eastAsia="zh-CN"/>
        </w:rPr>
        <w:t>Dig Surg</w:t>
      </w:r>
      <w:r w:rsidRPr="002E3D4C">
        <w:rPr>
          <w:rFonts w:ascii="Book Antiqua" w:eastAsia="宋体" w:hAnsi="Book Antiqua" w:cs="宋体"/>
          <w:lang w:val="en-US" w:eastAsia="zh-CN"/>
        </w:rPr>
        <w:t xml:space="preserve"> 2005; </w:t>
      </w:r>
      <w:r w:rsidRPr="002E3D4C">
        <w:rPr>
          <w:rFonts w:ascii="Book Antiqua" w:eastAsia="宋体" w:hAnsi="Book Antiqua" w:cs="宋体"/>
          <w:b/>
          <w:bCs/>
          <w:lang w:val="en-US" w:eastAsia="zh-CN"/>
        </w:rPr>
        <w:t>22</w:t>
      </w:r>
      <w:r w:rsidRPr="002E3D4C">
        <w:rPr>
          <w:rFonts w:ascii="Book Antiqua" w:eastAsia="宋体" w:hAnsi="Book Antiqua" w:cs="宋体"/>
          <w:lang w:val="en-US" w:eastAsia="zh-CN"/>
        </w:rPr>
        <w:t>: 265-275 [PMID: 16174983 DOI: 10.1159/000088056]</w:t>
      </w:r>
    </w:p>
    <w:p w14:paraId="174CE3A4"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58 </w:t>
      </w:r>
      <w:r w:rsidRPr="002E3D4C">
        <w:rPr>
          <w:rFonts w:ascii="Book Antiqua" w:eastAsia="宋体" w:hAnsi="Book Antiqua" w:cs="宋体"/>
          <w:b/>
          <w:bCs/>
          <w:lang w:val="en-US" w:eastAsia="zh-CN"/>
        </w:rPr>
        <w:t>Pereboom IT</w:t>
      </w:r>
      <w:r w:rsidRPr="002E3D4C">
        <w:rPr>
          <w:rFonts w:ascii="Book Antiqua" w:eastAsia="宋体" w:hAnsi="Book Antiqua" w:cs="宋体"/>
          <w:lang w:val="en-US" w:eastAsia="zh-CN"/>
        </w:rPr>
        <w:t xml:space="preserve">, de Boer MT, Haagsma EB, Hendriks HG, Lisman T, Porte RJ. Platelet transfusion during liver transplantation is associated with increased postoperative mortality due to acute lung injury. </w:t>
      </w:r>
      <w:r w:rsidRPr="002E3D4C">
        <w:rPr>
          <w:rFonts w:ascii="Book Antiqua" w:eastAsia="宋体" w:hAnsi="Book Antiqua" w:cs="宋体"/>
          <w:i/>
          <w:iCs/>
          <w:lang w:val="en-US" w:eastAsia="zh-CN"/>
        </w:rPr>
        <w:t>Anesth Analg</w:t>
      </w:r>
      <w:r w:rsidRPr="002E3D4C">
        <w:rPr>
          <w:rFonts w:ascii="Book Antiqua" w:eastAsia="宋体" w:hAnsi="Book Antiqua" w:cs="宋体"/>
          <w:lang w:val="en-US" w:eastAsia="zh-CN"/>
        </w:rPr>
        <w:t xml:space="preserve"> 2009; </w:t>
      </w:r>
      <w:r w:rsidRPr="002E3D4C">
        <w:rPr>
          <w:rFonts w:ascii="Book Antiqua" w:eastAsia="宋体" w:hAnsi="Book Antiqua" w:cs="宋体"/>
          <w:b/>
          <w:bCs/>
          <w:lang w:val="en-US" w:eastAsia="zh-CN"/>
        </w:rPr>
        <w:t>108</w:t>
      </w:r>
      <w:r w:rsidRPr="002E3D4C">
        <w:rPr>
          <w:rFonts w:ascii="Book Antiqua" w:eastAsia="宋体" w:hAnsi="Book Antiqua" w:cs="宋体"/>
          <w:lang w:val="en-US" w:eastAsia="zh-CN"/>
        </w:rPr>
        <w:t>: 1083-1091 [PMID: 19299765 DOI: 10.1213/ane.0b013e3181948a59]</w:t>
      </w:r>
    </w:p>
    <w:p w14:paraId="7BC5C23F" w14:textId="1AB9EFB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59 </w:t>
      </w:r>
      <w:r w:rsidRPr="002E3D4C">
        <w:rPr>
          <w:rFonts w:ascii="Book Antiqua" w:eastAsia="宋体" w:hAnsi="Book Antiqua" w:cs="宋体"/>
          <w:b/>
          <w:bCs/>
          <w:lang w:val="en-US" w:eastAsia="zh-CN"/>
        </w:rPr>
        <w:t>de Boer MT</w:t>
      </w:r>
      <w:r w:rsidRPr="002E3D4C">
        <w:rPr>
          <w:rFonts w:ascii="Book Antiqua" w:eastAsia="宋体" w:hAnsi="Book Antiqua" w:cs="宋体"/>
          <w:lang w:val="en-US" w:eastAsia="zh-CN"/>
        </w:rPr>
        <w:t xml:space="preserve">, Christensen MC, Asmussen M, van der Hilst CS, Hendriks HG, Slooff MJ, Porte RJ. The impact of intraoperative transfusion of platelets and red blood cells on survival after liver transplantation. </w:t>
      </w:r>
      <w:r w:rsidRPr="002E3D4C">
        <w:rPr>
          <w:rFonts w:ascii="Book Antiqua" w:eastAsia="宋体" w:hAnsi="Book Antiqua" w:cs="宋体"/>
          <w:i/>
          <w:iCs/>
          <w:lang w:val="en-US" w:eastAsia="zh-CN"/>
        </w:rPr>
        <w:t>Anesth Analg</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106</w:t>
      </w:r>
      <w:r w:rsidRPr="002E3D4C">
        <w:rPr>
          <w:rFonts w:ascii="Book Antiqua" w:eastAsia="宋体" w:hAnsi="Book Antiqua" w:cs="宋体"/>
          <w:lang w:val="en-US" w:eastAsia="zh-CN"/>
        </w:rPr>
        <w:t>: 32-44, table of contents [PMID: 18165548 DOI: 10.1213/01.ane.0000289638.26666.ed]</w:t>
      </w:r>
    </w:p>
    <w:p w14:paraId="6CB9E983" w14:textId="6A2F053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60 </w:t>
      </w:r>
      <w:r w:rsidRPr="002E3D4C">
        <w:rPr>
          <w:rFonts w:ascii="Book Antiqua" w:eastAsia="宋体" w:hAnsi="Book Antiqua" w:cs="宋体"/>
          <w:b/>
          <w:bCs/>
          <w:lang w:val="en-US" w:eastAsia="zh-CN"/>
        </w:rPr>
        <w:t>Li C</w:t>
      </w:r>
      <w:r w:rsidRPr="002E3D4C">
        <w:rPr>
          <w:rFonts w:ascii="Book Antiqua" w:eastAsia="宋体" w:hAnsi="Book Antiqua" w:cs="宋体"/>
          <w:lang w:val="en-US" w:eastAsia="zh-CN"/>
        </w:rPr>
        <w:t xml:space="preserve">, Mi K, Wen TF, Yan LN, Li B, Wei YG, Yang JY, Xu MQ, Wang WT. Risk factors and outcomes of massive red blood cell transfusion following living donor liver transplantation. </w:t>
      </w:r>
      <w:r w:rsidRPr="002E3D4C">
        <w:rPr>
          <w:rFonts w:ascii="Book Antiqua" w:eastAsia="宋体" w:hAnsi="Book Antiqua" w:cs="宋体"/>
          <w:i/>
          <w:iCs/>
          <w:lang w:val="en-US" w:eastAsia="zh-CN"/>
        </w:rPr>
        <w:t>J Dig Dis</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13</w:t>
      </w:r>
      <w:r w:rsidRPr="002E3D4C">
        <w:rPr>
          <w:rFonts w:ascii="Book Antiqua" w:eastAsia="宋体" w:hAnsi="Book Antiqua" w:cs="宋体"/>
          <w:lang w:val="en-US" w:eastAsia="zh-CN"/>
        </w:rPr>
        <w:t>: 161-167 [PMID: 22356311 DOI: 10.1111/j.1751-2980.2011.00570.x]</w:t>
      </w:r>
    </w:p>
    <w:p w14:paraId="334045E5" w14:textId="28E7195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61 </w:t>
      </w:r>
      <w:r w:rsidRPr="002E3D4C">
        <w:rPr>
          <w:rFonts w:ascii="Book Antiqua" w:eastAsia="宋体" w:hAnsi="Book Antiqua" w:cs="宋体"/>
          <w:b/>
          <w:bCs/>
          <w:lang w:val="en-US" w:eastAsia="zh-CN"/>
        </w:rPr>
        <w:t>Freire MP</w:t>
      </w:r>
      <w:r w:rsidRPr="002E3D4C">
        <w:rPr>
          <w:rFonts w:ascii="Book Antiqua" w:eastAsia="宋体" w:hAnsi="Book Antiqua" w:cs="宋体"/>
          <w:lang w:val="en-US" w:eastAsia="zh-CN"/>
        </w:rPr>
        <w:t xml:space="preserve">, Soares Oshiro IC, Bonazzi PR, Guimarães T, Ramos Figueira ER, Bacchella T, Costa SF, Carneiro D'Albuquerque LA, Abdala E. Surgical site infections in liver transplant recipients in the model for end-stage liver disease era: an analysis of the epidemiology, risk factors, and outcomes.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19</w:t>
      </w:r>
      <w:r w:rsidRPr="002E3D4C">
        <w:rPr>
          <w:rFonts w:ascii="Book Antiqua" w:eastAsia="宋体" w:hAnsi="Book Antiqua" w:cs="宋体"/>
          <w:lang w:val="en-US" w:eastAsia="zh-CN"/>
        </w:rPr>
        <w:t>: 1011-1019 [PMID: 23744748 DOI: 10.1002/lt.23682]</w:t>
      </w:r>
    </w:p>
    <w:p w14:paraId="43C62D0B" w14:textId="44C4181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62 </w:t>
      </w:r>
      <w:r w:rsidRPr="002E3D4C">
        <w:rPr>
          <w:rFonts w:ascii="Book Antiqua" w:eastAsia="宋体" w:hAnsi="Book Antiqua" w:cs="宋体"/>
          <w:b/>
          <w:bCs/>
          <w:lang w:val="en-US" w:eastAsia="zh-CN"/>
        </w:rPr>
        <w:t>Hendriks HG</w:t>
      </w:r>
      <w:r w:rsidRPr="002E3D4C">
        <w:rPr>
          <w:rFonts w:ascii="Book Antiqua" w:eastAsia="宋体" w:hAnsi="Book Antiqua" w:cs="宋体"/>
          <w:lang w:val="en-US" w:eastAsia="zh-CN"/>
        </w:rPr>
        <w:t xml:space="preserve">, van der Meer J, de Wolf JT, Peeters PM, Porte RJ, de Jong K, Lip H, Post WJ, Slooff MJ. Intraoperative blood transfusion requirement is the </w:t>
      </w:r>
      <w:r w:rsidRPr="002E3D4C">
        <w:rPr>
          <w:rFonts w:ascii="Book Antiqua" w:eastAsia="宋体" w:hAnsi="Book Antiqua" w:cs="宋体"/>
          <w:lang w:val="en-US" w:eastAsia="zh-CN"/>
        </w:rPr>
        <w:lastRenderedPageBreak/>
        <w:t xml:space="preserve">main determinant of early surgical re-intervention after orthotopic liver transplantation. </w:t>
      </w:r>
      <w:r w:rsidRPr="002E3D4C">
        <w:rPr>
          <w:rFonts w:ascii="Book Antiqua" w:eastAsia="宋体" w:hAnsi="Book Antiqua" w:cs="宋体"/>
          <w:i/>
          <w:iCs/>
          <w:lang w:val="en-US" w:eastAsia="zh-CN"/>
        </w:rPr>
        <w:t>Transpl Int</w:t>
      </w:r>
      <w:r w:rsidRPr="002E3D4C">
        <w:rPr>
          <w:rFonts w:ascii="Book Antiqua" w:eastAsia="宋体" w:hAnsi="Book Antiqua" w:cs="宋体"/>
          <w:lang w:val="en-US" w:eastAsia="zh-CN"/>
        </w:rPr>
        <w:t xml:space="preserve"> 2005; </w:t>
      </w:r>
      <w:r w:rsidRPr="002E3D4C">
        <w:rPr>
          <w:rFonts w:ascii="Book Antiqua" w:eastAsia="宋体" w:hAnsi="Book Antiqua" w:cs="宋体"/>
          <w:b/>
          <w:bCs/>
          <w:lang w:val="en-US" w:eastAsia="zh-CN"/>
        </w:rPr>
        <w:t>17</w:t>
      </w:r>
      <w:r w:rsidRPr="002E3D4C">
        <w:rPr>
          <w:rFonts w:ascii="Book Antiqua" w:eastAsia="宋体" w:hAnsi="Book Antiqua" w:cs="宋体"/>
          <w:lang w:val="en-US" w:eastAsia="zh-CN"/>
        </w:rPr>
        <w:t>: 673-679 [PMID: 15717214 DOI: 10.1007/s00147-004-0793-5]</w:t>
      </w:r>
    </w:p>
    <w:p w14:paraId="24BAEA72" w14:textId="31DC088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63 </w:t>
      </w:r>
      <w:r w:rsidRPr="002E3D4C">
        <w:rPr>
          <w:rFonts w:ascii="Book Antiqua" w:eastAsia="宋体" w:hAnsi="Book Antiqua" w:cs="宋体"/>
          <w:b/>
          <w:bCs/>
          <w:lang w:val="en-US" w:eastAsia="zh-CN"/>
        </w:rPr>
        <w:t>Motschman TL</w:t>
      </w:r>
      <w:r w:rsidRPr="002E3D4C">
        <w:rPr>
          <w:rFonts w:ascii="Book Antiqua" w:eastAsia="宋体" w:hAnsi="Book Antiqua" w:cs="宋体"/>
          <w:lang w:val="en-US" w:eastAsia="zh-CN"/>
        </w:rPr>
        <w:t xml:space="preserve">, Taswell HF, Brecher ME, Rakela J, Grambsch PM, Larson-Keller JJ, Rettke SR, Krom RA. Intraoperative blood loss and patient and graft survival in orthotopic liver transplantation: their relationship to clinical and laboratory data. </w:t>
      </w:r>
      <w:r w:rsidRPr="002E3D4C">
        <w:rPr>
          <w:rFonts w:ascii="Book Antiqua" w:eastAsia="宋体" w:hAnsi="Book Antiqua" w:cs="宋体"/>
          <w:i/>
          <w:iCs/>
          <w:lang w:val="en-US" w:eastAsia="zh-CN"/>
        </w:rPr>
        <w:t>Mayo Clin Proc</w:t>
      </w:r>
      <w:r w:rsidRPr="002E3D4C">
        <w:rPr>
          <w:rFonts w:ascii="Book Antiqua" w:eastAsia="宋体" w:hAnsi="Book Antiqua" w:cs="宋体"/>
          <w:lang w:val="en-US" w:eastAsia="zh-CN"/>
        </w:rPr>
        <w:t xml:space="preserve"> 1989; </w:t>
      </w:r>
      <w:r w:rsidRPr="002E3D4C">
        <w:rPr>
          <w:rFonts w:ascii="Book Antiqua" w:eastAsia="宋体" w:hAnsi="Book Antiqua" w:cs="宋体"/>
          <w:b/>
          <w:bCs/>
          <w:lang w:val="en-US" w:eastAsia="zh-CN"/>
        </w:rPr>
        <w:t>64</w:t>
      </w:r>
      <w:r w:rsidRPr="002E3D4C">
        <w:rPr>
          <w:rFonts w:ascii="Book Antiqua" w:eastAsia="宋体" w:hAnsi="Book Antiqua" w:cs="宋体"/>
          <w:lang w:val="en-US" w:eastAsia="zh-CN"/>
        </w:rPr>
        <w:t>: 346-355 [PMID: 2539541 DOI: 10.1016/S0025-6196(12)65256-2]</w:t>
      </w:r>
    </w:p>
    <w:p w14:paraId="31C0DD06"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64 </w:t>
      </w:r>
      <w:r w:rsidRPr="002E3D4C">
        <w:rPr>
          <w:rFonts w:ascii="Book Antiqua" w:eastAsia="宋体" w:hAnsi="Book Antiqua" w:cs="宋体"/>
          <w:b/>
          <w:bCs/>
          <w:lang w:val="en-US" w:eastAsia="zh-CN"/>
        </w:rPr>
        <w:t>Deakin M</w:t>
      </w:r>
      <w:r w:rsidRPr="002E3D4C">
        <w:rPr>
          <w:rFonts w:ascii="Book Antiqua" w:eastAsia="宋体" w:hAnsi="Book Antiqua" w:cs="宋体"/>
          <w:lang w:val="en-US" w:eastAsia="zh-CN"/>
        </w:rPr>
        <w:t xml:space="preserve">, Gunson BK, Dunn JA, McMaster P, Tisone G, Warwick J, Buckels JA. Factors influencing blood transfusion during adult liver transplantation. </w:t>
      </w:r>
      <w:r w:rsidRPr="002E3D4C">
        <w:rPr>
          <w:rFonts w:ascii="Book Antiqua" w:eastAsia="宋体" w:hAnsi="Book Antiqua" w:cs="宋体"/>
          <w:i/>
          <w:iCs/>
          <w:lang w:val="en-US" w:eastAsia="zh-CN"/>
        </w:rPr>
        <w:t>Ann R Coll Surg Engl</w:t>
      </w:r>
      <w:r w:rsidRPr="002E3D4C">
        <w:rPr>
          <w:rFonts w:ascii="Book Antiqua" w:eastAsia="宋体" w:hAnsi="Book Antiqua" w:cs="宋体"/>
          <w:lang w:val="en-US" w:eastAsia="zh-CN"/>
        </w:rPr>
        <w:t xml:space="preserve"> 1993; </w:t>
      </w:r>
      <w:r w:rsidRPr="002E3D4C">
        <w:rPr>
          <w:rFonts w:ascii="Book Antiqua" w:eastAsia="宋体" w:hAnsi="Book Antiqua" w:cs="宋体"/>
          <w:b/>
          <w:bCs/>
          <w:lang w:val="en-US" w:eastAsia="zh-CN"/>
        </w:rPr>
        <w:t>75</w:t>
      </w:r>
      <w:r w:rsidRPr="002E3D4C">
        <w:rPr>
          <w:rFonts w:ascii="Book Antiqua" w:eastAsia="宋体" w:hAnsi="Book Antiqua" w:cs="宋体"/>
          <w:lang w:val="en-US" w:eastAsia="zh-CN"/>
        </w:rPr>
        <w:t>: 339-344 [PMID: 8215151]</w:t>
      </w:r>
    </w:p>
    <w:p w14:paraId="4EEBFF34" w14:textId="613F563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65 </w:t>
      </w:r>
      <w:r w:rsidRPr="002E3D4C">
        <w:rPr>
          <w:rFonts w:ascii="Book Antiqua" w:eastAsia="宋体" w:hAnsi="Book Antiqua" w:cs="宋体"/>
          <w:b/>
          <w:bCs/>
          <w:lang w:val="en-US" w:eastAsia="zh-CN"/>
        </w:rPr>
        <w:t>Findlay JY</w:t>
      </w:r>
      <w:r w:rsidRPr="002E3D4C">
        <w:rPr>
          <w:rFonts w:ascii="Book Antiqua" w:eastAsia="宋体" w:hAnsi="Book Antiqua" w:cs="宋体"/>
          <w:lang w:val="en-US" w:eastAsia="zh-CN"/>
        </w:rPr>
        <w:t xml:space="preserve">, Rettke SR. Poor prediction of blood transfusion requirements in adult liver transplantations from preoperative variables. </w:t>
      </w:r>
      <w:r w:rsidRPr="002E3D4C">
        <w:rPr>
          <w:rFonts w:ascii="Book Antiqua" w:eastAsia="宋体" w:hAnsi="Book Antiqua" w:cs="宋体"/>
          <w:i/>
          <w:iCs/>
          <w:lang w:val="en-US" w:eastAsia="zh-CN"/>
        </w:rPr>
        <w:t>J Clin Anesth</w:t>
      </w:r>
      <w:r w:rsidRPr="002E3D4C">
        <w:rPr>
          <w:rFonts w:ascii="Book Antiqua" w:eastAsia="宋体" w:hAnsi="Book Antiqua" w:cs="宋体"/>
          <w:lang w:val="en-US" w:eastAsia="zh-CN"/>
        </w:rPr>
        <w:t xml:space="preserve"> 2000; </w:t>
      </w:r>
      <w:r w:rsidRPr="002E3D4C">
        <w:rPr>
          <w:rFonts w:ascii="Book Antiqua" w:eastAsia="宋体" w:hAnsi="Book Antiqua" w:cs="宋体"/>
          <w:b/>
          <w:bCs/>
          <w:lang w:val="en-US" w:eastAsia="zh-CN"/>
        </w:rPr>
        <w:t>12</w:t>
      </w:r>
      <w:r w:rsidRPr="002E3D4C">
        <w:rPr>
          <w:rFonts w:ascii="Book Antiqua" w:eastAsia="宋体" w:hAnsi="Book Antiqua" w:cs="宋体"/>
          <w:lang w:val="en-US" w:eastAsia="zh-CN"/>
        </w:rPr>
        <w:t>: 319-323 [PMID: 10960206 DOI: 10.1097/00132586-200104000-00049]</w:t>
      </w:r>
    </w:p>
    <w:p w14:paraId="4EAA476E" w14:textId="55DC5B6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66 </w:t>
      </w:r>
      <w:r w:rsidRPr="002E3D4C">
        <w:rPr>
          <w:rFonts w:ascii="Book Antiqua" w:eastAsia="宋体" w:hAnsi="Book Antiqua" w:cs="宋体"/>
          <w:b/>
          <w:bCs/>
          <w:lang w:val="en-US" w:eastAsia="zh-CN"/>
        </w:rPr>
        <w:t>Steib A</w:t>
      </w:r>
      <w:r w:rsidRPr="002E3D4C">
        <w:rPr>
          <w:rFonts w:ascii="Book Antiqua" w:eastAsia="宋体" w:hAnsi="Book Antiqua" w:cs="宋体"/>
          <w:lang w:val="en-US" w:eastAsia="zh-CN"/>
        </w:rPr>
        <w:t xml:space="preserve">, Freys G, Lehmann C, Meyer C, Mahoudeau G. Intraoperative blood losses and transfusion requirements during adult liver transplantation remain difficult to predict. </w:t>
      </w:r>
      <w:r w:rsidRPr="002E3D4C">
        <w:rPr>
          <w:rFonts w:ascii="Book Antiqua" w:eastAsia="宋体" w:hAnsi="Book Antiqua" w:cs="宋体"/>
          <w:i/>
          <w:iCs/>
          <w:lang w:val="en-US" w:eastAsia="zh-CN"/>
        </w:rPr>
        <w:t>Can J Anaesth</w:t>
      </w:r>
      <w:r w:rsidRPr="002E3D4C">
        <w:rPr>
          <w:rFonts w:ascii="Book Antiqua" w:eastAsia="宋体" w:hAnsi="Book Antiqua" w:cs="宋体"/>
          <w:lang w:val="en-US" w:eastAsia="zh-CN"/>
        </w:rPr>
        <w:t xml:space="preserve"> 2001; </w:t>
      </w:r>
      <w:r w:rsidRPr="002E3D4C">
        <w:rPr>
          <w:rFonts w:ascii="Book Antiqua" w:eastAsia="宋体" w:hAnsi="Book Antiqua" w:cs="宋体"/>
          <w:b/>
          <w:bCs/>
          <w:lang w:val="en-US" w:eastAsia="zh-CN"/>
        </w:rPr>
        <w:t>48</w:t>
      </w:r>
      <w:r w:rsidRPr="002E3D4C">
        <w:rPr>
          <w:rFonts w:ascii="Book Antiqua" w:eastAsia="宋体" w:hAnsi="Book Antiqua" w:cs="宋体"/>
          <w:lang w:val="en-US" w:eastAsia="zh-CN"/>
        </w:rPr>
        <w:t>: 1075-1079 [PMID: 11744582 DOI: 10.1007/BF03020372]</w:t>
      </w:r>
    </w:p>
    <w:p w14:paraId="7583231F" w14:textId="01AB077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67 </w:t>
      </w:r>
      <w:r w:rsidRPr="002E3D4C">
        <w:rPr>
          <w:rFonts w:ascii="Book Antiqua" w:eastAsia="宋体" w:hAnsi="Book Antiqua" w:cs="宋体"/>
          <w:b/>
          <w:bCs/>
          <w:lang w:val="en-US" w:eastAsia="zh-CN"/>
        </w:rPr>
        <w:t>Pirat A</w:t>
      </w:r>
      <w:r w:rsidRPr="002E3D4C">
        <w:rPr>
          <w:rFonts w:ascii="Book Antiqua" w:eastAsia="宋体" w:hAnsi="Book Antiqua" w:cs="宋体"/>
          <w:lang w:val="en-US" w:eastAsia="zh-CN"/>
        </w:rPr>
        <w:t xml:space="preserve">, Sargin D, Torgay A, Arslan G. Identification of preoperative predictors of intraoperative blood transfusion requirement in orthotopic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2002; </w:t>
      </w:r>
      <w:r w:rsidRPr="002E3D4C">
        <w:rPr>
          <w:rFonts w:ascii="Book Antiqua" w:eastAsia="宋体" w:hAnsi="Book Antiqua" w:cs="宋体"/>
          <w:b/>
          <w:bCs/>
          <w:lang w:val="en-US" w:eastAsia="zh-CN"/>
        </w:rPr>
        <w:t>34</w:t>
      </w:r>
      <w:r w:rsidRPr="002E3D4C">
        <w:rPr>
          <w:rFonts w:ascii="Book Antiqua" w:eastAsia="宋体" w:hAnsi="Book Antiqua" w:cs="宋体"/>
          <w:lang w:val="en-US" w:eastAsia="zh-CN"/>
        </w:rPr>
        <w:t>: 2153-2155 [PMID: 12270349 DOI: 10.1016/s0041-1345(02)02887-7]</w:t>
      </w:r>
    </w:p>
    <w:p w14:paraId="42E74623" w14:textId="194AF91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68 </w:t>
      </w:r>
      <w:r w:rsidRPr="002E3D4C">
        <w:rPr>
          <w:rFonts w:ascii="Book Antiqua" w:eastAsia="宋体" w:hAnsi="Book Antiqua" w:cs="宋体"/>
          <w:b/>
          <w:bCs/>
          <w:lang w:val="en-US" w:eastAsia="zh-CN"/>
        </w:rPr>
        <w:t>Massicotte L</w:t>
      </w:r>
      <w:r w:rsidRPr="002E3D4C">
        <w:rPr>
          <w:rFonts w:ascii="Book Antiqua" w:eastAsia="宋体" w:hAnsi="Book Antiqua" w:cs="宋体"/>
          <w:lang w:val="en-US" w:eastAsia="zh-CN"/>
        </w:rPr>
        <w:t xml:space="preserve">, Sassine MP, Lenis S, Roy A. Transfusion predictors in liver transplant. </w:t>
      </w:r>
      <w:r w:rsidRPr="002E3D4C">
        <w:rPr>
          <w:rFonts w:ascii="Book Antiqua" w:eastAsia="宋体" w:hAnsi="Book Antiqua" w:cs="宋体"/>
          <w:i/>
          <w:iCs/>
          <w:lang w:val="en-US" w:eastAsia="zh-CN"/>
        </w:rPr>
        <w:t>Anesth Analg</w:t>
      </w:r>
      <w:r w:rsidRPr="002E3D4C">
        <w:rPr>
          <w:rFonts w:ascii="Book Antiqua" w:eastAsia="宋体" w:hAnsi="Book Antiqua" w:cs="宋体"/>
          <w:lang w:val="en-US" w:eastAsia="zh-CN"/>
        </w:rPr>
        <w:t xml:space="preserve"> 2004; </w:t>
      </w:r>
      <w:r w:rsidRPr="002E3D4C">
        <w:rPr>
          <w:rFonts w:ascii="Book Antiqua" w:eastAsia="宋体" w:hAnsi="Book Antiqua" w:cs="宋体"/>
          <w:b/>
          <w:bCs/>
          <w:lang w:val="en-US" w:eastAsia="zh-CN"/>
        </w:rPr>
        <w:t>98</w:t>
      </w:r>
      <w:r w:rsidRPr="002E3D4C">
        <w:rPr>
          <w:rFonts w:ascii="Book Antiqua" w:eastAsia="宋体" w:hAnsi="Book Antiqua" w:cs="宋体"/>
          <w:lang w:val="en-US" w:eastAsia="zh-CN"/>
        </w:rPr>
        <w:t>: 1245-151, table of contents [PMID: 15105195 DOI: 10.1213/01.ANE.0000111184.21278.07]</w:t>
      </w:r>
    </w:p>
    <w:p w14:paraId="3D7A7984" w14:textId="6C41AC8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69 </w:t>
      </w:r>
      <w:r w:rsidRPr="002E3D4C">
        <w:rPr>
          <w:rFonts w:ascii="Book Antiqua" w:eastAsia="宋体" w:hAnsi="Book Antiqua" w:cs="宋体"/>
          <w:b/>
          <w:bCs/>
          <w:lang w:val="en-US" w:eastAsia="zh-CN"/>
        </w:rPr>
        <w:t>Yuasa T</w:t>
      </w:r>
      <w:r w:rsidRPr="002E3D4C">
        <w:rPr>
          <w:rFonts w:ascii="Book Antiqua" w:eastAsia="宋体" w:hAnsi="Book Antiqua" w:cs="宋体"/>
          <w:lang w:val="en-US" w:eastAsia="zh-CN"/>
        </w:rPr>
        <w:t xml:space="preserve">, Niwa N, Kimura S, Tsuji H, Yurugi K, Egawa H, Tanaka K, Asano H, Maekawa T. Intraoperative blood loss during living donor liver transplantation: an analysis of 635 recipients at a single center.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2005; </w:t>
      </w:r>
      <w:r w:rsidRPr="002E3D4C">
        <w:rPr>
          <w:rFonts w:ascii="Book Antiqua" w:eastAsia="宋体" w:hAnsi="Book Antiqua" w:cs="宋体"/>
          <w:b/>
          <w:bCs/>
          <w:lang w:val="en-US" w:eastAsia="zh-CN"/>
        </w:rPr>
        <w:t>45</w:t>
      </w:r>
      <w:r w:rsidRPr="002E3D4C">
        <w:rPr>
          <w:rFonts w:ascii="Book Antiqua" w:eastAsia="宋体" w:hAnsi="Book Antiqua" w:cs="宋体"/>
          <w:lang w:val="en-US" w:eastAsia="zh-CN"/>
        </w:rPr>
        <w:t>: 879-884 [PMID: 15934985 DOI: 10.1111/j.1537-2995.2005.04330.x]</w:t>
      </w:r>
    </w:p>
    <w:p w14:paraId="1E949DC3" w14:textId="2E85E15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70 </w:t>
      </w:r>
      <w:r w:rsidRPr="002E3D4C">
        <w:rPr>
          <w:rFonts w:ascii="Book Antiqua" w:eastAsia="宋体" w:hAnsi="Book Antiqua" w:cs="宋体"/>
          <w:b/>
          <w:bCs/>
          <w:lang w:val="en-US" w:eastAsia="zh-CN"/>
        </w:rPr>
        <w:t>Mangus RS</w:t>
      </w:r>
      <w:r w:rsidRPr="002E3D4C">
        <w:rPr>
          <w:rFonts w:ascii="Book Antiqua" w:eastAsia="宋体" w:hAnsi="Book Antiqua" w:cs="宋体"/>
          <w:lang w:val="en-US" w:eastAsia="zh-CN"/>
        </w:rPr>
        <w:t xml:space="preserve">, Kinsella SB, Nobari MM, Fridell JA, Vianna RM, Ward ES, Nobari R, Tector AJ. Predictors of blood product use in orthotopic liver </w:t>
      </w:r>
      <w:r w:rsidRPr="002E3D4C">
        <w:rPr>
          <w:rFonts w:ascii="Book Antiqua" w:eastAsia="宋体" w:hAnsi="Book Antiqua" w:cs="宋体"/>
          <w:lang w:val="en-US" w:eastAsia="zh-CN"/>
        </w:rPr>
        <w:lastRenderedPageBreak/>
        <w:t xml:space="preserve">transplantation using the piggyback hepatectomy technique.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2007; </w:t>
      </w:r>
      <w:r w:rsidRPr="002E3D4C">
        <w:rPr>
          <w:rFonts w:ascii="Book Antiqua" w:eastAsia="宋体" w:hAnsi="Book Antiqua" w:cs="宋体"/>
          <w:b/>
          <w:bCs/>
          <w:lang w:val="en-US" w:eastAsia="zh-CN"/>
        </w:rPr>
        <w:t>39</w:t>
      </w:r>
      <w:r w:rsidRPr="002E3D4C">
        <w:rPr>
          <w:rFonts w:ascii="Book Antiqua" w:eastAsia="宋体" w:hAnsi="Book Antiqua" w:cs="宋体"/>
          <w:lang w:val="en-US" w:eastAsia="zh-CN"/>
        </w:rPr>
        <w:t>: 3207-3213 [PMID: 18089355 DOI: 10.1016/j.transproceed.2007.09.029]</w:t>
      </w:r>
    </w:p>
    <w:p w14:paraId="46750F64" w14:textId="61217B2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71 </w:t>
      </w:r>
      <w:r w:rsidRPr="002E3D4C">
        <w:rPr>
          <w:rFonts w:ascii="Book Antiqua" w:eastAsia="宋体" w:hAnsi="Book Antiqua" w:cs="宋体"/>
          <w:b/>
          <w:bCs/>
          <w:lang w:val="en-US" w:eastAsia="zh-CN"/>
        </w:rPr>
        <w:t>Massicotte L</w:t>
      </w:r>
      <w:r w:rsidRPr="002E3D4C">
        <w:rPr>
          <w:rFonts w:ascii="Book Antiqua" w:eastAsia="宋体" w:hAnsi="Book Antiqua" w:cs="宋体"/>
          <w:lang w:val="en-US" w:eastAsia="zh-CN"/>
        </w:rPr>
        <w:t xml:space="preserve">, Beaulieu D, Roy JD, Marleau D, Vandenbroucke F, Dagenais M, Lapointe R, Roy A. MELD score and blood product requirements during liver transplantation: no link.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2009; </w:t>
      </w:r>
      <w:r w:rsidRPr="002E3D4C">
        <w:rPr>
          <w:rFonts w:ascii="Book Antiqua" w:eastAsia="宋体" w:hAnsi="Book Antiqua" w:cs="宋体"/>
          <w:b/>
          <w:bCs/>
          <w:lang w:val="en-US" w:eastAsia="zh-CN"/>
        </w:rPr>
        <w:t>87</w:t>
      </w:r>
      <w:r w:rsidRPr="002E3D4C">
        <w:rPr>
          <w:rFonts w:ascii="Book Antiqua" w:eastAsia="宋体" w:hAnsi="Book Antiqua" w:cs="宋体"/>
          <w:lang w:val="en-US" w:eastAsia="zh-CN"/>
        </w:rPr>
        <w:t>: 1689-1694 [PMID: 19502961 DOI: 10.1097/TP.0b013e3181a5e5f1]</w:t>
      </w:r>
    </w:p>
    <w:p w14:paraId="13DC4918" w14:textId="5C7F414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72 </w:t>
      </w:r>
      <w:r w:rsidRPr="002E3D4C">
        <w:rPr>
          <w:rFonts w:ascii="Book Antiqua" w:eastAsia="宋体" w:hAnsi="Book Antiqua" w:cs="宋体"/>
          <w:b/>
          <w:bCs/>
          <w:lang w:val="en-US" w:eastAsia="zh-CN"/>
        </w:rPr>
        <w:t>Araújo T</w:t>
      </w:r>
      <w:r w:rsidRPr="002E3D4C">
        <w:rPr>
          <w:rFonts w:ascii="Book Antiqua" w:eastAsia="宋体" w:hAnsi="Book Antiqua" w:cs="宋体"/>
          <w:lang w:val="en-US" w:eastAsia="zh-CN"/>
        </w:rPr>
        <w:t xml:space="preserve">, Cordeiro A, Proença P, Perdigoto R, Martins A, Barroso E. Predictive variables affecting transfusion requirements in orthotopic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2010; </w:t>
      </w:r>
      <w:r w:rsidRPr="002E3D4C">
        <w:rPr>
          <w:rFonts w:ascii="Book Antiqua" w:eastAsia="宋体" w:hAnsi="Book Antiqua" w:cs="宋体"/>
          <w:b/>
          <w:bCs/>
          <w:lang w:val="en-US" w:eastAsia="zh-CN"/>
        </w:rPr>
        <w:t>42</w:t>
      </w:r>
      <w:r w:rsidRPr="002E3D4C">
        <w:rPr>
          <w:rFonts w:ascii="Book Antiqua" w:eastAsia="宋体" w:hAnsi="Book Antiqua" w:cs="宋体"/>
          <w:lang w:val="en-US" w:eastAsia="zh-CN"/>
        </w:rPr>
        <w:t>: 1758-1759 [PMID: 20620517 DOI: 10.1016/j.transproceed.2009.10.007]</w:t>
      </w:r>
    </w:p>
    <w:p w14:paraId="04ECE86D" w14:textId="18F7B85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73 </w:t>
      </w:r>
      <w:r w:rsidRPr="002E3D4C">
        <w:rPr>
          <w:rFonts w:ascii="Book Antiqua" w:eastAsia="宋体" w:hAnsi="Book Antiqua" w:cs="宋体"/>
          <w:b/>
          <w:bCs/>
          <w:lang w:val="en-US" w:eastAsia="zh-CN"/>
        </w:rPr>
        <w:t>Bang SR</w:t>
      </w:r>
      <w:r w:rsidRPr="002E3D4C">
        <w:rPr>
          <w:rFonts w:ascii="Book Antiqua" w:eastAsia="宋体" w:hAnsi="Book Antiqua" w:cs="宋体"/>
          <w:lang w:val="en-US" w:eastAsia="zh-CN"/>
        </w:rPr>
        <w:t xml:space="preserve">, Ahn HJ, Kim GS, Yang M, Gwak MS, Ko JS, Kim SH, Lee SK. Predictors of high intraoperative blood loss derived by simple and objective method in adult living donor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2010; </w:t>
      </w:r>
      <w:r w:rsidRPr="002E3D4C">
        <w:rPr>
          <w:rFonts w:ascii="Book Antiqua" w:eastAsia="宋体" w:hAnsi="Book Antiqua" w:cs="宋体"/>
          <w:b/>
          <w:bCs/>
          <w:lang w:val="en-US" w:eastAsia="zh-CN"/>
        </w:rPr>
        <w:t>42</w:t>
      </w:r>
      <w:r w:rsidRPr="002E3D4C">
        <w:rPr>
          <w:rFonts w:ascii="Book Antiqua" w:eastAsia="宋体" w:hAnsi="Book Antiqua" w:cs="宋体"/>
          <w:lang w:val="en-US" w:eastAsia="zh-CN"/>
        </w:rPr>
        <w:t>: 4148-4150 [PMID: 21168648 DOI: 10.1016/j.transproceed.2010.10.017]</w:t>
      </w:r>
    </w:p>
    <w:p w14:paraId="0F9D54C0" w14:textId="7267343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74 </w:t>
      </w:r>
      <w:r w:rsidRPr="002E3D4C">
        <w:rPr>
          <w:rFonts w:ascii="Book Antiqua" w:eastAsia="宋体" w:hAnsi="Book Antiqua" w:cs="宋体"/>
          <w:b/>
          <w:bCs/>
          <w:lang w:val="en-US" w:eastAsia="zh-CN"/>
        </w:rPr>
        <w:t>Roullet S</w:t>
      </w:r>
      <w:r w:rsidRPr="002E3D4C">
        <w:rPr>
          <w:rFonts w:ascii="Book Antiqua" w:eastAsia="宋体" w:hAnsi="Book Antiqua" w:cs="宋体"/>
          <w:lang w:val="en-US" w:eastAsia="zh-CN"/>
        </w:rPr>
        <w:t xml:space="preserve">, Biais M, Millas E, Revel P, Quinart A, Sztark F. Risk factors for bleeding and transfusion during orthotopic liver transplantation. </w:t>
      </w:r>
      <w:r w:rsidRPr="002E3D4C">
        <w:rPr>
          <w:rFonts w:ascii="Book Antiqua" w:eastAsia="宋体" w:hAnsi="Book Antiqua" w:cs="宋体"/>
          <w:i/>
          <w:iCs/>
          <w:lang w:val="en-US" w:eastAsia="zh-CN"/>
        </w:rPr>
        <w:t>Ann Fr Anesth Reanim</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30</w:t>
      </w:r>
      <w:r w:rsidRPr="002E3D4C">
        <w:rPr>
          <w:rFonts w:ascii="Book Antiqua" w:eastAsia="宋体" w:hAnsi="Book Antiqua" w:cs="宋体"/>
          <w:lang w:val="en-US" w:eastAsia="zh-CN"/>
        </w:rPr>
        <w:t>: 349-352 [PMID: 21353450 DOI: 10.1016/j.annfar.2011.01.008]</w:t>
      </w:r>
    </w:p>
    <w:p w14:paraId="21C8F13D" w14:textId="7C4A5F8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75 </w:t>
      </w:r>
      <w:r w:rsidRPr="002E3D4C">
        <w:rPr>
          <w:rFonts w:ascii="Book Antiqua" w:eastAsia="宋体" w:hAnsi="Book Antiqua" w:cs="宋体"/>
          <w:b/>
          <w:bCs/>
          <w:lang w:val="en-US" w:eastAsia="zh-CN"/>
        </w:rPr>
        <w:t>Wu SC</w:t>
      </w:r>
      <w:r w:rsidRPr="002E3D4C">
        <w:rPr>
          <w:rFonts w:ascii="Book Antiqua" w:eastAsia="宋体" w:hAnsi="Book Antiqua" w:cs="宋体"/>
          <w:lang w:val="en-US" w:eastAsia="zh-CN"/>
        </w:rPr>
        <w:t xml:space="preserve">, Chen CL, Wang CH, Huang CJ, Cheng KW, Shih TH, Yang JC, Jawan B. Predictive factors associated with re-exploration for hemostasis in living donor liver transplantation. </w:t>
      </w:r>
      <w:r w:rsidRPr="002E3D4C">
        <w:rPr>
          <w:rFonts w:ascii="Book Antiqua" w:eastAsia="宋体" w:hAnsi="Book Antiqua" w:cs="宋体"/>
          <w:i/>
          <w:iCs/>
          <w:lang w:val="en-US" w:eastAsia="zh-CN"/>
        </w:rPr>
        <w:t>Ann Transplant</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17</w:t>
      </w:r>
      <w:r w:rsidRPr="002E3D4C">
        <w:rPr>
          <w:rFonts w:ascii="Book Antiqua" w:eastAsia="宋体" w:hAnsi="Book Antiqua" w:cs="宋体"/>
          <w:lang w:val="en-US" w:eastAsia="zh-CN"/>
        </w:rPr>
        <w:t>: 64-71 [PMID: 23274326 DOI: 10.12659/aot.883696]</w:t>
      </w:r>
    </w:p>
    <w:p w14:paraId="34DB806F" w14:textId="4C3F46C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76 </w:t>
      </w:r>
      <w:r w:rsidRPr="002E3D4C">
        <w:rPr>
          <w:rFonts w:ascii="Book Antiqua" w:eastAsia="宋体" w:hAnsi="Book Antiqua" w:cs="宋体"/>
          <w:b/>
          <w:bCs/>
          <w:lang w:val="en-US" w:eastAsia="zh-CN"/>
        </w:rPr>
        <w:t>Varotti G</w:t>
      </w:r>
      <w:r w:rsidRPr="002E3D4C">
        <w:rPr>
          <w:rFonts w:ascii="Book Antiqua" w:eastAsia="宋体" w:hAnsi="Book Antiqua" w:cs="宋体"/>
          <w:lang w:val="en-US" w:eastAsia="zh-CN"/>
        </w:rPr>
        <w:t xml:space="preserve">, Santori G, Andorno E, Morelli N, Ertreo M, Strada P, Porcile E, Casaccia M, Centanaro M, Valente U. Impact of Model for End-Stage Liver Disease score on transfusion rates in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45</w:t>
      </w:r>
      <w:r w:rsidRPr="002E3D4C">
        <w:rPr>
          <w:rFonts w:ascii="Book Antiqua" w:eastAsia="宋体" w:hAnsi="Book Antiqua" w:cs="宋体"/>
          <w:lang w:val="en-US" w:eastAsia="zh-CN"/>
        </w:rPr>
        <w:t>: 2684-2688 [PMID: 24034024 DOI: 10.1016/j.transproceed.2013.07.006]</w:t>
      </w:r>
    </w:p>
    <w:p w14:paraId="63DB02E8" w14:textId="13194728" w:rsidR="002E3D4C" w:rsidRPr="002E3D4C" w:rsidRDefault="00546711"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77 </w:t>
      </w:r>
      <w:r w:rsidR="002E3D4C" w:rsidRPr="002E3D4C">
        <w:rPr>
          <w:rFonts w:ascii="Book Antiqua" w:eastAsia="宋体" w:hAnsi="Book Antiqua" w:cs="宋体"/>
          <w:lang w:val="en-US" w:eastAsia="zh-CN"/>
        </w:rPr>
        <w:t xml:space="preserve">Abstracts of the ILTS (International Liver Transplantation Society) 19th Annual International Congress. June 11-14, 2013. </w:t>
      </w:r>
      <w:r w:rsidR="002E3D4C" w:rsidRPr="002E3D4C">
        <w:rPr>
          <w:rFonts w:ascii="Book Antiqua" w:eastAsia="宋体" w:hAnsi="Book Antiqua" w:cs="宋体"/>
          <w:i/>
          <w:iCs/>
          <w:lang w:val="en-US" w:eastAsia="zh-CN"/>
        </w:rPr>
        <w:t>Liver Transpl</w:t>
      </w:r>
      <w:r w:rsidR="002E3D4C" w:rsidRPr="002E3D4C">
        <w:rPr>
          <w:rFonts w:ascii="Book Antiqua" w:eastAsia="宋体" w:hAnsi="Book Antiqua" w:cs="宋体"/>
          <w:lang w:val="en-US" w:eastAsia="zh-CN"/>
        </w:rPr>
        <w:t xml:space="preserve"> 2013; </w:t>
      </w:r>
      <w:r w:rsidR="002E3D4C" w:rsidRPr="002E3D4C">
        <w:rPr>
          <w:rFonts w:ascii="Book Antiqua" w:eastAsia="宋体" w:hAnsi="Book Antiqua" w:cs="宋体"/>
          <w:b/>
          <w:bCs/>
          <w:lang w:val="en-US" w:eastAsia="zh-CN"/>
        </w:rPr>
        <w:t xml:space="preserve">19 </w:t>
      </w:r>
      <w:r w:rsidR="002E3D4C" w:rsidRPr="00546711">
        <w:rPr>
          <w:rFonts w:ascii="Book Antiqua" w:eastAsia="宋体" w:hAnsi="Book Antiqua" w:cs="宋体"/>
          <w:bCs/>
          <w:lang w:val="en-US" w:eastAsia="zh-CN"/>
        </w:rPr>
        <w:t>Suppl 1</w:t>
      </w:r>
      <w:r w:rsidR="002E3D4C" w:rsidRPr="00546711">
        <w:rPr>
          <w:rFonts w:ascii="Book Antiqua" w:eastAsia="宋体" w:hAnsi="Book Antiqua" w:cs="宋体"/>
          <w:lang w:val="en-US" w:eastAsia="zh-CN"/>
        </w:rPr>
        <w:t xml:space="preserve">: </w:t>
      </w:r>
      <w:r w:rsidR="002E3D4C" w:rsidRPr="002E3D4C">
        <w:rPr>
          <w:rFonts w:ascii="Book Antiqua" w:eastAsia="宋体" w:hAnsi="Book Antiqua" w:cs="宋体"/>
          <w:lang w:val="en-US" w:eastAsia="zh-CN"/>
        </w:rPr>
        <w:t>S86-334 [PMID: 23716446 DOI: 10.1002/lt.23661]</w:t>
      </w:r>
    </w:p>
    <w:p w14:paraId="640B5D4A" w14:textId="4BCB97D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78 </w:t>
      </w:r>
      <w:r w:rsidRPr="002E3D4C">
        <w:rPr>
          <w:rFonts w:ascii="Book Antiqua" w:eastAsia="宋体" w:hAnsi="Book Antiqua" w:cs="宋体"/>
          <w:b/>
          <w:bCs/>
          <w:lang w:val="en-US" w:eastAsia="zh-CN"/>
        </w:rPr>
        <w:t>De Santis GC</w:t>
      </w:r>
      <w:r w:rsidRPr="002E3D4C">
        <w:rPr>
          <w:rFonts w:ascii="Book Antiqua" w:eastAsia="宋体" w:hAnsi="Book Antiqua" w:cs="宋体"/>
          <w:lang w:val="en-US" w:eastAsia="zh-CN"/>
        </w:rPr>
        <w:t xml:space="preserve">, Brunetta DM, Nardo M, Oliveira LC, Souza FF, Cagnolati D, Mente ÊD, Sankarankutty AK, Covas DT, de Castro e Silva O. Preoperative variables associated with transfusion requirements in orthotopic liver </w:t>
      </w:r>
      <w:r w:rsidRPr="002E3D4C">
        <w:rPr>
          <w:rFonts w:ascii="Book Antiqua" w:eastAsia="宋体" w:hAnsi="Book Antiqua" w:cs="宋体"/>
          <w:lang w:val="en-US" w:eastAsia="zh-CN"/>
        </w:rPr>
        <w:lastRenderedPageBreak/>
        <w:t xml:space="preserve">transplantation. </w:t>
      </w:r>
      <w:r w:rsidRPr="002E3D4C">
        <w:rPr>
          <w:rFonts w:ascii="Book Antiqua" w:eastAsia="宋体" w:hAnsi="Book Antiqua" w:cs="宋体"/>
          <w:i/>
          <w:iCs/>
          <w:lang w:val="en-US" w:eastAsia="zh-CN"/>
        </w:rPr>
        <w:t>Transfus Apher Sci</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50</w:t>
      </w:r>
      <w:r w:rsidRPr="002E3D4C">
        <w:rPr>
          <w:rFonts w:ascii="Book Antiqua" w:eastAsia="宋体" w:hAnsi="Book Antiqua" w:cs="宋体"/>
          <w:lang w:val="en-US" w:eastAsia="zh-CN"/>
        </w:rPr>
        <w:t>: 99-105 [PMID: 24291115 DOI: 10.1016/j.transci.2013.10.006]</w:t>
      </w:r>
    </w:p>
    <w:p w14:paraId="2306C603" w14:textId="5C8C991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79 </w:t>
      </w:r>
      <w:r w:rsidRPr="002E3D4C">
        <w:rPr>
          <w:rFonts w:ascii="Book Antiqua" w:eastAsia="宋体" w:hAnsi="Book Antiqua" w:cs="宋体"/>
          <w:b/>
          <w:bCs/>
          <w:lang w:val="en-US" w:eastAsia="zh-CN"/>
        </w:rPr>
        <w:t>Cywinski JB</w:t>
      </w:r>
      <w:r w:rsidRPr="002E3D4C">
        <w:rPr>
          <w:rFonts w:ascii="Book Antiqua" w:eastAsia="宋体" w:hAnsi="Book Antiqua" w:cs="宋体"/>
          <w:lang w:val="en-US" w:eastAsia="zh-CN"/>
        </w:rPr>
        <w:t xml:space="preserve">, Alster JM, Miller C, Vogt DP, Parker BM. Prediction of intraoperative transfusion requirements during orthotopic liver transplantation and the influence on postoperative patient survival. </w:t>
      </w:r>
      <w:r w:rsidRPr="002E3D4C">
        <w:rPr>
          <w:rFonts w:ascii="Book Antiqua" w:eastAsia="宋体" w:hAnsi="Book Antiqua" w:cs="宋体"/>
          <w:i/>
          <w:iCs/>
          <w:lang w:val="en-US" w:eastAsia="zh-CN"/>
        </w:rPr>
        <w:t>Anesth Analg</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118</w:t>
      </w:r>
      <w:r w:rsidRPr="002E3D4C">
        <w:rPr>
          <w:rFonts w:ascii="Book Antiqua" w:eastAsia="宋体" w:hAnsi="Book Antiqua" w:cs="宋体"/>
          <w:lang w:val="en-US" w:eastAsia="zh-CN"/>
        </w:rPr>
        <w:t>: 428-437 [PMID: 24445640 DOI: 10.1213/ANE.0b013e3182a76f19]</w:t>
      </w:r>
    </w:p>
    <w:p w14:paraId="55E72AAB"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80 </w:t>
      </w:r>
      <w:r w:rsidRPr="002E3D4C">
        <w:rPr>
          <w:rFonts w:ascii="Book Antiqua" w:eastAsia="宋体" w:hAnsi="Book Antiqua" w:cs="宋体"/>
          <w:b/>
          <w:bCs/>
          <w:lang w:val="en-US" w:eastAsia="zh-CN"/>
        </w:rPr>
        <w:t>Tao YF</w:t>
      </w:r>
      <w:r w:rsidRPr="002E3D4C">
        <w:rPr>
          <w:rFonts w:ascii="Book Antiqua" w:eastAsia="宋体" w:hAnsi="Book Antiqua" w:cs="宋体"/>
          <w:lang w:val="en-US" w:eastAsia="zh-CN"/>
        </w:rPr>
        <w:t xml:space="preserve">, Teng F, Wang ZX, Guo WY, Shi XM, Wang GH, Ding GS, Fu ZR. Liver transplant recipients with portal vein thrombosis: a single center retrospective study. </w:t>
      </w:r>
      <w:r w:rsidRPr="002E3D4C">
        <w:rPr>
          <w:rFonts w:ascii="Book Antiqua" w:eastAsia="宋体" w:hAnsi="Book Antiqua" w:cs="宋体"/>
          <w:i/>
          <w:iCs/>
          <w:lang w:val="en-US" w:eastAsia="zh-CN"/>
        </w:rPr>
        <w:t>Hepatobiliary Pancreat Dis Int</w:t>
      </w:r>
      <w:r w:rsidRPr="002E3D4C">
        <w:rPr>
          <w:rFonts w:ascii="Book Antiqua" w:eastAsia="宋体" w:hAnsi="Book Antiqua" w:cs="宋体"/>
          <w:lang w:val="en-US" w:eastAsia="zh-CN"/>
        </w:rPr>
        <w:t xml:space="preserve"> 2009; </w:t>
      </w:r>
      <w:r w:rsidRPr="002E3D4C">
        <w:rPr>
          <w:rFonts w:ascii="Book Antiqua" w:eastAsia="宋体" w:hAnsi="Book Antiqua" w:cs="宋体"/>
          <w:b/>
          <w:bCs/>
          <w:lang w:val="en-US" w:eastAsia="zh-CN"/>
        </w:rPr>
        <w:t>8</w:t>
      </w:r>
      <w:r w:rsidRPr="002E3D4C">
        <w:rPr>
          <w:rFonts w:ascii="Book Antiqua" w:eastAsia="宋体" w:hAnsi="Book Antiqua" w:cs="宋体"/>
          <w:lang w:val="en-US" w:eastAsia="zh-CN"/>
        </w:rPr>
        <w:t>: 34-39 [PMID: 19208512]</w:t>
      </w:r>
    </w:p>
    <w:p w14:paraId="205CCA33" w14:textId="18DA424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81 </w:t>
      </w:r>
      <w:r w:rsidRPr="002E3D4C">
        <w:rPr>
          <w:rFonts w:ascii="Book Antiqua" w:eastAsia="宋体" w:hAnsi="Book Antiqua" w:cs="宋体"/>
          <w:b/>
          <w:bCs/>
          <w:lang w:val="en-US" w:eastAsia="zh-CN"/>
        </w:rPr>
        <w:t>Segal H</w:t>
      </w:r>
      <w:r w:rsidRPr="002E3D4C">
        <w:rPr>
          <w:rFonts w:ascii="Book Antiqua" w:eastAsia="宋体" w:hAnsi="Book Antiqua" w:cs="宋体"/>
          <w:lang w:val="en-US" w:eastAsia="zh-CN"/>
        </w:rPr>
        <w:t xml:space="preserve">, Cottam S, Potter D, Hunt BJ. Coagulation and fibrinolysis in primary biliary cirrhosis compared with other liver disease and during orthotopic liver transplantation. </w:t>
      </w:r>
      <w:r w:rsidRPr="002E3D4C">
        <w:rPr>
          <w:rFonts w:ascii="Book Antiqua" w:eastAsia="宋体" w:hAnsi="Book Antiqua" w:cs="宋体"/>
          <w:i/>
          <w:iCs/>
          <w:lang w:val="en-US" w:eastAsia="zh-CN"/>
        </w:rPr>
        <w:t>Hepatology</w:t>
      </w:r>
      <w:r w:rsidRPr="002E3D4C">
        <w:rPr>
          <w:rFonts w:ascii="Book Antiqua" w:eastAsia="宋体" w:hAnsi="Book Antiqua" w:cs="宋体"/>
          <w:lang w:val="en-US" w:eastAsia="zh-CN"/>
        </w:rPr>
        <w:t xml:space="preserve"> 1997; </w:t>
      </w:r>
      <w:r w:rsidRPr="002E3D4C">
        <w:rPr>
          <w:rFonts w:ascii="Book Antiqua" w:eastAsia="宋体" w:hAnsi="Book Antiqua" w:cs="宋体"/>
          <w:b/>
          <w:bCs/>
          <w:lang w:val="en-US" w:eastAsia="zh-CN"/>
        </w:rPr>
        <w:t>25</w:t>
      </w:r>
      <w:r w:rsidRPr="002E3D4C">
        <w:rPr>
          <w:rFonts w:ascii="Book Antiqua" w:eastAsia="宋体" w:hAnsi="Book Antiqua" w:cs="宋体"/>
          <w:lang w:val="en-US" w:eastAsia="zh-CN"/>
        </w:rPr>
        <w:t>: 683-688 [PMID: 9049219 DOI: 10.1002/hep.510250332]</w:t>
      </w:r>
    </w:p>
    <w:p w14:paraId="22C5C578" w14:textId="082E653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82 </w:t>
      </w:r>
      <w:r w:rsidRPr="002E3D4C">
        <w:rPr>
          <w:rFonts w:ascii="Book Antiqua" w:eastAsia="宋体" w:hAnsi="Book Antiqua" w:cs="宋体"/>
          <w:b/>
          <w:bCs/>
          <w:lang w:val="en-US" w:eastAsia="zh-CN"/>
        </w:rPr>
        <w:t>Suarez Artacho G</w:t>
      </w:r>
      <w:r w:rsidRPr="002E3D4C">
        <w:rPr>
          <w:rFonts w:ascii="Book Antiqua" w:eastAsia="宋体" w:hAnsi="Book Antiqua" w:cs="宋体"/>
          <w:lang w:val="en-US" w:eastAsia="zh-CN"/>
        </w:rPr>
        <w:t xml:space="preserve">, Barrera Pulido L, Alamo Martinez JM, Serrano Diez-Canedo J, Bernal Bellido C, Marín Gomez LM, Padillo Ruiz J, Gómez Bravo MA. Outcomes of liver transplantation in candidates with portal vein thrombosis.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2010; </w:t>
      </w:r>
      <w:r w:rsidRPr="002E3D4C">
        <w:rPr>
          <w:rFonts w:ascii="Book Antiqua" w:eastAsia="宋体" w:hAnsi="Book Antiqua" w:cs="宋体"/>
          <w:b/>
          <w:bCs/>
          <w:lang w:val="en-US" w:eastAsia="zh-CN"/>
        </w:rPr>
        <w:t>42</w:t>
      </w:r>
      <w:r w:rsidRPr="002E3D4C">
        <w:rPr>
          <w:rFonts w:ascii="Book Antiqua" w:eastAsia="宋体" w:hAnsi="Book Antiqua" w:cs="宋体"/>
          <w:lang w:val="en-US" w:eastAsia="zh-CN"/>
        </w:rPr>
        <w:t>: 3156-3158 [PMID: 20970634 DOI: 10.1016/j.transproceed.2010.05.057]</w:t>
      </w:r>
    </w:p>
    <w:p w14:paraId="18355640"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83 </w:t>
      </w:r>
      <w:r w:rsidRPr="002E3D4C">
        <w:rPr>
          <w:rFonts w:ascii="Book Antiqua" w:eastAsia="宋体" w:hAnsi="Book Antiqua" w:cs="宋体"/>
          <w:b/>
          <w:bCs/>
          <w:lang w:val="en-US" w:eastAsia="zh-CN"/>
        </w:rPr>
        <w:t>Feng ZY</w:t>
      </w:r>
      <w:r w:rsidRPr="002E3D4C">
        <w:rPr>
          <w:rFonts w:ascii="Book Antiqua" w:eastAsia="宋体" w:hAnsi="Book Antiqua" w:cs="宋体"/>
          <w:lang w:val="en-US" w:eastAsia="zh-CN"/>
        </w:rPr>
        <w:t xml:space="preserve">, Jin XD, Chen YZ. [Predictors of massive blood transfusion in liver transplantation for patients with benign end-stage liver disease]. </w:t>
      </w:r>
      <w:r w:rsidRPr="002E3D4C">
        <w:rPr>
          <w:rFonts w:ascii="Book Antiqua" w:eastAsia="宋体" w:hAnsi="Book Antiqua" w:cs="宋体"/>
          <w:i/>
          <w:iCs/>
          <w:lang w:val="en-US" w:eastAsia="zh-CN"/>
        </w:rPr>
        <w:t>Zhonghua Yi Xue Za Zhi</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88</w:t>
      </w:r>
      <w:r w:rsidRPr="002E3D4C">
        <w:rPr>
          <w:rFonts w:ascii="Book Antiqua" w:eastAsia="宋体" w:hAnsi="Book Antiqua" w:cs="宋体"/>
          <w:lang w:val="en-US" w:eastAsia="zh-CN"/>
        </w:rPr>
        <w:t>: 3040-3044 [PMID: 19192401]</w:t>
      </w:r>
    </w:p>
    <w:p w14:paraId="513A9DEE" w14:textId="76EE596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84 </w:t>
      </w:r>
      <w:r w:rsidRPr="002E3D4C">
        <w:rPr>
          <w:rFonts w:ascii="Book Antiqua" w:eastAsia="宋体" w:hAnsi="Book Antiqua" w:cs="宋体"/>
          <w:b/>
          <w:bCs/>
          <w:lang w:val="en-US" w:eastAsia="zh-CN"/>
        </w:rPr>
        <w:t>Escoresca Ortega AM</w:t>
      </w:r>
      <w:r w:rsidRPr="002E3D4C">
        <w:rPr>
          <w:rFonts w:ascii="Book Antiqua" w:eastAsia="宋体" w:hAnsi="Book Antiqua" w:cs="宋体"/>
          <w:lang w:val="en-US" w:eastAsia="zh-CN"/>
        </w:rPr>
        <w:t xml:space="preserve">, Mogollón Jiménez MV, Hinojosa Pérez R, Ferrándiz Millón CM, Salgado Algarrada JC, Herruzo Avilés A, Porras López FM, Perez Bernal JB, Gómez Bravo MA. Application of the McCluskey Index to predict blood product requirements during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40</w:t>
      </w:r>
      <w:r w:rsidRPr="002E3D4C">
        <w:rPr>
          <w:rFonts w:ascii="Book Antiqua" w:eastAsia="宋体" w:hAnsi="Book Antiqua" w:cs="宋体"/>
          <w:lang w:val="en-US" w:eastAsia="zh-CN"/>
        </w:rPr>
        <w:t>: 2981-2982 [PMID: 19010166 DOI: 10.1016/j.transproceed.2008.08.091]</w:t>
      </w:r>
    </w:p>
    <w:p w14:paraId="50C994A4" w14:textId="3AA980D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85 </w:t>
      </w:r>
      <w:r w:rsidRPr="002E3D4C">
        <w:rPr>
          <w:rFonts w:ascii="Book Antiqua" w:eastAsia="宋体" w:hAnsi="Book Antiqua" w:cs="宋体"/>
          <w:b/>
          <w:bCs/>
          <w:lang w:val="en-US" w:eastAsia="zh-CN"/>
        </w:rPr>
        <w:t>Gurusamy KS</w:t>
      </w:r>
      <w:r w:rsidRPr="002E3D4C">
        <w:rPr>
          <w:rFonts w:ascii="Book Antiqua" w:eastAsia="宋体" w:hAnsi="Book Antiqua" w:cs="宋体"/>
          <w:lang w:val="en-US" w:eastAsia="zh-CN"/>
        </w:rPr>
        <w:t xml:space="preserve">, Pamecha V, Davidson BR. Piggy-back graft for liver transplantation. </w:t>
      </w:r>
      <w:r w:rsidRPr="002E3D4C">
        <w:rPr>
          <w:rFonts w:ascii="Book Antiqua" w:eastAsia="宋体" w:hAnsi="Book Antiqua" w:cs="宋体"/>
          <w:i/>
          <w:iCs/>
          <w:lang w:val="en-US" w:eastAsia="zh-CN"/>
        </w:rPr>
        <w:t>Cochrane Database Syst Rev</w:t>
      </w:r>
      <w:r w:rsidR="00546711">
        <w:rPr>
          <w:rFonts w:ascii="Book Antiqua" w:eastAsia="宋体" w:hAnsi="Book Antiqua" w:cs="宋体"/>
          <w:lang w:val="en-US" w:eastAsia="zh-CN"/>
        </w:rPr>
        <w:t xml:space="preserve"> 2011</w:t>
      </w:r>
      <w:r w:rsidRPr="002E3D4C">
        <w:rPr>
          <w:rFonts w:ascii="Book Antiqua" w:eastAsia="宋体" w:hAnsi="Book Antiqua" w:cs="宋体"/>
          <w:lang w:val="en-US" w:eastAsia="zh-CN"/>
        </w:rPr>
        <w:t>: CD008258 [PMID: 21249703 DOI: 10.1002/14651858.CD008258.pub2]</w:t>
      </w:r>
    </w:p>
    <w:p w14:paraId="605847F8" w14:textId="13C0EED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86 </w:t>
      </w:r>
      <w:r w:rsidRPr="002E3D4C">
        <w:rPr>
          <w:rFonts w:ascii="Book Antiqua" w:eastAsia="宋体" w:hAnsi="Book Antiqua" w:cs="宋体"/>
          <w:b/>
          <w:bCs/>
          <w:lang w:val="en-US" w:eastAsia="zh-CN"/>
        </w:rPr>
        <w:t>Nishida S</w:t>
      </w:r>
      <w:r w:rsidRPr="002E3D4C">
        <w:rPr>
          <w:rFonts w:ascii="Book Antiqua" w:eastAsia="宋体" w:hAnsi="Book Antiqua" w:cs="宋体"/>
          <w:lang w:val="en-US" w:eastAsia="zh-CN"/>
        </w:rPr>
        <w:t xml:space="preserve">, Nakamura N, Vaidya A, Levi DM, Kato T, Nery JR, Madariaga JR, Molina E, Ruiz P, Gyamfi A, Tzakis AG. Piggyback technique in adult orthotopic liver transplantation: an analysis of 1067 liver transplants at a single center. </w:t>
      </w:r>
      <w:r w:rsidRPr="002E3D4C">
        <w:rPr>
          <w:rFonts w:ascii="Book Antiqua" w:eastAsia="宋体" w:hAnsi="Book Antiqua" w:cs="宋体"/>
          <w:i/>
          <w:iCs/>
          <w:lang w:val="en-US" w:eastAsia="zh-CN"/>
        </w:rPr>
        <w:t xml:space="preserve">HPB </w:t>
      </w:r>
      <w:r w:rsidRPr="00546711">
        <w:rPr>
          <w:rFonts w:ascii="Book Antiqua" w:eastAsia="宋体" w:hAnsi="Book Antiqua" w:cs="宋体"/>
          <w:iCs/>
          <w:lang w:val="en-US" w:eastAsia="zh-CN"/>
        </w:rPr>
        <w:t>(Oxford)</w:t>
      </w:r>
      <w:r w:rsidRPr="00546711">
        <w:rPr>
          <w:rFonts w:ascii="Book Antiqua" w:eastAsia="宋体" w:hAnsi="Book Antiqua" w:cs="宋体"/>
          <w:lang w:val="en-US" w:eastAsia="zh-CN"/>
        </w:rPr>
        <w:t xml:space="preserve"> </w:t>
      </w:r>
      <w:r w:rsidRPr="002E3D4C">
        <w:rPr>
          <w:rFonts w:ascii="Book Antiqua" w:eastAsia="宋体" w:hAnsi="Book Antiqua" w:cs="宋体"/>
          <w:lang w:val="en-US" w:eastAsia="zh-CN"/>
        </w:rPr>
        <w:t xml:space="preserve">2006; </w:t>
      </w:r>
      <w:r w:rsidRPr="002E3D4C">
        <w:rPr>
          <w:rFonts w:ascii="Book Antiqua" w:eastAsia="宋体" w:hAnsi="Book Antiqua" w:cs="宋体"/>
          <w:b/>
          <w:bCs/>
          <w:lang w:val="en-US" w:eastAsia="zh-CN"/>
        </w:rPr>
        <w:t>8</w:t>
      </w:r>
      <w:r w:rsidRPr="002E3D4C">
        <w:rPr>
          <w:rFonts w:ascii="Book Antiqua" w:eastAsia="宋体" w:hAnsi="Book Antiqua" w:cs="宋体"/>
          <w:lang w:val="en-US" w:eastAsia="zh-CN"/>
        </w:rPr>
        <w:t>: 182-188 [PMID: 18333273 DOI: 10.1080/13651820500542135]</w:t>
      </w:r>
    </w:p>
    <w:p w14:paraId="35CDE09E" w14:textId="5B324EA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87 </w:t>
      </w:r>
      <w:r w:rsidRPr="002E3D4C">
        <w:rPr>
          <w:rFonts w:ascii="Book Antiqua" w:eastAsia="宋体" w:hAnsi="Book Antiqua" w:cs="宋体"/>
          <w:b/>
          <w:bCs/>
          <w:lang w:val="en-US" w:eastAsia="zh-CN"/>
        </w:rPr>
        <w:t>Busque S</w:t>
      </w:r>
      <w:r w:rsidRPr="002E3D4C">
        <w:rPr>
          <w:rFonts w:ascii="Book Antiqua" w:eastAsia="宋体" w:hAnsi="Book Antiqua" w:cs="宋体"/>
          <w:lang w:val="en-US" w:eastAsia="zh-CN"/>
        </w:rPr>
        <w:t xml:space="preserve">, Esquivel CO, Concepcion W, So SK. Experience with the piggyback technique without caval occlusion in adult orthotopic liver transplantation.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1998; </w:t>
      </w:r>
      <w:r w:rsidRPr="002E3D4C">
        <w:rPr>
          <w:rFonts w:ascii="Book Antiqua" w:eastAsia="宋体" w:hAnsi="Book Antiqua" w:cs="宋体"/>
          <w:b/>
          <w:bCs/>
          <w:lang w:val="en-US" w:eastAsia="zh-CN"/>
        </w:rPr>
        <w:t>65</w:t>
      </w:r>
      <w:r w:rsidRPr="002E3D4C">
        <w:rPr>
          <w:rFonts w:ascii="Book Antiqua" w:eastAsia="宋体" w:hAnsi="Book Antiqua" w:cs="宋体"/>
          <w:lang w:val="en-US" w:eastAsia="zh-CN"/>
        </w:rPr>
        <w:t>: 77-82 [PMID: 9448148 DOI: 10.1097/00007890-199801150-00015]</w:t>
      </w:r>
    </w:p>
    <w:p w14:paraId="362ED9FA" w14:textId="340098F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88 </w:t>
      </w:r>
      <w:r w:rsidRPr="002E3D4C">
        <w:rPr>
          <w:rFonts w:ascii="Book Antiqua" w:eastAsia="宋体" w:hAnsi="Book Antiqua" w:cs="宋体"/>
          <w:b/>
          <w:bCs/>
          <w:lang w:val="en-US" w:eastAsia="zh-CN"/>
        </w:rPr>
        <w:t>Hosein Shokouh-Amiri M</w:t>
      </w:r>
      <w:r w:rsidRPr="002E3D4C">
        <w:rPr>
          <w:rFonts w:ascii="Book Antiqua" w:eastAsia="宋体" w:hAnsi="Book Antiqua" w:cs="宋体"/>
          <w:lang w:val="en-US" w:eastAsia="zh-CN"/>
        </w:rPr>
        <w:t xml:space="preserve">, Osama Gaber A, Bagous WA, Grewal HP, Hathaway DK, Vera SR, Stratta RJ, Bagous TN, Kizilisik T. Choice of surgical technique influences perioperative outcomes in liver transplantation. </w:t>
      </w:r>
      <w:r w:rsidRPr="002E3D4C">
        <w:rPr>
          <w:rFonts w:ascii="Book Antiqua" w:eastAsia="宋体" w:hAnsi="Book Antiqua" w:cs="宋体"/>
          <w:i/>
          <w:iCs/>
          <w:lang w:val="en-US" w:eastAsia="zh-CN"/>
        </w:rPr>
        <w:t>Ann Surg</w:t>
      </w:r>
      <w:r w:rsidRPr="002E3D4C">
        <w:rPr>
          <w:rFonts w:ascii="Book Antiqua" w:eastAsia="宋体" w:hAnsi="Book Antiqua" w:cs="宋体"/>
          <w:lang w:val="en-US" w:eastAsia="zh-CN"/>
        </w:rPr>
        <w:t xml:space="preserve"> 2000; </w:t>
      </w:r>
      <w:r w:rsidRPr="002E3D4C">
        <w:rPr>
          <w:rFonts w:ascii="Book Antiqua" w:eastAsia="宋体" w:hAnsi="Book Antiqua" w:cs="宋体"/>
          <w:b/>
          <w:bCs/>
          <w:lang w:val="en-US" w:eastAsia="zh-CN"/>
        </w:rPr>
        <w:t>231</w:t>
      </w:r>
      <w:r w:rsidRPr="002E3D4C">
        <w:rPr>
          <w:rFonts w:ascii="Book Antiqua" w:eastAsia="宋体" w:hAnsi="Book Antiqua" w:cs="宋体"/>
          <w:lang w:val="en-US" w:eastAsia="zh-CN"/>
        </w:rPr>
        <w:t>: 814-823 [PMID: 10816624 DOI: 10.1097/00000658-200006000-00005]</w:t>
      </w:r>
    </w:p>
    <w:p w14:paraId="3E6D17B9" w14:textId="15F900F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89 </w:t>
      </w:r>
      <w:r w:rsidRPr="002E3D4C">
        <w:rPr>
          <w:rFonts w:ascii="Book Antiqua" w:eastAsia="宋体" w:hAnsi="Book Antiqua" w:cs="宋体"/>
          <w:b/>
          <w:bCs/>
          <w:lang w:val="en-US" w:eastAsia="zh-CN"/>
        </w:rPr>
        <w:t>Fan ST</w:t>
      </w:r>
      <w:r w:rsidRPr="002E3D4C">
        <w:rPr>
          <w:rFonts w:ascii="Book Antiqua" w:eastAsia="宋体" w:hAnsi="Book Antiqua" w:cs="宋体"/>
          <w:lang w:val="en-US" w:eastAsia="zh-CN"/>
        </w:rPr>
        <w:t xml:space="preserve">, Yong BH, Lo CM, Liu CL, Wong J. Right lobe living donor liver transplantation with or without venovenous bypass. </w:t>
      </w:r>
      <w:r w:rsidRPr="002E3D4C">
        <w:rPr>
          <w:rFonts w:ascii="Book Antiqua" w:eastAsia="宋体" w:hAnsi="Book Antiqua" w:cs="宋体"/>
          <w:i/>
          <w:iCs/>
          <w:lang w:val="en-US" w:eastAsia="zh-CN"/>
        </w:rPr>
        <w:t>Br J Surg</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90</w:t>
      </w:r>
      <w:r w:rsidRPr="002E3D4C">
        <w:rPr>
          <w:rFonts w:ascii="Book Antiqua" w:eastAsia="宋体" w:hAnsi="Book Antiqua" w:cs="宋体"/>
          <w:lang w:val="en-US" w:eastAsia="zh-CN"/>
        </w:rPr>
        <w:t>: 48-56 [PMID: 12520574 DOI: 10.1002/bjs.4026]</w:t>
      </w:r>
    </w:p>
    <w:p w14:paraId="7A33EE1E" w14:textId="779D869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90 </w:t>
      </w:r>
      <w:r w:rsidRPr="002E3D4C">
        <w:rPr>
          <w:rFonts w:ascii="Book Antiqua" w:eastAsia="宋体" w:hAnsi="Book Antiqua" w:cs="宋体"/>
          <w:b/>
          <w:bCs/>
          <w:lang w:val="en-US" w:eastAsia="zh-CN"/>
        </w:rPr>
        <w:t>Riha GM</w:t>
      </w:r>
      <w:r w:rsidRPr="002E3D4C">
        <w:rPr>
          <w:rFonts w:ascii="Book Antiqua" w:eastAsia="宋体" w:hAnsi="Book Antiqua" w:cs="宋体"/>
          <w:lang w:val="en-US" w:eastAsia="zh-CN"/>
        </w:rPr>
        <w:t xml:space="preserve">, Schreiber MA. Update and new developments in the management of the exsanguinating patient. </w:t>
      </w:r>
      <w:r w:rsidRPr="002E3D4C">
        <w:rPr>
          <w:rFonts w:ascii="Book Antiqua" w:eastAsia="宋体" w:hAnsi="Book Antiqua" w:cs="宋体"/>
          <w:i/>
          <w:iCs/>
          <w:lang w:val="en-US" w:eastAsia="zh-CN"/>
        </w:rPr>
        <w:t>J Intensive Care Med</w:t>
      </w:r>
      <w:r w:rsidRPr="002E3D4C">
        <w:rPr>
          <w:rFonts w:ascii="Book Antiqua" w:eastAsia="宋体" w:hAnsi="Book Antiqua" w:cs="宋体"/>
          <w:lang w:val="en-US" w:eastAsia="zh-CN"/>
        </w:rPr>
        <w:t xml:space="preserve"> </w:t>
      </w:r>
      <w:r w:rsidR="006C4AA2">
        <w:rPr>
          <w:rFonts w:ascii="Book Antiqua" w:eastAsia="宋体" w:hAnsi="Book Antiqua" w:cs="宋体" w:hint="eastAsia"/>
          <w:lang w:val="en-US" w:eastAsia="zh-CN"/>
        </w:rPr>
        <w:t>2013</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28</w:t>
      </w:r>
      <w:r w:rsidRPr="002E3D4C">
        <w:rPr>
          <w:rFonts w:ascii="Book Antiqua" w:eastAsia="宋体" w:hAnsi="Book Antiqua" w:cs="宋体"/>
          <w:lang w:val="en-US" w:eastAsia="zh-CN"/>
        </w:rPr>
        <w:t>: 46-57 [PMID: 21747123 DOI: 10.1177/0885066611403273]</w:t>
      </w:r>
    </w:p>
    <w:p w14:paraId="3542F3E7" w14:textId="163125D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91 </w:t>
      </w:r>
      <w:r w:rsidR="006C4AA2" w:rsidRPr="006C4AA2">
        <w:rPr>
          <w:rFonts w:ascii="Book Antiqua" w:hAnsi="Book Antiqua"/>
          <w:b/>
          <w:noProof/>
          <w:lang w:val="en-US"/>
        </w:rPr>
        <w:t>American Society of Anesthesiologists Task Force on Perioperative Blood Transfusion and Adjuvant Therapies</w:t>
      </w:r>
      <w:r w:rsidRPr="002E3D4C">
        <w:rPr>
          <w:rFonts w:ascii="Book Antiqua" w:eastAsia="宋体" w:hAnsi="Book Antiqua" w:cs="宋体"/>
          <w:lang w:val="en-US" w:eastAsia="zh-CN"/>
        </w:rPr>
        <w:t xml:space="preserve">. Practice guidelines for perioperative blood transfusion and adjuvant therapies: an updated report by the American Society of Anesthesiologists Task Force on Perioperative Blood Transfusion and Adjuvant Therapies. </w:t>
      </w:r>
      <w:r w:rsidRPr="002E3D4C">
        <w:rPr>
          <w:rFonts w:ascii="Book Antiqua" w:eastAsia="宋体" w:hAnsi="Book Antiqua" w:cs="宋体"/>
          <w:i/>
          <w:iCs/>
          <w:lang w:val="en-US" w:eastAsia="zh-CN"/>
        </w:rPr>
        <w:t>Anesthesiology</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105</w:t>
      </w:r>
      <w:r w:rsidRPr="002E3D4C">
        <w:rPr>
          <w:rFonts w:ascii="Book Antiqua" w:eastAsia="宋体" w:hAnsi="Book Antiqua" w:cs="宋体"/>
          <w:lang w:val="en-US" w:eastAsia="zh-CN"/>
        </w:rPr>
        <w:t>: 198-208 [PMID: 16810012 DOI: 10.1097/00000542-200607000-00030]</w:t>
      </w:r>
    </w:p>
    <w:p w14:paraId="6493BA42" w14:textId="7685A2C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92 </w:t>
      </w:r>
      <w:r w:rsidRPr="002E3D4C">
        <w:rPr>
          <w:rFonts w:ascii="Book Antiqua" w:eastAsia="宋体" w:hAnsi="Book Antiqua" w:cs="宋体"/>
          <w:b/>
          <w:bCs/>
          <w:lang w:val="en-US" w:eastAsia="zh-CN"/>
        </w:rPr>
        <w:t>MacLeod JB</w:t>
      </w:r>
      <w:r w:rsidRPr="002E3D4C">
        <w:rPr>
          <w:rFonts w:ascii="Book Antiqua" w:eastAsia="宋体" w:hAnsi="Book Antiqua" w:cs="宋体"/>
          <w:lang w:val="en-US" w:eastAsia="zh-CN"/>
        </w:rPr>
        <w:t xml:space="preserve">, Lynn M, McKenney MG, Cohn SM, Murtha M. Early coagulopathy predicts mortality in trauma. </w:t>
      </w:r>
      <w:r w:rsidRPr="002E3D4C">
        <w:rPr>
          <w:rFonts w:ascii="Book Antiqua" w:eastAsia="宋体" w:hAnsi="Book Antiqua" w:cs="宋体"/>
          <w:i/>
          <w:iCs/>
          <w:lang w:val="en-US" w:eastAsia="zh-CN"/>
        </w:rPr>
        <w:t>J Trauma</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55</w:t>
      </w:r>
      <w:r w:rsidRPr="002E3D4C">
        <w:rPr>
          <w:rFonts w:ascii="Book Antiqua" w:eastAsia="宋体" w:hAnsi="Book Antiqua" w:cs="宋体"/>
          <w:lang w:val="en-US" w:eastAsia="zh-CN"/>
        </w:rPr>
        <w:t>: 39-44 [PMID: 12855879 DOI: 10.1097/01.TA.0000075338.21177.EF]</w:t>
      </w:r>
    </w:p>
    <w:p w14:paraId="125D71E9" w14:textId="7FC2F89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93 </w:t>
      </w:r>
      <w:r w:rsidRPr="002E3D4C">
        <w:rPr>
          <w:rFonts w:ascii="Book Antiqua" w:eastAsia="宋体" w:hAnsi="Book Antiqua" w:cs="宋体"/>
          <w:b/>
          <w:bCs/>
          <w:lang w:val="en-US" w:eastAsia="zh-CN"/>
        </w:rPr>
        <w:t>Brohi K</w:t>
      </w:r>
      <w:r w:rsidRPr="002E3D4C">
        <w:rPr>
          <w:rFonts w:ascii="Book Antiqua" w:eastAsia="宋体" w:hAnsi="Book Antiqua" w:cs="宋体"/>
          <w:lang w:val="en-US" w:eastAsia="zh-CN"/>
        </w:rPr>
        <w:t xml:space="preserve">, Singh J, Heron M, Coats T. Acute traumatic coagulopathy. </w:t>
      </w:r>
      <w:r w:rsidRPr="002E3D4C">
        <w:rPr>
          <w:rFonts w:ascii="Book Antiqua" w:eastAsia="宋体" w:hAnsi="Book Antiqua" w:cs="宋体"/>
          <w:i/>
          <w:iCs/>
          <w:lang w:val="en-US" w:eastAsia="zh-CN"/>
        </w:rPr>
        <w:t>J Trauma</w:t>
      </w:r>
      <w:r w:rsidRPr="002E3D4C">
        <w:rPr>
          <w:rFonts w:ascii="Book Antiqua" w:eastAsia="宋体" w:hAnsi="Book Antiqua" w:cs="宋体"/>
          <w:lang w:val="en-US" w:eastAsia="zh-CN"/>
        </w:rPr>
        <w:t xml:space="preserve"> 2003; </w:t>
      </w:r>
      <w:r w:rsidRPr="002E3D4C">
        <w:rPr>
          <w:rFonts w:ascii="Book Antiqua" w:eastAsia="宋体" w:hAnsi="Book Antiqua" w:cs="宋体"/>
          <w:b/>
          <w:bCs/>
          <w:lang w:val="en-US" w:eastAsia="zh-CN"/>
        </w:rPr>
        <w:t>54</w:t>
      </w:r>
      <w:r w:rsidRPr="002E3D4C">
        <w:rPr>
          <w:rFonts w:ascii="Book Antiqua" w:eastAsia="宋体" w:hAnsi="Book Antiqua" w:cs="宋体"/>
          <w:lang w:val="en-US" w:eastAsia="zh-CN"/>
        </w:rPr>
        <w:t>: 1127-1130 [PMID: 12813333 DOI: 10.1097/01.TA.0000069184.82147.06]</w:t>
      </w:r>
    </w:p>
    <w:p w14:paraId="25E7BBC2" w14:textId="75C8D27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94 </w:t>
      </w:r>
      <w:r w:rsidRPr="002E3D4C">
        <w:rPr>
          <w:rFonts w:ascii="Book Antiqua" w:eastAsia="宋体" w:hAnsi="Book Antiqua" w:cs="宋体"/>
          <w:b/>
          <w:bCs/>
          <w:lang w:val="en-US" w:eastAsia="zh-CN"/>
        </w:rPr>
        <w:t>Oshiro A</w:t>
      </w:r>
      <w:r w:rsidRPr="002E3D4C">
        <w:rPr>
          <w:rFonts w:ascii="Book Antiqua" w:eastAsia="宋体" w:hAnsi="Book Antiqua" w:cs="宋体"/>
          <w:lang w:val="en-US" w:eastAsia="zh-CN"/>
        </w:rPr>
        <w:t xml:space="preserve">, Yanagida Y, Gando S, Henzan N, Takahashi I, Makise H. Hemostasis during the early stages of trauma: comparison with disseminated intravascular coagulation. </w:t>
      </w:r>
      <w:r w:rsidRPr="002E3D4C">
        <w:rPr>
          <w:rFonts w:ascii="Book Antiqua" w:eastAsia="宋体" w:hAnsi="Book Antiqua" w:cs="宋体"/>
          <w:i/>
          <w:iCs/>
          <w:lang w:val="en-US" w:eastAsia="zh-CN"/>
        </w:rPr>
        <w:t>Crit Care</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18</w:t>
      </w:r>
      <w:r w:rsidRPr="002E3D4C">
        <w:rPr>
          <w:rFonts w:ascii="Book Antiqua" w:eastAsia="宋体" w:hAnsi="Book Antiqua" w:cs="宋体"/>
          <w:lang w:val="en-US" w:eastAsia="zh-CN"/>
        </w:rPr>
        <w:t>: R61 [PMID: 24708802 DOI: 10.1186/cc13816]</w:t>
      </w:r>
    </w:p>
    <w:p w14:paraId="461AB939" w14:textId="343FE07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95 </w:t>
      </w:r>
      <w:r w:rsidRPr="002E3D4C">
        <w:rPr>
          <w:rFonts w:ascii="Book Antiqua" w:eastAsia="宋体" w:hAnsi="Book Antiqua" w:cs="宋体"/>
          <w:b/>
          <w:bCs/>
          <w:lang w:val="en-US" w:eastAsia="zh-CN"/>
        </w:rPr>
        <w:t>Gando S</w:t>
      </w:r>
      <w:r w:rsidRPr="002E3D4C">
        <w:rPr>
          <w:rFonts w:ascii="Book Antiqua" w:eastAsia="宋体" w:hAnsi="Book Antiqua" w:cs="宋体"/>
          <w:lang w:val="en-US" w:eastAsia="zh-CN"/>
        </w:rPr>
        <w:t xml:space="preserve">, Hayakawa M. Pathophysiology of Trauma-Induced Coagulopathy and Management of Critical Bleeding Requiring Massive Transfusion. </w:t>
      </w:r>
      <w:r w:rsidRPr="002E3D4C">
        <w:rPr>
          <w:rFonts w:ascii="Book Antiqua" w:eastAsia="宋体" w:hAnsi="Book Antiqua" w:cs="宋体"/>
          <w:i/>
          <w:iCs/>
          <w:lang w:val="en-US" w:eastAsia="zh-CN"/>
        </w:rPr>
        <w:t>Semin Thromb Hemost</w:t>
      </w:r>
      <w:r w:rsidRPr="002E3D4C">
        <w:rPr>
          <w:rFonts w:ascii="Book Antiqua" w:eastAsia="宋体" w:hAnsi="Book Antiqua" w:cs="宋体"/>
          <w:lang w:val="en-US" w:eastAsia="zh-CN"/>
        </w:rPr>
        <w:t xml:space="preserve"> 2016; </w:t>
      </w:r>
      <w:r w:rsidRPr="002E3D4C">
        <w:rPr>
          <w:rFonts w:ascii="Book Antiqua" w:eastAsia="宋体" w:hAnsi="Book Antiqua" w:cs="宋体"/>
          <w:b/>
          <w:bCs/>
          <w:lang w:val="en-US" w:eastAsia="zh-CN"/>
        </w:rPr>
        <w:t>42</w:t>
      </w:r>
      <w:r w:rsidRPr="002E3D4C">
        <w:rPr>
          <w:rFonts w:ascii="Book Antiqua" w:eastAsia="宋体" w:hAnsi="Book Antiqua" w:cs="宋体"/>
          <w:lang w:val="en-US" w:eastAsia="zh-CN"/>
        </w:rPr>
        <w:t>: 155-165 [PMID: 26716498 DOI: 10.1055/s-0035-1564831]</w:t>
      </w:r>
    </w:p>
    <w:p w14:paraId="0A409EF2" w14:textId="119269E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96 </w:t>
      </w:r>
      <w:r w:rsidRPr="002E3D4C">
        <w:rPr>
          <w:rFonts w:ascii="Book Antiqua" w:eastAsia="宋体" w:hAnsi="Book Antiqua" w:cs="宋体"/>
          <w:b/>
          <w:bCs/>
          <w:lang w:val="en-US" w:eastAsia="zh-CN"/>
        </w:rPr>
        <w:t>Hartmann M</w:t>
      </w:r>
      <w:r w:rsidRPr="002E3D4C">
        <w:rPr>
          <w:rFonts w:ascii="Book Antiqua" w:eastAsia="宋体" w:hAnsi="Book Antiqua" w:cs="宋体"/>
          <w:lang w:val="en-US" w:eastAsia="zh-CN"/>
        </w:rPr>
        <w:t xml:space="preserve">, Szalai C, Saner FH. Hemostasis in liver transplantation: Pathophysiology, monitoring, and treatment. </w:t>
      </w:r>
      <w:r w:rsidRPr="002E3D4C">
        <w:rPr>
          <w:rFonts w:ascii="Book Antiqua" w:eastAsia="宋体" w:hAnsi="Book Antiqua" w:cs="宋体"/>
          <w:i/>
          <w:iCs/>
          <w:lang w:val="en-US" w:eastAsia="zh-CN"/>
        </w:rPr>
        <w:t>World J Gastroenterol</w:t>
      </w:r>
      <w:r w:rsidRPr="002E3D4C">
        <w:rPr>
          <w:rFonts w:ascii="Book Antiqua" w:eastAsia="宋体" w:hAnsi="Book Antiqua" w:cs="宋体"/>
          <w:lang w:val="en-US" w:eastAsia="zh-CN"/>
        </w:rPr>
        <w:t xml:space="preserve"> 2016; </w:t>
      </w:r>
      <w:r w:rsidRPr="002E3D4C">
        <w:rPr>
          <w:rFonts w:ascii="Book Antiqua" w:eastAsia="宋体" w:hAnsi="Book Antiqua" w:cs="宋体"/>
          <w:b/>
          <w:bCs/>
          <w:lang w:val="en-US" w:eastAsia="zh-CN"/>
        </w:rPr>
        <w:t>22</w:t>
      </w:r>
      <w:r w:rsidRPr="002E3D4C">
        <w:rPr>
          <w:rFonts w:ascii="Book Antiqua" w:eastAsia="宋体" w:hAnsi="Book Antiqua" w:cs="宋体"/>
          <w:lang w:val="en-US" w:eastAsia="zh-CN"/>
        </w:rPr>
        <w:t>: 1541-1550 [PMID: 26819521 DOI: 10.3748/wjg.v22.i4.1541]</w:t>
      </w:r>
    </w:p>
    <w:p w14:paraId="6C1E5838"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97 </w:t>
      </w:r>
      <w:r w:rsidRPr="002E3D4C">
        <w:rPr>
          <w:rFonts w:ascii="Book Antiqua" w:eastAsia="宋体" w:hAnsi="Book Antiqua" w:cs="宋体"/>
          <w:b/>
          <w:bCs/>
          <w:lang w:val="en-US" w:eastAsia="zh-CN"/>
        </w:rPr>
        <w:t>Johansson PI</w:t>
      </w:r>
      <w:r w:rsidRPr="002E3D4C">
        <w:rPr>
          <w:rFonts w:ascii="Book Antiqua" w:eastAsia="宋体" w:hAnsi="Book Antiqua" w:cs="宋体"/>
          <w:lang w:val="en-US" w:eastAsia="zh-CN"/>
        </w:rPr>
        <w:t xml:space="preserve">, Stensballe J, Rasmussen LS, Ostrowski SR. A high admission syndecan-1 level, a marker of endothelial glycocalyx degradation, is associated with inflammation, protein C depletion, fibrinolysis, and increased mortality in trauma patients. </w:t>
      </w:r>
      <w:r w:rsidRPr="002E3D4C">
        <w:rPr>
          <w:rFonts w:ascii="Book Antiqua" w:eastAsia="宋体" w:hAnsi="Book Antiqua" w:cs="宋体"/>
          <w:i/>
          <w:iCs/>
          <w:lang w:val="en-US" w:eastAsia="zh-CN"/>
        </w:rPr>
        <w:t>Ann Surg</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254</w:t>
      </w:r>
      <w:r w:rsidRPr="002E3D4C">
        <w:rPr>
          <w:rFonts w:ascii="Book Antiqua" w:eastAsia="宋体" w:hAnsi="Book Antiqua" w:cs="宋体"/>
          <w:lang w:val="en-US" w:eastAsia="zh-CN"/>
        </w:rPr>
        <w:t>: 194-200 [PMID: 21772125 DOI: 10.1097/SLA.0b013e318226113d]</w:t>
      </w:r>
    </w:p>
    <w:p w14:paraId="632B3FEC" w14:textId="38F6943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98 </w:t>
      </w:r>
      <w:r w:rsidRPr="002E3D4C">
        <w:rPr>
          <w:rFonts w:ascii="Book Antiqua" w:eastAsia="宋体" w:hAnsi="Book Antiqua" w:cs="宋体"/>
          <w:b/>
          <w:bCs/>
          <w:lang w:val="en-US" w:eastAsia="zh-CN"/>
        </w:rPr>
        <w:t>Schiefer J</w:t>
      </w:r>
      <w:r w:rsidRPr="002E3D4C">
        <w:rPr>
          <w:rFonts w:ascii="Book Antiqua" w:eastAsia="宋体" w:hAnsi="Book Antiqua" w:cs="宋体"/>
          <w:lang w:val="en-US" w:eastAsia="zh-CN"/>
        </w:rPr>
        <w:t xml:space="preserve">, Lebherz-Eichinger D, Erdoes G, Berlakovich G, Bacher A, Krenn CG, Faybik P. Alterations of Endothelial Glycocalyx During Orthotopic Liver Transplantation in Patients With End-Stage Liver Disease.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99</w:t>
      </w:r>
      <w:r w:rsidRPr="002E3D4C">
        <w:rPr>
          <w:rFonts w:ascii="Book Antiqua" w:eastAsia="宋体" w:hAnsi="Book Antiqua" w:cs="宋体"/>
          <w:lang w:val="en-US" w:eastAsia="zh-CN"/>
        </w:rPr>
        <w:t>: 2118-2123 [PMID: 25757215 DOI: 10.1097/TP.0000000000000680]</w:t>
      </w:r>
    </w:p>
    <w:p w14:paraId="0D402A03" w14:textId="66A204F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99 </w:t>
      </w:r>
      <w:r w:rsidRPr="002E3D4C">
        <w:rPr>
          <w:rFonts w:ascii="Book Antiqua" w:eastAsia="宋体" w:hAnsi="Book Antiqua" w:cs="宋体"/>
          <w:b/>
          <w:bCs/>
          <w:lang w:val="en-US" w:eastAsia="zh-CN"/>
        </w:rPr>
        <w:t>Cap AP</w:t>
      </w:r>
      <w:r w:rsidRPr="002E3D4C">
        <w:rPr>
          <w:rFonts w:ascii="Book Antiqua" w:eastAsia="宋体" w:hAnsi="Book Antiqua" w:cs="宋体"/>
          <w:lang w:val="en-US" w:eastAsia="zh-CN"/>
        </w:rPr>
        <w:t xml:space="preserve">, Spinella PC, Borgman MA, Blackbourne LH, Perkins JG. Timing and location of blood product transfusion and outcomes in massively transfused combat casualties.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73</w:t>
      </w:r>
      <w:r w:rsidRPr="002E3D4C">
        <w:rPr>
          <w:rFonts w:ascii="Book Antiqua" w:eastAsia="宋体" w:hAnsi="Book Antiqua" w:cs="宋体"/>
          <w:lang w:val="en-US" w:eastAsia="zh-CN"/>
        </w:rPr>
        <w:t>: S89-S94 [PMID: 22847102 DOI: 10.1097/TA.0b013e318260625a]</w:t>
      </w:r>
    </w:p>
    <w:p w14:paraId="7198706E" w14:textId="70A6180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100 </w:t>
      </w:r>
      <w:r w:rsidRPr="002E3D4C">
        <w:rPr>
          <w:rFonts w:ascii="Book Antiqua" w:eastAsia="宋体" w:hAnsi="Book Antiqua" w:cs="宋体"/>
          <w:b/>
          <w:bCs/>
          <w:lang w:val="en-US" w:eastAsia="zh-CN"/>
        </w:rPr>
        <w:t>Kutcher ME</w:t>
      </w:r>
      <w:r w:rsidRPr="002E3D4C">
        <w:rPr>
          <w:rFonts w:ascii="Book Antiqua" w:eastAsia="宋体" w:hAnsi="Book Antiqua" w:cs="宋体"/>
          <w:lang w:val="en-US" w:eastAsia="zh-CN"/>
        </w:rPr>
        <w:t xml:space="preserve">, Kornblith LZ, Narayan R, Curd V, Daley AT, Redick BJ, Nelson MF, Fiebig EW, Cohen MJ. A paradigm shift in trauma resuscitation: evaluation of evolving massive transfusion practices. </w:t>
      </w:r>
      <w:r w:rsidRPr="002E3D4C">
        <w:rPr>
          <w:rFonts w:ascii="Book Antiqua" w:eastAsia="宋体" w:hAnsi="Book Antiqua" w:cs="宋体"/>
          <w:i/>
          <w:iCs/>
          <w:lang w:val="en-US" w:eastAsia="zh-CN"/>
        </w:rPr>
        <w:t>JAMA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148</w:t>
      </w:r>
      <w:r w:rsidRPr="002E3D4C">
        <w:rPr>
          <w:rFonts w:ascii="Book Antiqua" w:eastAsia="宋体" w:hAnsi="Book Antiqua" w:cs="宋体"/>
          <w:lang w:val="en-US" w:eastAsia="zh-CN"/>
        </w:rPr>
        <w:t>: 834-840 [PMID: 23864019 DOI: 10.1001/jamasurg.2013.2911]</w:t>
      </w:r>
    </w:p>
    <w:p w14:paraId="001E26C6" w14:textId="2EF5A92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101 </w:t>
      </w:r>
      <w:r w:rsidRPr="002E3D4C">
        <w:rPr>
          <w:rFonts w:ascii="Book Antiqua" w:eastAsia="宋体" w:hAnsi="Book Antiqua" w:cs="宋体"/>
          <w:b/>
          <w:bCs/>
          <w:lang w:val="en-US" w:eastAsia="zh-CN"/>
        </w:rPr>
        <w:t>Ball CG</w:t>
      </w:r>
      <w:r w:rsidRPr="002E3D4C">
        <w:rPr>
          <w:rFonts w:ascii="Book Antiqua" w:eastAsia="宋体" w:hAnsi="Book Antiqua" w:cs="宋体"/>
          <w:lang w:val="en-US" w:eastAsia="zh-CN"/>
        </w:rPr>
        <w:t xml:space="preserve">, Dente CJ, Shaz B, Wyrzykowski AD, Nicholas JM, Kirkpatrick AW, Feliciano DV. The impact of a massive transfusion protocol (1: 1: 1) on major hepatic injuries: does it increase abdominal wall closure rates? </w:t>
      </w:r>
      <w:r w:rsidRPr="002E3D4C">
        <w:rPr>
          <w:rFonts w:ascii="Book Antiqua" w:eastAsia="宋体" w:hAnsi="Book Antiqua" w:cs="宋体"/>
          <w:i/>
          <w:iCs/>
          <w:lang w:val="en-US" w:eastAsia="zh-CN"/>
        </w:rPr>
        <w:t>Can J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56</w:t>
      </w:r>
      <w:r w:rsidRPr="002E3D4C">
        <w:rPr>
          <w:rFonts w:ascii="Book Antiqua" w:eastAsia="宋体" w:hAnsi="Book Antiqua" w:cs="宋体"/>
          <w:lang w:val="en-US" w:eastAsia="zh-CN"/>
        </w:rPr>
        <w:t>: E128-E134 [PMID: 24067528 DOI: 10.1503/cjs.020412]</w:t>
      </w:r>
    </w:p>
    <w:p w14:paraId="1FC22251" w14:textId="074BC7B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102 </w:t>
      </w:r>
      <w:r w:rsidRPr="002E3D4C">
        <w:rPr>
          <w:rFonts w:ascii="Book Antiqua" w:eastAsia="宋体" w:hAnsi="Book Antiqua" w:cs="宋体"/>
          <w:b/>
          <w:bCs/>
          <w:lang w:val="en-US" w:eastAsia="zh-CN"/>
        </w:rPr>
        <w:t>Schorn MN</w:t>
      </w:r>
      <w:r w:rsidRPr="002E3D4C">
        <w:rPr>
          <w:rFonts w:ascii="Book Antiqua" w:eastAsia="宋体" w:hAnsi="Book Antiqua" w:cs="宋体"/>
          <w:lang w:val="en-US" w:eastAsia="zh-CN"/>
        </w:rPr>
        <w:t xml:space="preserve">, Phillippi JC. Volume replacement following severe postpartum hemorrhage. </w:t>
      </w:r>
      <w:r w:rsidRPr="002E3D4C">
        <w:rPr>
          <w:rFonts w:ascii="Book Antiqua" w:eastAsia="宋体" w:hAnsi="Book Antiqua" w:cs="宋体"/>
          <w:i/>
          <w:iCs/>
          <w:lang w:val="en-US" w:eastAsia="zh-CN"/>
        </w:rPr>
        <w:t>J Midwifery Womens Health</w:t>
      </w:r>
      <w:r w:rsidRPr="002E3D4C">
        <w:rPr>
          <w:rFonts w:ascii="Book Antiqua" w:eastAsia="宋体" w:hAnsi="Book Antiqua" w:cs="宋体"/>
          <w:lang w:val="en-US" w:eastAsia="zh-CN"/>
        </w:rPr>
        <w:t xml:space="preserve"> </w:t>
      </w:r>
      <w:r w:rsidR="006C4AA2">
        <w:rPr>
          <w:rFonts w:ascii="Book Antiqua" w:eastAsia="宋体" w:hAnsi="Book Antiqua" w:cs="宋体" w:hint="eastAsia"/>
          <w:lang w:val="en-US" w:eastAsia="zh-CN"/>
        </w:rPr>
        <w:t>2014</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59</w:t>
      </w:r>
      <w:r w:rsidRPr="002E3D4C">
        <w:rPr>
          <w:rFonts w:ascii="Book Antiqua" w:eastAsia="宋体" w:hAnsi="Book Antiqua" w:cs="宋体"/>
          <w:lang w:val="en-US" w:eastAsia="zh-CN"/>
        </w:rPr>
        <w:t>: 336-343 [PMID: 24751109 DOI: 10.1111/jmwh.12186]</w:t>
      </w:r>
    </w:p>
    <w:p w14:paraId="75AB5398" w14:textId="0138C47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103 </w:t>
      </w:r>
      <w:r w:rsidRPr="002E3D4C">
        <w:rPr>
          <w:rFonts w:ascii="Book Antiqua" w:eastAsia="宋体" w:hAnsi="Book Antiqua" w:cs="宋体"/>
          <w:b/>
          <w:bCs/>
          <w:lang w:val="en-US" w:eastAsia="zh-CN"/>
        </w:rPr>
        <w:t>Gutierrez MC</w:t>
      </w:r>
      <w:r w:rsidRPr="002E3D4C">
        <w:rPr>
          <w:rFonts w:ascii="Book Antiqua" w:eastAsia="宋体" w:hAnsi="Book Antiqua" w:cs="宋体"/>
          <w:lang w:val="en-US" w:eastAsia="zh-CN"/>
        </w:rPr>
        <w:t xml:space="preserve">, Goodnough LT, Druzin M, Butwick AJ. Postpartum hemorrhage treated with a massive transfusion protocol at a tertiary obstetric center: a retrospective study. </w:t>
      </w:r>
      <w:r w:rsidRPr="002E3D4C">
        <w:rPr>
          <w:rFonts w:ascii="Book Antiqua" w:eastAsia="宋体" w:hAnsi="Book Antiqua" w:cs="宋体"/>
          <w:i/>
          <w:iCs/>
          <w:lang w:val="en-US" w:eastAsia="zh-CN"/>
        </w:rPr>
        <w:t>Int J Obstet Anesth</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21</w:t>
      </w:r>
      <w:r w:rsidRPr="002E3D4C">
        <w:rPr>
          <w:rFonts w:ascii="Book Antiqua" w:eastAsia="宋体" w:hAnsi="Book Antiqua" w:cs="宋体"/>
          <w:lang w:val="en-US" w:eastAsia="zh-CN"/>
        </w:rPr>
        <w:t>: 230-235 [PMID: 22647592 DOI: 10.1016/j.ijoa.2012.03.005]</w:t>
      </w:r>
    </w:p>
    <w:p w14:paraId="48B2D219" w14:textId="79D5EA0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104 </w:t>
      </w:r>
      <w:r w:rsidRPr="002E3D4C">
        <w:rPr>
          <w:rFonts w:ascii="Book Antiqua" w:eastAsia="宋体" w:hAnsi="Book Antiqua" w:cs="宋体"/>
          <w:b/>
          <w:bCs/>
          <w:lang w:val="en-US" w:eastAsia="zh-CN"/>
        </w:rPr>
        <w:t>Dzik WH</w:t>
      </w:r>
      <w:r w:rsidRPr="002E3D4C">
        <w:rPr>
          <w:rFonts w:ascii="Book Antiqua" w:eastAsia="宋体" w:hAnsi="Book Antiqua" w:cs="宋体"/>
          <w:lang w:val="en-US" w:eastAsia="zh-CN"/>
        </w:rPr>
        <w:t xml:space="preserve">, Blajchman MA, Fergusson D, Hameed M, Henry B, Kirkpatrick AW, Korogyi T, Logsetty S, Skeate RC, Stanworth S, MacAdams C, Muirhead B. Clinical review: Canadian National Advisory Committee on Blood and Blood Products--Massive transfusion consensus conference 2011: report of the panel. </w:t>
      </w:r>
      <w:r w:rsidRPr="002E3D4C">
        <w:rPr>
          <w:rFonts w:ascii="Book Antiqua" w:eastAsia="宋体" w:hAnsi="Book Antiqua" w:cs="宋体"/>
          <w:i/>
          <w:iCs/>
          <w:lang w:val="en-US" w:eastAsia="zh-CN"/>
        </w:rPr>
        <w:t>Crit Care</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15</w:t>
      </w:r>
      <w:r w:rsidRPr="002E3D4C">
        <w:rPr>
          <w:rFonts w:ascii="Book Antiqua" w:eastAsia="宋体" w:hAnsi="Book Antiqua" w:cs="宋体"/>
          <w:lang w:val="en-US" w:eastAsia="zh-CN"/>
        </w:rPr>
        <w:t>: 242 [PMID: 22188866 DOI: 10.1186/cc10498]</w:t>
      </w:r>
    </w:p>
    <w:p w14:paraId="0F32E7DF" w14:textId="1E804F3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105 </w:t>
      </w:r>
      <w:r w:rsidRPr="002E3D4C">
        <w:rPr>
          <w:rFonts w:ascii="Book Antiqua" w:eastAsia="宋体" w:hAnsi="Book Antiqua" w:cs="宋体"/>
          <w:b/>
          <w:bCs/>
          <w:lang w:val="en-US" w:eastAsia="zh-CN"/>
        </w:rPr>
        <w:t>Holcomb JB</w:t>
      </w:r>
      <w:r w:rsidRPr="002E3D4C">
        <w:rPr>
          <w:rFonts w:ascii="Book Antiqua" w:eastAsia="宋体" w:hAnsi="Book Antiqua" w:cs="宋体"/>
          <w:lang w:val="en-US" w:eastAsia="zh-CN"/>
        </w:rPr>
        <w:t xml:space="preserve">, del Junco DJ, Fox EE, Wade CE, Cohen MJ, Schreiber MA, Alarcon LH, Bai Y, Brasel KJ, Bulger EM, Cotton BA, Matijevic N, Muskat P, Myers JG, Phelan HA, White CE, Zhang J, Rahbar MH. The prospective, observational, multicenter, major trauma transfusion (PROMMTT) study: comparative effectiveness of a time-varying treatment with competing risks. </w:t>
      </w:r>
      <w:r w:rsidRPr="002E3D4C">
        <w:rPr>
          <w:rFonts w:ascii="Book Antiqua" w:eastAsia="宋体" w:hAnsi="Book Antiqua" w:cs="宋体"/>
          <w:i/>
          <w:iCs/>
          <w:lang w:val="en-US" w:eastAsia="zh-CN"/>
        </w:rPr>
        <w:t>JAMA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148</w:t>
      </w:r>
      <w:r w:rsidRPr="002E3D4C">
        <w:rPr>
          <w:rFonts w:ascii="Book Antiqua" w:eastAsia="宋体" w:hAnsi="Book Antiqua" w:cs="宋体"/>
          <w:lang w:val="en-US" w:eastAsia="zh-CN"/>
        </w:rPr>
        <w:t>: 127-136 [PMID: 23560283 DOI: 10.1001/2013.jamasurg.387]</w:t>
      </w:r>
    </w:p>
    <w:p w14:paraId="2EF600DF" w14:textId="3B6AA37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106 </w:t>
      </w:r>
      <w:r w:rsidRPr="002E3D4C">
        <w:rPr>
          <w:rFonts w:ascii="Book Antiqua" w:eastAsia="宋体" w:hAnsi="Book Antiqua" w:cs="宋体"/>
          <w:b/>
          <w:bCs/>
          <w:lang w:val="en-US" w:eastAsia="zh-CN"/>
        </w:rPr>
        <w:t>del Junco DJ</w:t>
      </w:r>
      <w:r w:rsidRPr="002E3D4C">
        <w:rPr>
          <w:rFonts w:ascii="Book Antiqua" w:eastAsia="宋体" w:hAnsi="Book Antiqua" w:cs="宋体"/>
          <w:lang w:val="en-US" w:eastAsia="zh-CN"/>
        </w:rPr>
        <w:t xml:space="preserve">, Holcomb JB, Fox EE, Brasel KJ, Phelan HA, Bulger EM, Schreiber MA, Muskat P, Alarcon LH, Cohen MJ, Cotton BA, Wade CE, Myers JG, Rahbar MH. Resuscitate early with plasma and platelets or balance blood products gradually: findings from the PROMMTT study.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75</w:t>
      </w:r>
      <w:r w:rsidRPr="002E3D4C">
        <w:rPr>
          <w:rFonts w:ascii="Book Antiqua" w:eastAsia="宋体" w:hAnsi="Book Antiqua" w:cs="宋体"/>
          <w:lang w:val="en-US" w:eastAsia="zh-CN"/>
        </w:rPr>
        <w:t>: S24-S30 [PMID: 23778507 DOI: 10.1097/TA.0b013e31828fa3b9]</w:t>
      </w:r>
    </w:p>
    <w:p w14:paraId="2E8C40F5" w14:textId="050D69C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107 </w:t>
      </w:r>
      <w:r w:rsidRPr="002E3D4C">
        <w:rPr>
          <w:rFonts w:ascii="Book Antiqua" w:eastAsia="宋体" w:hAnsi="Book Antiqua" w:cs="宋体"/>
          <w:b/>
          <w:bCs/>
          <w:lang w:val="en-US" w:eastAsia="zh-CN"/>
        </w:rPr>
        <w:t>Holcomb JB</w:t>
      </w:r>
      <w:r w:rsidRPr="002E3D4C">
        <w:rPr>
          <w:rFonts w:ascii="Book Antiqua" w:eastAsia="宋体" w:hAnsi="Book Antiqua" w:cs="宋体"/>
          <w:lang w:val="en-US" w:eastAsia="zh-CN"/>
        </w:rPr>
        <w:t xml:space="preserve">, Tilley BC, Baraniuk S, Fox EE, Wade CE, Podbielski JM, del Junco DJ, Brasel KJ, Bulger EM, Callcut RA, Cohen MJ, Cotton BA, Fabian TC, Inaba K, Kerby JD, Muskat P, O'Keeffe T, Rizoli S, Robinson BR, Scalea TM, Schreiber MA, Stein DM, Weinberg JA, Callum JL, Hess JR, Matijevic N, Miller CN, Pittet JF, Hoyt DB, Pearson GD, Leroux B, van Belle G. Transfusion of plasma, platelets, and red blood cells in a 1: 1: 1 vs a 1: 1: 2 ratio and </w:t>
      </w:r>
      <w:r w:rsidRPr="002E3D4C">
        <w:rPr>
          <w:rFonts w:ascii="Book Antiqua" w:eastAsia="宋体" w:hAnsi="Book Antiqua" w:cs="宋体"/>
          <w:lang w:val="en-US" w:eastAsia="zh-CN"/>
        </w:rPr>
        <w:lastRenderedPageBreak/>
        <w:t xml:space="preserve">mortality in patients with severe trauma: the PROPPR randomized clinical trial. </w:t>
      </w:r>
      <w:r w:rsidRPr="002E3D4C">
        <w:rPr>
          <w:rFonts w:ascii="Book Antiqua" w:eastAsia="宋体" w:hAnsi="Book Antiqua" w:cs="宋体"/>
          <w:i/>
          <w:iCs/>
          <w:lang w:val="en-US" w:eastAsia="zh-CN"/>
        </w:rPr>
        <w:t>JAMA</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313</w:t>
      </w:r>
      <w:r w:rsidRPr="002E3D4C">
        <w:rPr>
          <w:rFonts w:ascii="Book Antiqua" w:eastAsia="宋体" w:hAnsi="Book Antiqua" w:cs="宋体"/>
          <w:lang w:val="en-US" w:eastAsia="zh-CN"/>
        </w:rPr>
        <w:t>: 471-482 [PMID: 25647203 DOI: 10.1001/jama.2015.12]</w:t>
      </w:r>
    </w:p>
    <w:p w14:paraId="55A4B797" w14:textId="647B09B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108 </w:t>
      </w:r>
      <w:r w:rsidRPr="002E3D4C">
        <w:rPr>
          <w:rFonts w:ascii="Book Antiqua" w:eastAsia="宋体" w:hAnsi="Book Antiqua" w:cs="宋体"/>
          <w:b/>
          <w:bCs/>
          <w:lang w:val="en-US" w:eastAsia="zh-CN"/>
        </w:rPr>
        <w:t>Tapia NM</w:t>
      </w:r>
      <w:r w:rsidRPr="002E3D4C">
        <w:rPr>
          <w:rFonts w:ascii="Book Antiqua" w:eastAsia="宋体" w:hAnsi="Book Antiqua" w:cs="宋体"/>
          <w:lang w:val="en-US" w:eastAsia="zh-CN"/>
        </w:rPr>
        <w:t xml:space="preserve">, Chang A, Norman M, Welsh F, Scott B, Wall MJ, Mattox KL, Suliburk J. TEG-guided resuscitation is superior to standardized MTP resuscitation in massively transfused penetrating trauma patients. </w:t>
      </w:r>
      <w:r w:rsidRPr="002E3D4C">
        <w:rPr>
          <w:rFonts w:ascii="Book Antiqua" w:eastAsia="宋体" w:hAnsi="Book Antiqua" w:cs="宋体"/>
          <w:i/>
          <w:iCs/>
          <w:lang w:val="en-US" w:eastAsia="zh-CN"/>
        </w:rPr>
        <w:t>J Trauma Acute Care Surg</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74</w:t>
      </w:r>
      <w:r w:rsidRPr="002E3D4C">
        <w:rPr>
          <w:rFonts w:ascii="Book Antiqua" w:eastAsia="宋体" w:hAnsi="Book Antiqua" w:cs="宋体"/>
          <w:lang w:val="en-US" w:eastAsia="zh-CN"/>
        </w:rPr>
        <w:t>: 378-</w:t>
      </w:r>
      <w:r w:rsidR="00840C64">
        <w:rPr>
          <w:rFonts w:ascii="Book Antiqua" w:eastAsia="宋体" w:hAnsi="Book Antiqua" w:cs="宋体" w:hint="eastAsia"/>
          <w:lang w:val="en-US" w:eastAsia="zh-CN"/>
        </w:rPr>
        <w:t>3</w:t>
      </w:r>
      <w:r w:rsidRPr="002E3D4C">
        <w:rPr>
          <w:rFonts w:ascii="Book Antiqua" w:eastAsia="宋体" w:hAnsi="Book Antiqua" w:cs="宋体"/>
          <w:lang w:val="en-US" w:eastAsia="zh-CN"/>
        </w:rPr>
        <w:t>85; discussion 385-</w:t>
      </w:r>
      <w:r w:rsidR="00840C64">
        <w:rPr>
          <w:rFonts w:ascii="Book Antiqua" w:eastAsia="宋体" w:hAnsi="Book Antiqua" w:cs="宋体" w:hint="eastAsia"/>
          <w:lang w:val="en-US" w:eastAsia="zh-CN"/>
        </w:rPr>
        <w:t>38</w:t>
      </w:r>
      <w:r w:rsidRPr="002E3D4C">
        <w:rPr>
          <w:rFonts w:ascii="Book Antiqua" w:eastAsia="宋体" w:hAnsi="Book Antiqua" w:cs="宋体"/>
          <w:lang w:val="en-US" w:eastAsia="zh-CN"/>
        </w:rPr>
        <w:t>6 [PMID: 23354228 DOI: 10.1097/TA.0b013e31827e20e0]</w:t>
      </w:r>
    </w:p>
    <w:p w14:paraId="2B240BBA" w14:textId="5F30700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109 </w:t>
      </w:r>
      <w:r w:rsidRPr="002E3D4C">
        <w:rPr>
          <w:rFonts w:ascii="Book Antiqua" w:eastAsia="宋体" w:hAnsi="Book Antiqua" w:cs="宋体"/>
          <w:b/>
          <w:bCs/>
          <w:lang w:val="en-US" w:eastAsia="zh-CN"/>
        </w:rPr>
        <w:t>Karkouti K</w:t>
      </w:r>
      <w:r w:rsidRPr="002E3D4C">
        <w:rPr>
          <w:rFonts w:ascii="Book Antiqua" w:eastAsia="宋体" w:hAnsi="Book Antiqua" w:cs="宋体"/>
          <w:lang w:val="en-US" w:eastAsia="zh-CN"/>
        </w:rPr>
        <w:t xml:space="preserve">, McCluskey SA, Callum J, Freedman J, Selby R, Timoumi T, Roy D, Rao V. Evaluation of a novel transfusion algorithm employing point-of-care coagulation assays in cardiac surgery: a retrospective cohort study with interrupted time-series analysis. </w:t>
      </w:r>
      <w:r w:rsidRPr="002E3D4C">
        <w:rPr>
          <w:rFonts w:ascii="Book Antiqua" w:eastAsia="宋体" w:hAnsi="Book Antiqua" w:cs="宋体"/>
          <w:i/>
          <w:iCs/>
          <w:lang w:val="en-US" w:eastAsia="zh-CN"/>
        </w:rPr>
        <w:t>Anesthesiology</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122</w:t>
      </w:r>
      <w:r w:rsidRPr="002E3D4C">
        <w:rPr>
          <w:rFonts w:ascii="Book Antiqua" w:eastAsia="宋体" w:hAnsi="Book Antiqua" w:cs="宋体"/>
          <w:lang w:val="en-US" w:eastAsia="zh-CN"/>
        </w:rPr>
        <w:t>: 560-570 [PMID: 25485470 DOI: 10.1097/ALN.0000000000000556]</w:t>
      </w:r>
    </w:p>
    <w:p w14:paraId="20E29951" w14:textId="6047498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110 </w:t>
      </w:r>
      <w:r w:rsidRPr="002E3D4C">
        <w:rPr>
          <w:rFonts w:ascii="Book Antiqua" w:eastAsia="宋体" w:hAnsi="Book Antiqua" w:cs="宋体"/>
          <w:b/>
          <w:bCs/>
          <w:lang w:val="en-US" w:eastAsia="zh-CN"/>
        </w:rPr>
        <w:t>Johansson PI</w:t>
      </w:r>
      <w:r w:rsidRPr="002E3D4C">
        <w:rPr>
          <w:rFonts w:ascii="Book Antiqua" w:eastAsia="宋体" w:hAnsi="Book Antiqua" w:cs="宋体"/>
          <w:lang w:val="en-US" w:eastAsia="zh-CN"/>
        </w:rPr>
        <w:t xml:space="preserve">, Stensballe J, Oliveri R, Wade CE, Ostrowski SR, Holcomb JB. How I treat patients with massive hemorrhage. </w:t>
      </w:r>
      <w:r w:rsidRPr="002E3D4C">
        <w:rPr>
          <w:rFonts w:ascii="Book Antiqua" w:eastAsia="宋体" w:hAnsi="Book Antiqua" w:cs="宋体"/>
          <w:i/>
          <w:iCs/>
          <w:lang w:val="en-US" w:eastAsia="zh-CN"/>
        </w:rPr>
        <w:t>Blood</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124</w:t>
      </w:r>
      <w:r w:rsidRPr="002E3D4C">
        <w:rPr>
          <w:rFonts w:ascii="Book Antiqua" w:eastAsia="宋体" w:hAnsi="Book Antiqua" w:cs="宋体"/>
          <w:lang w:val="en-US" w:eastAsia="zh-CN"/>
        </w:rPr>
        <w:t>: 3052-3058 [PMID: 25293771 DOI: 10.1182/blood-2014-05-575340]</w:t>
      </w:r>
    </w:p>
    <w:p w14:paraId="30207B7D" w14:textId="29DCEA0F"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111 </w:t>
      </w:r>
      <w:r w:rsidRPr="002E3D4C">
        <w:rPr>
          <w:rFonts w:ascii="Book Antiqua" w:eastAsia="宋体" w:hAnsi="Book Antiqua" w:cs="宋体"/>
          <w:b/>
          <w:bCs/>
          <w:lang w:val="en-US" w:eastAsia="zh-CN"/>
        </w:rPr>
        <w:t>Johansson PI</w:t>
      </w:r>
      <w:r w:rsidRPr="002E3D4C">
        <w:rPr>
          <w:rFonts w:ascii="Book Antiqua" w:eastAsia="宋体" w:hAnsi="Book Antiqua" w:cs="宋体"/>
          <w:lang w:val="en-US" w:eastAsia="zh-CN"/>
        </w:rPr>
        <w:t xml:space="preserve">, Sørensen AM, Larsen CF, Windeløv NA, Stensballe J, Perner A, Rasmussen LS, Ostrowski SR. Low hemorrhage-related mortality in trauma patients in a Level I trauma center employing transfusion packages and early thromboelastography-directed hemostatic resuscitation with plasma and platelets.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53</w:t>
      </w:r>
      <w:r w:rsidRPr="002E3D4C">
        <w:rPr>
          <w:rFonts w:ascii="Book Antiqua" w:eastAsia="宋体" w:hAnsi="Book Antiqua" w:cs="宋体"/>
          <w:lang w:val="en-US" w:eastAsia="zh-CN"/>
        </w:rPr>
        <w:t>: 3088-3099 [PMID: 23614333 DOI: 10.1111/trf.12214]</w:t>
      </w:r>
    </w:p>
    <w:p w14:paraId="692E33B0" w14:textId="1B0BFA6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112 </w:t>
      </w:r>
      <w:r w:rsidRPr="002E3D4C">
        <w:rPr>
          <w:rFonts w:ascii="Book Antiqua" w:eastAsia="宋体" w:hAnsi="Book Antiqua" w:cs="宋体"/>
          <w:b/>
          <w:bCs/>
          <w:lang w:val="en-US" w:eastAsia="zh-CN"/>
        </w:rPr>
        <w:t>Durila M</w:t>
      </w:r>
      <w:r w:rsidRPr="002E3D4C">
        <w:rPr>
          <w:rFonts w:ascii="Book Antiqua" w:eastAsia="宋体" w:hAnsi="Book Antiqua" w:cs="宋体"/>
          <w:lang w:val="en-US" w:eastAsia="zh-CN"/>
        </w:rPr>
        <w:t xml:space="preserve">, Malošek M. Rotational thromboelastometry along with thromboelastography plays a critical role in the management of traumatic bleeding. </w:t>
      </w:r>
      <w:r w:rsidRPr="002E3D4C">
        <w:rPr>
          <w:rFonts w:ascii="Book Antiqua" w:eastAsia="宋体" w:hAnsi="Book Antiqua" w:cs="宋体"/>
          <w:i/>
          <w:iCs/>
          <w:lang w:val="en-US" w:eastAsia="zh-CN"/>
        </w:rPr>
        <w:t>Am J Emerg Med</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32</w:t>
      </w:r>
      <w:r w:rsidRPr="002E3D4C">
        <w:rPr>
          <w:rFonts w:ascii="Book Antiqua" w:eastAsia="宋体" w:hAnsi="Book Antiqua" w:cs="宋体"/>
          <w:lang w:val="en-US" w:eastAsia="zh-CN"/>
        </w:rPr>
        <w:t>: 288.e1-288.e3 [PMID: 24286666 DOI: 10.1016/j.ajem.2013.09.038]</w:t>
      </w:r>
    </w:p>
    <w:p w14:paraId="2C81D981" w14:textId="3591D05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113 </w:t>
      </w:r>
      <w:r w:rsidRPr="002E3D4C">
        <w:rPr>
          <w:rFonts w:ascii="Book Antiqua" w:eastAsia="宋体" w:hAnsi="Book Antiqua" w:cs="宋体"/>
          <w:b/>
          <w:bCs/>
          <w:lang w:val="en-US" w:eastAsia="zh-CN"/>
        </w:rPr>
        <w:t>Schroeder RA</w:t>
      </w:r>
      <w:r w:rsidRPr="002E3D4C">
        <w:rPr>
          <w:rFonts w:ascii="Book Antiqua" w:eastAsia="宋体" w:hAnsi="Book Antiqua" w:cs="宋体"/>
          <w:lang w:val="en-US" w:eastAsia="zh-CN"/>
        </w:rPr>
        <w:t xml:space="preserve">, Collins BH, Tuttle-Newhall E, Robertson K, Plotkin J, Johnson LB, Kuo PC. Intraoperative fluid management during orthotopic liver transplantation. </w:t>
      </w:r>
      <w:r w:rsidRPr="002E3D4C">
        <w:rPr>
          <w:rFonts w:ascii="Book Antiqua" w:eastAsia="宋体" w:hAnsi="Book Antiqua" w:cs="宋体"/>
          <w:i/>
          <w:iCs/>
          <w:lang w:val="en-US" w:eastAsia="zh-CN"/>
        </w:rPr>
        <w:t>J Cardiothorac Vasc Anesth</w:t>
      </w:r>
      <w:r w:rsidRPr="002E3D4C">
        <w:rPr>
          <w:rFonts w:ascii="Book Antiqua" w:eastAsia="宋体" w:hAnsi="Book Antiqua" w:cs="宋体"/>
          <w:lang w:val="en-US" w:eastAsia="zh-CN"/>
        </w:rPr>
        <w:t xml:space="preserve"> 2004; </w:t>
      </w:r>
      <w:r w:rsidRPr="002E3D4C">
        <w:rPr>
          <w:rFonts w:ascii="Book Antiqua" w:eastAsia="宋体" w:hAnsi="Book Antiqua" w:cs="宋体"/>
          <w:b/>
          <w:bCs/>
          <w:lang w:val="en-US" w:eastAsia="zh-CN"/>
        </w:rPr>
        <w:t>18</w:t>
      </w:r>
      <w:r w:rsidRPr="002E3D4C">
        <w:rPr>
          <w:rFonts w:ascii="Book Antiqua" w:eastAsia="宋体" w:hAnsi="Book Antiqua" w:cs="宋体"/>
          <w:lang w:val="en-US" w:eastAsia="zh-CN"/>
        </w:rPr>
        <w:t>: 438-441 [PMID: 15365923 DOI: 10.1053/j.jvca.2004.05.020]</w:t>
      </w:r>
    </w:p>
    <w:p w14:paraId="0C81F94A" w14:textId="35F205F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114 </w:t>
      </w:r>
      <w:r w:rsidRPr="002E3D4C">
        <w:rPr>
          <w:rFonts w:ascii="Book Antiqua" w:eastAsia="宋体" w:hAnsi="Book Antiqua" w:cs="宋体"/>
          <w:b/>
          <w:bCs/>
          <w:lang w:val="en-US" w:eastAsia="zh-CN"/>
        </w:rPr>
        <w:t>Marik PE</w:t>
      </w:r>
      <w:r w:rsidRPr="002E3D4C">
        <w:rPr>
          <w:rFonts w:ascii="Book Antiqua" w:eastAsia="宋体" w:hAnsi="Book Antiqua" w:cs="宋体"/>
          <w:lang w:val="en-US" w:eastAsia="zh-CN"/>
        </w:rPr>
        <w:t xml:space="preserve">, Cavallazzi R. Does the central venous pressure predict fluid responsiveness? An updated meta-analysis and a plea for some common </w:t>
      </w:r>
      <w:r w:rsidRPr="002E3D4C">
        <w:rPr>
          <w:rFonts w:ascii="Book Antiqua" w:eastAsia="宋体" w:hAnsi="Book Antiqua" w:cs="宋体"/>
          <w:lang w:val="en-US" w:eastAsia="zh-CN"/>
        </w:rPr>
        <w:lastRenderedPageBreak/>
        <w:t xml:space="preserve">sense. </w:t>
      </w:r>
      <w:r w:rsidRPr="002E3D4C">
        <w:rPr>
          <w:rFonts w:ascii="Book Antiqua" w:eastAsia="宋体" w:hAnsi="Book Antiqua" w:cs="宋体"/>
          <w:i/>
          <w:iCs/>
          <w:lang w:val="en-US" w:eastAsia="zh-CN"/>
        </w:rPr>
        <w:t>Crit Care Med</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41</w:t>
      </w:r>
      <w:r w:rsidRPr="002E3D4C">
        <w:rPr>
          <w:rFonts w:ascii="Book Antiqua" w:eastAsia="宋体" w:hAnsi="Book Antiqua" w:cs="宋体"/>
          <w:lang w:val="en-US" w:eastAsia="zh-CN"/>
        </w:rPr>
        <w:t>: 1774-1781 [PMID: 23774337 DOI: 10.1097/CCM.0b013e31828a25fd]</w:t>
      </w:r>
    </w:p>
    <w:p w14:paraId="71455409" w14:textId="20DC0B0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115 </w:t>
      </w:r>
      <w:r w:rsidRPr="002E3D4C">
        <w:rPr>
          <w:rFonts w:ascii="Book Antiqua" w:eastAsia="宋体" w:hAnsi="Book Antiqua" w:cs="宋体"/>
          <w:b/>
          <w:bCs/>
          <w:lang w:val="en-US" w:eastAsia="zh-CN"/>
        </w:rPr>
        <w:t>Marik PE</w:t>
      </w:r>
      <w:r w:rsidRPr="002E3D4C">
        <w:rPr>
          <w:rFonts w:ascii="Book Antiqua" w:eastAsia="宋体" w:hAnsi="Book Antiqua" w:cs="宋体"/>
          <w:lang w:val="en-US" w:eastAsia="zh-CN"/>
        </w:rPr>
        <w:t xml:space="preserve">, Monnet X, Teboul JL. Hemodynamic parameters to guide fluid therapy. </w:t>
      </w:r>
      <w:r w:rsidRPr="002E3D4C">
        <w:rPr>
          <w:rFonts w:ascii="Book Antiqua" w:eastAsia="宋体" w:hAnsi="Book Antiqua" w:cs="宋体"/>
          <w:i/>
          <w:iCs/>
          <w:lang w:val="en-US" w:eastAsia="zh-CN"/>
        </w:rPr>
        <w:t>Ann Intensive Care</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1</w:t>
      </w:r>
      <w:r w:rsidRPr="002E3D4C">
        <w:rPr>
          <w:rFonts w:ascii="Book Antiqua" w:eastAsia="宋体" w:hAnsi="Book Antiqua" w:cs="宋体"/>
          <w:lang w:val="en-US" w:eastAsia="zh-CN"/>
        </w:rPr>
        <w:t>: 1 [PMID: 21906322 DOI: 10.1186/2110-5820-1-1]</w:t>
      </w:r>
    </w:p>
    <w:p w14:paraId="0BB5DA67"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116 </w:t>
      </w:r>
      <w:r w:rsidRPr="002E3D4C">
        <w:rPr>
          <w:rFonts w:ascii="Book Antiqua" w:eastAsia="宋体" w:hAnsi="Book Antiqua" w:cs="宋体"/>
          <w:b/>
          <w:bCs/>
          <w:lang w:val="en-US" w:eastAsia="zh-CN"/>
        </w:rPr>
        <w:t>Su BC</w:t>
      </w:r>
      <w:r w:rsidRPr="002E3D4C">
        <w:rPr>
          <w:rFonts w:ascii="Book Antiqua" w:eastAsia="宋体" w:hAnsi="Book Antiqua" w:cs="宋体"/>
          <w:lang w:val="en-US" w:eastAsia="zh-CN"/>
        </w:rPr>
        <w:t xml:space="preserve">, Tsai YF, Cheng CW, Yu HP, Yang MW, Lee WC, Lin CC. Stroke volume variation derived by arterial pulse contour analysis is a good indicator for preload estimation during 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44</w:t>
      </w:r>
      <w:r w:rsidRPr="002E3D4C">
        <w:rPr>
          <w:rFonts w:ascii="Book Antiqua" w:eastAsia="宋体" w:hAnsi="Book Antiqua" w:cs="宋体"/>
          <w:lang w:val="en-US" w:eastAsia="zh-CN"/>
        </w:rPr>
        <w:t>: 429-432 [PMID: 22410035 DOI: 10.1016/j.transproceed.2011.12.037]</w:t>
      </w:r>
    </w:p>
    <w:p w14:paraId="5A886214"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117 </w:t>
      </w:r>
      <w:r w:rsidRPr="002E3D4C">
        <w:rPr>
          <w:rFonts w:ascii="Book Antiqua" w:eastAsia="宋体" w:hAnsi="Book Antiqua" w:cs="宋体"/>
          <w:b/>
          <w:bCs/>
          <w:lang w:val="en-US" w:eastAsia="zh-CN"/>
        </w:rPr>
        <w:t>Gouvêa G</w:t>
      </w:r>
      <w:r w:rsidRPr="002E3D4C">
        <w:rPr>
          <w:rFonts w:ascii="Book Antiqua" w:eastAsia="宋体" w:hAnsi="Book Antiqua" w:cs="宋体"/>
          <w:lang w:val="en-US" w:eastAsia="zh-CN"/>
        </w:rPr>
        <w:t xml:space="preserve">, Diaz R, Auler L, Toledo R, Martinho JM. Evaluation of the pulse pressure variation index as a predictor of fluid responsiveness during orthotopic liver transplantation. </w:t>
      </w:r>
      <w:r w:rsidRPr="002E3D4C">
        <w:rPr>
          <w:rFonts w:ascii="Book Antiqua" w:eastAsia="宋体" w:hAnsi="Book Antiqua" w:cs="宋体"/>
          <w:i/>
          <w:iCs/>
          <w:lang w:val="en-US" w:eastAsia="zh-CN"/>
        </w:rPr>
        <w:t>Br J Anaesth</w:t>
      </w:r>
      <w:r w:rsidRPr="002E3D4C">
        <w:rPr>
          <w:rFonts w:ascii="Book Antiqua" w:eastAsia="宋体" w:hAnsi="Book Antiqua" w:cs="宋体"/>
          <w:lang w:val="en-US" w:eastAsia="zh-CN"/>
        </w:rPr>
        <w:t xml:space="preserve"> 2009; </w:t>
      </w:r>
      <w:r w:rsidRPr="002E3D4C">
        <w:rPr>
          <w:rFonts w:ascii="Book Antiqua" w:eastAsia="宋体" w:hAnsi="Book Antiqua" w:cs="宋体"/>
          <w:b/>
          <w:bCs/>
          <w:lang w:val="en-US" w:eastAsia="zh-CN"/>
        </w:rPr>
        <w:t>103</w:t>
      </w:r>
      <w:r w:rsidRPr="002E3D4C">
        <w:rPr>
          <w:rFonts w:ascii="Book Antiqua" w:eastAsia="宋体" w:hAnsi="Book Antiqua" w:cs="宋体"/>
          <w:lang w:val="en-US" w:eastAsia="zh-CN"/>
        </w:rPr>
        <w:t>: 238-243 [PMID: 19454548 DOI: 10.1093/bja/aep123]</w:t>
      </w:r>
    </w:p>
    <w:p w14:paraId="3D27901A" w14:textId="1578B763" w:rsidR="002E3D4C" w:rsidRPr="002E3D4C" w:rsidRDefault="00840C64"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118 </w:t>
      </w:r>
      <w:r w:rsidR="002E3D4C" w:rsidRPr="00840C64">
        <w:rPr>
          <w:rFonts w:ascii="Book Antiqua" w:eastAsia="宋体" w:hAnsi="Book Antiqua" w:cs="宋体"/>
          <w:b/>
          <w:lang w:val="en-US" w:eastAsia="zh-CN"/>
        </w:rPr>
        <w:t>Vitin AA</w:t>
      </w:r>
      <w:r w:rsidR="002E3D4C" w:rsidRPr="002E3D4C">
        <w:rPr>
          <w:rFonts w:ascii="Book Antiqua" w:eastAsia="宋体" w:hAnsi="Book Antiqua" w:cs="宋体"/>
          <w:lang w:val="en-US" w:eastAsia="zh-CN"/>
        </w:rPr>
        <w:t xml:space="preserve">, Martay K, Vater Y, Dembo G, Maziarz M. Effects of Vasoactive Agents on Blood Loss and Transfusion Requirements During Pre-Reperfusion Stages of the Orthotopic Liver Transplantation. </w:t>
      </w:r>
      <w:r w:rsidR="002E3D4C" w:rsidRPr="00840C64">
        <w:rPr>
          <w:rFonts w:ascii="Book Antiqua" w:eastAsia="宋体" w:hAnsi="Book Antiqua" w:cs="宋体"/>
          <w:i/>
          <w:lang w:val="en-US" w:eastAsia="zh-CN"/>
        </w:rPr>
        <w:t>J Anesth Clin Res</w:t>
      </w:r>
      <w:r w:rsidR="002E3D4C" w:rsidRPr="002E3D4C">
        <w:rPr>
          <w:rFonts w:ascii="Book Antiqua" w:eastAsia="宋体" w:hAnsi="Book Antiqua" w:cs="宋体"/>
          <w:lang w:val="en-US" w:eastAsia="zh-CN"/>
        </w:rPr>
        <w:t xml:space="preserve"> 2010; </w:t>
      </w:r>
      <w:r w:rsidR="002E3D4C" w:rsidRPr="00840C64">
        <w:rPr>
          <w:rFonts w:ascii="Book Antiqua" w:eastAsia="宋体" w:hAnsi="Book Antiqua" w:cs="宋体"/>
          <w:b/>
          <w:lang w:val="en-US" w:eastAsia="zh-CN"/>
        </w:rPr>
        <w:t>1</w:t>
      </w:r>
      <w:r w:rsidR="002E3D4C" w:rsidRPr="002E3D4C">
        <w:rPr>
          <w:rFonts w:ascii="Book Antiqua" w:eastAsia="宋体" w:hAnsi="Book Antiqua" w:cs="宋体"/>
          <w:lang w:val="en-US" w:eastAsia="zh-CN"/>
        </w:rPr>
        <w:t>: 104 [DOI: 10.4172/2155-6148.1000104]</w:t>
      </w:r>
    </w:p>
    <w:p w14:paraId="31D0126F" w14:textId="53200C7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119 </w:t>
      </w:r>
      <w:r w:rsidRPr="002E3D4C">
        <w:rPr>
          <w:rFonts w:ascii="Book Antiqua" w:eastAsia="宋体" w:hAnsi="Book Antiqua" w:cs="宋体"/>
          <w:b/>
          <w:bCs/>
          <w:lang w:val="en-US" w:eastAsia="zh-CN"/>
        </w:rPr>
        <w:t>Sahmeddini MA</w:t>
      </w:r>
      <w:r w:rsidRPr="002E3D4C">
        <w:rPr>
          <w:rFonts w:ascii="Book Antiqua" w:eastAsia="宋体" w:hAnsi="Book Antiqua" w:cs="宋体"/>
          <w:lang w:val="en-US" w:eastAsia="zh-CN"/>
        </w:rPr>
        <w:t xml:space="preserve">, Amini A, Naderi N. The effect of octreotide on urine output during orthotopic liver transplantation and early postoperative renal function; a randomized, double-blind, placebo-controlled trial. </w:t>
      </w:r>
      <w:r w:rsidRPr="002E3D4C">
        <w:rPr>
          <w:rFonts w:ascii="Book Antiqua" w:eastAsia="宋体" w:hAnsi="Book Antiqua" w:cs="宋体"/>
          <w:i/>
          <w:iCs/>
          <w:lang w:val="en-US" w:eastAsia="zh-CN"/>
        </w:rPr>
        <w:t>Hepat Mon</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13</w:t>
      </w:r>
      <w:r w:rsidRPr="002E3D4C">
        <w:rPr>
          <w:rFonts w:ascii="Book Antiqua" w:eastAsia="宋体" w:hAnsi="Book Antiqua" w:cs="宋体"/>
          <w:lang w:val="en-US" w:eastAsia="zh-CN"/>
        </w:rPr>
        <w:t>: e12787 [PMID: 24282425 DOI: 10.5812/hepatmon.12787]</w:t>
      </w:r>
    </w:p>
    <w:p w14:paraId="165FEFC3" w14:textId="0F8AC6E3"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120 </w:t>
      </w:r>
      <w:r w:rsidRPr="002E3D4C">
        <w:rPr>
          <w:rFonts w:ascii="Book Antiqua" w:eastAsia="宋体" w:hAnsi="Book Antiqua" w:cs="宋体"/>
          <w:b/>
          <w:bCs/>
          <w:lang w:val="en-US" w:eastAsia="zh-CN"/>
        </w:rPr>
        <w:t>Hong SH</w:t>
      </w:r>
      <w:r w:rsidRPr="002E3D4C">
        <w:rPr>
          <w:rFonts w:ascii="Book Antiqua" w:eastAsia="宋体" w:hAnsi="Book Antiqua" w:cs="宋体"/>
          <w:lang w:val="en-US" w:eastAsia="zh-CN"/>
        </w:rPr>
        <w:t xml:space="preserve">, Park CS, Jung HS, Choi H, Lee SR, Lee J, Choi JH. A comparison of intra-operative blood loss and acid-base balance between vasopressor and inotrope strategy during living donor liver transplantation: a randomised, controlled study. </w:t>
      </w:r>
      <w:r w:rsidRPr="002E3D4C">
        <w:rPr>
          <w:rFonts w:ascii="Book Antiqua" w:eastAsia="宋体" w:hAnsi="Book Antiqua" w:cs="宋体"/>
          <w:i/>
          <w:iCs/>
          <w:lang w:val="en-US" w:eastAsia="zh-CN"/>
        </w:rPr>
        <w:t>Anaesthesia</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67</w:t>
      </w:r>
      <w:r w:rsidRPr="002E3D4C">
        <w:rPr>
          <w:rFonts w:ascii="Book Antiqua" w:eastAsia="宋体" w:hAnsi="Book Antiqua" w:cs="宋体"/>
          <w:lang w:val="en-US" w:eastAsia="zh-CN"/>
        </w:rPr>
        <w:t>: 1091-1100 [PMID: 22950390 DOI: 10.1111/j.1365-2044.2012.07198.x]</w:t>
      </w:r>
    </w:p>
    <w:p w14:paraId="797DD198" w14:textId="59FCB8E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121 </w:t>
      </w:r>
      <w:r w:rsidRPr="002E3D4C">
        <w:rPr>
          <w:rFonts w:ascii="Book Antiqua" w:eastAsia="宋体" w:hAnsi="Book Antiqua" w:cs="宋体"/>
          <w:b/>
          <w:bCs/>
          <w:lang w:val="en-US" w:eastAsia="zh-CN"/>
        </w:rPr>
        <w:t>Massicotte L</w:t>
      </w:r>
      <w:r w:rsidRPr="002E3D4C">
        <w:rPr>
          <w:rFonts w:ascii="Book Antiqua" w:eastAsia="宋体" w:hAnsi="Book Antiqua" w:cs="宋体"/>
          <w:lang w:val="en-US" w:eastAsia="zh-CN"/>
        </w:rPr>
        <w:t xml:space="preserve">, Perrault MA, Denault AY, Klinck JR, Beaulieu D, Roy JD, Thibeault L, Roy A, McCormack M, Karakiewicz P. Effects of phlebotomy and phenylephrine infusion on portal venous pressure and systemic hemodynamics during liver transplantation.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2010; </w:t>
      </w:r>
      <w:r w:rsidRPr="002E3D4C">
        <w:rPr>
          <w:rFonts w:ascii="Book Antiqua" w:eastAsia="宋体" w:hAnsi="Book Antiqua" w:cs="宋体"/>
          <w:b/>
          <w:bCs/>
          <w:lang w:val="en-US" w:eastAsia="zh-CN"/>
        </w:rPr>
        <w:t>89</w:t>
      </w:r>
      <w:r w:rsidRPr="002E3D4C">
        <w:rPr>
          <w:rFonts w:ascii="Book Antiqua" w:eastAsia="宋体" w:hAnsi="Book Antiqua" w:cs="宋体"/>
          <w:lang w:val="en-US" w:eastAsia="zh-CN"/>
        </w:rPr>
        <w:t>: 920-927 [PMID: 20216483 DOI: 10.1097/TP.0b013e3181d7c40c]</w:t>
      </w:r>
    </w:p>
    <w:p w14:paraId="6ADEB88A" w14:textId="4F4E1F8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122 </w:t>
      </w:r>
      <w:r w:rsidRPr="002E3D4C">
        <w:rPr>
          <w:rFonts w:ascii="Book Antiqua" w:eastAsia="宋体" w:hAnsi="Book Antiqua" w:cs="宋体"/>
          <w:b/>
          <w:bCs/>
          <w:lang w:val="en-US" w:eastAsia="zh-CN"/>
        </w:rPr>
        <w:t>Hébert PC</w:t>
      </w:r>
      <w:r w:rsidRPr="002E3D4C">
        <w:rPr>
          <w:rFonts w:ascii="Book Antiqua" w:eastAsia="宋体" w:hAnsi="Book Antiqua" w:cs="宋体"/>
          <w:lang w:val="en-US" w:eastAsia="zh-CN"/>
        </w:rPr>
        <w:t xml:space="preserve">, Wells G, Blajchman MA, Marshall J, Martin C, Pagliarello G, Tweeddale M, Schweitzer I, Yetisir E. A multicenter, randomized, controlled clinical trial of transfusion requirements in critical care. Transfusion Requirements in Critical Care Investigators, Canadian Critical Care Trials Group.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1999; </w:t>
      </w:r>
      <w:r w:rsidRPr="002E3D4C">
        <w:rPr>
          <w:rFonts w:ascii="Book Antiqua" w:eastAsia="宋体" w:hAnsi="Book Antiqua" w:cs="宋体"/>
          <w:b/>
          <w:bCs/>
          <w:lang w:val="en-US" w:eastAsia="zh-CN"/>
        </w:rPr>
        <w:t>340</w:t>
      </w:r>
      <w:r w:rsidRPr="002E3D4C">
        <w:rPr>
          <w:rFonts w:ascii="Book Antiqua" w:eastAsia="宋体" w:hAnsi="Book Antiqua" w:cs="宋体"/>
          <w:lang w:val="en-US" w:eastAsia="zh-CN"/>
        </w:rPr>
        <w:t>: 409-417 [PMID: 9971864 DOI: 10.1056/NEJM199902113400601]</w:t>
      </w:r>
    </w:p>
    <w:p w14:paraId="7D5A7DF1" w14:textId="031B6A7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123 </w:t>
      </w:r>
      <w:r w:rsidRPr="002E3D4C">
        <w:rPr>
          <w:rFonts w:ascii="Book Antiqua" w:eastAsia="宋体" w:hAnsi="Book Antiqua" w:cs="宋体"/>
          <w:b/>
          <w:bCs/>
          <w:lang w:val="en-US" w:eastAsia="zh-CN"/>
        </w:rPr>
        <w:t>Murphy GJ</w:t>
      </w:r>
      <w:r w:rsidRPr="002E3D4C">
        <w:rPr>
          <w:rFonts w:ascii="Book Antiqua" w:eastAsia="宋体" w:hAnsi="Book Antiqua" w:cs="宋体"/>
          <w:lang w:val="en-US" w:eastAsia="zh-CN"/>
        </w:rPr>
        <w:t xml:space="preserve">, Pike K, Rogers CA, Wordsworth S, Stokes EA, Angelini GD, Reeves BC. Liberal or restrictive transfusion after cardiac surgery.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372</w:t>
      </w:r>
      <w:r w:rsidRPr="002E3D4C">
        <w:rPr>
          <w:rFonts w:ascii="Book Antiqua" w:eastAsia="宋体" w:hAnsi="Book Antiqua" w:cs="宋体"/>
          <w:lang w:val="en-US" w:eastAsia="zh-CN"/>
        </w:rPr>
        <w:t>: 997-1008 [PMID: 25760354 DOI: 10.1056/NEJMoa1403612]</w:t>
      </w:r>
    </w:p>
    <w:p w14:paraId="139E717A" w14:textId="4DCF049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124 </w:t>
      </w:r>
      <w:r w:rsidRPr="002E3D4C">
        <w:rPr>
          <w:rFonts w:ascii="Book Antiqua" w:eastAsia="宋体" w:hAnsi="Book Antiqua" w:cs="宋体"/>
          <w:b/>
          <w:bCs/>
          <w:lang w:val="en-US" w:eastAsia="zh-CN"/>
        </w:rPr>
        <w:t>Carson JL</w:t>
      </w:r>
      <w:r w:rsidRPr="002E3D4C">
        <w:rPr>
          <w:rFonts w:ascii="Book Antiqua" w:eastAsia="宋体" w:hAnsi="Book Antiqua" w:cs="宋体"/>
          <w:lang w:val="en-US" w:eastAsia="zh-CN"/>
        </w:rPr>
        <w:t xml:space="preserve">, Terrin ML, Noveck H, Sanders DW, Chaitman BR, Rhoads GG, Nemo G, Dragert K, Beaupre L, Hildebrand K, Macaulay W, Lewis C, Cook DR, Dobbin G, Zakriya KJ, Apple FS, Horney RA, Magaziner J. Liberal or restrictive transfusion in high-risk patients after hip surgery.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365</w:t>
      </w:r>
      <w:r w:rsidRPr="002E3D4C">
        <w:rPr>
          <w:rFonts w:ascii="Book Antiqua" w:eastAsia="宋体" w:hAnsi="Book Antiqua" w:cs="宋体"/>
          <w:lang w:val="en-US" w:eastAsia="zh-CN"/>
        </w:rPr>
        <w:t>: 2453-2462 [PMID: 22168590 DOI: 10.1056/NEJMoa1012452]</w:t>
      </w:r>
    </w:p>
    <w:p w14:paraId="40741097" w14:textId="7777777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125 </w:t>
      </w:r>
      <w:r w:rsidRPr="002E3D4C">
        <w:rPr>
          <w:rFonts w:ascii="Book Antiqua" w:eastAsia="宋体" w:hAnsi="Book Antiqua" w:cs="宋体"/>
          <w:b/>
          <w:bCs/>
          <w:lang w:val="en-US" w:eastAsia="zh-CN"/>
        </w:rPr>
        <w:t>Sagesaka T</w:t>
      </w:r>
      <w:r w:rsidRPr="002E3D4C">
        <w:rPr>
          <w:rFonts w:ascii="Book Antiqua" w:eastAsia="宋体" w:hAnsi="Book Antiqua" w:cs="宋体"/>
          <w:lang w:val="en-US" w:eastAsia="zh-CN"/>
        </w:rPr>
        <w:t xml:space="preserve">, Juen H, Hayashi M. Influence of red blood cell concentration on the initiation time of blood coagulation: risk of thrombus formation in pregnant females with anemia. </w:t>
      </w:r>
      <w:r w:rsidRPr="002E3D4C">
        <w:rPr>
          <w:rFonts w:ascii="Book Antiqua" w:eastAsia="宋体" w:hAnsi="Book Antiqua" w:cs="宋体"/>
          <w:i/>
          <w:iCs/>
          <w:lang w:val="en-US" w:eastAsia="zh-CN"/>
        </w:rPr>
        <w:t>Clin Hemorheol Microcirc</w:t>
      </w:r>
      <w:r w:rsidRPr="002E3D4C">
        <w:rPr>
          <w:rFonts w:ascii="Book Antiqua" w:eastAsia="宋体" w:hAnsi="Book Antiqua" w:cs="宋体"/>
          <w:lang w:val="en-US" w:eastAsia="zh-CN"/>
        </w:rPr>
        <w:t xml:space="preserve"> 2007; </w:t>
      </w:r>
      <w:r w:rsidRPr="002E3D4C">
        <w:rPr>
          <w:rFonts w:ascii="Book Antiqua" w:eastAsia="宋体" w:hAnsi="Book Antiqua" w:cs="宋体"/>
          <w:b/>
          <w:bCs/>
          <w:lang w:val="en-US" w:eastAsia="zh-CN"/>
        </w:rPr>
        <w:t>36</w:t>
      </w:r>
      <w:r w:rsidRPr="002E3D4C">
        <w:rPr>
          <w:rFonts w:ascii="Book Antiqua" w:eastAsia="宋体" w:hAnsi="Book Antiqua" w:cs="宋体"/>
          <w:lang w:val="en-US" w:eastAsia="zh-CN"/>
        </w:rPr>
        <w:t>: 155-161 [PMID: 17325439]</w:t>
      </w:r>
    </w:p>
    <w:p w14:paraId="3FAD3E55" w14:textId="19F097D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126 </w:t>
      </w:r>
      <w:r w:rsidRPr="002E3D4C">
        <w:rPr>
          <w:rFonts w:ascii="Book Antiqua" w:eastAsia="宋体" w:hAnsi="Book Antiqua" w:cs="宋体"/>
          <w:b/>
          <w:bCs/>
          <w:lang w:val="en-US" w:eastAsia="zh-CN"/>
        </w:rPr>
        <w:t>Corredor C</w:t>
      </w:r>
      <w:r w:rsidRPr="002E3D4C">
        <w:rPr>
          <w:rFonts w:ascii="Book Antiqua" w:eastAsia="宋体" w:hAnsi="Book Antiqua" w:cs="宋体"/>
          <w:lang w:val="en-US" w:eastAsia="zh-CN"/>
        </w:rPr>
        <w:t xml:space="preserve">, Wasowicz M, Karkouti K, Sharma V. The role of point-of-care platelet function testing in predicting postoperative bleeding following cardiac surgery: a systematic review and meta-analysis. </w:t>
      </w:r>
      <w:r w:rsidRPr="002E3D4C">
        <w:rPr>
          <w:rFonts w:ascii="Book Antiqua" w:eastAsia="宋体" w:hAnsi="Book Antiqua" w:cs="宋体"/>
          <w:i/>
          <w:iCs/>
          <w:lang w:val="en-US" w:eastAsia="zh-CN"/>
        </w:rPr>
        <w:t>Anaesthesia</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70</w:t>
      </w:r>
      <w:r w:rsidRPr="002E3D4C">
        <w:rPr>
          <w:rFonts w:ascii="Book Antiqua" w:eastAsia="宋体" w:hAnsi="Book Antiqua" w:cs="宋体"/>
          <w:lang w:val="en-US" w:eastAsia="zh-CN"/>
        </w:rPr>
        <w:t>: 715-731 [PMID: 25916344 DOI: 10.1111/anae.13083]</w:t>
      </w:r>
    </w:p>
    <w:p w14:paraId="743D15AC" w14:textId="4338CDEA"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127 </w:t>
      </w:r>
      <w:r w:rsidRPr="002E3D4C">
        <w:rPr>
          <w:rFonts w:ascii="Book Antiqua" w:eastAsia="宋体" w:hAnsi="Book Antiqua" w:cs="宋体"/>
          <w:b/>
          <w:bCs/>
          <w:lang w:val="en-US" w:eastAsia="zh-CN"/>
        </w:rPr>
        <w:t>Afshari A</w:t>
      </w:r>
      <w:r w:rsidRPr="002E3D4C">
        <w:rPr>
          <w:rFonts w:ascii="Book Antiqua" w:eastAsia="宋体" w:hAnsi="Book Antiqua" w:cs="宋体"/>
          <w:lang w:val="en-US" w:eastAsia="zh-CN"/>
        </w:rPr>
        <w:t xml:space="preserve">, Wikkelsø A, Brok J, Møller AM, Wetterslev J. Thrombelastography (TEG) or thromboelastometry (ROTEM) to monitor haemotherapy versus usual care in patients with massive transfusion. </w:t>
      </w:r>
      <w:r w:rsidRPr="002E3D4C">
        <w:rPr>
          <w:rFonts w:ascii="Book Antiqua" w:eastAsia="宋体" w:hAnsi="Book Antiqua" w:cs="宋体"/>
          <w:i/>
          <w:iCs/>
          <w:lang w:val="en-US" w:eastAsia="zh-CN"/>
        </w:rPr>
        <w:t>Cochrane Database Syst Rev</w:t>
      </w:r>
      <w:r w:rsidR="00840C64">
        <w:rPr>
          <w:rFonts w:ascii="Book Antiqua" w:eastAsia="宋体" w:hAnsi="Book Antiqua" w:cs="宋体"/>
          <w:lang w:val="en-US" w:eastAsia="zh-CN"/>
        </w:rPr>
        <w:t xml:space="preserve"> 2011</w:t>
      </w:r>
      <w:r w:rsidRPr="002E3D4C">
        <w:rPr>
          <w:rFonts w:ascii="Book Antiqua" w:eastAsia="宋体" w:hAnsi="Book Antiqua" w:cs="宋体"/>
          <w:lang w:val="en-US" w:eastAsia="zh-CN"/>
        </w:rPr>
        <w:t>: CD007871 [PMID: 21412912 DOI: 10.1002/14651858.CD007871.pub2]</w:t>
      </w:r>
    </w:p>
    <w:p w14:paraId="66755CAC" w14:textId="1362E28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128 </w:t>
      </w:r>
      <w:r w:rsidRPr="002E3D4C">
        <w:rPr>
          <w:rFonts w:ascii="Book Antiqua" w:eastAsia="宋体" w:hAnsi="Book Antiqua" w:cs="宋体"/>
          <w:b/>
          <w:bCs/>
          <w:lang w:val="en-US" w:eastAsia="zh-CN"/>
        </w:rPr>
        <w:t>Gurusamy KS</w:t>
      </w:r>
      <w:r w:rsidRPr="002E3D4C">
        <w:rPr>
          <w:rFonts w:ascii="Book Antiqua" w:eastAsia="宋体" w:hAnsi="Book Antiqua" w:cs="宋体"/>
          <w:lang w:val="en-US" w:eastAsia="zh-CN"/>
        </w:rPr>
        <w:t xml:space="preserve">, Pissanou T, Pikhart H, Vaughan J, Burroughs AK, Davidson BR. Methods to decrease blood loss and transfusion requirements for liver transplantation. </w:t>
      </w:r>
      <w:r w:rsidRPr="002E3D4C">
        <w:rPr>
          <w:rFonts w:ascii="Book Antiqua" w:eastAsia="宋体" w:hAnsi="Book Antiqua" w:cs="宋体"/>
          <w:i/>
          <w:iCs/>
          <w:lang w:val="en-US" w:eastAsia="zh-CN"/>
        </w:rPr>
        <w:t>Cochrane Database Syst Rev</w:t>
      </w:r>
      <w:r w:rsidR="00840C64">
        <w:rPr>
          <w:rFonts w:ascii="Book Antiqua" w:eastAsia="宋体" w:hAnsi="Book Antiqua" w:cs="宋体"/>
          <w:lang w:val="en-US" w:eastAsia="zh-CN"/>
        </w:rPr>
        <w:t xml:space="preserve"> 2011</w:t>
      </w:r>
      <w:r w:rsidRPr="002E3D4C">
        <w:rPr>
          <w:rFonts w:ascii="Book Antiqua" w:eastAsia="宋体" w:hAnsi="Book Antiqua" w:cs="宋体"/>
          <w:lang w:val="en-US" w:eastAsia="zh-CN"/>
        </w:rPr>
        <w:t>: CD009052 [PMID: 22161443 DOI: 10.1002/14651858.CD009052.pub2]</w:t>
      </w:r>
    </w:p>
    <w:p w14:paraId="3F710F9F" w14:textId="539914A8"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129 </w:t>
      </w:r>
      <w:r w:rsidRPr="002E3D4C">
        <w:rPr>
          <w:rFonts w:ascii="Book Antiqua" w:eastAsia="宋体" w:hAnsi="Book Antiqua" w:cs="宋体"/>
          <w:b/>
          <w:bCs/>
          <w:lang w:val="en-US" w:eastAsia="zh-CN"/>
        </w:rPr>
        <w:t>Wang SC</w:t>
      </w:r>
      <w:r w:rsidRPr="002E3D4C">
        <w:rPr>
          <w:rFonts w:ascii="Book Antiqua" w:eastAsia="宋体" w:hAnsi="Book Antiqua" w:cs="宋体"/>
          <w:lang w:val="en-US" w:eastAsia="zh-CN"/>
        </w:rPr>
        <w:t xml:space="preserve">, Shieh JF, Chang KY, Chu YC, Liu CS, Loong CC, Chan KH, Mandell S, Tsou MY. Thromboelastography-guided transfusion decreases intraoperative blood transfusion during orthotopic liver transplantation: randomized clinical trial.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2010; </w:t>
      </w:r>
      <w:r w:rsidRPr="002E3D4C">
        <w:rPr>
          <w:rFonts w:ascii="Book Antiqua" w:eastAsia="宋体" w:hAnsi="Book Antiqua" w:cs="宋体"/>
          <w:b/>
          <w:bCs/>
          <w:lang w:val="en-US" w:eastAsia="zh-CN"/>
        </w:rPr>
        <w:t>42</w:t>
      </w:r>
      <w:r w:rsidRPr="002E3D4C">
        <w:rPr>
          <w:rFonts w:ascii="Book Antiqua" w:eastAsia="宋体" w:hAnsi="Book Antiqua" w:cs="宋体"/>
          <w:lang w:val="en-US" w:eastAsia="zh-CN"/>
        </w:rPr>
        <w:t>: 2590-2593 [PMID: 20832550 DOI: 10.1016/j.transproceed.2010.05.144]</w:t>
      </w:r>
    </w:p>
    <w:p w14:paraId="6F711822" w14:textId="6D718235" w:rsidR="002E3D4C" w:rsidRPr="002E3D4C" w:rsidRDefault="00656032"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130 </w:t>
      </w:r>
      <w:r w:rsidR="002E3D4C" w:rsidRPr="002E3D4C">
        <w:rPr>
          <w:rFonts w:ascii="Book Antiqua" w:eastAsia="宋体" w:hAnsi="Book Antiqua" w:cs="宋体"/>
          <w:lang w:val="en-US" w:eastAsia="zh-CN"/>
        </w:rPr>
        <w:t xml:space="preserve">Abstracts of the 16th Annual International Congress of the International Liver Transplantation Society. June 16-19, 2010. Hong Kong, China. </w:t>
      </w:r>
      <w:r w:rsidR="002E3D4C" w:rsidRPr="002E3D4C">
        <w:rPr>
          <w:rFonts w:ascii="Book Antiqua" w:eastAsia="宋体" w:hAnsi="Book Antiqua" w:cs="宋体"/>
          <w:i/>
          <w:iCs/>
          <w:lang w:val="en-US" w:eastAsia="zh-CN"/>
        </w:rPr>
        <w:t>Liver Transpl</w:t>
      </w:r>
      <w:r w:rsidR="002E3D4C" w:rsidRPr="002E3D4C">
        <w:rPr>
          <w:rFonts w:ascii="Book Antiqua" w:eastAsia="宋体" w:hAnsi="Book Antiqua" w:cs="宋体"/>
          <w:lang w:val="en-US" w:eastAsia="zh-CN"/>
        </w:rPr>
        <w:t xml:space="preserve"> 2010; </w:t>
      </w:r>
      <w:r w:rsidR="002E3D4C" w:rsidRPr="002E3D4C">
        <w:rPr>
          <w:rFonts w:ascii="Book Antiqua" w:eastAsia="宋体" w:hAnsi="Book Antiqua" w:cs="宋体"/>
          <w:b/>
          <w:bCs/>
          <w:lang w:val="en-US" w:eastAsia="zh-CN"/>
        </w:rPr>
        <w:t xml:space="preserve">16 </w:t>
      </w:r>
      <w:r w:rsidR="002E3D4C" w:rsidRPr="00840C64">
        <w:rPr>
          <w:rFonts w:ascii="Book Antiqua" w:eastAsia="宋体" w:hAnsi="Book Antiqua" w:cs="宋体"/>
          <w:bCs/>
          <w:lang w:val="en-US" w:eastAsia="zh-CN"/>
        </w:rPr>
        <w:t>Suppl 1</w:t>
      </w:r>
      <w:r w:rsidR="002E3D4C" w:rsidRPr="00840C64">
        <w:rPr>
          <w:rFonts w:ascii="Book Antiqua" w:eastAsia="宋体" w:hAnsi="Book Antiqua" w:cs="宋体"/>
          <w:lang w:val="en-US" w:eastAsia="zh-CN"/>
        </w:rPr>
        <w:t xml:space="preserve">: </w:t>
      </w:r>
      <w:r w:rsidR="002E3D4C" w:rsidRPr="002E3D4C">
        <w:rPr>
          <w:rFonts w:ascii="Book Antiqua" w:eastAsia="宋体" w:hAnsi="Book Antiqua" w:cs="宋体"/>
          <w:lang w:val="en-US" w:eastAsia="zh-CN"/>
        </w:rPr>
        <w:t>S69-263 [PMID: 20517922 DOI: 10.1002/lt.22086]</w:t>
      </w:r>
    </w:p>
    <w:p w14:paraId="60B7B43B" w14:textId="31107097"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131 </w:t>
      </w:r>
      <w:r w:rsidRPr="002E3D4C">
        <w:rPr>
          <w:rFonts w:ascii="Book Antiqua" w:eastAsia="宋体" w:hAnsi="Book Antiqua" w:cs="宋体"/>
          <w:b/>
          <w:bCs/>
          <w:lang w:val="en-US" w:eastAsia="zh-CN"/>
        </w:rPr>
        <w:t>Trzebicki J</w:t>
      </w:r>
      <w:r w:rsidRPr="002E3D4C">
        <w:rPr>
          <w:rFonts w:ascii="Book Antiqua" w:eastAsia="宋体" w:hAnsi="Book Antiqua" w:cs="宋体"/>
          <w:lang w:val="en-US" w:eastAsia="zh-CN"/>
        </w:rPr>
        <w:t>, Flakiewicz E, Kosieradzki M, Blaszczyk B, Ko</w:t>
      </w:r>
      <w:r w:rsidRPr="002E3D4C">
        <w:rPr>
          <w:rFonts w:ascii="Book Antiqua" w:eastAsia="MS Mincho" w:hAnsi="Book Antiqua" w:cs="MS Mincho"/>
          <w:lang w:val="en-US" w:eastAsia="zh-CN"/>
        </w:rPr>
        <w:t>ł</w:t>
      </w:r>
      <w:r w:rsidRPr="002E3D4C">
        <w:rPr>
          <w:rFonts w:ascii="Book Antiqua" w:eastAsia="宋体" w:hAnsi="Book Antiqua" w:cs="宋体"/>
          <w:lang w:val="en-US" w:eastAsia="zh-CN"/>
        </w:rPr>
        <w:t xml:space="preserve">acz M, Jureczko L, Pacholczyk M, Chmura A, Lagiewska B, Lisik W, Wasiak D, Kosson D, Kwiatkowski A, Lazowski T. The use of thromboelastometry in the assessment of hemostasis during orthotopic liver transplantation reduces the demand for blood products. </w:t>
      </w:r>
      <w:r w:rsidRPr="002E3D4C">
        <w:rPr>
          <w:rFonts w:ascii="Book Antiqua" w:eastAsia="宋体" w:hAnsi="Book Antiqua" w:cs="宋体"/>
          <w:i/>
          <w:iCs/>
          <w:lang w:val="en-US" w:eastAsia="zh-CN"/>
        </w:rPr>
        <w:t>Ann Transplant</w:t>
      </w:r>
      <w:r w:rsidRPr="002E3D4C">
        <w:rPr>
          <w:rFonts w:ascii="Book Antiqua" w:eastAsia="宋体" w:hAnsi="Book Antiqua" w:cs="宋体"/>
          <w:lang w:val="en-US" w:eastAsia="zh-CN"/>
        </w:rPr>
        <w:t xml:space="preserve"> </w:t>
      </w:r>
      <w:r w:rsidR="00840C64">
        <w:rPr>
          <w:rFonts w:ascii="Book Antiqua" w:eastAsia="宋体" w:hAnsi="Book Antiqua" w:cs="宋体" w:hint="eastAsia"/>
          <w:lang w:val="en-US" w:eastAsia="zh-CN"/>
        </w:rPr>
        <w:t>2010</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15</w:t>
      </w:r>
      <w:r w:rsidRPr="002E3D4C">
        <w:rPr>
          <w:rFonts w:ascii="Book Antiqua" w:eastAsia="宋体" w:hAnsi="Book Antiqua" w:cs="宋体"/>
          <w:lang w:val="en-US" w:eastAsia="zh-CN"/>
        </w:rPr>
        <w:t>: 19-24 [PMID: 20877262]</w:t>
      </w:r>
    </w:p>
    <w:p w14:paraId="028A1A39" w14:textId="5EBC0F0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132 </w:t>
      </w:r>
      <w:r w:rsidRPr="002E3D4C">
        <w:rPr>
          <w:rFonts w:ascii="Book Antiqua" w:eastAsia="宋体" w:hAnsi="Book Antiqua" w:cs="宋体"/>
          <w:b/>
          <w:bCs/>
          <w:lang w:val="en-US" w:eastAsia="zh-CN"/>
        </w:rPr>
        <w:t>Molenaar IQ</w:t>
      </w:r>
      <w:r w:rsidRPr="002E3D4C">
        <w:rPr>
          <w:rFonts w:ascii="Book Antiqua" w:eastAsia="宋体" w:hAnsi="Book Antiqua" w:cs="宋体"/>
          <w:lang w:val="en-US" w:eastAsia="zh-CN"/>
        </w:rPr>
        <w:t xml:space="preserve">, Warnaar N, Groen H, Tenvergert EM, Slooff MJ, Porte RJ. Efficacy and safety of antifibrinolytic drugs in liver transplantation: a systematic review and meta-analysis. </w:t>
      </w:r>
      <w:r w:rsidRPr="002E3D4C">
        <w:rPr>
          <w:rFonts w:ascii="Book Antiqua" w:eastAsia="宋体" w:hAnsi="Book Antiqua" w:cs="宋体"/>
          <w:i/>
          <w:iCs/>
          <w:lang w:val="en-US" w:eastAsia="zh-CN"/>
        </w:rPr>
        <w:t>Am J Transplant</w:t>
      </w:r>
      <w:r w:rsidRPr="002E3D4C">
        <w:rPr>
          <w:rFonts w:ascii="Book Antiqua" w:eastAsia="宋体" w:hAnsi="Book Antiqua" w:cs="宋体"/>
          <w:lang w:val="en-US" w:eastAsia="zh-CN"/>
        </w:rPr>
        <w:t xml:space="preserve"> 2007; </w:t>
      </w:r>
      <w:r w:rsidRPr="002E3D4C">
        <w:rPr>
          <w:rFonts w:ascii="Book Antiqua" w:eastAsia="宋体" w:hAnsi="Book Antiqua" w:cs="宋体"/>
          <w:b/>
          <w:bCs/>
          <w:lang w:val="en-US" w:eastAsia="zh-CN"/>
        </w:rPr>
        <w:t>7</w:t>
      </w:r>
      <w:r w:rsidRPr="002E3D4C">
        <w:rPr>
          <w:rFonts w:ascii="Book Antiqua" w:eastAsia="宋体" w:hAnsi="Book Antiqua" w:cs="宋体"/>
          <w:lang w:val="en-US" w:eastAsia="zh-CN"/>
        </w:rPr>
        <w:t>: 185-194 [PMID: 17227567 DOI: 10.1111/j.1600-6143.2006.01591.x]</w:t>
      </w:r>
    </w:p>
    <w:p w14:paraId="071CA792" w14:textId="6F9A100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133 </w:t>
      </w:r>
      <w:r w:rsidRPr="002E3D4C">
        <w:rPr>
          <w:rFonts w:ascii="Book Antiqua" w:eastAsia="宋体" w:hAnsi="Book Antiqua" w:cs="宋体"/>
          <w:b/>
          <w:bCs/>
          <w:lang w:val="en-US" w:eastAsia="zh-CN"/>
        </w:rPr>
        <w:t>Karkouti K</w:t>
      </w:r>
      <w:r w:rsidRPr="002E3D4C">
        <w:rPr>
          <w:rFonts w:ascii="Book Antiqua" w:eastAsia="宋体" w:hAnsi="Book Antiqua" w:cs="宋体"/>
          <w:lang w:val="en-US" w:eastAsia="zh-CN"/>
        </w:rPr>
        <w:t xml:space="preserve">, Beattie WS, Dattilo KM, McCluskey SA, Ghannam M, Hamdy A, Wijeysundera DN, Fedorko L, Yau TM. A propensity score case-control comparison of aprotinin and tranexamic acid in high-transfusion-risk cardiac surgery. </w:t>
      </w:r>
      <w:r w:rsidRPr="002E3D4C">
        <w:rPr>
          <w:rFonts w:ascii="Book Antiqua" w:eastAsia="宋体" w:hAnsi="Book Antiqua" w:cs="宋体"/>
          <w:i/>
          <w:iCs/>
          <w:lang w:val="en-US" w:eastAsia="zh-CN"/>
        </w:rPr>
        <w:t>Transfusion</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46</w:t>
      </w:r>
      <w:r w:rsidRPr="002E3D4C">
        <w:rPr>
          <w:rFonts w:ascii="Book Antiqua" w:eastAsia="宋体" w:hAnsi="Book Antiqua" w:cs="宋体"/>
          <w:lang w:val="en-US" w:eastAsia="zh-CN"/>
        </w:rPr>
        <w:t>: 327-338 [PMID: 16533273 DOI: 10.1111/j.1537-2995.2006.00724.x]</w:t>
      </w:r>
    </w:p>
    <w:p w14:paraId="71553B9E" w14:textId="0466DAF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134 </w:t>
      </w:r>
      <w:r w:rsidRPr="002E3D4C">
        <w:rPr>
          <w:rFonts w:ascii="Book Antiqua" w:eastAsia="宋体" w:hAnsi="Book Antiqua" w:cs="宋体"/>
          <w:b/>
          <w:bCs/>
          <w:lang w:val="en-US" w:eastAsia="zh-CN"/>
        </w:rPr>
        <w:t>Mangano DT</w:t>
      </w:r>
      <w:r w:rsidRPr="002E3D4C">
        <w:rPr>
          <w:rFonts w:ascii="Book Antiqua" w:eastAsia="宋体" w:hAnsi="Book Antiqua" w:cs="宋体"/>
          <w:lang w:val="en-US" w:eastAsia="zh-CN"/>
        </w:rPr>
        <w:t xml:space="preserve">, Tudor IC, Dietzel C. The risk associated with aprotinin in cardiac surgery.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354</w:t>
      </w:r>
      <w:r w:rsidRPr="002E3D4C">
        <w:rPr>
          <w:rFonts w:ascii="Book Antiqua" w:eastAsia="宋体" w:hAnsi="Book Antiqua" w:cs="宋体"/>
          <w:lang w:val="en-US" w:eastAsia="zh-CN"/>
        </w:rPr>
        <w:t>: 353-365 [PMID: 16436767 DOI: 10.1056/NEJMoa051379]</w:t>
      </w:r>
    </w:p>
    <w:p w14:paraId="6DDD1A57" w14:textId="78EB864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135 </w:t>
      </w:r>
      <w:r w:rsidRPr="002E3D4C">
        <w:rPr>
          <w:rFonts w:ascii="Book Antiqua" w:eastAsia="宋体" w:hAnsi="Book Antiqua" w:cs="宋体"/>
          <w:b/>
          <w:bCs/>
          <w:lang w:val="en-US" w:eastAsia="zh-CN"/>
        </w:rPr>
        <w:t>Fergusson DA</w:t>
      </w:r>
      <w:r w:rsidRPr="002E3D4C">
        <w:rPr>
          <w:rFonts w:ascii="Book Antiqua" w:eastAsia="宋体" w:hAnsi="Book Antiqua" w:cs="宋体"/>
          <w:lang w:val="en-US" w:eastAsia="zh-CN"/>
        </w:rPr>
        <w:t xml:space="preserve">, Hébert PC, Mazer CD, Fremes S, MacAdams C, Murkin JM, Teoh K, Duke PC, Arellano R, Blajchman MA, Bussières JS, Côté D, Karski J, Martineau R, Robblee JA, Rodger M, Wells G, Clinch J, Pretorius R. A comparison of aprotinin and lysine analogues in high-risk cardiac surgery. </w:t>
      </w:r>
      <w:r w:rsidRPr="002E3D4C">
        <w:rPr>
          <w:rFonts w:ascii="Book Antiqua" w:eastAsia="宋体" w:hAnsi="Book Antiqua" w:cs="宋体"/>
          <w:i/>
          <w:iCs/>
          <w:lang w:val="en-US" w:eastAsia="zh-CN"/>
        </w:rPr>
        <w:t>N Engl J Med</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358</w:t>
      </w:r>
      <w:r w:rsidRPr="002E3D4C">
        <w:rPr>
          <w:rFonts w:ascii="Book Antiqua" w:eastAsia="宋体" w:hAnsi="Book Antiqua" w:cs="宋体"/>
          <w:lang w:val="en-US" w:eastAsia="zh-CN"/>
        </w:rPr>
        <w:t>: 2319-2331 [PMID: 18480196 DOI: 10.1056/NEJMoa0802395]</w:t>
      </w:r>
    </w:p>
    <w:p w14:paraId="5648798F" w14:textId="5602B0C4" w:rsidR="002E3D4C" w:rsidRPr="002E3D4C" w:rsidRDefault="00840C64" w:rsidP="002E3D4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136 </w:t>
      </w:r>
      <w:r w:rsidR="002E3D4C" w:rsidRPr="002E3D4C">
        <w:rPr>
          <w:rFonts w:ascii="Book Antiqua" w:eastAsia="宋体" w:hAnsi="Book Antiqua" w:cs="宋体"/>
          <w:lang w:val="en-US" w:eastAsia="zh-CN"/>
        </w:rPr>
        <w:t>Government of Canada HCHP and FBHIIOCE and CD #1, DGIU. MedEffect - Health Canada’s Response to the Final Report of the Expert Advisory Panel on Trasylol (aprotinin) [Internet]. 2011</w:t>
      </w:r>
      <w:r w:rsidR="004B0EED">
        <w:rPr>
          <w:rFonts w:ascii="Book Antiqua" w:eastAsia="宋体" w:hAnsi="Book Antiqua" w:cs="宋体"/>
          <w:lang w:val="en-US" w:eastAsia="zh-CN"/>
        </w:rPr>
        <w:t>.</w:t>
      </w:r>
      <w:bookmarkStart w:id="4" w:name="_GoBack"/>
      <w:bookmarkEnd w:id="4"/>
      <w:r w:rsidR="002E3D4C" w:rsidRPr="002E3D4C">
        <w:rPr>
          <w:rFonts w:ascii="Book Antiqua" w:eastAsia="宋体" w:hAnsi="Book Antiqua" w:cs="宋体"/>
          <w:lang w:val="en-US" w:eastAsia="zh-CN"/>
        </w:rPr>
        <w:t xml:space="preserve"> [</w:t>
      </w:r>
      <w:r w:rsidR="00A33C12">
        <w:rPr>
          <w:rFonts w:ascii="Book Antiqua" w:eastAsia="宋体" w:hAnsi="Book Antiqua" w:cs="宋体"/>
          <w:lang w:val="en-US" w:eastAsia="zh-CN"/>
        </w:rPr>
        <w:t>accessed</w:t>
      </w:r>
      <w:r w:rsidR="002E3D4C" w:rsidRPr="002E3D4C">
        <w:rPr>
          <w:rFonts w:ascii="Book Antiqua" w:eastAsia="宋体" w:hAnsi="Book Antiqua" w:cs="宋体"/>
          <w:lang w:val="en-US" w:eastAsia="zh-CN"/>
        </w:rPr>
        <w:t xml:space="preserve"> 2015 Nov</w:t>
      </w:r>
      <w:r>
        <w:rPr>
          <w:rFonts w:ascii="Book Antiqua" w:eastAsia="宋体" w:hAnsi="Book Antiqua" w:cs="宋体"/>
          <w:lang w:val="en-US" w:eastAsia="zh-CN"/>
        </w:rPr>
        <w:t xml:space="preserve"> 6].  from: URL: http:</w:t>
      </w:r>
      <w:r w:rsidR="002E3D4C" w:rsidRPr="002E3D4C">
        <w:rPr>
          <w:rFonts w:ascii="Book Antiqua" w:eastAsia="宋体" w:hAnsi="Book Antiqua" w:cs="宋体"/>
          <w:lang w:val="en-US" w:eastAsia="zh-CN"/>
        </w:rPr>
        <w:t>//www.hc-sc.gc.ca/dhp-mps/medeff/res/hc-sc_res-rep-trasylol-eng.php</w:t>
      </w:r>
    </w:p>
    <w:p w14:paraId="356C49D4" w14:textId="5EFEA98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137 </w:t>
      </w:r>
      <w:r w:rsidRPr="002E3D4C">
        <w:rPr>
          <w:rFonts w:ascii="Book Antiqua" w:eastAsia="宋体" w:hAnsi="Book Antiqua" w:cs="宋体"/>
          <w:b/>
          <w:bCs/>
          <w:lang w:val="en-US" w:eastAsia="zh-CN"/>
        </w:rPr>
        <w:t>Trzebicki J</w:t>
      </w:r>
      <w:r w:rsidRPr="002E3D4C">
        <w:rPr>
          <w:rFonts w:ascii="Book Antiqua" w:eastAsia="宋体" w:hAnsi="Book Antiqua" w:cs="宋体"/>
          <w:lang w:val="en-US" w:eastAsia="zh-CN"/>
        </w:rPr>
        <w:t xml:space="preserve">, Kosieradzki M, Flakiewicz E, Kuzminska G, Wasiak D, Pacholczyk M, Lagiewska B, Lisik W, Kosson D, Kulik A, Chmura A, Lazowski T. Detrimental effect of aprotinin ban on amount of blood loss during liver transplantation: single-center experience.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43</w:t>
      </w:r>
      <w:r w:rsidRPr="002E3D4C">
        <w:rPr>
          <w:rFonts w:ascii="Book Antiqua" w:eastAsia="宋体" w:hAnsi="Book Antiqua" w:cs="宋体"/>
          <w:lang w:val="en-US" w:eastAsia="zh-CN"/>
        </w:rPr>
        <w:t>: 1725-1727 [PMID: 21693266 DOI: 10.1016/j.transproceed.2011.01.182]</w:t>
      </w:r>
    </w:p>
    <w:p w14:paraId="16590C8E" w14:textId="6ABB199E"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138 </w:t>
      </w:r>
      <w:r w:rsidRPr="002E3D4C">
        <w:rPr>
          <w:rFonts w:ascii="Book Antiqua" w:eastAsia="宋体" w:hAnsi="Book Antiqua" w:cs="宋体"/>
          <w:b/>
          <w:bCs/>
          <w:lang w:val="en-US" w:eastAsia="zh-CN"/>
        </w:rPr>
        <w:t>Schofield N</w:t>
      </w:r>
      <w:r w:rsidRPr="002E3D4C">
        <w:rPr>
          <w:rFonts w:ascii="Book Antiqua" w:eastAsia="宋体" w:hAnsi="Book Antiqua" w:cs="宋体"/>
          <w:lang w:val="en-US" w:eastAsia="zh-CN"/>
        </w:rPr>
        <w:t xml:space="preserve">, Sugavanam A, Thompson K, Mallett SV. No increase in blood transfusions during liver transplantation since the withdrawal of aprotinin. </w:t>
      </w:r>
      <w:r w:rsidRPr="002E3D4C">
        <w:rPr>
          <w:rFonts w:ascii="Book Antiqua" w:eastAsia="宋体" w:hAnsi="Book Antiqua" w:cs="宋体"/>
          <w:i/>
          <w:iCs/>
          <w:lang w:val="en-US" w:eastAsia="zh-CN"/>
        </w:rPr>
        <w:t>Liver Transpl</w:t>
      </w:r>
      <w:r w:rsidRPr="002E3D4C">
        <w:rPr>
          <w:rFonts w:ascii="Book Antiqua" w:eastAsia="宋体" w:hAnsi="Book Antiqua" w:cs="宋体"/>
          <w:lang w:val="en-US" w:eastAsia="zh-CN"/>
        </w:rPr>
        <w:t xml:space="preserve"> 2014; </w:t>
      </w:r>
      <w:r w:rsidRPr="002E3D4C">
        <w:rPr>
          <w:rFonts w:ascii="Book Antiqua" w:eastAsia="宋体" w:hAnsi="Book Antiqua" w:cs="宋体"/>
          <w:b/>
          <w:bCs/>
          <w:lang w:val="en-US" w:eastAsia="zh-CN"/>
        </w:rPr>
        <w:t>20</w:t>
      </w:r>
      <w:r w:rsidRPr="002E3D4C">
        <w:rPr>
          <w:rFonts w:ascii="Book Antiqua" w:eastAsia="宋体" w:hAnsi="Book Antiqua" w:cs="宋体"/>
          <w:lang w:val="en-US" w:eastAsia="zh-CN"/>
        </w:rPr>
        <w:t>: 584-590 [PMID: 24481770 DOI: 10.1002/lt.23839]</w:t>
      </w:r>
    </w:p>
    <w:p w14:paraId="71436273" w14:textId="084CA3E9"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139 </w:t>
      </w:r>
      <w:r w:rsidRPr="002E3D4C">
        <w:rPr>
          <w:rFonts w:ascii="Book Antiqua" w:eastAsia="宋体" w:hAnsi="Book Antiqua" w:cs="宋体"/>
          <w:b/>
          <w:bCs/>
          <w:lang w:val="en-US" w:eastAsia="zh-CN"/>
        </w:rPr>
        <w:t>Gurusamy KS</w:t>
      </w:r>
      <w:r w:rsidRPr="002E3D4C">
        <w:rPr>
          <w:rFonts w:ascii="Book Antiqua" w:eastAsia="宋体" w:hAnsi="Book Antiqua" w:cs="宋体"/>
          <w:lang w:val="en-US" w:eastAsia="zh-CN"/>
        </w:rPr>
        <w:t xml:space="preserve">, Li J, Sharma D, Davidson BR. Cardiopulmonary interventions to decrease blood loss and blood transfusion requirements for liver resection. </w:t>
      </w:r>
      <w:r w:rsidRPr="002E3D4C">
        <w:rPr>
          <w:rFonts w:ascii="Book Antiqua" w:eastAsia="宋体" w:hAnsi="Book Antiqua" w:cs="宋体"/>
          <w:i/>
          <w:iCs/>
          <w:lang w:val="en-US" w:eastAsia="zh-CN"/>
        </w:rPr>
        <w:t>Cochrane Database Syst Rev</w:t>
      </w:r>
      <w:r w:rsidR="00840C64">
        <w:rPr>
          <w:rFonts w:ascii="Book Antiqua" w:eastAsia="宋体" w:hAnsi="Book Antiqua" w:cs="宋体"/>
          <w:lang w:val="en-US" w:eastAsia="zh-CN"/>
        </w:rPr>
        <w:t xml:space="preserve"> 2009</w:t>
      </w:r>
      <w:r w:rsidRPr="002E3D4C">
        <w:rPr>
          <w:rFonts w:ascii="Book Antiqua" w:eastAsia="宋体" w:hAnsi="Book Antiqua" w:cs="宋体"/>
          <w:lang w:val="en-US" w:eastAsia="zh-CN"/>
        </w:rPr>
        <w:t>: CD007338 [PMID: 19821405 DOI: 10.1002/14651858.CD007338.pub2]</w:t>
      </w:r>
    </w:p>
    <w:p w14:paraId="4124BED4" w14:textId="7F38DEA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140 </w:t>
      </w:r>
      <w:r w:rsidRPr="002E3D4C">
        <w:rPr>
          <w:rFonts w:ascii="Book Antiqua" w:eastAsia="宋体" w:hAnsi="Book Antiqua" w:cs="宋体"/>
          <w:b/>
          <w:bCs/>
          <w:lang w:val="en-US" w:eastAsia="zh-CN"/>
        </w:rPr>
        <w:t>Ker K</w:t>
      </w:r>
      <w:r w:rsidRPr="002E3D4C">
        <w:rPr>
          <w:rFonts w:ascii="Book Antiqua" w:eastAsia="宋体" w:hAnsi="Book Antiqua" w:cs="宋体"/>
          <w:lang w:val="en-US" w:eastAsia="zh-CN"/>
        </w:rPr>
        <w:t xml:space="preserve">, Edwards P, Perel P, Shakur H, Roberts I. Effect of tranexamic acid on surgical bleeding: systematic review and cumulative meta-analysis. </w:t>
      </w:r>
      <w:r w:rsidRPr="002E3D4C">
        <w:rPr>
          <w:rFonts w:ascii="Book Antiqua" w:eastAsia="宋体" w:hAnsi="Book Antiqua" w:cs="宋体"/>
          <w:i/>
          <w:iCs/>
          <w:lang w:val="en-US" w:eastAsia="zh-CN"/>
        </w:rPr>
        <w:t>BMJ</w:t>
      </w:r>
      <w:r w:rsidRPr="002E3D4C">
        <w:rPr>
          <w:rFonts w:ascii="Book Antiqua" w:eastAsia="宋体" w:hAnsi="Book Antiqua" w:cs="宋体"/>
          <w:lang w:val="en-US" w:eastAsia="zh-CN"/>
        </w:rPr>
        <w:t xml:space="preserve"> 2012; </w:t>
      </w:r>
      <w:r w:rsidRPr="002E3D4C">
        <w:rPr>
          <w:rFonts w:ascii="Book Antiqua" w:eastAsia="宋体" w:hAnsi="Book Antiqua" w:cs="宋体"/>
          <w:b/>
          <w:bCs/>
          <w:lang w:val="en-US" w:eastAsia="zh-CN"/>
        </w:rPr>
        <w:t>344</w:t>
      </w:r>
      <w:r w:rsidRPr="002E3D4C">
        <w:rPr>
          <w:rFonts w:ascii="Book Antiqua" w:eastAsia="宋体" w:hAnsi="Book Antiqua" w:cs="宋体"/>
          <w:lang w:val="en-US" w:eastAsia="zh-CN"/>
        </w:rPr>
        <w:t>: e3054 [PMID: 22611164 DOI: 10.1136/bmj.e3054]</w:t>
      </w:r>
    </w:p>
    <w:p w14:paraId="39B997F8" w14:textId="43C1E782"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141 </w:t>
      </w:r>
      <w:r w:rsidRPr="002E3D4C">
        <w:rPr>
          <w:rFonts w:ascii="Book Antiqua" w:eastAsia="宋体" w:hAnsi="Book Antiqua" w:cs="宋体"/>
          <w:b/>
          <w:bCs/>
          <w:lang w:val="en-US" w:eastAsia="zh-CN"/>
        </w:rPr>
        <w:t>Kozek-Langenecker SA</w:t>
      </w:r>
      <w:r w:rsidRPr="002E3D4C">
        <w:rPr>
          <w:rFonts w:ascii="Book Antiqua" w:eastAsia="宋体" w:hAnsi="Book Antiqua" w:cs="宋体"/>
          <w:lang w:val="en-US" w:eastAsia="zh-CN"/>
        </w:rPr>
        <w:t xml:space="preserve">, Afshari A, Albaladejo P, Santullano CA, De Robertis E, Filipescu DC, Fries D, Görlinger K, Haas T, Imberger G, Jacob M, Lancé M, Llau J, Mallett S, Meier J, Rahe-Meyer N, Samama CM, Smith A, Solomon C, Van der Linden P, Wikkelsø AJ, Wouters P, Wyffels P. Management of severe perioperative bleeding: guidelines from the European Society of Anaesthesiology. </w:t>
      </w:r>
      <w:r w:rsidRPr="002E3D4C">
        <w:rPr>
          <w:rFonts w:ascii="Book Antiqua" w:eastAsia="宋体" w:hAnsi="Book Antiqua" w:cs="宋体"/>
          <w:i/>
          <w:iCs/>
          <w:lang w:val="en-US" w:eastAsia="zh-CN"/>
        </w:rPr>
        <w:t>Eur J Anaesthesiol</w:t>
      </w:r>
      <w:r w:rsidRPr="002E3D4C">
        <w:rPr>
          <w:rFonts w:ascii="Book Antiqua" w:eastAsia="宋体" w:hAnsi="Book Antiqua" w:cs="宋体"/>
          <w:lang w:val="en-US" w:eastAsia="zh-CN"/>
        </w:rPr>
        <w:t xml:space="preserve"> 2013; </w:t>
      </w:r>
      <w:r w:rsidRPr="002E3D4C">
        <w:rPr>
          <w:rFonts w:ascii="Book Antiqua" w:eastAsia="宋体" w:hAnsi="Book Antiqua" w:cs="宋体"/>
          <w:b/>
          <w:bCs/>
          <w:lang w:val="en-US" w:eastAsia="zh-CN"/>
        </w:rPr>
        <w:t>30</w:t>
      </w:r>
      <w:r w:rsidRPr="002E3D4C">
        <w:rPr>
          <w:rFonts w:ascii="Book Antiqua" w:eastAsia="宋体" w:hAnsi="Book Antiqua" w:cs="宋体"/>
          <w:lang w:val="en-US" w:eastAsia="zh-CN"/>
        </w:rPr>
        <w:t>: 270-382 [PMID: 23656742 DOI: 10.1097/EJA.0b013e32835f4d5b]</w:t>
      </w:r>
    </w:p>
    <w:p w14:paraId="2007CD7A" w14:textId="4A4DBF36"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142 </w:t>
      </w:r>
      <w:r w:rsidRPr="002E3D4C">
        <w:rPr>
          <w:rFonts w:ascii="Book Antiqua" w:eastAsia="宋体" w:hAnsi="Book Antiqua" w:cs="宋体"/>
          <w:b/>
          <w:bCs/>
          <w:lang w:val="en-US" w:eastAsia="zh-CN"/>
        </w:rPr>
        <w:t>Carless PA</w:t>
      </w:r>
      <w:r w:rsidRPr="002E3D4C">
        <w:rPr>
          <w:rFonts w:ascii="Book Antiqua" w:eastAsia="宋体" w:hAnsi="Book Antiqua" w:cs="宋体"/>
          <w:lang w:val="en-US" w:eastAsia="zh-CN"/>
        </w:rPr>
        <w:t xml:space="preserve">, Henry DA, Moxey AJ, O'Connell D, Brown T, Fergusson DA. Cell salvage for minimising perioperative allogeneic blood transfusion. </w:t>
      </w:r>
      <w:r w:rsidRPr="002E3D4C">
        <w:rPr>
          <w:rFonts w:ascii="Book Antiqua" w:eastAsia="宋体" w:hAnsi="Book Antiqua" w:cs="宋体"/>
          <w:i/>
          <w:iCs/>
          <w:lang w:val="en-US" w:eastAsia="zh-CN"/>
        </w:rPr>
        <w:t>Cochrane Database Syst Rev</w:t>
      </w:r>
      <w:r w:rsidR="00840C64">
        <w:rPr>
          <w:rFonts w:ascii="Book Antiqua" w:eastAsia="宋体" w:hAnsi="Book Antiqua" w:cs="宋体"/>
          <w:lang w:val="en-US" w:eastAsia="zh-CN"/>
        </w:rPr>
        <w:t xml:space="preserve"> 2010</w:t>
      </w:r>
      <w:r w:rsidRPr="002E3D4C">
        <w:rPr>
          <w:rFonts w:ascii="Book Antiqua" w:eastAsia="宋体" w:hAnsi="Book Antiqua" w:cs="宋体"/>
          <w:lang w:val="en-US" w:eastAsia="zh-CN"/>
        </w:rPr>
        <w:t>: CD001888 [PMID: 20393932 DOI: 10.1002/14651858.CD001888.pub4]</w:t>
      </w:r>
    </w:p>
    <w:p w14:paraId="666286A1" w14:textId="23AD6325"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lastRenderedPageBreak/>
        <w:t xml:space="preserve">143 </w:t>
      </w:r>
      <w:r w:rsidRPr="002E3D4C">
        <w:rPr>
          <w:rFonts w:ascii="Book Antiqua" w:eastAsia="宋体" w:hAnsi="Book Antiqua" w:cs="宋体"/>
          <w:b/>
          <w:bCs/>
          <w:lang w:val="en-US" w:eastAsia="zh-CN"/>
        </w:rPr>
        <w:t>Hendriks HG</w:t>
      </w:r>
      <w:r w:rsidRPr="002E3D4C">
        <w:rPr>
          <w:rFonts w:ascii="Book Antiqua" w:eastAsia="宋体" w:hAnsi="Book Antiqua" w:cs="宋体"/>
          <w:lang w:val="en-US" w:eastAsia="zh-CN"/>
        </w:rPr>
        <w:t xml:space="preserve">, van der Meer J, Klompmaker IJ, Choudhury N, Hagenaars JA, Porte RJ, de Kam PJ, Slooff MJ, de Wolf JT. Blood loss in orthotopic liver transplantation: a retrospective analysis of transfusion requirements and the effects of autotransfusion of cell saver blood in 164 consecutive patients. </w:t>
      </w:r>
      <w:r w:rsidRPr="002E3D4C">
        <w:rPr>
          <w:rFonts w:ascii="Book Antiqua" w:eastAsia="宋体" w:hAnsi="Book Antiqua" w:cs="宋体"/>
          <w:i/>
          <w:iCs/>
          <w:lang w:val="en-US" w:eastAsia="zh-CN"/>
        </w:rPr>
        <w:t>Blood Coagul Fibrinolysis</w:t>
      </w:r>
      <w:r w:rsidRPr="002E3D4C">
        <w:rPr>
          <w:rFonts w:ascii="Book Antiqua" w:eastAsia="宋体" w:hAnsi="Book Antiqua" w:cs="宋体"/>
          <w:lang w:val="en-US" w:eastAsia="zh-CN"/>
        </w:rPr>
        <w:t xml:space="preserve"> 2000; </w:t>
      </w:r>
      <w:r w:rsidRPr="002E3D4C">
        <w:rPr>
          <w:rFonts w:ascii="Book Antiqua" w:eastAsia="宋体" w:hAnsi="Book Antiqua" w:cs="宋体"/>
          <w:b/>
          <w:bCs/>
          <w:lang w:val="en-US" w:eastAsia="zh-CN"/>
        </w:rPr>
        <w:t xml:space="preserve">11 </w:t>
      </w:r>
      <w:r w:rsidRPr="00840C64">
        <w:rPr>
          <w:rFonts w:ascii="Book Antiqua" w:eastAsia="宋体" w:hAnsi="Book Antiqua" w:cs="宋体"/>
          <w:bCs/>
          <w:lang w:val="en-US" w:eastAsia="zh-CN"/>
        </w:rPr>
        <w:t>Suppl 1</w:t>
      </w:r>
      <w:r w:rsidRPr="00840C64">
        <w:rPr>
          <w:rFonts w:ascii="Book Antiqua" w:eastAsia="宋体" w:hAnsi="Book Antiqua" w:cs="宋体"/>
          <w:lang w:val="en-US" w:eastAsia="zh-CN"/>
        </w:rPr>
        <w:t xml:space="preserve">: </w:t>
      </w:r>
      <w:r w:rsidRPr="002E3D4C">
        <w:rPr>
          <w:rFonts w:ascii="Book Antiqua" w:eastAsia="宋体" w:hAnsi="Book Antiqua" w:cs="宋体"/>
          <w:lang w:val="en-US" w:eastAsia="zh-CN"/>
        </w:rPr>
        <w:t>S87-S93 [PMID: 10850571 DOI: 10.1097/00001721-200004001-00017]</w:t>
      </w:r>
    </w:p>
    <w:p w14:paraId="6CD3A900" w14:textId="4DC144D4"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144 </w:t>
      </w:r>
      <w:r w:rsidRPr="002E3D4C">
        <w:rPr>
          <w:rFonts w:ascii="Book Antiqua" w:eastAsia="宋体" w:hAnsi="Book Antiqua" w:cs="宋体"/>
          <w:b/>
          <w:bCs/>
          <w:lang w:val="en-US" w:eastAsia="zh-CN"/>
        </w:rPr>
        <w:t>Kemper RR</w:t>
      </w:r>
      <w:r w:rsidRPr="002E3D4C">
        <w:rPr>
          <w:rFonts w:ascii="Book Antiqua" w:eastAsia="宋体" w:hAnsi="Book Antiqua" w:cs="宋体"/>
          <w:lang w:val="en-US" w:eastAsia="zh-CN"/>
        </w:rPr>
        <w:t xml:space="preserve">, Menitove JE, Hanto DW. Cost analysis of intraoperative blood salvage during orthotopic liver transplantation. </w:t>
      </w:r>
      <w:r w:rsidRPr="002E3D4C">
        <w:rPr>
          <w:rFonts w:ascii="Book Antiqua" w:eastAsia="宋体" w:hAnsi="Book Antiqua" w:cs="宋体"/>
          <w:i/>
          <w:iCs/>
          <w:lang w:val="en-US" w:eastAsia="zh-CN"/>
        </w:rPr>
        <w:t>Liver Transpl Surg</w:t>
      </w:r>
      <w:r w:rsidRPr="002E3D4C">
        <w:rPr>
          <w:rFonts w:ascii="Book Antiqua" w:eastAsia="宋体" w:hAnsi="Book Antiqua" w:cs="宋体"/>
          <w:lang w:val="en-US" w:eastAsia="zh-CN"/>
        </w:rPr>
        <w:t xml:space="preserve"> 1997; </w:t>
      </w:r>
      <w:r w:rsidRPr="002E3D4C">
        <w:rPr>
          <w:rFonts w:ascii="Book Antiqua" w:eastAsia="宋体" w:hAnsi="Book Antiqua" w:cs="宋体"/>
          <w:b/>
          <w:bCs/>
          <w:lang w:val="en-US" w:eastAsia="zh-CN"/>
        </w:rPr>
        <w:t>3</w:t>
      </w:r>
      <w:r w:rsidRPr="002E3D4C">
        <w:rPr>
          <w:rFonts w:ascii="Book Antiqua" w:eastAsia="宋体" w:hAnsi="Book Antiqua" w:cs="宋体"/>
          <w:lang w:val="en-US" w:eastAsia="zh-CN"/>
        </w:rPr>
        <w:t>: 513-517 [PMID: 9346794 DOI: 10.1002/lt.500030506]</w:t>
      </w:r>
    </w:p>
    <w:p w14:paraId="0F074F07" w14:textId="0A7A505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145 </w:t>
      </w:r>
      <w:r w:rsidRPr="002E3D4C">
        <w:rPr>
          <w:rFonts w:ascii="Book Antiqua" w:eastAsia="宋体" w:hAnsi="Book Antiqua" w:cs="宋体"/>
          <w:b/>
          <w:bCs/>
          <w:lang w:val="en-US" w:eastAsia="zh-CN"/>
        </w:rPr>
        <w:t>Massicotte L</w:t>
      </w:r>
      <w:r w:rsidRPr="002E3D4C">
        <w:rPr>
          <w:rFonts w:ascii="Book Antiqua" w:eastAsia="宋体" w:hAnsi="Book Antiqua" w:cs="宋体"/>
          <w:lang w:val="en-US" w:eastAsia="zh-CN"/>
        </w:rPr>
        <w:t xml:space="preserve">, Thibeault L, Beaulieu D, Roy JD, Roy A. Evaluation of cell salvage autotransfusion utility during liver transplantation. </w:t>
      </w:r>
      <w:r w:rsidRPr="002E3D4C">
        <w:rPr>
          <w:rFonts w:ascii="Book Antiqua" w:eastAsia="宋体" w:hAnsi="Book Antiqua" w:cs="宋体"/>
          <w:i/>
          <w:iCs/>
          <w:lang w:val="en-US" w:eastAsia="zh-CN"/>
        </w:rPr>
        <w:t>HPB</w:t>
      </w:r>
      <w:r w:rsidRPr="00840C64">
        <w:rPr>
          <w:rFonts w:ascii="Book Antiqua" w:eastAsia="宋体" w:hAnsi="Book Antiqua" w:cs="宋体"/>
          <w:iCs/>
          <w:lang w:val="en-US" w:eastAsia="zh-CN"/>
        </w:rPr>
        <w:t xml:space="preserve"> (Oxford)</w:t>
      </w:r>
      <w:r w:rsidRPr="00840C64">
        <w:rPr>
          <w:rFonts w:ascii="Book Antiqua" w:eastAsia="宋体" w:hAnsi="Book Antiqua" w:cs="宋体"/>
          <w:lang w:val="en-US" w:eastAsia="zh-CN"/>
        </w:rPr>
        <w:t xml:space="preserve"> </w:t>
      </w:r>
      <w:r w:rsidRPr="002E3D4C">
        <w:rPr>
          <w:rFonts w:ascii="Book Antiqua" w:eastAsia="宋体" w:hAnsi="Book Antiqua" w:cs="宋体"/>
          <w:lang w:val="en-US" w:eastAsia="zh-CN"/>
        </w:rPr>
        <w:t xml:space="preserve">2007; </w:t>
      </w:r>
      <w:r w:rsidRPr="002E3D4C">
        <w:rPr>
          <w:rFonts w:ascii="Book Antiqua" w:eastAsia="宋体" w:hAnsi="Book Antiqua" w:cs="宋体"/>
          <w:b/>
          <w:bCs/>
          <w:lang w:val="en-US" w:eastAsia="zh-CN"/>
        </w:rPr>
        <w:t>9</w:t>
      </w:r>
      <w:r w:rsidRPr="002E3D4C">
        <w:rPr>
          <w:rFonts w:ascii="Book Antiqua" w:eastAsia="宋体" w:hAnsi="Book Antiqua" w:cs="宋体"/>
          <w:lang w:val="en-US" w:eastAsia="zh-CN"/>
        </w:rPr>
        <w:t>: 52-57 [PMID: 18333113 DOI: 10.1080/13651820601090596]</w:t>
      </w:r>
    </w:p>
    <w:p w14:paraId="266F73EB" w14:textId="1167B1A1"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146 </w:t>
      </w:r>
      <w:r w:rsidRPr="002E3D4C">
        <w:rPr>
          <w:rFonts w:ascii="Book Antiqua" w:eastAsia="宋体" w:hAnsi="Book Antiqua" w:cs="宋体"/>
          <w:b/>
          <w:bCs/>
          <w:lang w:val="en-US" w:eastAsia="zh-CN"/>
        </w:rPr>
        <w:t>K</w:t>
      </w:r>
      <w:r w:rsidRPr="002E3D4C">
        <w:rPr>
          <w:rFonts w:ascii="Book Antiqua" w:eastAsia="MS Mincho" w:hAnsi="Book Antiqua" w:cs="MS Mincho"/>
          <w:b/>
          <w:bCs/>
          <w:lang w:val="en-US" w:eastAsia="zh-CN"/>
        </w:rPr>
        <w:t>ı</w:t>
      </w:r>
      <w:r w:rsidRPr="002E3D4C">
        <w:rPr>
          <w:rFonts w:ascii="Book Antiqua" w:eastAsia="宋体" w:hAnsi="Book Antiqua" w:cs="宋体"/>
          <w:b/>
          <w:bCs/>
          <w:lang w:val="en-US" w:eastAsia="zh-CN"/>
        </w:rPr>
        <w:t>rnap M</w:t>
      </w:r>
      <w:r w:rsidRPr="002E3D4C">
        <w:rPr>
          <w:rFonts w:ascii="Book Antiqua" w:eastAsia="宋体" w:hAnsi="Book Antiqua" w:cs="宋体"/>
          <w:lang w:val="en-US" w:eastAsia="zh-CN"/>
        </w:rPr>
        <w:t>, Tezcaner T, Ayvazo</w:t>
      </w:r>
      <w:r w:rsidRPr="002E3D4C">
        <w:rPr>
          <w:rFonts w:ascii="Book Antiqua" w:eastAsia="MS Mincho" w:hAnsi="Book Antiqua" w:cs="MS Mincho"/>
          <w:lang w:val="en-US" w:eastAsia="zh-CN"/>
        </w:rPr>
        <w:t>ğ</w:t>
      </w:r>
      <w:r w:rsidRPr="002E3D4C">
        <w:rPr>
          <w:rFonts w:ascii="Book Antiqua" w:eastAsia="宋体" w:hAnsi="Book Antiqua" w:cs="宋体"/>
          <w:lang w:val="en-US" w:eastAsia="zh-CN"/>
        </w:rPr>
        <w:t>lu Soy HE, Akdur A, Y</w:t>
      </w:r>
      <w:r w:rsidRPr="002E3D4C">
        <w:rPr>
          <w:rFonts w:ascii="Book Antiqua" w:eastAsia="MS Mincho" w:hAnsi="Book Antiqua" w:cs="MS Mincho"/>
          <w:lang w:val="en-US" w:eastAsia="zh-CN"/>
        </w:rPr>
        <w:t>ı</w:t>
      </w:r>
      <w:r w:rsidRPr="002E3D4C">
        <w:rPr>
          <w:rFonts w:ascii="Book Antiqua" w:eastAsia="宋体" w:hAnsi="Book Antiqua" w:cs="宋体"/>
          <w:lang w:val="en-US" w:eastAsia="zh-CN"/>
        </w:rPr>
        <w:t>ld</w:t>
      </w:r>
      <w:r w:rsidRPr="002E3D4C">
        <w:rPr>
          <w:rFonts w:ascii="Book Antiqua" w:eastAsia="MS Mincho" w:hAnsi="Book Antiqua" w:cs="MS Mincho"/>
          <w:lang w:val="en-US" w:eastAsia="zh-CN"/>
        </w:rPr>
        <w:t>ı</w:t>
      </w:r>
      <w:r w:rsidRPr="002E3D4C">
        <w:rPr>
          <w:rFonts w:ascii="Book Antiqua" w:eastAsia="宋体" w:hAnsi="Book Antiqua" w:cs="宋体"/>
          <w:lang w:val="en-US" w:eastAsia="zh-CN"/>
        </w:rPr>
        <w:t>r</w:t>
      </w:r>
      <w:r w:rsidRPr="002E3D4C">
        <w:rPr>
          <w:rFonts w:ascii="Book Antiqua" w:eastAsia="MS Mincho" w:hAnsi="Book Antiqua" w:cs="MS Mincho"/>
          <w:lang w:val="en-US" w:eastAsia="zh-CN"/>
        </w:rPr>
        <w:t>ı</w:t>
      </w:r>
      <w:r w:rsidRPr="002E3D4C">
        <w:rPr>
          <w:rFonts w:ascii="Book Antiqua" w:eastAsia="宋体" w:hAnsi="Book Antiqua" w:cs="宋体"/>
          <w:lang w:val="en-US" w:eastAsia="zh-CN"/>
        </w:rPr>
        <w:t xml:space="preserve">m S, Torgay A, Moray G, Haberal M. Efficacy of cell saver use in living-donor liver transplant. </w:t>
      </w:r>
      <w:r w:rsidRPr="002E3D4C">
        <w:rPr>
          <w:rFonts w:ascii="Book Antiqua" w:eastAsia="宋体" w:hAnsi="Book Antiqua" w:cs="宋体"/>
          <w:i/>
          <w:iCs/>
          <w:lang w:val="en-US" w:eastAsia="zh-CN"/>
        </w:rPr>
        <w:t>Exp Clin Transplant</w:t>
      </w:r>
      <w:r w:rsidRPr="002E3D4C">
        <w:rPr>
          <w:rFonts w:ascii="Book Antiqua" w:eastAsia="宋体" w:hAnsi="Book Antiqua" w:cs="宋体"/>
          <w:lang w:val="en-US" w:eastAsia="zh-CN"/>
        </w:rPr>
        <w:t xml:space="preserve"> 2015; </w:t>
      </w:r>
      <w:r w:rsidRPr="002E3D4C">
        <w:rPr>
          <w:rFonts w:ascii="Book Antiqua" w:eastAsia="宋体" w:hAnsi="Book Antiqua" w:cs="宋体"/>
          <w:b/>
          <w:bCs/>
          <w:lang w:val="en-US" w:eastAsia="zh-CN"/>
        </w:rPr>
        <w:t xml:space="preserve">13 </w:t>
      </w:r>
      <w:r w:rsidRPr="00840C64">
        <w:rPr>
          <w:rFonts w:ascii="Book Antiqua" w:eastAsia="宋体" w:hAnsi="Book Antiqua" w:cs="宋体"/>
          <w:bCs/>
          <w:lang w:val="en-US" w:eastAsia="zh-CN"/>
        </w:rPr>
        <w:t>Suppl 1</w:t>
      </w:r>
      <w:r w:rsidRPr="00840C64">
        <w:rPr>
          <w:rFonts w:ascii="Book Antiqua" w:eastAsia="宋体" w:hAnsi="Book Antiqua" w:cs="宋体"/>
          <w:lang w:val="en-US" w:eastAsia="zh-CN"/>
        </w:rPr>
        <w:t>:</w:t>
      </w:r>
      <w:r w:rsidRPr="002E3D4C">
        <w:rPr>
          <w:rFonts w:ascii="Book Antiqua" w:eastAsia="宋体" w:hAnsi="Book Antiqua" w:cs="宋体"/>
          <w:lang w:val="en-US" w:eastAsia="zh-CN"/>
        </w:rPr>
        <w:t xml:space="preserve"> 315-317 [PMID: 25894181 DOI: 10.6002/ect.mesot2014.p153]</w:t>
      </w:r>
    </w:p>
    <w:p w14:paraId="1CBED6F0" w14:textId="7DF596FB"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147 </w:t>
      </w:r>
      <w:r w:rsidRPr="002E3D4C">
        <w:rPr>
          <w:rFonts w:ascii="Book Antiqua" w:eastAsia="宋体" w:hAnsi="Book Antiqua" w:cs="宋体"/>
          <w:b/>
          <w:bCs/>
          <w:lang w:val="en-US" w:eastAsia="zh-CN"/>
        </w:rPr>
        <w:t>Phillips SD</w:t>
      </w:r>
      <w:r w:rsidRPr="002E3D4C">
        <w:rPr>
          <w:rFonts w:ascii="Book Antiqua" w:eastAsia="宋体" w:hAnsi="Book Antiqua" w:cs="宋体"/>
          <w:lang w:val="en-US" w:eastAsia="zh-CN"/>
        </w:rPr>
        <w:t xml:space="preserve">, Maguire D, Deshpande R, Muiesan P, Bowles MJ, Rela M, Heaton ND. A prospective study investigating the cost effectiveness of intraoperative blood salvage during liver transplantation.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2006; </w:t>
      </w:r>
      <w:r w:rsidRPr="002E3D4C">
        <w:rPr>
          <w:rFonts w:ascii="Book Antiqua" w:eastAsia="宋体" w:hAnsi="Book Antiqua" w:cs="宋体"/>
          <w:b/>
          <w:bCs/>
          <w:lang w:val="en-US" w:eastAsia="zh-CN"/>
        </w:rPr>
        <w:t>81</w:t>
      </w:r>
      <w:r w:rsidRPr="002E3D4C">
        <w:rPr>
          <w:rFonts w:ascii="Book Antiqua" w:eastAsia="宋体" w:hAnsi="Book Antiqua" w:cs="宋体"/>
          <w:lang w:val="en-US" w:eastAsia="zh-CN"/>
        </w:rPr>
        <w:t>: 536-540 [PMID: 16495800 DOI: 10.1097/01.tp.0000199318.17013.c5]</w:t>
      </w:r>
    </w:p>
    <w:p w14:paraId="6048837C" w14:textId="7253BEED"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148 </w:t>
      </w:r>
      <w:r w:rsidRPr="002E3D4C">
        <w:rPr>
          <w:rFonts w:ascii="Book Antiqua" w:eastAsia="宋体" w:hAnsi="Book Antiqua" w:cs="宋体"/>
          <w:b/>
          <w:bCs/>
          <w:lang w:val="en-US" w:eastAsia="zh-CN"/>
        </w:rPr>
        <w:t>Foltys D</w:t>
      </w:r>
      <w:r w:rsidRPr="002E3D4C">
        <w:rPr>
          <w:rFonts w:ascii="Book Antiqua" w:eastAsia="宋体" w:hAnsi="Book Antiqua" w:cs="宋体"/>
          <w:lang w:val="en-US" w:eastAsia="zh-CN"/>
        </w:rPr>
        <w:t xml:space="preserve">, Zimmermann T, Heise M, Kaths M, Lautem A, Wisser G, Weiler N, Hoppe-Lotichius M, Hansen T, Otto G. Liver transplantation for hepatocellular carcinoma--is there a risk of recurrence caused by intraoperative blood salvage autotransfusion? </w:t>
      </w:r>
      <w:r w:rsidRPr="002E3D4C">
        <w:rPr>
          <w:rFonts w:ascii="Book Antiqua" w:eastAsia="宋体" w:hAnsi="Book Antiqua" w:cs="宋体"/>
          <w:i/>
          <w:iCs/>
          <w:lang w:val="en-US" w:eastAsia="zh-CN"/>
        </w:rPr>
        <w:t>Eur Surg Res</w:t>
      </w:r>
      <w:r w:rsidRPr="002E3D4C">
        <w:rPr>
          <w:rFonts w:ascii="Book Antiqua" w:eastAsia="宋体" w:hAnsi="Book Antiqua" w:cs="宋体"/>
          <w:lang w:val="en-US" w:eastAsia="zh-CN"/>
        </w:rPr>
        <w:t xml:space="preserve"> 2011; </w:t>
      </w:r>
      <w:r w:rsidRPr="002E3D4C">
        <w:rPr>
          <w:rFonts w:ascii="Book Antiqua" w:eastAsia="宋体" w:hAnsi="Book Antiqua" w:cs="宋体"/>
          <w:b/>
          <w:bCs/>
          <w:lang w:val="en-US" w:eastAsia="zh-CN"/>
        </w:rPr>
        <w:t>47</w:t>
      </w:r>
      <w:r w:rsidRPr="002E3D4C">
        <w:rPr>
          <w:rFonts w:ascii="Book Antiqua" w:eastAsia="宋体" w:hAnsi="Book Antiqua" w:cs="宋体"/>
          <w:lang w:val="en-US" w:eastAsia="zh-CN"/>
        </w:rPr>
        <w:t>: 182-187 [PMID: 21986299 DOI: 10.1159/000330746]</w:t>
      </w:r>
    </w:p>
    <w:p w14:paraId="58E92521" w14:textId="11D08C40"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149 </w:t>
      </w:r>
      <w:r w:rsidRPr="002E3D4C">
        <w:rPr>
          <w:rFonts w:ascii="Book Antiqua" w:eastAsia="宋体" w:hAnsi="Book Antiqua" w:cs="宋体"/>
          <w:b/>
          <w:bCs/>
          <w:lang w:val="en-US" w:eastAsia="zh-CN"/>
        </w:rPr>
        <w:t>Liang TB</w:t>
      </w:r>
      <w:r w:rsidRPr="002E3D4C">
        <w:rPr>
          <w:rFonts w:ascii="Book Antiqua" w:eastAsia="宋体" w:hAnsi="Book Antiqua" w:cs="宋体"/>
          <w:lang w:val="en-US" w:eastAsia="zh-CN"/>
        </w:rPr>
        <w:t xml:space="preserve">, Li DL, Liang L, Li JJ, Bai XL, Yu W, Wang WL, Shen Y, Zhang M, Zheng SS. Intraoperative blood salvage during liver transplantation in patients with hepatocellular carcinoma: efficiency of leukocyte depletion filters in the removal of tumor cells. </w:t>
      </w:r>
      <w:r w:rsidRPr="002E3D4C">
        <w:rPr>
          <w:rFonts w:ascii="Book Antiqua" w:eastAsia="宋体" w:hAnsi="Book Antiqua" w:cs="宋体"/>
          <w:i/>
          <w:iCs/>
          <w:lang w:val="en-US" w:eastAsia="zh-CN"/>
        </w:rPr>
        <w:t>Transplantation</w:t>
      </w:r>
      <w:r w:rsidRPr="002E3D4C">
        <w:rPr>
          <w:rFonts w:ascii="Book Antiqua" w:eastAsia="宋体" w:hAnsi="Book Antiqua" w:cs="宋体"/>
          <w:lang w:val="en-US" w:eastAsia="zh-CN"/>
        </w:rPr>
        <w:t xml:space="preserve"> 2008; </w:t>
      </w:r>
      <w:r w:rsidRPr="002E3D4C">
        <w:rPr>
          <w:rFonts w:ascii="Book Antiqua" w:eastAsia="宋体" w:hAnsi="Book Antiqua" w:cs="宋体"/>
          <w:b/>
          <w:bCs/>
          <w:lang w:val="en-US" w:eastAsia="zh-CN"/>
        </w:rPr>
        <w:t>85</w:t>
      </w:r>
      <w:r w:rsidRPr="002E3D4C">
        <w:rPr>
          <w:rFonts w:ascii="Book Antiqua" w:eastAsia="宋体" w:hAnsi="Book Antiqua" w:cs="宋体"/>
          <w:lang w:val="en-US" w:eastAsia="zh-CN"/>
        </w:rPr>
        <w:t>: 863-869 [PMID: 18360269 DOI: 10.1097/TP.0b013e3181671f2e]</w:t>
      </w:r>
    </w:p>
    <w:p w14:paraId="03425136" w14:textId="2C489D5C" w:rsidR="002E3D4C" w:rsidRPr="002E3D4C" w:rsidRDefault="002E3D4C" w:rsidP="002E3D4C">
      <w:pPr>
        <w:spacing w:line="360" w:lineRule="auto"/>
        <w:jc w:val="both"/>
        <w:rPr>
          <w:rFonts w:ascii="Book Antiqua" w:eastAsia="宋体" w:hAnsi="Book Antiqua" w:cs="宋体"/>
          <w:lang w:val="en-US" w:eastAsia="zh-CN"/>
        </w:rPr>
      </w:pPr>
      <w:r w:rsidRPr="002E3D4C">
        <w:rPr>
          <w:rFonts w:ascii="Book Antiqua" w:eastAsia="宋体" w:hAnsi="Book Antiqua" w:cs="宋体"/>
          <w:lang w:val="en-US" w:eastAsia="zh-CN"/>
        </w:rPr>
        <w:t xml:space="preserve">150 </w:t>
      </w:r>
      <w:r w:rsidRPr="002E3D4C">
        <w:rPr>
          <w:rFonts w:ascii="Book Antiqua" w:eastAsia="宋体" w:hAnsi="Book Antiqua" w:cs="宋体"/>
          <w:b/>
          <w:bCs/>
          <w:lang w:val="en-US" w:eastAsia="zh-CN"/>
        </w:rPr>
        <w:t>Feltracco P</w:t>
      </w:r>
      <w:r w:rsidRPr="002E3D4C">
        <w:rPr>
          <w:rFonts w:ascii="Book Antiqua" w:eastAsia="宋体" w:hAnsi="Book Antiqua" w:cs="宋体"/>
          <w:lang w:val="en-US" w:eastAsia="zh-CN"/>
        </w:rPr>
        <w:t xml:space="preserve">, Michieletto E, Barbieri S, Serra E, Rizzi S, Salvaterra F, Cillo U, Ori C. Microbiologic contamination of intraoperative blood salvaged during </w:t>
      </w:r>
      <w:r w:rsidRPr="002E3D4C">
        <w:rPr>
          <w:rFonts w:ascii="Book Antiqua" w:eastAsia="宋体" w:hAnsi="Book Antiqua" w:cs="宋体"/>
          <w:lang w:val="en-US" w:eastAsia="zh-CN"/>
        </w:rPr>
        <w:lastRenderedPageBreak/>
        <w:t xml:space="preserve">liver transplantation. </w:t>
      </w:r>
      <w:r w:rsidRPr="002E3D4C">
        <w:rPr>
          <w:rFonts w:ascii="Book Antiqua" w:eastAsia="宋体" w:hAnsi="Book Antiqua" w:cs="宋体"/>
          <w:i/>
          <w:iCs/>
          <w:lang w:val="en-US" w:eastAsia="zh-CN"/>
        </w:rPr>
        <w:t>Transplant Proc</w:t>
      </w:r>
      <w:r w:rsidRPr="002E3D4C">
        <w:rPr>
          <w:rFonts w:ascii="Book Antiqua" w:eastAsia="宋体" w:hAnsi="Book Antiqua" w:cs="宋体"/>
          <w:lang w:val="en-US" w:eastAsia="zh-CN"/>
        </w:rPr>
        <w:t xml:space="preserve"> </w:t>
      </w:r>
      <w:r w:rsidR="00AE70C8">
        <w:rPr>
          <w:rFonts w:ascii="Book Antiqua" w:eastAsia="宋体" w:hAnsi="Book Antiqua" w:cs="宋体" w:hint="eastAsia"/>
          <w:lang w:val="en-US" w:eastAsia="zh-CN"/>
        </w:rPr>
        <w:t>2007</w:t>
      </w:r>
      <w:r w:rsidRPr="002E3D4C">
        <w:rPr>
          <w:rFonts w:ascii="Book Antiqua" w:eastAsia="宋体" w:hAnsi="Book Antiqua" w:cs="宋体"/>
          <w:lang w:val="en-US" w:eastAsia="zh-CN"/>
        </w:rPr>
        <w:t xml:space="preserve">; </w:t>
      </w:r>
      <w:r w:rsidRPr="002E3D4C">
        <w:rPr>
          <w:rFonts w:ascii="Book Antiqua" w:eastAsia="宋体" w:hAnsi="Book Antiqua" w:cs="宋体"/>
          <w:b/>
          <w:bCs/>
          <w:lang w:val="en-US" w:eastAsia="zh-CN"/>
        </w:rPr>
        <w:t>39</w:t>
      </w:r>
      <w:r w:rsidRPr="002E3D4C">
        <w:rPr>
          <w:rFonts w:ascii="Book Antiqua" w:eastAsia="宋体" w:hAnsi="Book Antiqua" w:cs="宋体"/>
          <w:lang w:val="en-US" w:eastAsia="zh-CN"/>
        </w:rPr>
        <w:t>: 1889-1891 [PMID: 17692644 DOI: 10.1016/j.transproceed.2007.05.005]</w:t>
      </w:r>
    </w:p>
    <w:p w14:paraId="2B8510B6" w14:textId="77777777" w:rsidR="00676839" w:rsidRPr="002E3D4C" w:rsidRDefault="00676839" w:rsidP="002E3D4C">
      <w:pPr>
        <w:spacing w:line="360" w:lineRule="auto"/>
        <w:jc w:val="both"/>
        <w:rPr>
          <w:rFonts w:ascii="Book Antiqua" w:eastAsia="宋体" w:hAnsi="Book Antiqua"/>
          <w:lang w:eastAsia="zh-CN"/>
        </w:rPr>
      </w:pPr>
    </w:p>
    <w:p w14:paraId="283244C5" w14:textId="26890E1F" w:rsidR="000115FE" w:rsidRPr="00AE70C8" w:rsidRDefault="00676839" w:rsidP="00AE70C8">
      <w:pPr>
        <w:widowControl w:val="0"/>
        <w:autoSpaceDE w:val="0"/>
        <w:autoSpaceDN w:val="0"/>
        <w:adjustRightInd w:val="0"/>
        <w:spacing w:line="360" w:lineRule="auto"/>
        <w:jc w:val="right"/>
        <w:rPr>
          <w:rFonts w:ascii="Book Antiqua" w:hAnsi="Book Antiqua"/>
          <w:b/>
        </w:rPr>
      </w:pPr>
      <w:r w:rsidRPr="00AE70C8">
        <w:rPr>
          <w:rFonts w:ascii="Book Antiqua" w:hAnsi="Book Antiqua"/>
          <w:b/>
        </w:rPr>
        <w:t xml:space="preserve">P-Reviewer: </w:t>
      </w:r>
      <w:r w:rsidRPr="00AE70C8">
        <w:rPr>
          <w:rFonts w:ascii="Book Antiqua" w:hAnsi="Book Antiqua"/>
          <w:color w:val="000000"/>
        </w:rPr>
        <w:t>Feltracco</w:t>
      </w:r>
      <w:r w:rsidRPr="00AE70C8">
        <w:rPr>
          <w:rFonts w:ascii="Book Antiqua" w:eastAsia="宋体" w:hAnsi="Book Antiqua"/>
          <w:color w:val="000000"/>
          <w:lang w:eastAsia="zh-CN"/>
        </w:rPr>
        <w:t xml:space="preserve"> P, </w:t>
      </w:r>
      <w:r w:rsidRPr="00AE70C8">
        <w:rPr>
          <w:rFonts w:ascii="Book Antiqua" w:hAnsi="Book Antiqua"/>
          <w:color w:val="000000"/>
        </w:rPr>
        <w:t>Lin</w:t>
      </w:r>
      <w:r w:rsidRPr="00AE70C8">
        <w:rPr>
          <w:rFonts w:ascii="Book Antiqua" w:eastAsia="宋体" w:hAnsi="Book Antiqua"/>
          <w:color w:val="000000"/>
          <w:lang w:eastAsia="zh-CN"/>
        </w:rPr>
        <w:t xml:space="preserve"> JA</w:t>
      </w:r>
      <w:r w:rsidRPr="00AE70C8">
        <w:rPr>
          <w:rFonts w:ascii="Book Antiqua" w:eastAsia="宋体" w:hAnsi="Book Antiqua"/>
          <w:b/>
          <w:lang w:eastAsia="zh-CN"/>
        </w:rPr>
        <w:t xml:space="preserve"> </w:t>
      </w:r>
      <w:r w:rsidRPr="00AE70C8">
        <w:rPr>
          <w:rFonts w:ascii="Book Antiqua" w:hAnsi="Book Antiqua"/>
          <w:b/>
        </w:rPr>
        <w:t xml:space="preserve">S-Editor: </w:t>
      </w:r>
      <w:r w:rsidRPr="00AE70C8">
        <w:rPr>
          <w:rFonts w:ascii="Book Antiqua" w:hAnsi="Book Antiqua"/>
        </w:rPr>
        <w:t>Ji FF</w:t>
      </w:r>
      <w:r w:rsidRPr="00AE70C8">
        <w:rPr>
          <w:rFonts w:ascii="Book Antiqua" w:hAnsi="Book Antiqua"/>
          <w:b/>
        </w:rPr>
        <w:t xml:space="preserve"> L-Editor: E-Editor:</w:t>
      </w:r>
    </w:p>
    <w:p w14:paraId="72EF916D" w14:textId="77777777" w:rsidR="000115FE" w:rsidRDefault="000115FE">
      <w:pPr>
        <w:rPr>
          <w:rFonts w:ascii="Book Antiqua" w:hAnsi="Book Antiqua"/>
          <w:b/>
        </w:rPr>
      </w:pPr>
      <w:r>
        <w:rPr>
          <w:rFonts w:ascii="Book Antiqua" w:hAnsi="Book Antiqua"/>
          <w:b/>
        </w:rPr>
        <w:br w:type="page"/>
      </w:r>
    </w:p>
    <w:p w14:paraId="0B050315" w14:textId="77777777" w:rsidR="000115FE" w:rsidRPr="0055452D" w:rsidRDefault="000115FE" w:rsidP="000115FE">
      <w:pPr>
        <w:pStyle w:val="Caption"/>
        <w:keepNext/>
        <w:spacing w:after="0" w:line="360" w:lineRule="auto"/>
        <w:jc w:val="both"/>
        <w:rPr>
          <w:rFonts w:ascii="Book Antiqua" w:hAnsi="Book Antiqua"/>
          <w:color w:val="auto"/>
          <w:sz w:val="24"/>
          <w:szCs w:val="24"/>
        </w:rPr>
      </w:pPr>
      <w:r w:rsidRPr="0055452D">
        <w:rPr>
          <w:rFonts w:ascii="Book Antiqua" w:hAnsi="Book Antiqua"/>
          <w:color w:val="auto"/>
          <w:sz w:val="24"/>
          <w:szCs w:val="24"/>
        </w:rPr>
        <w:lastRenderedPageBreak/>
        <w:t xml:space="preserve">Table </w:t>
      </w:r>
      <w:r w:rsidRPr="0055452D">
        <w:rPr>
          <w:rFonts w:ascii="Book Antiqua" w:hAnsi="Book Antiqua"/>
          <w:color w:val="auto"/>
          <w:sz w:val="24"/>
          <w:szCs w:val="24"/>
        </w:rPr>
        <w:fldChar w:fldCharType="begin"/>
      </w:r>
      <w:r w:rsidRPr="0055452D">
        <w:rPr>
          <w:rFonts w:ascii="Book Antiqua" w:hAnsi="Book Antiqua"/>
          <w:color w:val="auto"/>
          <w:sz w:val="24"/>
          <w:szCs w:val="24"/>
        </w:rPr>
        <w:instrText xml:space="preserve"> SEQ Table \* ARABIC </w:instrText>
      </w:r>
      <w:r w:rsidRPr="0055452D">
        <w:rPr>
          <w:rFonts w:ascii="Book Antiqua" w:hAnsi="Book Antiqua"/>
          <w:color w:val="auto"/>
          <w:sz w:val="24"/>
          <w:szCs w:val="24"/>
        </w:rPr>
        <w:fldChar w:fldCharType="separate"/>
      </w:r>
      <w:r w:rsidRPr="0055452D">
        <w:rPr>
          <w:rFonts w:ascii="Book Antiqua" w:hAnsi="Book Antiqua"/>
          <w:noProof/>
          <w:color w:val="auto"/>
          <w:sz w:val="24"/>
          <w:szCs w:val="24"/>
        </w:rPr>
        <w:t>1</w:t>
      </w:r>
      <w:r w:rsidRPr="0055452D">
        <w:rPr>
          <w:rFonts w:ascii="Book Antiqua" w:hAnsi="Book Antiqua"/>
          <w:noProof/>
          <w:color w:val="auto"/>
          <w:sz w:val="24"/>
          <w:szCs w:val="24"/>
        </w:rPr>
        <w:fldChar w:fldCharType="end"/>
      </w:r>
      <w:r w:rsidRPr="0055452D">
        <w:rPr>
          <w:rFonts w:ascii="Book Antiqua" w:hAnsi="Book Antiqua"/>
          <w:color w:val="auto"/>
          <w:sz w:val="24"/>
          <w:szCs w:val="24"/>
        </w:rPr>
        <w:t xml:space="preserve"> Studies evaluating red blood cell transfusion requirements and prediction variables in adult liver transplantation </w:t>
      </w:r>
    </w:p>
    <w:tbl>
      <w:tblPr>
        <w:tblStyle w:val="TableGrid"/>
        <w:tblW w:w="0" w:type="auto"/>
        <w:tblLook w:val="04A0" w:firstRow="1" w:lastRow="0" w:firstColumn="1" w:lastColumn="0" w:noHBand="0" w:noVBand="1"/>
      </w:tblPr>
      <w:tblGrid>
        <w:gridCol w:w="1145"/>
        <w:gridCol w:w="867"/>
        <w:gridCol w:w="1136"/>
        <w:gridCol w:w="1336"/>
        <w:gridCol w:w="1338"/>
        <w:gridCol w:w="1419"/>
        <w:gridCol w:w="1275"/>
      </w:tblGrid>
      <w:tr w:rsidR="000115FE" w:rsidRPr="0055452D" w14:paraId="39F2BDF1" w14:textId="77777777" w:rsidTr="007A164C">
        <w:tc>
          <w:tcPr>
            <w:tcW w:w="1809" w:type="dxa"/>
          </w:tcPr>
          <w:p w14:paraId="5A53EDA1" w14:textId="77777777" w:rsidR="000115FE" w:rsidRPr="001E6E75" w:rsidRDefault="000115FE" w:rsidP="007A164C">
            <w:pPr>
              <w:spacing w:line="360" w:lineRule="auto"/>
              <w:jc w:val="both"/>
              <w:rPr>
                <w:rFonts w:ascii="Book Antiqua" w:eastAsia="宋体" w:hAnsi="Book Antiqua"/>
                <w:b/>
                <w:sz w:val="21"/>
                <w:szCs w:val="21"/>
                <w:lang w:eastAsia="zh-CN"/>
              </w:rPr>
            </w:pPr>
            <w:r w:rsidRPr="001E6E75">
              <w:rPr>
                <w:rFonts w:ascii="Book Antiqua" w:eastAsia="宋体" w:hAnsi="Book Antiqua"/>
                <w:b/>
                <w:sz w:val="21"/>
                <w:szCs w:val="21"/>
                <w:lang w:eastAsia="zh-CN"/>
              </w:rPr>
              <w:t>Ref.</w:t>
            </w:r>
          </w:p>
        </w:tc>
        <w:tc>
          <w:tcPr>
            <w:tcW w:w="1276" w:type="dxa"/>
          </w:tcPr>
          <w:p w14:paraId="60D031BF"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No</w:t>
            </w:r>
            <w:r w:rsidRPr="001E6E75">
              <w:rPr>
                <w:rFonts w:ascii="Book Antiqua" w:eastAsia="宋体" w:hAnsi="Book Antiqua"/>
                <w:b/>
                <w:sz w:val="21"/>
                <w:szCs w:val="21"/>
                <w:lang w:eastAsia="zh-CN"/>
              </w:rPr>
              <w:t>. of</w:t>
            </w:r>
            <w:r w:rsidRPr="001E6E75">
              <w:rPr>
                <w:rFonts w:ascii="Book Antiqua" w:hAnsi="Book Antiqua"/>
                <w:b/>
                <w:sz w:val="21"/>
                <w:szCs w:val="21"/>
              </w:rPr>
              <w:t xml:space="preserve"> patients</w:t>
            </w:r>
          </w:p>
        </w:tc>
        <w:tc>
          <w:tcPr>
            <w:tcW w:w="1276" w:type="dxa"/>
          </w:tcPr>
          <w:p w14:paraId="2E115AAF"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Population</w:t>
            </w:r>
          </w:p>
        </w:tc>
        <w:tc>
          <w:tcPr>
            <w:tcW w:w="2835" w:type="dxa"/>
          </w:tcPr>
          <w:p w14:paraId="6AD0AD6F"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Data methodology</w:t>
            </w:r>
          </w:p>
        </w:tc>
        <w:tc>
          <w:tcPr>
            <w:tcW w:w="2861" w:type="dxa"/>
          </w:tcPr>
          <w:p w14:paraId="629A6E90"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Outcomes</w:t>
            </w:r>
          </w:p>
        </w:tc>
        <w:tc>
          <w:tcPr>
            <w:tcW w:w="2667" w:type="dxa"/>
          </w:tcPr>
          <w:p w14:paraId="5990723D"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Final model prediction variables</w:t>
            </w:r>
          </w:p>
        </w:tc>
        <w:tc>
          <w:tcPr>
            <w:tcW w:w="1452" w:type="dxa"/>
          </w:tcPr>
          <w:p w14:paraId="157B6588" w14:textId="77777777" w:rsidR="000115FE" w:rsidRPr="001E6E75" w:rsidRDefault="000115FE" w:rsidP="007A164C">
            <w:pPr>
              <w:spacing w:line="360" w:lineRule="auto"/>
              <w:jc w:val="both"/>
              <w:rPr>
                <w:rFonts w:ascii="Book Antiqua" w:hAnsi="Book Antiqua"/>
                <w:b/>
                <w:sz w:val="21"/>
                <w:szCs w:val="21"/>
              </w:rPr>
            </w:pPr>
            <w:r w:rsidRPr="001E6E75">
              <w:rPr>
                <w:rFonts w:ascii="Book Antiqua" w:hAnsi="Book Antiqua"/>
                <w:b/>
                <w:sz w:val="21"/>
                <w:szCs w:val="21"/>
              </w:rPr>
              <w:t>Performance of model</w:t>
            </w:r>
          </w:p>
        </w:tc>
      </w:tr>
      <w:tr w:rsidR="000115FE" w:rsidRPr="0055452D" w14:paraId="5A58BFED" w14:textId="77777777" w:rsidTr="007A164C">
        <w:tc>
          <w:tcPr>
            <w:tcW w:w="1809" w:type="dxa"/>
          </w:tcPr>
          <w:p w14:paraId="306D8E7C" w14:textId="2B6CEFD5" w:rsidR="000115FE" w:rsidRPr="001E6E75" w:rsidRDefault="000115FE" w:rsidP="007A164C">
            <w:pPr>
              <w:spacing w:line="360" w:lineRule="auto"/>
              <w:jc w:val="both"/>
              <w:rPr>
                <w:rFonts w:ascii="Book Antiqua" w:eastAsia="宋体" w:hAnsi="Book Antiqua"/>
                <w:sz w:val="21"/>
                <w:szCs w:val="21"/>
                <w:lang w:eastAsia="zh-CN"/>
              </w:rPr>
            </w:pPr>
            <w:r w:rsidRPr="001E6E75">
              <w:rPr>
                <w:rFonts w:ascii="Book Antiqua" w:hAnsi="Book Antiqua"/>
                <w:sz w:val="21"/>
                <w:szCs w:val="21"/>
              </w:rPr>
              <w:t xml:space="preserve">Motschman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7A164C">
              <w:rPr>
                <w:rFonts w:ascii="Book Antiqua" w:eastAsia="宋体" w:hAnsi="Book Antiqua" w:hint="eastAsia"/>
                <w:sz w:val="21"/>
                <w:szCs w:val="21"/>
                <w:vertAlign w:val="superscript"/>
                <w:lang w:eastAsia="zh-CN"/>
              </w:rPr>
              <w:t>3</w:t>
            </w:r>
            <w:r w:rsidRPr="001E6E75">
              <w:rPr>
                <w:rFonts w:ascii="Book Antiqua" w:eastAsia="宋体" w:hAnsi="Book Antiqua"/>
                <w:sz w:val="21"/>
                <w:szCs w:val="21"/>
                <w:vertAlign w:val="superscript"/>
                <w:lang w:eastAsia="zh-CN"/>
              </w:rPr>
              <w:t>]</w:t>
            </w:r>
          </w:p>
        </w:tc>
        <w:tc>
          <w:tcPr>
            <w:tcW w:w="1276" w:type="dxa"/>
          </w:tcPr>
          <w:p w14:paraId="75FFECE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83</w:t>
            </w:r>
          </w:p>
        </w:tc>
        <w:tc>
          <w:tcPr>
            <w:tcW w:w="1276" w:type="dxa"/>
          </w:tcPr>
          <w:p w14:paraId="7630738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3BCC9D3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Retrospective univariate and multivariate</w:t>
            </w:r>
          </w:p>
        </w:tc>
        <w:tc>
          <w:tcPr>
            <w:tcW w:w="2861" w:type="dxa"/>
          </w:tcPr>
          <w:p w14:paraId="33B92AF7"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transfusion requirement</w:t>
            </w:r>
          </w:p>
        </w:tc>
        <w:tc>
          <w:tcPr>
            <w:tcW w:w="2667" w:type="dxa"/>
          </w:tcPr>
          <w:p w14:paraId="61B21E9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History of previous GI bleed, Previous RUQ surgery</w:t>
            </w:r>
          </w:p>
        </w:tc>
        <w:tc>
          <w:tcPr>
            <w:tcW w:w="1452" w:type="dxa"/>
          </w:tcPr>
          <w:p w14:paraId="094C9765" w14:textId="77777777" w:rsidR="000115FE" w:rsidRPr="001E6E75" w:rsidRDefault="000115FE" w:rsidP="007A164C">
            <w:pPr>
              <w:spacing w:line="360" w:lineRule="auto"/>
              <w:jc w:val="both"/>
              <w:rPr>
                <w:rFonts w:ascii="Book Antiqua" w:hAnsi="Book Antiqua"/>
                <w:sz w:val="21"/>
                <w:szCs w:val="21"/>
              </w:rPr>
            </w:pPr>
          </w:p>
        </w:tc>
      </w:tr>
      <w:tr w:rsidR="000115FE" w:rsidRPr="0055452D" w14:paraId="20280888" w14:textId="77777777" w:rsidTr="007A164C">
        <w:tc>
          <w:tcPr>
            <w:tcW w:w="1809" w:type="dxa"/>
          </w:tcPr>
          <w:p w14:paraId="19C7D6D2" w14:textId="7615A810"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Deakin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7A164C">
              <w:rPr>
                <w:rFonts w:ascii="Book Antiqua" w:eastAsia="宋体" w:hAnsi="Book Antiqua" w:hint="eastAsia"/>
                <w:sz w:val="21"/>
                <w:szCs w:val="21"/>
                <w:vertAlign w:val="superscript"/>
                <w:lang w:eastAsia="zh-CN"/>
              </w:rPr>
              <w:t>4</w:t>
            </w:r>
            <w:r w:rsidRPr="001E6E75">
              <w:rPr>
                <w:rFonts w:ascii="Book Antiqua" w:eastAsia="宋体" w:hAnsi="Book Antiqua"/>
                <w:sz w:val="21"/>
                <w:szCs w:val="21"/>
                <w:vertAlign w:val="superscript"/>
                <w:lang w:eastAsia="zh-CN"/>
              </w:rPr>
              <w:t>]</w:t>
            </w:r>
          </w:p>
        </w:tc>
        <w:tc>
          <w:tcPr>
            <w:tcW w:w="1276" w:type="dxa"/>
          </w:tcPr>
          <w:p w14:paraId="2288E31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300</w:t>
            </w:r>
          </w:p>
        </w:tc>
        <w:tc>
          <w:tcPr>
            <w:tcW w:w="1276" w:type="dxa"/>
          </w:tcPr>
          <w:p w14:paraId="787D016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6EAAFB7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Retrospective univariate and stepwise multivariate</w:t>
            </w:r>
          </w:p>
        </w:tc>
        <w:tc>
          <w:tcPr>
            <w:tcW w:w="2861" w:type="dxa"/>
          </w:tcPr>
          <w:p w14:paraId="307F0A6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7 units RBC</w:t>
            </w:r>
          </w:p>
        </w:tc>
        <w:tc>
          <w:tcPr>
            <w:tcW w:w="2667" w:type="dxa"/>
          </w:tcPr>
          <w:p w14:paraId="14BE23F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Urea levels and platelet count</w:t>
            </w:r>
          </w:p>
        </w:tc>
        <w:tc>
          <w:tcPr>
            <w:tcW w:w="1452" w:type="dxa"/>
          </w:tcPr>
          <w:p w14:paraId="5D75ECA7" w14:textId="77777777" w:rsidR="000115FE" w:rsidRDefault="000115FE" w:rsidP="007A164C">
            <w:pPr>
              <w:spacing w:line="360" w:lineRule="auto"/>
              <w:jc w:val="both"/>
              <w:rPr>
                <w:rFonts w:ascii="Book Antiqua" w:eastAsia="宋体" w:hAnsi="Book Antiqua"/>
                <w:sz w:val="21"/>
                <w:szCs w:val="21"/>
                <w:lang w:eastAsia="zh-CN"/>
              </w:rPr>
            </w:pPr>
            <w:r>
              <w:rPr>
                <w:rFonts w:ascii="Book Antiqua" w:hAnsi="Book Antiqua"/>
                <w:sz w:val="21"/>
                <w:szCs w:val="21"/>
              </w:rPr>
              <w:t>Specificity 62%</w:t>
            </w:r>
          </w:p>
          <w:p w14:paraId="1004B88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Sensitivity 68%</w:t>
            </w:r>
          </w:p>
        </w:tc>
      </w:tr>
      <w:tr w:rsidR="000115FE" w:rsidRPr="0055452D" w14:paraId="2D7EA9F5" w14:textId="77777777" w:rsidTr="007A164C">
        <w:trPr>
          <w:trHeight w:val="413"/>
        </w:trPr>
        <w:tc>
          <w:tcPr>
            <w:tcW w:w="1809" w:type="dxa"/>
          </w:tcPr>
          <w:p w14:paraId="3ADC1C0E" w14:textId="45175E19"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Findlay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7A164C">
              <w:rPr>
                <w:rFonts w:ascii="Book Antiqua" w:eastAsia="宋体" w:hAnsi="Book Antiqua" w:hint="eastAsia"/>
                <w:sz w:val="21"/>
                <w:szCs w:val="21"/>
                <w:vertAlign w:val="superscript"/>
                <w:lang w:eastAsia="zh-CN"/>
              </w:rPr>
              <w:t>5</w:t>
            </w:r>
            <w:r w:rsidRPr="001E6E75">
              <w:rPr>
                <w:rFonts w:ascii="Book Antiqua" w:eastAsia="宋体" w:hAnsi="Book Antiqua"/>
                <w:sz w:val="21"/>
                <w:szCs w:val="21"/>
                <w:vertAlign w:val="superscript"/>
                <w:lang w:eastAsia="zh-CN"/>
              </w:rPr>
              <w:t>]</w:t>
            </w:r>
          </w:p>
        </w:tc>
        <w:tc>
          <w:tcPr>
            <w:tcW w:w="1276" w:type="dxa"/>
          </w:tcPr>
          <w:p w14:paraId="292D05F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583</w:t>
            </w:r>
          </w:p>
        </w:tc>
        <w:tc>
          <w:tcPr>
            <w:tcW w:w="1276" w:type="dxa"/>
          </w:tcPr>
          <w:p w14:paraId="3F4B06D6"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3C52105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Retrospective univariate and multiple linear regression analysis</w:t>
            </w:r>
          </w:p>
        </w:tc>
        <w:tc>
          <w:tcPr>
            <w:tcW w:w="2861" w:type="dxa"/>
          </w:tcPr>
          <w:p w14:paraId="334AAAB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transfusion requirement</w:t>
            </w:r>
          </w:p>
        </w:tc>
        <w:tc>
          <w:tcPr>
            <w:tcW w:w="2667" w:type="dxa"/>
          </w:tcPr>
          <w:p w14:paraId="5283C34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Age, creatinine and bilirubin </w:t>
            </w:r>
          </w:p>
        </w:tc>
        <w:tc>
          <w:tcPr>
            <w:tcW w:w="1452" w:type="dxa"/>
          </w:tcPr>
          <w:p w14:paraId="23E89A9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0.22</w:t>
            </w:r>
          </w:p>
        </w:tc>
      </w:tr>
      <w:tr w:rsidR="000115FE" w:rsidRPr="0055452D" w14:paraId="2071D9B4" w14:textId="77777777" w:rsidTr="007A164C">
        <w:tc>
          <w:tcPr>
            <w:tcW w:w="1809" w:type="dxa"/>
          </w:tcPr>
          <w:p w14:paraId="6F4AEA74" w14:textId="062D7070"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Steib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7A164C">
              <w:rPr>
                <w:rFonts w:ascii="Book Antiqua" w:eastAsia="宋体" w:hAnsi="Book Antiqua" w:hint="eastAsia"/>
                <w:sz w:val="21"/>
                <w:szCs w:val="21"/>
                <w:vertAlign w:val="superscript"/>
                <w:lang w:eastAsia="zh-CN"/>
              </w:rPr>
              <w:t>6</w:t>
            </w:r>
            <w:r w:rsidRPr="001E6E75">
              <w:rPr>
                <w:rFonts w:ascii="Book Antiqua" w:eastAsia="宋体" w:hAnsi="Book Antiqua"/>
                <w:sz w:val="21"/>
                <w:szCs w:val="21"/>
                <w:vertAlign w:val="superscript"/>
                <w:lang w:eastAsia="zh-CN"/>
              </w:rPr>
              <w:t>]</w:t>
            </w:r>
          </w:p>
        </w:tc>
        <w:tc>
          <w:tcPr>
            <w:tcW w:w="1276" w:type="dxa"/>
          </w:tcPr>
          <w:p w14:paraId="281144C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410</w:t>
            </w:r>
          </w:p>
        </w:tc>
        <w:tc>
          <w:tcPr>
            <w:tcW w:w="1276" w:type="dxa"/>
          </w:tcPr>
          <w:p w14:paraId="39892C3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5E72E9B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Retrospective univarite and stepwise multivariate analysis </w:t>
            </w:r>
          </w:p>
        </w:tc>
        <w:tc>
          <w:tcPr>
            <w:tcW w:w="2861" w:type="dxa"/>
          </w:tcPr>
          <w:p w14:paraId="797DDFB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High blood loss ≥ 12 units RBC</w:t>
            </w:r>
          </w:p>
        </w:tc>
        <w:tc>
          <w:tcPr>
            <w:tcW w:w="2667" w:type="dxa"/>
          </w:tcPr>
          <w:p w14:paraId="6CFD149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Preoperative </w:t>
            </w:r>
            <w:r>
              <w:rPr>
                <w:rFonts w:ascii="Book Antiqua" w:hAnsi="Book Antiqua"/>
                <w:sz w:val="21"/>
                <w:szCs w:val="21"/>
              </w:rPr>
              <w:t>Hb,  previous abdominal surgery</w:t>
            </w:r>
            <w:r w:rsidRPr="001E6E75">
              <w:rPr>
                <w:rFonts w:ascii="Book Antiqua" w:hAnsi="Book Antiqua"/>
                <w:sz w:val="21"/>
                <w:szCs w:val="21"/>
              </w:rPr>
              <w:t>, preoperative FDP</w:t>
            </w:r>
          </w:p>
        </w:tc>
        <w:tc>
          <w:tcPr>
            <w:tcW w:w="1452" w:type="dxa"/>
          </w:tcPr>
          <w:p w14:paraId="440C219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Sensitivity 18% Specificity 98%</w:t>
            </w:r>
          </w:p>
        </w:tc>
      </w:tr>
      <w:tr w:rsidR="000115FE" w:rsidRPr="0055452D" w14:paraId="3B39AB35" w14:textId="77777777" w:rsidTr="007A164C">
        <w:tc>
          <w:tcPr>
            <w:tcW w:w="1809" w:type="dxa"/>
          </w:tcPr>
          <w:p w14:paraId="4AB9902D" w14:textId="6E9A660A"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Pirat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3F4D14">
              <w:rPr>
                <w:rFonts w:ascii="Book Antiqua" w:eastAsia="宋体" w:hAnsi="Book Antiqua" w:hint="eastAsia"/>
                <w:sz w:val="21"/>
                <w:szCs w:val="21"/>
                <w:vertAlign w:val="superscript"/>
                <w:lang w:eastAsia="zh-CN"/>
              </w:rPr>
              <w:t>7</w:t>
            </w:r>
            <w:r w:rsidRPr="001E6E75">
              <w:rPr>
                <w:rFonts w:ascii="Book Antiqua" w:eastAsia="宋体" w:hAnsi="Book Antiqua"/>
                <w:sz w:val="21"/>
                <w:szCs w:val="21"/>
                <w:vertAlign w:val="superscript"/>
                <w:lang w:eastAsia="zh-CN"/>
              </w:rPr>
              <w:t>]</w:t>
            </w:r>
          </w:p>
        </w:tc>
        <w:tc>
          <w:tcPr>
            <w:tcW w:w="1276" w:type="dxa"/>
          </w:tcPr>
          <w:p w14:paraId="4BDCFA9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40</w:t>
            </w:r>
          </w:p>
        </w:tc>
        <w:tc>
          <w:tcPr>
            <w:tcW w:w="1276" w:type="dxa"/>
          </w:tcPr>
          <w:p w14:paraId="77876B4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212C0BA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Bivariate and multiple </w:t>
            </w:r>
            <w:r w:rsidRPr="001E6E75">
              <w:rPr>
                <w:rFonts w:ascii="Book Antiqua" w:hAnsi="Book Antiqua"/>
                <w:sz w:val="21"/>
                <w:szCs w:val="21"/>
              </w:rPr>
              <w:lastRenderedPageBreak/>
              <w:t>linear regression</w:t>
            </w:r>
          </w:p>
        </w:tc>
        <w:tc>
          <w:tcPr>
            <w:tcW w:w="2861" w:type="dxa"/>
          </w:tcPr>
          <w:p w14:paraId="31C8567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RBC transfusion requiremen</w:t>
            </w:r>
            <w:r w:rsidRPr="001E6E75">
              <w:rPr>
                <w:rFonts w:ascii="Book Antiqua" w:hAnsi="Book Antiqua"/>
                <w:sz w:val="21"/>
                <w:szCs w:val="21"/>
              </w:rPr>
              <w:lastRenderedPageBreak/>
              <w:t>t</w:t>
            </w:r>
          </w:p>
        </w:tc>
        <w:tc>
          <w:tcPr>
            <w:tcW w:w="2667" w:type="dxa"/>
          </w:tcPr>
          <w:p w14:paraId="6DAB0287"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Preoperative albumin</w:t>
            </w:r>
          </w:p>
        </w:tc>
        <w:tc>
          <w:tcPr>
            <w:tcW w:w="1452" w:type="dxa"/>
          </w:tcPr>
          <w:p w14:paraId="548CDE5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0.48</w:t>
            </w:r>
          </w:p>
        </w:tc>
      </w:tr>
      <w:tr w:rsidR="000115FE" w:rsidRPr="0055452D" w14:paraId="6426F8C2" w14:textId="77777777" w:rsidTr="007A164C">
        <w:tc>
          <w:tcPr>
            <w:tcW w:w="1809" w:type="dxa"/>
          </w:tcPr>
          <w:p w14:paraId="2E69EBAB" w14:textId="04B37DD7"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lastRenderedPageBreak/>
              <w:t xml:space="preserve">Ramos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[4</w:t>
            </w:r>
            <w:r w:rsidR="003F4D14">
              <w:rPr>
                <w:rFonts w:ascii="Book Antiqua" w:eastAsia="宋体" w:hAnsi="Book Antiqua" w:hint="eastAsia"/>
                <w:sz w:val="21"/>
                <w:szCs w:val="21"/>
                <w:vertAlign w:val="superscript"/>
                <w:lang w:eastAsia="zh-CN"/>
              </w:rPr>
              <w:t>4</w:t>
            </w:r>
            <w:r w:rsidRPr="001E6E75">
              <w:rPr>
                <w:rFonts w:ascii="Book Antiqua" w:eastAsia="宋体" w:hAnsi="Book Antiqua"/>
                <w:sz w:val="21"/>
                <w:szCs w:val="21"/>
                <w:vertAlign w:val="superscript"/>
                <w:lang w:eastAsia="zh-CN"/>
              </w:rPr>
              <w:t>]</w:t>
            </w:r>
          </w:p>
        </w:tc>
        <w:tc>
          <w:tcPr>
            <w:tcW w:w="1276" w:type="dxa"/>
          </w:tcPr>
          <w:p w14:paraId="3082C9A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122</w:t>
            </w:r>
          </w:p>
        </w:tc>
        <w:tc>
          <w:tcPr>
            <w:tcW w:w="1276" w:type="dxa"/>
          </w:tcPr>
          <w:p w14:paraId="247FC16C"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542C225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regression </w:t>
            </w:r>
          </w:p>
        </w:tc>
        <w:tc>
          <w:tcPr>
            <w:tcW w:w="2861" w:type="dxa"/>
          </w:tcPr>
          <w:p w14:paraId="3C2DBF0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&gt; 6 units RBC</w:t>
            </w:r>
          </w:p>
        </w:tc>
        <w:tc>
          <w:tcPr>
            <w:tcW w:w="2667" w:type="dxa"/>
          </w:tcPr>
          <w:p w14:paraId="4206CA4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UNOS class and placement of caval shunt </w:t>
            </w:r>
          </w:p>
        </w:tc>
        <w:tc>
          <w:tcPr>
            <w:tcW w:w="1452" w:type="dxa"/>
          </w:tcPr>
          <w:p w14:paraId="198A27D6" w14:textId="77777777" w:rsidR="000115FE" w:rsidRPr="001E6E75" w:rsidRDefault="000115FE" w:rsidP="007A164C">
            <w:pPr>
              <w:spacing w:line="360" w:lineRule="auto"/>
              <w:jc w:val="both"/>
              <w:rPr>
                <w:rFonts w:ascii="Book Antiqua" w:hAnsi="Book Antiqua"/>
                <w:sz w:val="21"/>
                <w:szCs w:val="21"/>
              </w:rPr>
            </w:pPr>
          </w:p>
        </w:tc>
      </w:tr>
      <w:tr w:rsidR="000115FE" w:rsidRPr="0055452D" w14:paraId="6A0D6C98" w14:textId="77777777" w:rsidTr="007A164C">
        <w:tc>
          <w:tcPr>
            <w:tcW w:w="1809" w:type="dxa"/>
          </w:tcPr>
          <w:p w14:paraId="46221746" w14:textId="1D86BE8D"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Massicote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3F4D14">
              <w:rPr>
                <w:rFonts w:ascii="Book Antiqua" w:eastAsia="宋体" w:hAnsi="Book Antiqua" w:hint="eastAsia"/>
                <w:sz w:val="21"/>
                <w:szCs w:val="21"/>
                <w:vertAlign w:val="superscript"/>
                <w:lang w:eastAsia="zh-CN"/>
              </w:rPr>
              <w:t>8</w:t>
            </w:r>
            <w:r w:rsidRPr="001E6E75">
              <w:rPr>
                <w:rFonts w:ascii="Book Antiqua" w:eastAsia="宋体" w:hAnsi="Book Antiqua"/>
                <w:sz w:val="21"/>
                <w:szCs w:val="21"/>
                <w:vertAlign w:val="superscript"/>
                <w:lang w:eastAsia="zh-CN"/>
              </w:rPr>
              <w:t>]</w:t>
            </w:r>
          </w:p>
        </w:tc>
        <w:tc>
          <w:tcPr>
            <w:tcW w:w="1276" w:type="dxa"/>
          </w:tcPr>
          <w:p w14:paraId="24E3A86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206</w:t>
            </w:r>
          </w:p>
        </w:tc>
        <w:tc>
          <w:tcPr>
            <w:tcW w:w="1276" w:type="dxa"/>
          </w:tcPr>
          <w:p w14:paraId="4CBF63C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6564DC7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Retrospective univariate and multivariate logistic regression </w:t>
            </w:r>
          </w:p>
        </w:tc>
        <w:tc>
          <w:tcPr>
            <w:tcW w:w="2861" w:type="dxa"/>
          </w:tcPr>
          <w:p w14:paraId="696B442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&gt;</w:t>
            </w:r>
            <w:r>
              <w:rPr>
                <w:rFonts w:ascii="Book Antiqua" w:eastAsia="宋体" w:hAnsi="Book Antiqua" w:hint="eastAsia"/>
                <w:sz w:val="21"/>
                <w:szCs w:val="21"/>
                <w:lang w:eastAsia="zh-CN"/>
              </w:rPr>
              <w:t xml:space="preserve"> </w:t>
            </w:r>
            <w:r w:rsidRPr="001E6E75">
              <w:rPr>
                <w:rFonts w:ascii="Book Antiqua" w:hAnsi="Book Antiqua"/>
                <w:sz w:val="21"/>
                <w:szCs w:val="21"/>
              </w:rPr>
              <w:t>4 units RBC</w:t>
            </w:r>
          </w:p>
        </w:tc>
        <w:tc>
          <w:tcPr>
            <w:tcW w:w="2667" w:type="dxa"/>
          </w:tcPr>
          <w:p w14:paraId="53238F5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Starting INR, platelet count and duration of surgery </w:t>
            </w:r>
          </w:p>
        </w:tc>
        <w:tc>
          <w:tcPr>
            <w:tcW w:w="1452" w:type="dxa"/>
          </w:tcPr>
          <w:p w14:paraId="163E2B3C" w14:textId="77777777" w:rsidR="000115FE" w:rsidRPr="001E6E75" w:rsidRDefault="000115FE" w:rsidP="007A164C">
            <w:pPr>
              <w:spacing w:line="360" w:lineRule="auto"/>
              <w:jc w:val="both"/>
              <w:rPr>
                <w:rFonts w:ascii="Book Antiqua" w:hAnsi="Book Antiqua"/>
                <w:sz w:val="21"/>
                <w:szCs w:val="21"/>
              </w:rPr>
            </w:pPr>
          </w:p>
        </w:tc>
      </w:tr>
      <w:tr w:rsidR="000115FE" w:rsidRPr="0055452D" w14:paraId="37A6A007" w14:textId="77777777" w:rsidTr="007A164C">
        <w:tc>
          <w:tcPr>
            <w:tcW w:w="1809" w:type="dxa"/>
          </w:tcPr>
          <w:p w14:paraId="200BEE38" w14:textId="6AAF6C05"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Yuasa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003F4D14">
              <w:rPr>
                <w:rFonts w:ascii="Book Antiqua" w:eastAsia="宋体" w:hAnsi="Book Antiqua" w:hint="eastAsia"/>
                <w:sz w:val="21"/>
                <w:szCs w:val="21"/>
                <w:vertAlign w:val="superscript"/>
                <w:lang w:eastAsia="zh-CN"/>
              </w:rPr>
              <w:t>69</w:t>
            </w:r>
            <w:r w:rsidRPr="001E6E75">
              <w:rPr>
                <w:rFonts w:ascii="Book Antiqua" w:eastAsia="宋体" w:hAnsi="Book Antiqua"/>
                <w:sz w:val="21"/>
                <w:szCs w:val="21"/>
                <w:vertAlign w:val="superscript"/>
                <w:lang w:eastAsia="zh-CN"/>
              </w:rPr>
              <w:t>]</w:t>
            </w:r>
          </w:p>
        </w:tc>
        <w:tc>
          <w:tcPr>
            <w:tcW w:w="1276" w:type="dxa"/>
          </w:tcPr>
          <w:p w14:paraId="04BE9C8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635</w:t>
            </w:r>
          </w:p>
        </w:tc>
        <w:tc>
          <w:tcPr>
            <w:tcW w:w="1276" w:type="dxa"/>
          </w:tcPr>
          <w:p w14:paraId="1F86E99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LDLT (adult and pediatric)</w:t>
            </w:r>
          </w:p>
        </w:tc>
        <w:tc>
          <w:tcPr>
            <w:tcW w:w="2835" w:type="dxa"/>
          </w:tcPr>
          <w:p w14:paraId="15BD0354"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w:t>
            </w:r>
          </w:p>
        </w:tc>
        <w:tc>
          <w:tcPr>
            <w:tcW w:w="2861" w:type="dxa"/>
          </w:tcPr>
          <w:p w14:paraId="0F357872" w14:textId="7ABEE406"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Arbitrary high blood loss quartile (344</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272 m</w:t>
            </w:r>
            <w:r w:rsidR="00155D5F" w:rsidRPr="001E6E75">
              <w:rPr>
                <w:rFonts w:ascii="Book Antiqua" w:hAnsi="Book Antiqua"/>
                <w:sz w:val="21"/>
                <w:szCs w:val="21"/>
              </w:rPr>
              <w:t>L</w:t>
            </w:r>
            <w:r w:rsidRPr="001E6E75">
              <w:rPr>
                <w:rFonts w:ascii="Book Antiqua" w:hAnsi="Book Antiqua"/>
                <w:sz w:val="21"/>
                <w:szCs w:val="21"/>
              </w:rPr>
              <w:t>/kg)</w:t>
            </w:r>
          </w:p>
        </w:tc>
        <w:tc>
          <w:tcPr>
            <w:tcW w:w="2667" w:type="dxa"/>
          </w:tcPr>
          <w:p w14:paraId="115A797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Univariate</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Age &lt;</w:t>
            </w:r>
            <w:r>
              <w:rPr>
                <w:rFonts w:ascii="Book Antiqua" w:eastAsia="宋体" w:hAnsi="Book Antiqua" w:hint="eastAsia"/>
                <w:sz w:val="21"/>
                <w:szCs w:val="21"/>
                <w:lang w:eastAsia="zh-CN"/>
              </w:rPr>
              <w:t xml:space="preserve"> </w:t>
            </w:r>
            <w:r>
              <w:rPr>
                <w:rFonts w:ascii="Book Antiqua" w:hAnsi="Book Antiqua"/>
                <w:sz w:val="21"/>
                <w:szCs w:val="21"/>
              </w:rPr>
              <w:t>1 y</w:t>
            </w:r>
            <w:r w:rsidRPr="001E6E75">
              <w:rPr>
                <w:rFonts w:ascii="Book Antiqua" w:hAnsi="Book Antiqua"/>
                <w:sz w:val="21"/>
                <w:szCs w:val="21"/>
              </w:rPr>
              <w:t>r, Hct &lt;</w:t>
            </w:r>
            <w:r>
              <w:rPr>
                <w:rFonts w:ascii="Book Antiqua" w:eastAsia="宋体" w:hAnsi="Book Antiqua" w:hint="eastAsia"/>
                <w:sz w:val="21"/>
                <w:szCs w:val="21"/>
                <w:lang w:eastAsia="zh-CN"/>
              </w:rPr>
              <w:t xml:space="preserve"> </w:t>
            </w:r>
            <w:r w:rsidRPr="001E6E75">
              <w:rPr>
                <w:rFonts w:ascii="Book Antiqua" w:hAnsi="Book Antiqua"/>
                <w:sz w:val="21"/>
                <w:szCs w:val="21"/>
              </w:rPr>
              <w:t>30%, T-Bil</w:t>
            </w:r>
            <w:r>
              <w:rPr>
                <w:rFonts w:ascii="Book Antiqua" w:eastAsia="宋体" w:hAnsi="Book Antiqua" w:hint="eastAsia"/>
                <w:sz w:val="21"/>
                <w:szCs w:val="21"/>
                <w:lang w:eastAsia="zh-CN"/>
              </w:rPr>
              <w:t xml:space="preserve"> </w:t>
            </w:r>
            <w:r w:rsidRPr="001E6E75">
              <w:rPr>
                <w:rFonts w:ascii="Book Antiqua" w:hAnsi="Book Antiqua"/>
                <w:sz w:val="21"/>
                <w:szCs w:val="21"/>
              </w:rPr>
              <w:t>&gt;</w:t>
            </w:r>
            <w:r>
              <w:rPr>
                <w:rFonts w:ascii="Book Antiqua" w:eastAsia="宋体" w:hAnsi="Book Antiqua" w:hint="eastAsia"/>
                <w:sz w:val="21"/>
                <w:szCs w:val="21"/>
                <w:lang w:eastAsia="zh-CN"/>
              </w:rPr>
              <w:t xml:space="preserve"> </w:t>
            </w:r>
            <w:r w:rsidRPr="001E6E75">
              <w:rPr>
                <w:rFonts w:ascii="Book Antiqua" w:hAnsi="Book Antiqua"/>
                <w:sz w:val="21"/>
                <w:szCs w:val="21"/>
              </w:rPr>
              <w:t>20</w:t>
            </w:r>
            <w:r>
              <w:rPr>
                <w:rFonts w:ascii="Book Antiqua" w:eastAsia="宋体" w:hAnsi="Book Antiqua" w:hint="eastAsia"/>
                <w:sz w:val="21"/>
                <w:szCs w:val="21"/>
                <w:lang w:eastAsia="zh-CN"/>
              </w:rPr>
              <w:t xml:space="preserve"> </w:t>
            </w:r>
            <w:r w:rsidRPr="001E6E75">
              <w:rPr>
                <w:rFonts w:ascii="Book Antiqua" w:hAnsi="Book Antiqua"/>
                <w:sz w:val="21"/>
                <w:szCs w:val="21"/>
              </w:rPr>
              <w:t>mg/dL, BUN</w:t>
            </w:r>
            <w:r>
              <w:rPr>
                <w:rFonts w:ascii="Book Antiqua" w:eastAsia="宋体" w:hAnsi="Book Antiqua" w:hint="eastAsia"/>
                <w:sz w:val="21"/>
                <w:szCs w:val="21"/>
                <w:lang w:eastAsia="zh-CN"/>
              </w:rPr>
              <w:t xml:space="preserve"> </w:t>
            </w:r>
            <w:r w:rsidRPr="001E6E75">
              <w:rPr>
                <w:rFonts w:ascii="Book Antiqua" w:hAnsi="Book Antiqua"/>
                <w:sz w:val="21"/>
                <w:szCs w:val="21"/>
              </w:rPr>
              <w:t>&gt;</w:t>
            </w:r>
            <w:r>
              <w:rPr>
                <w:rFonts w:ascii="Book Antiqua" w:eastAsia="宋体" w:hAnsi="Book Antiqua" w:hint="eastAsia"/>
                <w:sz w:val="21"/>
                <w:szCs w:val="21"/>
                <w:lang w:eastAsia="zh-CN"/>
              </w:rPr>
              <w:t xml:space="preserve"> </w:t>
            </w:r>
            <w:r w:rsidRPr="001E6E75">
              <w:rPr>
                <w:rFonts w:ascii="Book Antiqua" w:hAnsi="Book Antiqua"/>
                <w:sz w:val="21"/>
                <w:szCs w:val="21"/>
              </w:rPr>
              <w:t>30</w:t>
            </w:r>
            <w:r>
              <w:rPr>
                <w:rFonts w:ascii="Book Antiqua" w:eastAsia="宋体" w:hAnsi="Book Antiqua" w:hint="eastAsia"/>
                <w:sz w:val="21"/>
                <w:szCs w:val="21"/>
                <w:lang w:eastAsia="zh-CN"/>
              </w:rPr>
              <w:t xml:space="preserve"> </w:t>
            </w:r>
            <w:r w:rsidRPr="001E6E75">
              <w:rPr>
                <w:rFonts w:ascii="Book Antiqua" w:hAnsi="Book Antiqua"/>
                <w:sz w:val="21"/>
                <w:szCs w:val="21"/>
              </w:rPr>
              <w:t>mg/dL. Dx Pre-op atresia, Re transplantation</w:t>
            </w:r>
          </w:p>
        </w:tc>
        <w:tc>
          <w:tcPr>
            <w:tcW w:w="1452" w:type="dxa"/>
          </w:tcPr>
          <w:p w14:paraId="56F2B214" w14:textId="77777777" w:rsidR="000115FE" w:rsidRPr="001E6E75" w:rsidRDefault="000115FE" w:rsidP="007A164C">
            <w:pPr>
              <w:spacing w:line="360" w:lineRule="auto"/>
              <w:jc w:val="both"/>
              <w:rPr>
                <w:rFonts w:ascii="Book Antiqua" w:hAnsi="Book Antiqua"/>
                <w:sz w:val="21"/>
                <w:szCs w:val="21"/>
              </w:rPr>
            </w:pPr>
          </w:p>
        </w:tc>
      </w:tr>
      <w:tr w:rsidR="000115FE" w:rsidRPr="0055452D" w14:paraId="01D77E5F" w14:textId="77777777" w:rsidTr="007A164C">
        <w:tc>
          <w:tcPr>
            <w:tcW w:w="1809" w:type="dxa"/>
          </w:tcPr>
          <w:p w14:paraId="0E560290" w14:textId="515DBC02"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McCluskey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[4</w:t>
            </w:r>
            <w:r w:rsidR="003F4D14">
              <w:rPr>
                <w:rFonts w:ascii="Book Antiqua" w:eastAsia="宋体" w:hAnsi="Book Antiqua" w:hint="eastAsia"/>
                <w:sz w:val="21"/>
                <w:szCs w:val="21"/>
                <w:vertAlign w:val="superscript"/>
                <w:lang w:eastAsia="zh-CN"/>
              </w:rPr>
              <w:t>2</w:t>
            </w:r>
            <w:r w:rsidRPr="001E6E75">
              <w:rPr>
                <w:rFonts w:ascii="Book Antiqua" w:eastAsia="宋体" w:hAnsi="Book Antiqua"/>
                <w:sz w:val="21"/>
                <w:szCs w:val="21"/>
                <w:vertAlign w:val="superscript"/>
                <w:lang w:eastAsia="zh-CN"/>
              </w:rPr>
              <w:t>]</w:t>
            </w:r>
          </w:p>
        </w:tc>
        <w:tc>
          <w:tcPr>
            <w:tcW w:w="1276" w:type="dxa"/>
          </w:tcPr>
          <w:p w14:paraId="14AD15D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460</w:t>
            </w:r>
          </w:p>
        </w:tc>
        <w:tc>
          <w:tcPr>
            <w:tcW w:w="1276" w:type="dxa"/>
          </w:tcPr>
          <w:p w14:paraId="4F2CD16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0569F12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Multivariate regression. Risk index internally validated </w:t>
            </w:r>
          </w:p>
        </w:tc>
        <w:tc>
          <w:tcPr>
            <w:tcW w:w="2861" w:type="dxa"/>
          </w:tcPr>
          <w:p w14:paraId="4C560AE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&gt; 6 units RBC in 24</w:t>
            </w:r>
            <w:r>
              <w:rPr>
                <w:rFonts w:ascii="Book Antiqua" w:eastAsia="宋体" w:hAnsi="Book Antiqua" w:hint="eastAsia"/>
                <w:sz w:val="21"/>
                <w:szCs w:val="21"/>
                <w:lang w:eastAsia="zh-CN"/>
              </w:rPr>
              <w:t xml:space="preserve"> </w:t>
            </w:r>
            <w:r w:rsidRPr="001E6E75">
              <w:rPr>
                <w:rFonts w:ascii="Book Antiqua" w:hAnsi="Book Antiqua"/>
                <w:sz w:val="21"/>
                <w:szCs w:val="21"/>
              </w:rPr>
              <w:t xml:space="preserve">h </w:t>
            </w:r>
          </w:p>
        </w:tc>
        <w:tc>
          <w:tcPr>
            <w:tcW w:w="2667" w:type="dxa"/>
          </w:tcPr>
          <w:p w14:paraId="1BEC8181" w14:textId="66F5510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Age</w:t>
            </w:r>
            <w:r>
              <w:rPr>
                <w:rFonts w:ascii="Book Antiqua" w:eastAsia="宋体" w:hAnsi="Book Antiqua" w:hint="eastAsia"/>
                <w:sz w:val="21"/>
                <w:szCs w:val="21"/>
                <w:lang w:eastAsia="zh-CN"/>
              </w:rPr>
              <w:t xml:space="preserve"> </w:t>
            </w:r>
            <w:r w:rsidRPr="001E6E75">
              <w:rPr>
                <w:rFonts w:ascii="Book Antiqua" w:hAnsi="Book Antiqua"/>
                <w:sz w:val="21"/>
                <w:szCs w:val="21"/>
              </w:rPr>
              <w:t>&gt;</w:t>
            </w:r>
            <w:r>
              <w:rPr>
                <w:rFonts w:ascii="Book Antiqua" w:eastAsia="宋体" w:hAnsi="Book Antiqua" w:hint="eastAsia"/>
                <w:sz w:val="21"/>
                <w:szCs w:val="21"/>
                <w:lang w:eastAsia="zh-CN"/>
              </w:rPr>
              <w:t xml:space="preserve"> </w:t>
            </w:r>
            <w:r w:rsidRPr="001E6E75">
              <w:rPr>
                <w:rFonts w:ascii="Book Antiqua" w:hAnsi="Book Antiqua"/>
                <w:sz w:val="21"/>
                <w:szCs w:val="21"/>
              </w:rPr>
              <w:t>40, Hb &lt;</w:t>
            </w:r>
            <w:r>
              <w:rPr>
                <w:rFonts w:ascii="Book Antiqua" w:eastAsia="宋体" w:hAnsi="Book Antiqua" w:hint="eastAsia"/>
                <w:sz w:val="21"/>
                <w:szCs w:val="21"/>
                <w:lang w:eastAsia="zh-CN"/>
              </w:rPr>
              <w:t xml:space="preserve"> </w:t>
            </w:r>
            <w:r w:rsidRPr="001E6E75">
              <w:rPr>
                <w:rFonts w:ascii="Book Antiqua" w:hAnsi="Book Antiqua"/>
                <w:sz w:val="21"/>
                <w:szCs w:val="21"/>
              </w:rPr>
              <w:t>10</w:t>
            </w:r>
            <w:r>
              <w:rPr>
                <w:rFonts w:ascii="Book Antiqua" w:eastAsia="宋体" w:hAnsi="Book Antiqua" w:hint="eastAsia"/>
                <w:sz w:val="21"/>
                <w:szCs w:val="21"/>
                <w:lang w:eastAsia="zh-CN"/>
              </w:rPr>
              <w:t xml:space="preserve"> </w:t>
            </w:r>
            <w:r w:rsidRPr="001E6E75">
              <w:rPr>
                <w:rFonts w:ascii="Book Antiqua" w:hAnsi="Book Antiqua"/>
                <w:sz w:val="21"/>
                <w:szCs w:val="21"/>
              </w:rPr>
              <w:t>g/dL, NR 1.21-1.99 and &gt;</w:t>
            </w:r>
            <w:r>
              <w:rPr>
                <w:rFonts w:ascii="Book Antiqua" w:eastAsia="宋体" w:hAnsi="Book Antiqua" w:hint="eastAsia"/>
                <w:sz w:val="21"/>
                <w:szCs w:val="21"/>
                <w:lang w:eastAsia="zh-CN"/>
              </w:rPr>
              <w:t xml:space="preserve"> </w:t>
            </w:r>
            <w:r w:rsidRPr="001E6E75">
              <w:rPr>
                <w:rFonts w:ascii="Book Antiqua" w:hAnsi="Book Antiqua"/>
                <w:sz w:val="21"/>
                <w:szCs w:val="21"/>
              </w:rPr>
              <w:t>2, Platelet &lt;</w:t>
            </w:r>
            <w:r>
              <w:rPr>
                <w:rFonts w:ascii="Book Antiqua" w:eastAsia="宋体" w:hAnsi="Book Antiqua" w:hint="eastAsia"/>
                <w:sz w:val="21"/>
                <w:szCs w:val="21"/>
                <w:lang w:eastAsia="zh-CN"/>
              </w:rPr>
              <w:t xml:space="preserve"> </w:t>
            </w:r>
            <w:r w:rsidRPr="001E6E75">
              <w:rPr>
                <w:rFonts w:ascii="Book Antiqua" w:hAnsi="Book Antiqua"/>
                <w:sz w:val="21"/>
                <w:szCs w:val="21"/>
              </w:rPr>
              <w:t>70, Creatinine &gt;</w:t>
            </w:r>
            <w:r>
              <w:rPr>
                <w:rFonts w:ascii="Book Antiqua" w:eastAsia="宋体" w:hAnsi="Book Antiqua" w:hint="eastAsia"/>
                <w:sz w:val="21"/>
                <w:szCs w:val="21"/>
                <w:lang w:eastAsia="zh-CN"/>
              </w:rPr>
              <w:t xml:space="preserve"> </w:t>
            </w:r>
            <w:r w:rsidRPr="001E6E75">
              <w:rPr>
                <w:rFonts w:ascii="Book Antiqua" w:hAnsi="Book Antiqua"/>
                <w:sz w:val="21"/>
                <w:szCs w:val="21"/>
              </w:rPr>
              <w:t>110 mmol/L female and &gt;</w:t>
            </w:r>
            <w:r>
              <w:rPr>
                <w:rFonts w:ascii="Book Antiqua" w:eastAsia="宋体" w:hAnsi="Book Antiqua" w:hint="eastAsia"/>
                <w:sz w:val="21"/>
                <w:szCs w:val="21"/>
                <w:lang w:eastAsia="zh-CN"/>
              </w:rPr>
              <w:t xml:space="preserve"> </w:t>
            </w:r>
            <w:r w:rsidRPr="001E6E75">
              <w:rPr>
                <w:rFonts w:ascii="Book Antiqua" w:hAnsi="Book Antiqua"/>
                <w:sz w:val="21"/>
                <w:szCs w:val="21"/>
              </w:rPr>
              <w:t>120</w:t>
            </w:r>
            <w:r>
              <w:rPr>
                <w:rFonts w:ascii="Book Antiqua" w:eastAsia="宋体" w:hAnsi="Book Antiqua" w:hint="eastAsia"/>
                <w:sz w:val="21"/>
                <w:szCs w:val="21"/>
                <w:lang w:eastAsia="zh-CN"/>
              </w:rPr>
              <w:t xml:space="preserve"> </w:t>
            </w:r>
            <w:r w:rsidRPr="001E6E75">
              <w:rPr>
                <w:rFonts w:ascii="Book Antiqua" w:hAnsi="Book Antiqua"/>
                <w:sz w:val="21"/>
                <w:szCs w:val="21"/>
              </w:rPr>
              <w:t xml:space="preserve">mmol/L males, </w:t>
            </w:r>
            <w:r w:rsidRPr="001E6E75">
              <w:rPr>
                <w:rFonts w:ascii="Book Antiqua" w:hAnsi="Book Antiqua"/>
                <w:sz w:val="21"/>
                <w:szCs w:val="21"/>
              </w:rPr>
              <w:lastRenderedPageBreak/>
              <w:t>albumin &lt;</w:t>
            </w:r>
            <w:r w:rsidR="00155D5F">
              <w:rPr>
                <w:rFonts w:ascii="Book Antiqua" w:eastAsia="宋体" w:hAnsi="Book Antiqua" w:hint="eastAsia"/>
                <w:sz w:val="21"/>
                <w:szCs w:val="21"/>
                <w:lang w:eastAsia="zh-CN"/>
              </w:rPr>
              <w:t xml:space="preserve"> </w:t>
            </w:r>
            <w:r w:rsidRPr="001E6E75">
              <w:rPr>
                <w:rFonts w:ascii="Book Antiqua" w:hAnsi="Book Antiqua"/>
                <w:sz w:val="21"/>
                <w:szCs w:val="21"/>
              </w:rPr>
              <w:t>28</w:t>
            </w:r>
            <w:r w:rsidR="00155D5F">
              <w:rPr>
                <w:rFonts w:ascii="Book Antiqua" w:eastAsia="宋体" w:hAnsi="Book Antiqua" w:hint="eastAsia"/>
                <w:sz w:val="21"/>
                <w:szCs w:val="21"/>
                <w:lang w:eastAsia="zh-CN"/>
              </w:rPr>
              <w:t xml:space="preserve"> </w:t>
            </w:r>
            <w:r w:rsidRPr="001E6E75">
              <w:rPr>
                <w:rFonts w:ascii="Book Antiqua" w:hAnsi="Book Antiqua"/>
                <w:sz w:val="21"/>
                <w:szCs w:val="21"/>
              </w:rPr>
              <w:t>h/</w:t>
            </w:r>
            <w:r w:rsidR="00155D5F" w:rsidRPr="001E6E75">
              <w:rPr>
                <w:rFonts w:ascii="Book Antiqua" w:hAnsi="Book Antiqua"/>
                <w:sz w:val="21"/>
                <w:szCs w:val="21"/>
              </w:rPr>
              <w:t>L</w:t>
            </w:r>
            <w:r w:rsidRPr="001E6E75">
              <w:rPr>
                <w:rFonts w:ascii="Book Antiqua" w:hAnsi="Book Antiqua"/>
                <w:sz w:val="21"/>
                <w:szCs w:val="21"/>
              </w:rPr>
              <w:t xml:space="preserve"> and redo transplant</w:t>
            </w:r>
          </w:p>
        </w:tc>
        <w:tc>
          <w:tcPr>
            <w:tcW w:w="1452" w:type="dxa"/>
          </w:tcPr>
          <w:p w14:paraId="5B30FFF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C statistic model</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0.79</w:t>
            </w:r>
          </w:p>
        </w:tc>
      </w:tr>
      <w:tr w:rsidR="000115FE" w:rsidRPr="0055452D" w14:paraId="0E82E8DB" w14:textId="77777777" w:rsidTr="007A164C">
        <w:tc>
          <w:tcPr>
            <w:tcW w:w="1809" w:type="dxa"/>
          </w:tcPr>
          <w:p w14:paraId="4317B05E" w14:textId="3EE61FD8"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lastRenderedPageBreak/>
              <w:t xml:space="preserve">Mangus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0</w:t>
            </w:r>
            <w:r w:rsidRPr="001E6E75">
              <w:rPr>
                <w:rFonts w:ascii="Book Antiqua" w:eastAsia="宋体" w:hAnsi="Book Antiqua"/>
                <w:sz w:val="21"/>
                <w:szCs w:val="21"/>
                <w:vertAlign w:val="superscript"/>
                <w:lang w:eastAsia="zh-CN"/>
              </w:rPr>
              <w:t>]</w:t>
            </w:r>
          </w:p>
        </w:tc>
        <w:tc>
          <w:tcPr>
            <w:tcW w:w="1276" w:type="dxa"/>
          </w:tcPr>
          <w:p w14:paraId="7ED5E64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526</w:t>
            </w:r>
          </w:p>
        </w:tc>
        <w:tc>
          <w:tcPr>
            <w:tcW w:w="1276" w:type="dxa"/>
          </w:tcPr>
          <w:p w14:paraId="6EF04AB8" w14:textId="77777777" w:rsidR="000115FE" w:rsidRPr="00832E45" w:rsidRDefault="000115FE" w:rsidP="007A164C">
            <w:pPr>
              <w:spacing w:line="360" w:lineRule="auto"/>
              <w:jc w:val="both"/>
              <w:rPr>
                <w:rFonts w:ascii="Book Antiqua" w:eastAsia="宋体" w:hAnsi="Book Antiqua"/>
                <w:sz w:val="21"/>
                <w:szCs w:val="21"/>
                <w:lang w:eastAsia="zh-CN"/>
              </w:rPr>
            </w:pPr>
            <w:r w:rsidRPr="001E6E75">
              <w:rPr>
                <w:rFonts w:ascii="Book Antiqua" w:hAnsi="Book Antiqua"/>
                <w:sz w:val="21"/>
                <w:szCs w:val="21"/>
              </w:rPr>
              <w:t xml:space="preserve">OLT </w:t>
            </w:r>
            <w:r>
              <w:rPr>
                <w:rFonts w:ascii="Book Antiqua" w:eastAsia="宋体" w:hAnsi="Book Antiqua"/>
                <w:sz w:val="21"/>
                <w:szCs w:val="21"/>
                <w:lang w:eastAsia="zh-CN"/>
              </w:rPr>
              <w:t>“</w:t>
            </w:r>
            <w:r w:rsidRPr="001E6E75">
              <w:rPr>
                <w:rFonts w:ascii="Book Antiqua" w:hAnsi="Book Antiqua"/>
                <w:sz w:val="21"/>
                <w:szCs w:val="21"/>
              </w:rPr>
              <w:t>piggy back</w:t>
            </w:r>
            <w:r>
              <w:rPr>
                <w:rFonts w:ascii="Book Antiqua" w:eastAsia="宋体" w:hAnsi="Book Antiqua"/>
                <w:sz w:val="21"/>
                <w:szCs w:val="21"/>
                <w:lang w:eastAsia="zh-CN"/>
              </w:rPr>
              <w:t>”</w:t>
            </w:r>
          </w:p>
        </w:tc>
        <w:tc>
          <w:tcPr>
            <w:tcW w:w="2835" w:type="dxa"/>
          </w:tcPr>
          <w:p w14:paraId="136F6AB6"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Univariate and multivariate regression</w:t>
            </w:r>
          </w:p>
        </w:tc>
        <w:tc>
          <w:tcPr>
            <w:tcW w:w="2861" w:type="dxa"/>
          </w:tcPr>
          <w:p w14:paraId="345D70F4"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transfusion requirements</w:t>
            </w:r>
          </w:p>
        </w:tc>
        <w:tc>
          <w:tcPr>
            <w:tcW w:w="2667" w:type="dxa"/>
          </w:tcPr>
          <w:p w14:paraId="7FC31A4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Pre-op Hb MELD score, Initial CVP</w:t>
            </w:r>
          </w:p>
        </w:tc>
        <w:tc>
          <w:tcPr>
            <w:tcW w:w="1452" w:type="dxa"/>
          </w:tcPr>
          <w:p w14:paraId="7AD312BD" w14:textId="77777777" w:rsidR="000115FE" w:rsidRPr="001E6E75" w:rsidRDefault="000115FE" w:rsidP="007A164C">
            <w:pPr>
              <w:spacing w:line="360" w:lineRule="auto"/>
              <w:jc w:val="both"/>
              <w:rPr>
                <w:rFonts w:ascii="Book Antiqua" w:hAnsi="Book Antiqua"/>
                <w:sz w:val="21"/>
                <w:szCs w:val="21"/>
              </w:rPr>
            </w:pPr>
          </w:p>
        </w:tc>
      </w:tr>
      <w:tr w:rsidR="000115FE" w:rsidRPr="0055452D" w14:paraId="09A67011" w14:textId="77777777" w:rsidTr="007A164C">
        <w:tc>
          <w:tcPr>
            <w:tcW w:w="1809" w:type="dxa"/>
          </w:tcPr>
          <w:p w14:paraId="4F2BC757" w14:textId="1B1C43B7"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Massicote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1</w:t>
            </w:r>
            <w:r w:rsidRPr="001E6E75">
              <w:rPr>
                <w:rFonts w:ascii="Book Antiqua" w:eastAsia="宋体" w:hAnsi="Book Antiqua"/>
                <w:sz w:val="21"/>
                <w:szCs w:val="21"/>
                <w:vertAlign w:val="superscript"/>
                <w:lang w:eastAsia="zh-CN"/>
              </w:rPr>
              <w:t>]</w:t>
            </w:r>
          </w:p>
        </w:tc>
        <w:tc>
          <w:tcPr>
            <w:tcW w:w="1276" w:type="dxa"/>
          </w:tcPr>
          <w:p w14:paraId="5D8B2DC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505</w:t>
            </w:r>
          </w:p>
        </w:tc>
        <w:tc>
          <w:tcPr>
            <w:tcW w:w="1276" w:type="dxa"/>
          </w:tcPr>
          <w:p w14:paraId="3F67BE4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09FA755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Nomogram risk model based on multivariate regression analysis</w:t>
            </w:r>
          </w:p>
        </w:tc>
        <w:tc>
          <w:tcPr>
            <w:tcW w:w="2861" w:type="dxa"/>
          </w:tcPr>
          <w:p w14:paraId="68756200" w14:textId="77777777" w:rsidR="000115FE" w:rsidRPr="001E6E75" w:rsidRDefault="000115FE" w:rsidP="007A164C">
            <w:pPr>
              <w:spacing w:line="360" w:lineRule="auto"/>
              <w:jc w:val="both"/>
              <w:rPr>
                <w:rFonts w:ascii="Book Antiqua" w:hAnsi="Book Antiqua"/>
                <w:sz w:val="21"/>
                <w:szCs w:val="21"/>
              </w:rPr>
            </w:pPr>
          </w:p>
        </w:tc>
        <w:tc>
          <w:tcPr>
            <w:tcW w:w="2667" w:type="dxa"/>
          </w:tcPr>
          <w:p w14:paraId="7A3D857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FFP transfusion.  High starting Hb and phlebotomy protective for blood loss </w:t>
            </w:r>
          </w:p>
        </w:tc>
        <w:tc>
          <w:tcPr>
            <w:tcW w:w="1452" w:type="dxa"/>
          </w:tcPr>
          <w:p w14:paraId="2535526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Bootstrapped AUC prediction model</w:t>
            </w:r>
            <w:r>
              <w:rPr>
                <w:rFonts w:ascii="Book Antiqua" w:eastAsia="宋体" w:hAnsi="Book Antiqua" w:hint="eastAsia"/>
                <w:sz w:val="21"/>
                <w:szCs w:val="21"/>
                <w:lang w:eastAsia="zh-CN"/>
              </w:rPr>
              <w:t xml:space="preserve"> </w:t>
            </w:r>
            <w:r w:rsidRPr="001E6E75">
              <w:rPr>
                <w:rFonts w:ascii="Book Antiqua" w:hAnsi="Book Antiqua"/>
                <w:sz w:val="21"/>
                <w:szCs w:val="21"/>
              </w:rPr>
              <w:t>= 89.8%</w:t>
            </w:r>
          </w:p>
        </w:tc>
      </w:tr>
      <w:tr w:rsidR="000115FE" w:rsidRPr="0055452D" w14:paraId="6540CD76" w14:textId="77777777" w:rsidTr="007A164C">
        <w:tc>
          <w:tcPr>
            <w:tcW w:w="1809" w:type="dxa"/>
          </w:tcPr>
          <w:p w14:paraId="5125F652" w14:textId="14D1FAF7"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Araujo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2</w:t>
            </w:r>
            <w:r w:rsidRPr="001E6E75">
              <w:rPr>
                <w:rFonts w:ascii="Book Antiqua" w:eastAsia="宋体" w:hAnsi="Book Antiqua"/>
                <w:sz w:val="21"/>
                <w:szCs w:val="21"/>
                <w:vertAlign w:val="superscript"/>
                <w:lang w:eastAsia="zh-CN"/>
              </w:rPr>
              <w:t>]</w:t>
            </w:r>
          </w:p>
        </w:tc>
        <w:tc>
          <w:tcPr>
            <w:tcW w:w="1276" w:type="dxa"/>
          </w:tcPr>
          <w:p w14:paraId="38677FD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758</w:t>
            </w:r>
          </w:p>
        </w:tc>
        <w:tc>
          <w:tcPr>
            <w:tcW w:w="1276" w:type="dxa"/>
          </w:tcPr>
          <w:p w14:paraId="759FD24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0F5243E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Retrospective univariate and multivariate regression </w:t>
            </w:r>
          </w:p>
        </w:tc>
        <w:tc>
          <w:tcPr>
            <w:tcW w:w="2861" w:type="dxa"/>
          </w:tcPr>
          <w:p w14:paraId="620406F4"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requirements</w:t>
            </w:r>
          </w:p>
        </w:tc>
        <w:tc>
          <w:tcPr>
            <w:tcW w:w="2667" w:type="dxa"/>
          </w:tcPr>
          <w:p w14:paraId="4F8B9927"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PT, Hb, age, Liver malignancy </w:t>
            </w:r>
          </w:p>
        </w:tc>
        <w:tc>
          <w:tcPr>
            <w:tcW w:w="1452" w:type="dxa"/>
          </w:tcPr>
          <w:p w14:paraId="397F573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w:t>
            </w:r>
            <w:r>
              <w:rPr>
                <w:rFonts w:ascii="Book Antiqua" w:eastAsia="宋体" w:hAnsi="Book Antiqua" w:hint="eastAsia"/>
                <w:sz w:val="21"/>
                <w:szCs w:val="21"/>
                <w:lang w:eastAsia="zh-CN"/>
              </w:rPr>
              <w:t xml:space="preserve"> </w:t>
            </w:r>
            <w:r w:rsidRPr="001E6E75">
              <w:rPr>
                <w:rFonts w:ascii="Book Antiqua" w:hAnsi="Book Antiqua"/>
                <w:sz w:val="21"/>
                <w:szCs w:val="21"/>
              </w:rPr>
              <w:t>=</w:t>
            </w:r>
            <w:r>
              <w:rPr>
                <w:rFonts w:ascii="Book Antiqua" w:eastAsia="宋体" w:hAnsi="Book Antiqua" w:hint="eastAsia"/>
                <w:sz w:val="21"/>
                <w:szCs w:val="21"/>
                <w:lang w:eastAsia="zh-CN"/>
              </w:rPr>
              <w:t xml:space="preserve"> </w:t>
            </w:r>
            <w:r w:rsidRPr="001E6E75">
              <w:rPr>
                <w:rFonts w:ascii="Book Antiqua" w:hAnsi="Book Antiqua"/>
                <w:sz w:val="21"/>
                <w:szCs w:val="21"/>
              </w:rPr>
              <w:t>0.30</w:t>
            </w:r>
          </w:p>
        </w:tc>
      </w:tr>
      <w:tr w:rsidR="000115FE" w:rsidRPr="0055452D" w14:paraId="39ECB7B8" w14:textId="77777777" w:rsidTr="007A164C">
        <w:tc>
          <w:tcPr>
            <w:tcW w:w="1809" w:type="dxa"/>
          </w:tcPr>
          <w:p w14:paraId="02171FD5" w14:textId="45A5DAEC"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Bang  et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3</w:t>
            </w:r>
            <w:r w:rsidRPr="001E6E75">
              <w:rPr>
                <w:rFonts w:ascii="Book Antiqua" w:eastAsia="宋体" w:hAnsi="Book Antiqua"/>
                <w:sz w:val="21"/>
                <w:szCs w:val="21"/>
                <w:vertAlign w:val="superscript"/>
                <w:lang w:eastAsia="zh-CN"/>
              </w:rPr>
              <w:t>]</w:t>
            </w:r>
          </w:p>
        </w:tc>
        <w:tc>
          <w:tcPr>
            <w:tcW w:w="1276" w:type="dxa"/>
          </w:tcPr>
          <w:p w14:paraId="4C2CDA7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555</w:t>
            </w:r>
          </w:p>
        </w:tc>
        <w:tc>
          <w:tcPr>
            <w:tcW w:w="1276" w:type="dxa"/>
          </w:tcPr>
          <w:p w14:paraId="6FC4CD0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LDLT</w:t>
            </w:r>
          </w:p>
        </w:tc>
        <w:tc>
          <w:tcPr>
            <w:tcW w:w="2835" w:type="dxa"/>
          </w:tcPr>
          <w:p w14:paraId="6BFAB4A6"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Multivariate regression</w:t>
            </w:r>
          </w:p>
        </w:tc>
        <w:tc>
          <w:tcPr>
            <w:tcW w:w="2861" w:type="dxa"/>
          </w:tcPr>
          <w:p w14:paraId="0BF1312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Intraoperative blood loss &gt;</w:t>
            </w:r>
            <w:r>
              <w:rPr>
                <w:rFonts w:ascii="Book Antiqua" w:eastAsia="宋体" w:hAnsi="Book Antiqua" w:hint="eastAsia"/>
                <w:sz w:val="21"/>
                <w:szCs w:val="21"/>
                <w:lang w:eastAsia="zh-CN"/>
              </w:rPr>
              <w:t xml:space="preserve"> </w:t>
            </w:r>
            <w:r w:rsidRPr="001E6E75">
              <w:rPr>
                <w:rFonts w:ascii="Book Antiqua" w:hAnsi="Book Antiqua"/>
                <w:sz w:val="21"/>
                <w:szCs w:val="21"/>
              </w:rPr>
              <w:t>1000</w:t>
            </w:r>
            <w:r>
              <w:rPr>
                <w:rFonts w:ascii="Book Antiqua" w:eastAsia="宋体" w:hAnsi="Book Antiqua" w:hint="eastAsia"/>
                <w:sz w:val="21"/>
                <w:szCs w:val="21"/>
                <w:lang w:eastAsia="zh-CN"/>
              </w:rPr>
              <w:t xml:space="preserve"> </w:t>
            </w:r>
            <w:r w:rsidRPr="001E6E75">
              <w:rPr>
                <w:rFonts w:ascii="Book Antiqua" w:hAnsi="Book Antiqua"/>
                <w:sz w:val="21"/>
                <w:szCs w:val="21"/>
              </w:rPr>
              <w:t>mL</w:t>
            </w:r>
          </w:p>
        </w:tc>
        <w:tc>
          <w:tcPr>
            <w:tcW w:w="2667" w:type="dxa"/>
          </w:tcPr>
          <w:p w14:paraId="3EF86257"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MELD, albumin, ascites and previous abdominal surgery </w:t>
            </w:r>
          </w:p>
        </w:tc>
        <w:tc>
          <w:tcPr>
            <w:tcW w:w="1452" w:type="dxa"/>
          </w:tcPr>
          <w:p w14:paraId="59E17906" w14:textId="77777777" w:rsidR="000115FE" w:rsidRPr="001E6E75" w:rsidRDefault="000115FE" w:rsidP="007A164C">
            <w:pPr>
              <w:spacing w:line="360" w:lineRule="auto"/>
              <w:jc w:val="both"/>
              <w:rPr>
                <w:rFonts w:ascii="Book Antiqua" w:hAnsi="Book Antiqua"/>
                <w:sz w:val="21"/>
                <w:szCs w:val="21"/>
              </w:rPr>
            </w:pPr>
          </w:p>
        </w:tc>
      </w:tr>
      <w:tr w:rsidR="000115FE" w:rsidRPr="0055452D" w14:paraId="0B72254B" w14:textId="77777777" w:rsidTr="007A164C">
        <w:tc>
          <w:tcPr>
            <w:tcW w:w="1809" w:type="dxa"/>
          </w:tcPr>
          <w:p w14:paraId="4950CDD5" w14:textId="68B65832"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Roullett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4</w:t>
            </w:r>
            <w:r w:rsidRPr="001E6E75">
              <w:rPr>
                <w:rFonts w:ascii="Book Antiqua" w:eastAsia="宋体" w:hAnsi="Book Antiqua"/>
                <w:sz w:val="21"/>
                <w:szCs w:val="21"/>
                <w:vertAlign w:val="superscript"/>
                <w:lang w:eastAsia="zh-CN"/>
              </w:rPr>
              <w:t>]</w:t>
            </w:r>
          </w:p>
        </w:tc>
        <w:tc>
          <w:tcPr>
            <w:tcW w:w="1276" w:type="dxa"/>
          </w:tcPr>
          <w:p w14:paraId="3BF542D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148</w:t>
            </w:r>
          </w:p>
        </w:tc>
        <w:tc>
          <w:tcPr>
            <w:tcW w:w="1276" w:type="dxa"/>
          </w:tcPr>
          <w:p w14:paraId="4B12F3F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OLT </w:t>
            </w:r>
          </w:p>
        </w:tc>
        <w:tc>
          <w:tcPr>
            <w:tcW w:w="2835" w:type="dxa"/>
          </w:tcPr>
          <w:p w14:paraId="3127641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regression </w:t>
            </w:r>
          </w:p>
        </w:tc>
        <w:tc>
          <w:tcPr>
            <w:tcW w:w="2861" w:type="dxa"/>
          </w:tcPr>
          <w:p w14:paraId="4F369F44"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&gt; 8 units RBC and loss of &gt; 1 blood volume </w:t>
            </w:r>
          </w:p>
        </w:tc>
        <w:tc>
          <w:tcPr>
            <w:tcW w:w="2667" w:type="dxa"/>
          </w:tcPr>
          <w:p w14:paraId="7D88CB4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Preoperative Hb and Child-Pugh A protective for blood loss</w:t>
            </w:r>
            <w:r>
              <w:rPr>
                <w:rFonts w:ascii="Book Antiqua" w:eastAsia="宋体" w:hAnsi="Book Antiqua" w:hint="eastAsia"/>
                <w:sz w:val="21"/>
                <w:szCs w:val="21"/>
                <w:lang w:eastAsia="zh-CN"/>
              </w:rPr>
              <w:t xml:space="preserve"> </w:t>
            </w:r>
            <w:r w:rsidRPr="001E6E75">
              <w:rPr>
                <w:rFonts w:ascii="Book Antiqua" w:hAnsi="Book Antiqua"/>
                <w:sz w:val="21"/>
                <w:szCs w:val="21"/>
              </w:rPr>
              <w:t xml:space="preserve">&gt; 1 blood </w:t>
            </w:r>
            <w:r w:rsidRPr="001E6E75">
              <w:rPr>
                <w:rFonts w:ascii="Book Antiqua" w:hAnsi="Book Antiqua"/>
                <w:sz w:val="21"/>
                <w:szCs w:val="21"/>
              </w:rPr>
              <w:lastRenderedPageBreak/>
              <w:t>volume</w:t>
            </w:r>
          </w:p>
        </w:tc>
        <w:tc>
          <w:tcPr>
            <w:tcW w:w="1452" w:type="dxa"/>
          </w:tcPr>
          <w:p w14:paraId="03EBE30D" w14:textId="77777777" w:rsidR="000115FE" w:rsidRPr="001E6E75" w:rsidRDefault="000115FE" w:rsidP="007A164C">
            <w:pPr>
              <w:spacing w:line="360" w:lineRule="auto"/>
              <w:jc w:val="both"/>
              <w:rPr>
                <w:rFonts w:ascii="Book Antiqua" w:hAnsi="Book Antiqua"/>
                <w:sz w:val="21"/>
                <w:szCs w:val="21"/>
              </w:rPr>
            </w:pPr>
          </w:p>
        </w:tc>
      </w:tr>
      <w:tr w:rsidR="000115FE" w:rsidRPr="0055452D" w14:paraId="045E1BAB" w14:textId="77777777" w:rsidTr="007A164C">
        <w:tc>
          <w:tcPr>
            <w:tcW w:w="1809" w:type="dxa"/>
          </w:tcPr>
          <w:p w14:paraId="350D713C" w14:textId="7897DA82"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lastRenderedPageBreak/>
              <w:t xml:space="preserve">Gamil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[4</w:t>
            </w:r>
            <w:r w:rsidR="003F4D14">
              <w:rPr>
                <w:rFonts w:ascii="Book Antiqua" w:eastAsia="宋体" w:hAnsi="Book Antiqua" w:hint="eastAsia"/>
                <w:sz w:val="21"/>
                <w:szCs w:val="21"/>
                <w:vertAlign w:val="superscript"/>
                <w:lang w:eastAsia="zh-CN"/>
              </w:rPr>
              <w:t>3</w:t>
            </w:r>
            <w:r w:rsidRPr="001E6E75">
              <w:rPr>
                <w:rFonts w:ascii="Book Antiqua" w:eastAsia="宋体" w:hAnsi="Book Antiqua"/>
                <w:sz w:val="21"/>
                <w:szCs w:val="21"/>
                <w:vertAlign w:val="superscript"/>
                <w:lang w:eastAsia="zh-CN"/>
              </w:rPr>
              <w:t>]</w:t>
            </w:r>
          </w:p>
        </w:tc>
        <w:tc>
          <w:tcPr>
            <w:tcW w:w="1276" w:type="dxa"/>
          </w:tcPr>
          <w:p w14:paraId="5FBDCD1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286</w:t>
            </w:r>
          </w:p>
        </w:tc>
        <w:tc>
          <w:tcPr>
            <w:tcW w:w="1276" w:type="dxa"/>
          </w:tcPr>
          <w:p w14:paraId="0F727B8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35F88630"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logistic regression </w:t>
            </w:r>
          </w:p>
        </w:tc>
        <w:tc>
          <w:tcPr>
            <w:tcW w:w="2861" w:type="dxa"/>
          </w:tcPr>
          <w:p w14:paraId="1A40AB1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&gt; 6 units RBC </w:t>
            </w:r>
          </w:p>
        </w:tc>
        <w:tc>
          <w:tcPr>
            <w:tcW w:w="2667" w:type="dxa"/>
          </w:tcPr>
          <w:p w14:paraId="3DF162E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INR</w:t>
            </w:r>
            <w:r>
              <w:rPr>
                <w:rFonts w:ascii="Book Antiqua" w:eastAsia="宋体" w:hAnsi="Book Antiqua" w:hint="eastAsia"/>
                <w:sz w:val="21"/>
                <w:szCs w:val="21"/>
                <w:lang w:eastAsia="zh-CN"/>
              </w:rPr>
              <w:t xml:space="preserve"> </w:t>
            </w:r>
            <w:r w:rsidRPr="001E6E75">
              <w:rPr>
                <w:rFonts w:ascii="Book Antiqua" w:hAnsi="Book Antiqua"/>
                <w:sz w:val="21"/>
                <w:szCs w:val="21"/>
              </w:rPr>
              <w:t>&gt;</w:t>
            </w:r>
            <w:r>
              <w:rPr>
                <w:rFonts w:ascii="Book Antiqua" w:eastAsia="宋体" w:hAnsi="Book Antiqua" w:hint="eastAsia"/>
                <w:sz w:val="21"/>
                <w:szCs w:val="21"/>
                <w:lang w:eastAsia="zh-CN"/>
              </w:rPr>
              <w:t xml:space="preserve"> </w:t>
            </w:r>
            <w:r>
              <w:rPr>
                <w:rFonts w:ascii="Book Antiqua" w:hAnsi="Book Antiqua"/>
                <w:sz w:val="21"/>
                <w:szCs w:val="21"/>
              </w:rPr>
              <w:t>1.6</w:t>
            </w:r>
            <w:r w:rsidRPr="001E6E75">
              <w:rPr>
                <w:rFonts w:ascii="Book Antiqua" w:hAnsi="Book Antiqua"/>
                <w:sz w:val="21"/>
                <w:szCs w:val="21"/>
              </w:rPr>
              <w:t xml:space="preserve">, Ascites </w:t>
            </w:r>
          </w:p>
        </w:tc>
        <w:tc>
          <w:tcPr>
            <w:tcW w:w="1452" w:type="dxa"/>
          </w:tcPr>
          <w:p w14:paraId="706C4348" w14:textId="77777777" w:rsidR="000115FE" w:rsidRPr="001E6E75" w:rsidRDefault="000115FE" w:rsidP="007A164C">
            <w:pPr>
              <w:spacing w:line="360" w:lineRule="auto"/>
              <w:jc w:val="both"/>
              <w:rPr>
                <w:rFonts w:ascii="Book Antiqua" w:hAnsi="Book Antiqua"/>
                <w:sz w:val="21"/>
                <w:szCs w:val="21"/>
              </w:rPr>
            </w:pPr>
          </w:p>
        </w:tc>
      </w:tr>
      <w:tr w:rsidR="000115FE" w:rsidRPr="0055452D" w14:paraId="65DAD3A5" w14:textId="77777777" w:rsidTr="007A164C">
        <w:tc>
          <w:tcPr>
            <w:tcW w:w="1809" w:type="dxa"/>
          </w:tcPr>
          <w:p w14:paraId="29582200" w14:textId="3A5ADB12"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Li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Pr="001E6E75">
              <w:rPr>
                <w:rFonts w:ascii="Book Antiqua" w:hAnsi="Book Antiqua"/>
                <w:sz w:val="21"/>
                <w:szCs w:val="21"/>
                <w:vertAlign w:val="superscript"/>
              </w:rPr>
              <w:t>6</w:t>
            </w:r>
            <w:r w:rsidR="003F4D14">
              <w:rPr>
                <w:rFonts w:ascii="Book Antiqua" w:eastAsia="宋体" w:hAnsi="Book Antiqua" w:hint="eastAsia"/>
                <w:sz w:val="21"/>
                <w:szCs w:val="21"/>
                <w:vertAlign w:val="superscript"/>
                <w:lang w:eastAsia="zh-CN"/>
              </w:rPr>
              <w:t>0</w:t>
            </w:r>
            <w:r w:rsidRPr="001E6E75">
              <w:rPr>
                <w:rFonts w:ascii="Book Antiqua" w:eastAsia="宋体" w:hAnsi="Book Antiqua"/>
                <w:sz w:val="21"/>
                <w:szCs w:val="21"/>
                <w:vertAlign w:val="superscript"/>
                <w:lang w:eastAsia="zh-CN"/>
              </w:rPr>
              <w:t>]</w:t>
            </w:r>
          </w:p>
        </w:tc>
        <w:tc>
          <w:tcPr>
            <w:tcW w:w="1276" w:type="dxa"/>
          </w:tcPr>
          <w:p w14:paraId="351D1A4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181</w:t>
            </w:r>
          </w:p>
        </w:tc>
        <w:tc>
          <w:tcPr>
            <w:tcW w:w="1276" w:type="dxa"/>
          </w:tcPr>
          <w:p w14:paraId="38865CE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LDLT</w:t>
            </w:r>
          </w:p>
        </w:tc>
        <w:tc>
          <w:tcPr>
            <w:tcW w:w="2835" w:type="dxa"/>
          </w:tcPr>
          <w:p w14:paraId="15A5EEF8"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regression </w:t>
            </w:r>
          </w:p>
        </w:tc>
        <w:tc>
          <w:tcPr>
            <w:tcW w:w="2861" w:type="dxa"/>
          </w:tcPr>
          <w:p w14:paraId="19CD61A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&gt; 6 units RBC</w:t>
            </w:r>
          </w:p>
        </w:tc>
        <w:tc>
          <w:tcPr>
            <w:tcW w:w="2667" w:type="dxa"/>
          </w:tcPr>
          <w:p w14:paraId="7728416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Platelet count &lt;</w:t>
            </w:r>
            <w:r>
              <w:rPr>
                <w:rFonts w:ascii="Book Antiqua" w:eastAsia="宋体" w:hAnsi="Book Antiqua" w:hint="eastAsia"/>
                <w:sz w:val="21"/>
                <w:szCs w:val="21"/>
                <w:lang w:eastAsia="zh-CN"/>
              </w:rPr>
              <w:t xml:space="preserve"> </w:t>
            </w:r>
            <w:r w:rsidRPr="001E6E75">
              <w:rPr>
                <w:rFonts w:ascii="Book Antiqua" w:hAnsi="Book Antiqua"/>
                <w:sz w:val="21"/>
                <w:szCs w:val="21"/>
              </w:rPr>
              <w:t xml:space="preserve">70 </w:t>
            </w:r>
            <w:r w:rsidRPr="009D014F">
              <w:rPr>
                <w:rFonts w:ascii="Book Antiqua" w:hAnsi="Book Antiqua" w:cs="Times New Roman"/>
                <w:color w:val="000000"/>
              </w:rPr>
              <w:t>×</w:t>
            </w:r>
            <w:r w:rsidRPr="001E6E75">
              <w:rPr>
                <w:rFonts w:ascii="Book Antiqua" w:hAnsi="Book Antiqua"/>
                <w:sz w:val="21"/>
                <w:szCs w:val="21"/>
              </w:rPr>
              <w:t xml:space="preserve"> 109/L, Hb &lt;</w:t>
            </w:r>
            <w:r>
              <w:rPr>
                <w:rFonts w:ascii="Book Antiqua" w:eastAsia="宋体" w:hAnsi="Book Antiqua" w:hint="eastAsia"/>
                <w:sz w:val="21"/>
                <w:szCs w:val="21"/>
                <w:lang w:eastAsia="zh-CN"/>
              </w:rPr>
              <w:t xml:space="preserve"> </w:t>
            </w:r>
            <w:r w:rsidRPr="001E6E75">
              <w:rPr>
                <w:rFonts w:ascii="Book Antiqua" w:hAnsi="Book Antiqua"/>
                <w:sz w:val="21"/>
                <w:szCs w:val="21"/>
              </w:rPr>
              <w:t>100</w:t>
            </w:r>
            <w:r>
              <w:rPr>
                <w:rFonts w:ascii="Book Antiqua" w:eastAsia="宋体" w:hAnsi="Book Antiqua" w:hint="eastAsia"/>
                <w:sz w:val="21"/>
                <w:szCs w:val="21"/>
                <w:lang w:eastAsia="zh-CN"/>
              </w:rPr>
              <w:t xml:space="preserve"> </w:t>
            </w:r>
            <w:r w:rsidRPr="001E6E75">
              <w:rPr>
                <w:rFonts w:ascii="Book Antiqua" w:hAnsi="Book Antiqua"/>
                <w:sz w:val="21"/>
                <w:szCs w:val="21"/>
              </w:rPr>
              <w:t>g/L. fibrinogen &lt;</w:t>
            </w:r>
            <w:r>
              <w:rPr>
                <w:rFonts w:ascii="Book Antiqua" w:eastAsia="宋体" w:hAnsi="Book Antiqua" w:hint="eastAsia"/>
                <w:sz w:val="21"/>
                <w:szCs w:val="21"/>
                <w:lang w:eastAsia="zh-CN"/>
              </w:rPr>
              <w:t xml:space="preserve"> </w:t>
            </w:r>
            <w:r w:rsidRPr="001E6E75">
              <w:rPr>
                <w:rFonts w:ascii="Book Antiqua" w:hAnsi="Book Antiqua"/>
                <w:sz w:val="21"/>
                <w:szCs w:val="21"/>
              </w:rPr>
              <w:t>1.5</w:t>
            </w:r>
            <w:r>
              <w:rPr>
                <w:rFonts w:ascii="Book Antiqua" w:eastAsia="宋体" w:hAnsi="Book Antiqua" w:hint="eastAsia"/>
                <w:sz w:val="21"/>
                <w:szCs w:val="21"/>
                <w:lang w:eastAsia="zh-CN"/>
              </w:rPr>
              <w:t xml:space="preserve"> </w:t>
            </w:r>
            <w:r w:rsidRPr="001E6E75">
              <w:rPr>
                <w:rFonts w:ascii="Book Antiqua" w:hAnsi="Book Antiqua"/>
                <w:sz w:val="21"/>
                <w:szCs w:val="21"/>
              </w:rPr>
              <w:t>g/L and previous abdominal surgery</w:t>
            </w:r>
          </w:p>
        </w:tc>
        <w:tc>
          <w:tcPr>
            <w:tcW w:w="1452" w:type="dxa"/>
          </w:tcPr>
          <w:p w14:paraId="5E61B7F3" w14:textId="77777777" w:rsidR="000115FE" w:rsidRPr="001E6E75" w:rsidRDefault="000115FE" w:rsidP="007A164C">
            <w:pPr>
              <w:spacing w:line="360" w:lineRule="auto"/>
              <w:jc w:val="both"/>
              <w:rPr>
                <w:rFonts w:ascii="Book Antiqua" w:hAnsi="Book Antiqua"/>
                <w:sz w:val="21"/>
                <w:szCs w:val="21"/>
              </w:rPr>
            </w:pPr>
          </w:p>
        </w:tc>
      </w:tr>
      <w:tr w:rsidR="000115FE" w:rsidRPr="0055452D" w14:paraId="293E6926" w14:textId="77777777" w:rsidTr="007A164C">
        <w:tc>
          <w:tcPr>
            <w:tcW w:w="1809" w:type="dxa"/>
          </w:tcPr>
          <w:p w14:paraId="16F65023" w14:textId="05B40AC3"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Wu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5</w:t>
            </w:r>
            <w:r w:rsidRPr="001E6E75">
              <w:rPr>
                <w:rFonts w:ascii="Book Antiqua" w:eastAsia="宋体" w:hAnsi="Book Antiqua"/>
                <w:sz w:val="21"/>
                <w:szCs w:val="21"/>
                <w:vertAlign w:val="superscript"/>
                <w:lang w:eastAsia="zh-CN"/>
              </w:rPr>
              <w:t>]</w:t>
            </w:r>
          </w:p>
        </w:tc>
        <w:tc>
          <w:tcPr>
            <w:tcW w:w="1276" w:type="dxa"/>
          </w:tcPr>
          <w:p w14:paraId="026D177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522</w:t>
            </w:r>
          </w:p>
        </w:tc>
        <w:tc>
          <w:tcPr>
            <w:tcW w:w="1276" w:type="dxa"/>
          </w:tcPr>
          <w:p w14:paraId="2E2A3EBF"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LDLT</w:t>
            </w:r>
          </w:p>
        </w:tc>
        <w:tc>
          <w:tcPr>
            <w:tcW w:w="2835" w:type="dxa"/>
          </w:tcPr>
          <w:p w14:paraId="25B5EB4D"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regression </w:t>
            </w:r>
          </w:p>
        </w:tc>
        <w:tc>
          <w:tcPr>
            <w:tcW w:w="2861" w:type="dxa"/>
          </w:tcPr>
          <w:p w14:paraId="4F109F2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Re-exploration for hemostasis</w:t>
            </w:r>
          </w:p>
        </w:tc>
        <w:tc>
          <w:tcPr>
            <w:tcW w:w="2667" w:type="dxa"/>
          </w:tcPr>
          <w:p w14:paraId="4BB634C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&gt;</w:t>
            </w:r>
            <w:r>
              <w:rPr>
                <w:rFonts w:ascii="Book Antiqua" w:eastAsia="宋体" w:hAnsi="Book Antiqua" w:hint="eastAsia"/>
                <w:sz w:val="21"/>
                <w:szCs w:val="21"/>
                <w:lang w:eastAsia="zh-CN"/>
              </w:rPr>
              <w:t xml:space="preserve"> </w:t>
            </w:r>
            <w:r w:rsidRPr="001E6E75">
              <w:rPr>
                <w:rFonts w:ascii="Book Antiqua" w:hAnsi="Book Antiqua"/>
                <w:sz w:val="21"/>
                <w:szCs w:val="21"/>
              </w:rPr>
              <w:t>10</w:t>
            </w:r>
            <w:r>
              <w:rPr>
                <w:rFonts w:ascii="Book Antiqua" w:eastAsia="宋体" w:hAnsi="Book Antiqua" w:hint="eastAsia"/>
                <w:sz w:val="21"/>
                <w:szCs w:val="21"/>
                <w:lang w:eastAsia="zh-CN"/>
              </w:rPr>
              <w:t xml:space="preserve"> </w:t>
            </w:r>
            <w:r w:rsidRPr="001E6E75">
              <w:rPr>
                <w:rFonts w:ascii="Book Antiqua" w:hAnsi="Book Antiqua"/>
                <w:sz w:val="21"/>
                <w:szCs w:val="21"/>
              </w:rPr>
              <w:t xml:space="preserve">mL/kg FFP transfusion </w:t>
            </w:r>
          </w:p>
        </w:tc>
        <w:tc>
          <w:tcPr>
            <w:tcW w:w="1452" w:type="dxa"/>
          </w:tcPr>
          <w:p w14:paraId="28142E3C" w14:textId="77777777" w:rsidR="000115FE" w:rsidRPr="001E6E75" w:rsidRDefault="000115FE" w:rsidP="007A164C">
            <w:pPr>
              <w:spacing w:line="360" w:lineRule="auto"/>
              <w:jc w:val="both"/>
              <w:rPr>
                <w:rFonts w:ascii="Book Antiqua" w:hAnsi="Book Antiqua"/>
                <w:sz w:val="21"/>
                <w:szCs w:val="21"/>
              </w:rPr>
            </w:pPr>
          </w:p>
        </w:tc>
      </w:tr>
      <w:tr w:rsidR="000115FE" w:rsidRPr="0055452D" w14:paraId="4E760FC3" w14:textId="77777777" w:rsidTr="007A164C">
        <w:tc>
          <w:tcPr>
            <w:tcW w:w="1809" w:type="dxa"/>
          </w:tcPr>
          <w:p w14:paraId="5A5496DE" w14:textId="2B0A6A49"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Varotti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6</w:t>
            </w:r>
            <w:r w:rsidRPr="001E6E75">
              <w:rPr>
                <w:rFonts w:ascii="Book Antiqua" w:eastAsia="宋体" w:hAnsi="Book Antiqua"/>
                <w:sz w:val="21"/>
                <w:szCs w:val="21"/>
                <w:vertAlign w:val="superscript"/>
                <w:lang w:eastAsia="zh-CN"/>
              </w:rPr>
              <w:t>]</w:t>
            </w:r>
          </w:p>
        </w:tc>
        <w:tc>
          <w:tcPr>
            <w:tcW w:w="1276" w:type="dxa"/>
          </w:tcPr>
          <w:p w14:paraId="7A2CA81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219</w:t>
            </w:r>
          </w:p>
        </w:tc>
        <w:tc>
          <w:tcPr>
            <w:tcW w:w="1276" w:type="dxa"/>
          </w:tcPr>
          <w:p w14:paraId="1E39C50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2948D126"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Univariate and multivariate regression</w:t>
            </w:r>
          </w:p>
        </w:tc>
        <w:tc>
          <w:tcPr>
            <w:tcW w:w="2861" w:type="dxa"/>
          </w:tcPr>
          <w:p w14:paraId="698C6157"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transfusion requirements</w:t>
            </w:r>
          </w:p>
        </w:tc>
        <w:tc>
          <w:tcPr>
            <w:tcW w:w="2667" w:type="dxa"/>
          </w:tcPr>
          <w:p w14:paraId="497F2BD5"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MELD</w:t>
            </w:r>
          </w:p>
        </w:tc>
        <w:tc>
          <w:tcPr>
            <w:tcW w:w="1452" w:type="dxa"/>
          </w:tcPr>
          <w:p w14:paraId="2EC1736E" w14:textId="77777777" w:rsidR="000115FE" w:rsidRPr="001E6E75" w:rsidRDefault="000115FE" w:rsidP="007A164C">
            <w:pPr>
              <w:spacing w:line="360" w:lineRule="auto"/>
              <w:jc w:val="both"/>
              <w:rPr>
                <w:rFonts w:ascii="Book Antiqua" w:hAnsi="Book Antiqua"/>
                <w:sz w:val="21"/>
                <w:szCs w:val="21"/>
              </w:rPr>
            </w:pPr>
          </w:p>
        </w:tc>
      </w:tr>
      <w:tr w:rsidR="000115FE" w:rsidRPr="0055452D" w14:paraId="35C0A8AE" w14:textId="77777777" w:rsidTr="007A164C">
        <w:tc>
          <w:tcPr>
            <w:tcW w:w="1809" w:type="dxa"/>
          </w:tcPr>
          <w:p w14:paraId="22478CA6" w14:textId="1D66C8E6"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Blasi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7</w:t>
            </w:r>
            <w:r w:rsidRPr="001E6E75">
              <w:rPr>
                <w:rFonts w:ascii="Book Antiqua" w:eastAsia="宋体" w:hAnsi="Book Antiqua"/>
                <w:sz w:val="21"/>
                <w:szCs w:val="21"/>
                <w:vertAlign w:val="superscript"/>
                <w:lang w:eastAsia="zh-CN"/>
              </w:rPr>
              <w:t>]</w:t>
            </w:r>
          </w:p>
        </w:tc>
        <w:tc>
          <w:tcPr>
            <w:tcW w:w="1276" w:type="dxa"/>
          </w:tcPr>
          <w:p w14:paraId="2DEB89D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291</w:t>
            </w:r>
          </w:p>
        </w:tc>
        <w:tc>
          <w:tcPr>
            <w:tcW w:w="1276" w:type="dxa"/>
          </w:tcPr>
          <w:p w14:paraId="40147053" w14:textId="77777777" w:rsidR="000115FE" w:rsidRPr="001E6E75" w:rsidRDefault="000115FE" w:rsidP="007A164C">
            <w:pPr>
              <w:spacing w:line="360" w:lineRule="auto"/>
              <w:jc w:val="both"/>
              <w:rPr>
                <w:rFonts w:ascii="Book Antiqua" w:hAnsi="Book Antiqua"/>
                <w:sz w:val="21"/>
                <w:szCs w:val="21"/>
              </w:rPr>
            </w:pPr>
            <w:r>
              <w:rPr>
                <w:rFonts w:ascii="Book Antiqua" w:hAnsi="Book Antiqua"/>
                <w:sz w:val="21"/>
                <w:szCs w:val="21"/>
              </w:rPr>
              <w:t>OLT (</w:t>
            </w:r>
            <w:r w:rsidRPr="001E6E75">
              <w:rPr>
                <w:rFonts w:ascii="Book Antiqua" w:hAnsi="Book Antiqua"/>
                <w:sz w:val="21"/>
                <w:szCs w:val="21"/>
              </w:rPr>
              <w:t>no malignancy or re-transplant)</w:t>
            </w:r>
          </w:p>
        </w:tc>
        <w:tc>
          <w:tcPr>
            <w:tcW w:w="2835" w:type="dxa"/>
          </w:tcPr>
          <w:p w14:paraId="6B25EADB"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Multivariate logistic regression </w:t>
            </w:r>
          </w:p>
        </w:tc>
        <w:tc>
          <w:tcPr>
            <w:tcW w:w="2861" w:type="dxa"/>
          </w:tcPr>
          <w:p w14:paraId="28AFB11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RBC transfusion requirements</w:t>
            </w:r>
          </w:p>
        </w:tc>
        <w:tc>
          <w:tcPr>
            <w:tcW w:w="2667" w:type="dxa"/>
          </w:tcPr>
          <w:p w14:paraId="7728CD63"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Baseline Hb and Fibrinogen </w:t>
            </w:r>
          </w:p>
        </w:tc>
        <w:tc>
          <w:tcPr>
            <w:tcW w:w="1452" w:type="dxa"/>
          </w:tcPr>
          <w:p w14:paraId="735C4499" w14:textId="77777777" w:rsidR="000115FE" w:rsidRPr="001E6E75" w:rsidRDefault="000115FE" w:rsidP="007A164C">
            <w:pPr>
              <w:spacing w:line="360" w:lineRule="auto"/>
              <w:jc w:val="both"/>
              <w:rPr>
                <w:rFonts w:ascii="Book Antiqua" w:hAnsi="Book Antiqua"/>
                <w:sz w:val="21"/>
                <w:szCs w:val="21"/>
              </w:rPr>
            </w:pPr>
          </w:p>
        </w:tc>
      </w:tr>
      <w:tr w:rsidR="000115FE" w:rsidRPr="0055452D" w14:paraId="67055E28" w14:textId="77777777" w:rsidTr="007A164C">
        <w:tc>
          <w:tcPr>
            <w:tcW w:w="1809" w:type="dxa"/>
          </w:tcPr>
          <w:p w14:paraId="3B13E1DE" w14:textId="571F2792"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De Santis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[7</w:t>
            </w:r>
            <w:r w:rsidR="003F4D14">
              <w:rPr>
                <w:rFonts w:ascii="Book Antiqua" w:eastAsia="宋体" w:hAnsi="Book Antiqua" w:hint="eastAsia"/>
                <w:sz w:val="21"/>
                <w:szCs w:val="21"/>
                <w:vertAlign w:val="superscript"/>
                <w:lang w:eastAsia="zh-CN"/>
              </w:rPr>
              <w:t>8</w:t>
            </w:r>
            <w:r w:rsidRPr="001E6E75">
              <w:rPr>
                <w:rFonts w:ascii="Book Antiqua" w:eastAsia="宋体" w:hAnsi="Book Antiqua"/>
                <w:sz w:val="21"/>
                <w:szCs w:val="21"/>
                <w:vertAlign w:val="superscript"/>
                <w:lang w:eastAsia="zh-CN"/>
              </w:rPr>
              <w:t>]</w:t>
            </w:r>
          </w:p>
        </w:tc>
        <w:tc>
          <w:tcPr>
            <w:tcW w:w="1276" w:type="dxa"/>
          </w:tcPr>
          <w:p w14:paraId="04CCE68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166</w:t>
            </w:r>
          </w:p>
        </w:tc>
        <w:tc>
          <w:tcPr>
            <w:tcW w:w="1276" w:type="dxa"/>
          </w:tcPr>
          <w:p w14:paraId="43B3A912" w14:textId="77777777" w:rsidR="000115FE" w:rsidRPr="0049684C" w:rsidRDefault="000115FE" w:rsidP="007A164C">
            <w:pPr>
              <w:spacing w:line="360" w:lineRule="auto"/>
              <w:jc w:val="both"/>
              <w:rPr>
                <w:rFonts w:ascii="Book Antiqua" w:eastAsia="宋体" w:hAnsi="Book Antiqua"/>
                <w:sz w:val="21"/>
                <w:szCs w:val="21"/>
                <w:lang w:eastAsia="zh-CN"/>
              </w:rPr>
            </w:pPr>
            <w:r w:rsidRPr="001E6E75">
              <w:rPr>
                <w:rFonts w:ascii="Book Antiqua" w:hAnsi="Book Antiqua"/>
                <w:sz w:val="21"/>
                <w:szCs w:val="21"/>
              </w:rPr>
              <w:t xml:space="preserve">OLT </w:t>
            </w:r>
            <w:r>
              <w:rPr>
                <w:rFonts w:ascii="Book Antiqua" w:eastAsia="宋体" w:hAnsi="Book Antiqua"/>
                <w:sz w:val="21"/>
                <w:szCs w:val="21"/>
                <w:lang w:eastAsia="zh-CN"/>
              </w:rPr>
              <w:t>“</w:t>
            </w:r>
            <w:r w:rsidRPr="001E6E75">
              <w:rPr>
                <w:rFonts w:ascii="Book Antiqua" w:hAnsi="Book Antiqua"/>
                <w:sz w:val="21"/>
                <w:szCs w:val="21"/>
              </w:rPr>
              <w:t>piggy back</w:t>
            </w:r>
            <w:r>
              <w:rPr>
                <w:rFonts w:ascii="Book Antiqua" w:eastAsia="宋体" w:hAnsi="Book Antiqua"/>
                <w:sz w:val="21"/>
                <w:szCs w:val="21"/>
                <w:lang w:eastAsia="zh-CN"/>
              </w:rPr>
              <w:t>”</w:t>
            </w:r>
          </w:p>
        </w:tc>
        <w:tc>
          <w:tcPr>
            <w:tcW w:w="2835" w:type="dxa"/>
          </w:tcPr>
          <w:p w14:paraId="5E69F8F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Univariate and multivariate regression </w:t>
            </w:r>
          </w:p>
        </w:tc>
        <w:tc>
          <w:tcPr>
            <w:tcW w:w="2861" w:type="dxa"/>
          </w:tcPr>
          <w:p w14:paraId="22803AD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Blood product requirements </w:t>
            </w:r>
          </w:p>
        </w:tc>
        <w:tc>
          <w:tcPr>
            <w:tcW w:w="2667" w:type="dxa"/>
          </w:tcPr>
          <w:p w14:paraId="2C5E75F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Child-Pugh, Preoperative Hb and INR, Graft ischemia time </w:t>
            </w:r>
          </w:p>
        </w:tc>
        <w:tc>
          <w:tcPr>
            <w:tcW w:w="1452" w:type="dxa"/>
          </w:tcPr>
          <w:p w14:paraId="3EE15EF9" w14:textId="77777777" w:rsidR="000115FE" w:rsidRPr="001E6E75" w:rsidRDefault="000115FE" w:rsidP="007A164C">
            <w:pPr>
              <w:spacing w:line="360" w:lineRule="auto"/>
              <w:jc w:val="both"/>
              <w:rPr>
                <w:rFonts w:ascii="Book Antiqua" w:hAnsi="Book Antiqua"/>
                <w:sz w:val="21"/>
                <w:szCs w:val="21"/>
              </w:rPr>
            </w:pPr>
          </w:p>
        </w:tc>
      </w:tr>
      <w:tr w:rsidR="000115FE" w:rsidRPr="0055452D" w14:paraId="5BF6DEB5" w14:textId="77777777" w:rsidTr="007A164C">
        <w:tc>
          <w:tcPr>
            <w:tcW w:w="1809" w:type="dxa"/>
          </w:tcPr>
          <w:p w14:paraId="53FA0D5B" w14:textId="0FABF8FF" w:rsidR="000115FE" w:rsidRPr="001E6E75" w:rsidRDefault="000115FE" w:rsidP="003F4D14">
            <w:pPr>
              <w:spacing w:line="360" w:lineRule="auto"/>
              <w:jc w:val="both"/>
              <w:rPr>
                <w:rFonts w:ascii="Book Antiqua" w:hAnsi="Book Antiqua"/>
                <w:sz w:val="21"/>
                <w:szCs w:val="21"/>
              </w:rPr>
            </w:pPr>
            <w:r w:rsidRPr="001E6E75">
              <w:rPr>
                <w:rFonts w:ascii="Book Antiqua" w:hAnsi="Book Antiqua"/>
                <w:sz w:val="21"/>
                <w:szCs w:val="21"/>
              </w:rPr>
              <w:t xml:space="preserve">Cywinski </w:t>
            </w:r>
            <w:r w:rsidRPr="001E6E75">
              <w:rPr>
                <w:rFonts w:ascii="Book Antiqua" w:hAnsi="Book Antiqua"/>
                <w:i/>
                <w:sz w:val="21"/>
                <w:szCs w:val="21"/>
              </w:rPr>
              <w:t>et al</w:t>
            </w:r>
            <w:r w:rsidRPr="001E6E75">
              <w:rPr>
                <w:rFonts w:ascii="Book Antiqua" w:eastAsia="宋体" w:hAnsi="Book Antiqua"/>
                <w:sz w:val="21"/>
                <w:szCs w:val="21"/>
                <w:vertAlign w:val="superscript"/>
                <w:lang w:eastAsia="zh-CN"/>
              </w:rPr>
              <w:t>[</w:t>
            </w:r>
            <w:r w:rsidR="003F4D14">
              <w:rPr>
                <w:rFonts w:ascii="Book Antiqua" w:eastAsia="宋体" w:hAnsi="Book Antiqua" w:hint="eastAsia"/>
                <w:sz w:val="21"/>
                <w:szCs w:val="21"/>
                <w:vertAlign w:val="superscript"/>
                <w:lang w:eastAsia="zh-CN"/>
              </w:rPr>
              <w:t>79</w:t>
            </w:r>
            <w:r w:rsidRPr="001E6E75">
              <w:rPr>
                <w:rFonts w:ascii="Book Antiqua" w:eastAsia="宋体" w:hAnsi="Book Antiqua"/>
                <w:sz w:val="21"/>
                <w:szCs w:val="21"/>
                <w:vertAlign w:val="superscript"/>
                <w:lang w:eastAsia="zh-CN"/>
              </w:rPr>
              <w:t>]</w:t>
            </w:r>
          </w:p>
        </w:tc>
        <w:tc>
          <w:tcPr>
            <w:tcW w:w="1276" w:type="dxa"/>
          </w:tcPr>
          <w:p w14:paraId="3ADF3A52"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804</w:t>
            </w:r>
          </w:p>
        </w:tc>
        <w:tc>
          <w:tcPr>
            <w:tcW w:w="1276" w:type="dxa"/>
          </w:tcPr>
          <w:p w14:paraId="20CD2299"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OLT</w:t>
            </w:r>
          </w:p>
        </w:tc>
        <w:tc>
          <w:tcPr>
            <w:tcW w:w="2835" w:type="dxa"/>
          </w:tcPr>
          <w:p w14:paraId="78B5140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t xml:space="preserve">Multivariate regression </w:t>
            </w:r>
            <w:r w:rsidRPr="001E6E75">
              <w:rPr>
                <w:rFonts w:ascii="Book Antiqua" w:hAnsi="Book Antiqua"/>
                <w:sz w:val="21"/>
                <w:szCs w:val="21"/>
              </w:rPr>
              <w:lastRenderedPageBreak/>
              <w:t xml:space="preserve">Bootstrapping for prediction model </w:t>
            </w:r>
          </w:p>
        </w:tc>
        <w:tc>
          <w:tcPr>
            <w:tcW w:w="2861" w:type="dxa"/>
          </w:tcPr>
          <w:p w14:paraId="55CD750E"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 xml:space="preserve">RBC and cell saver </w:t>
            </w:r>
            <w:r w:rsidRPr="001E6E75">
              <w:rPr>
                <w:rFonts w:ascii="Book Antiqua" w:hAnsi="Book Antiqua"/>
                <w:sz w:val="21"/>
                <w:szCs w:val="21"/>
              </w:rPr>
              <w:lastRenderedPageBreak/>
              <w:t>requirement, &gt;</w:t>
            </w:r>
            <w:r w:rsidRPr="001E6E75">
              <w:rPr>
                <w:rFonts w:ascii="Book Antiqua" w:eastAsia="宋体" w:hAnsi="Book Antiqua"/>
                <w:sz w:val="21"/>
                <w:szCs w:val="21"/>
                <w:lang w:eastAsia="zh-CN"/>
              </w:rPr>
              <w:t xml:space="preserve"> </w:t>
            </w:r>
            <w:r w:rsidRPr="001E6E75">
              <w:rPr>
                <w:rFonts w:ascii="Book Antiqua" w:hAnsi="Book Antiqua"/>
                <w:sz w:val="21"/>
                <w:szCs w:val="21"/>
              </w:rPr>
              <w:t>20 and &gt;</w:t>
            </w:r>
            <w:r w:rsidRPr="001E6E75">
              <w:rPr>
                <w:rFonts w:ascii="Book Antiqua" w:eastAsia="宋体" w:hAnsi="Book Antiqua"/>
                <w:sz w:val="21"/>
                <w:szCs w:val="21"/>
                <w:lang w:eastAsia="zh-CN"/>
              </w:rPr>
              <w:t xml:space="preserve"> </w:t>
            </w:r>
            <w:r w:rsidRPr="001E6E75">
              <w:rPr>
                <w:rFonts w:ascii="Book Antiqua" w:hAnsi="Book Antiqua"/>
                <w:sz w:val="21"/>
                <w:szCs w:val="21"/>
              </w:rPr>
              <w:t xml:space="preserve">30 RBC units usage </w:t>
            </w:r>
          </w:p>
        </w:tc>
        <w:tc>
          <w:tcPr>
            <w:tcW w:w="2667" w:type="dxa"/>
          </w:tcPr>
          <w:p w14:paraId="46107C51"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 xml:space="preserve">MELD and preoperative </w:t>
            </w:r>
            <w:r w:rsidRPr="001E6E75">
              <w:rPr>
                <w:rFonts w:ascii="Book Antiqua" w:hAnsi="Book Antiqua"/>
                <w:sz w:val="21"/>
                <w:szCs w:val="21"/>
              </w:rPr>
              <w:lastRenderedPageBreak/>
              <w:t xml:space="preserve">platelet count </w:t>
            </w:r>
          </w:p>
        </w:tc>
        <w:tc>
          <w:tcPr>
            <w:tcW w:w="1452" w:type="dxa"/>
          </w:tcPr>
          <w:p w14:paraId="017E0E4A" w14:textId="77777777" w:rsidR="000115FE" w:rsidRPr="001E6E75" w:rsidRDefault="000115FE" w:rsidP="007A164C">
            <w:pPr>
              <w:spacing w:line="360" w:lineRule="auto"/>
              <w:jc w:val="both"/>
              <w:rPr>
                <w:rFonts w:ascii="Book Antiqua" w:hAnsi="Book Antiqua"/>
                <w:sz w:val="21"/>
                <w:szCs w:val="21"/>
              </w:rPr>
            </w:pPr>
            <w:r w:rsidRPr="001E6E75">
              <w:rPr>
                <w:rFonts w:ascii="Book Antiqua" w:hAnsi="Book Antiqua"/>
                <w:sz w:val="21"/>
                <w:szCs w:val="21"/>
              </w:rPr>
              <w:lastRenderedPageBreak/>
              <w:t>RBC + CS &gt;</w:t>
            </w:r>
            <w:r w:rsidRPr="001E6E75">
              <w:rPr>
                <w:rFonts w:ascii="Book Antiqua" w:eastAsia="宋体" w:hAnsi="Book Antiqua"/>
                <w:sz w:val="21"/>
                <w:szCs w:val="21"/>
                <w:lang w:eastAsia="zh-CN"/>
              </w:rPr>
              <w:t xml:space="preserve"> </w:t>
            </w:r>
            <w:r w:rsidRPr="001E6E75">
              <w:rPr>
                <w:rFonts w:ascii="Book Antiqua" w:hAnsi="Book Antiqua"/>
                <w:sz w:val="21"/>
                <w:szCs w:val="21"/>
              </w:rPr>
              <w:t>20 units c</w:t>
            </w:r>
            <w:r w:rsidRPr="001E6E75">
              <w:rPr>
                <w:rFonts w:ascii="Book Antiqua" w:eastAsia="宋体" w:hAnsi="Book Antiqua"/>
                <w:sz w:val="21"/>
                <w:szCs w:val="21"/>
                <w:lang w:eastAsia="zh-CN"/>
              </w:rPr>
              <w:t xml:space="preserve"> </w:t>
            </w:r>
            <w:r w:rsidRPr="001E6E75">
              <w:rPr>
                <w:rFonts w:ascii="Book Antiqua" w:hAnsi="Book Antiqua"/>
                <w:sz w:val="21"/>
                <w:szCs w:val="21"/>
              </w:rPr>
              <w:lastRenderedPageBreak/>
              <w:t>=</w:t>
            </w:r>
            <w:r w:rsidRPr="001E6E75">
              <w:rPr>
                <w:rFonts w:ascii="Book Antiqua" w:eastAsia="宋体" w:hAnsi="Book Antiqua"/>
                <w:sz w:val="21"/>
                <w:szCs w:val="21"/>
                <w:lang w:eastAsia="zh-CN"/>
              </w:rPr>
              <w:t xml:space="preserve"> </w:t>
            </w:r>
            <w:r w:rsidRPr="001E6E75">
              <w:rPr>
                <w:rFonts w:ascii="Book Antiqua" w:hAnsi="Book Antiqua"/>
                <w:sz w:val="21"/>
                <w:szCs w:val="21"/>
              </w:rPr>
              <w:t>0.70</w:t>
            </w:r>
            <w:r w:rsidRPr="001E6E75">
              <w:rPr>
                <w:rFonts w:ascii="Book Antiqua" w:eastAsia="宋体" w:hAnsi="Book Antiqua"/>
                <w:sz w:val="21"/>
                <w:szCs w:val="21"/>
                <w:lang w:eastAsia="zh-CN"/>
              </w:rPr>
              <w:t xml:space="preserve"> </w:t>
            </w:r>
            <w:r w:rsidRPr="001E6E75">
              <w:rPr>
                <w:rFonts w:ascii="Book Antiqua" w:hAnsi="Book Antiqua"/>
                <w:sz w:val="21"/>
                <w:szCs w:val="21"/>
              </w:rPr>
              <w:t>(RBC</w:t>
            </w:r>
            <w:r w:rsidRPr="001E6E75">
              <w:rPr>
                <w:rFonts w:ascii="Book Antiqua" w:eastAsia="宋体" w:hAnsi="Book Antiqua"/>
                <w:sz w:val="21"/>
                <w:szCs w:val="21"/>
                <w:lang w:eastAsia="zh-CN"/>
              </w:rPr>
              <w:t xml:space="preserve"> </w:t>
            </w:r>
            <w:r w:rsidRPr="001E6E75">
              <w:rPr>
                <w:rFonts w:ascii="Book Antiqua" w:hAnsi="Book Antiqua"/>
                <w:sz w:val="21"/>
                <w:szCs w:val="21"/>
              </w:rPr>
              <w:t>+</w:t>
            </w:r>
            <w:r w:rsidRPr="001E6E75">
              <w:rPr>
                <w:rFonts w:ascii="Book Antiqua" w:eastAsia="宋体" w:hAnsi="Book Antiqua"/>
                <w:sz w:val="21"/>
                <w:szCs w:val="21"/>
                <w:lang w:eastAsia="zh-CN"/>
              </w:rPr>
              <w:t xml:space="preserve"> </w:t>
            </w:r>
            <w:r w:rsidRPr="001E6E75">
              <w:rPr>
                <w:rFonts w:ascii="Book Antiqua" w:hAnsi="Book Antiqua"/>
                <w:sz w:val="21"/>
                <w:szCs w:val="21"/>
              </w:rPr>
              <w:t>CS</w:t>
            </w:r>
            <w:r w:rsidRPr="001E6E75">
              <w:rPr>
                <w:rFonts w:ascii="Book Antiqua" w:eastAsia="宋体" w:hAnsi="Book Antiqua"/>
                <w:sz w:val="21"/>
                <w:szCs w:val="21"/>
                <w:lang w:eastAsia="zh-CN"/>
              </w:rPr>
              <w:t xml:space="preserve"> </w:t>
            </w:r>
            <w:r w:rsidRPr="001E6E75">
              <w:rPr>
                <w:rFonts w:ascii="Book Antiqua" w:hAnsi="Book Antiqua"/>
                <w:sz w:val="21"/>
                <w:szCs w:val="21"/>
              </w:rPr>
              <w:t>&gt;</w:t>
            </w:r>
            <w:r w:rsidRPr="001E6E75">
              <w:rPr>
                <w:rFonts w:ascii="Book Antiqua" w:eastAsia="宋体" w:hAnsi="Book Antiqua"/>
                <w:sz w:val="21"/>
                <w:szCs w:val="21"/>
                <w:lang w:eastAsia="zh-CN"/>
              </w:rPr>
              <w:t xml:space="preserve"> </w:t>
            </w:r>
            <w:r w:rsidRPr="001E6E75">
              <w:rPr>
                <w:rFonts w:ascii="Book Antiqua" w:hAnsi="Book Antiqua"/>
                <w:sz w:val="21"/>
                <w:szCs w:val="21"/>
              </w:rPr>
              <w:t>30 units c</w:t>
            </w:r>
            <w:r w:rsidRPr="001E6E75">
              <w:rPr>
                <w:rFonts w:ascii="Book Antiqua" w:eastAsia="宋体" w:hAnsi="Book Antiqua"/>
                <w:sz w:val="21"/>
                <w:szCs w:val="21"/>
                <w:lang w:eastAsia="zh-CN"/>
              </w:rPr>
              <w:t xml:space="preserve"> </w:t>
            </w:r>
            <w:r w:rsidRPr="001E6E75">
              <w:rPr>
                <w:rFonts w:ascii="Book Antiqua" w:hAnsi="Book Antiqua"/>
                <w:sz w:val="21"/>
                <w:szCs w:val="21"/>
              </w:rPr>
              <w:t>=</w:t>
            </w:r>
            <w:r w:rsidRPr="001E6E75">
              <w:rPr>
                <w:rFonts w:ascii="Book Antiqua" w:eastAsia="宋体" w:hAnsi="Book Antiqua"/>
                <w:sz w:val="21"/>
                <w:szCs w:val="21"/>
                <w:lang w:eastAsia="zh-CN"/>
              </w:rPr>
              <w:t xml:space="preserve"> </w:t>
            </w:r>
            <w:r w:rsidRPr="001E6E75">
              <w:rPr>
                <w:rFonts w:ascii="Book Antiqua" w:hAnsi="Book Antiqua"/>
                <w:sz w:val="21"/>
                <w:szCs w:val="21"/>
              </w:rPr>
              <w:t>0.67</w:t>
            </w:r>
          </w:p>
        </w:tc>
      </w:tr>
    </w:tbl>
    <w:p w14:paraId="28CABDF1" w14:textId="77777777" w:rsidR="000115FE" w:rsidRPr="0055452D" w:rsidRDefault="000115FE" w:rsidP="000115FE">
      <w:pPr>
        <w:spacing w:line="360" w:lineRule="auto"/>
        <w:jc w:val="both"/>
        <w:rPr>
          <w:rFonts w:ascii="Book Antiqua" w:hAnsi="Book Antiqua"/>
        </w:rPr>
      </w:pPr>
    </w:p>
    <w:p w14:paraId="04E592FB" w14:textId="77777777" w:rsidR="000115FE" w:rsidRPr="001C418B" w:rsidRDefault="000115FE" w:rsidP="000115FE">
      <w:pPr>
        <w:spacing w:line="360" w:lineRule="auto"/>
        <w:jc w:val="both"/>
        <w:rPr>
          <w:rFonts w:ascii="Book Antiqua" w:eastAsia="宋体" w:hAnsi="Book Antiqua"/>
          <w:lang w:eastAsia="zh-CN"/>
        </w:rPr>
      </w:pPr>
      <w:r w:rsidRPr="0055452D">
        <w:rPr>
          <w:rFonts w:ascii="Book Antiqua" w:hAnsi="Book Antiqua"/>
        </w:rPr>
        <w:t>OLT</w:t>
      </w:r>
      <w:r>
        <w:rPr>
          <w:rFonts w:ascii="Book Antiqua" w:eastAsia="宋体" w:hAnsi="Book Antiqua" w:hint="eastAsia"/>
          <w:lang w:eastAsia="zh-CN"/>
        </w:rPr>
        <w:t>:</w:t>
      </w:r>
      <w:r w:rsidRPr="0055452D">
        <w:rPr>
          <w:rFonts w:ascii="Book Antiqua" w:hAnsi="Book Antiqua"/>
        </w:rPr>
        <w:t xml:space="preserve"> Orthotopic liver transplantation; LDLT</w:t>
      </w:r>
      <w:r>
        <w:rPr>
          <w:rFonts w:ascii="Book Antiqua" w:eastAsia="宋体" w:hAnsi="Book Antiqua" w:hint="eastAsia"/>
          <w:lang w:eastAsia="zh-CN"/>
        </w:rPr>
        <w:t>:</w:t>
      </w:r>
      <w:r w:rsidRPr="0055452D">
        <w:rPr>
          <w:rFonts w:ascii="Book Antiqua" w:hAnsi="Book Antiqua"/>
        </w:rPr>
        <w:t xml:space="preserve"> Living donor liver transplantation; RBC</w:t>
      </w:r>
      <w:r>
        <w:rPr>
          <w:rFonts w:ascii="Book Antiqua" w:eastAsia="宋体" w:hAnsi="Book Antiqua" w:hint="eastAsia"/>
          <w:lang w:eastAsia="zh-CN"/>
        </w:rPr>
        <w:t>:</w:t>
      </w:r>
      <w:r w:rsidRPr="0055452D">
        <w:rPr>
          <w:rFonts w:ascii="Book Antiqua" w:hAnsi="Book Antiqua"/>
        </w:rPr>
        <w:t xml:space="preserve"> Red blood cells; GI</w:t>
      </w:r>
      <w:r>
        <w:rPr>
          <w:rFonts w:ascii="Book Antiqua" w:eastAsia="宋体" w:hAnsi="Book Antiqua" w:hint="eastAsia"/>
          <w:lang w:eastAsia="zh-CN"/>
        </w:rPr>
        <w:t>:</w:t>
      </w:r>
      <w:r w:rsidRPr="0055452D">
        <w:rPr>
          <w:rFonts w:ascii="Book Antiqua" w:hAnsi="Book Antiqua"/>
        </w:rPr>
        <w:t xml:space="preserve"> Gastrointestinal; RUQ</w:t>
      </w:r>
      <w:r>
        <w:rPr>
          <w:rFonts w:ascii="Book Antiqua" w:eastAsia="宋体" w:hAnsi="Book Antiqua" w:hint="eastAsia"/>
          <w:lang w:eastAsia="zh-CN"/>
        </w:rPr>
        <w:t>:</w:t>
      </w:r>
      <w:r w:rsidRPr="0055452D">
        <w:rPr>
          <w:rFonts w:ascii="Book Antiqua" w:hAnsi="Book Antiqua"/>
        </w:rPr>
        <w:t xml:space="preserve"> Right upper quadrant; UNOS</w:t>
      </w:r>
      <w:r>
        <w:rPr>
          <w:rFonts w:ascii="Book Antiqua" w:eastAsia="宋体" w:hAnsi="Book Antiqua" w:hint="eastAsia"/>
          <w:lang w:eastAsia="zh-CN"/>
        </w:rPr>
        <w:t>:</w:t>
      </w:r>
      <w:r w:rsidRPr="0055452D">
        <w:rPr>
          <w:rFonts w:ascii="Book Antiqua" w:hAnsi="Book Antiqua"/>
        </w:rPr>
        <w:t xml:space="preserve"> United Network for Organ Sharing; INR</w:t>
      </w:r>
      <w:r>
        <w:rPr>
          <w:rFonts w:ascii="Book Antiqua" w:eastAsia="宋体" w:hAnsi="Book Antiqua" w:hint="eastAsia"/>
          <w:lang w:eastAsia="zh-CN"/>
        </w:rPr>
        <w:t>:</w:t>
      </w:r>
      <w:r w:rsidRPr="0055452D">
        <w:rPr>
          <w:rFonts w:ascii="Book Antiqua" w:hAnsi="Book Antiqua"/>
        </w:rPr>
        <w:t xml:space="preserve"> International normalized ratio for prothrombin activity; FFP</w:t>
      </w:r>
      <w:r>
        <w:rPr>
          <w:rFonts w:ascii="Book Antiqua" w:eastAsia="宋体" w:hAnsi="Book Antiqua" w:hint="eastAsia"/>
          <w:lang w:eastAsia="zh-CN"/>
        </w:rPr>
        <w:t>:</w:t>
      </w:r>
      <w:r w:rsidRPr="0055452D">
        <w:rPr>
          <w:rFonts w:ascii="Book Antiqua" w:hAnsi="Book Antiqua"/>
        </w:rPr>
        <w:t xml:space="preserve"> Fresh frozen plasma; Hct</w:t>
      </w:r>
      <w:r>
        <w:rPr>
          <w:rFonts w:ascii="Book Antiqua" w:eastAsia="宋体" w:hAnsi="Book Antiqua" w:hint="eastAsia"/>
          <w:lang w:eastAsia="zh-CN"/>
        </w:rPr>
        <w:t>:</w:t>
      </w:r>
      <w:r w:rsidRPr="0055452D">
        <w:rPr>
          <w:rFonts w:ascii="Book Antiqua" w:hAnsi="Book Antiqua"/>
        </w:rPr>
        <w:t xml:space="preserve"> Hematocrit; Hb</w:t>
      </w:r>
      <w:r>
        <w:rPr>
          <w:rFonts w:ascii="Book Antiqua" w:eastAsia="宋体" w:hAnsi="Book Antiqua" w:hint="eastAsia"/>
          <w:lang w:eastAsia="zh-CN"/>
        </w:rPr>
        <w:t>:</w:t>
      </w:r>
      <w:r w:rsidRPr="0055452D">
        <w:rPr>
          <w:rFonts w:ascii="Book Antiqua" w:hAnsi="Book Antiqua"/>
        </w:rPr>
        <w:t xml:space="preserve"> Hemoglobin; PT</w:t>
      </w:r>
      <w:r>
        <w:rPr>
          <w:rFonts w:ascii="Book Antiqua" w:eastAsia="宋体" w:hAnsi="Book Antiqua" w:hint="eastAsia"/>
          <w:lang w:eastAsia="zh-CN"/>
        </w:rPr>
        <w:t>:</w:t>
      </w:r>
      <w:r w:rsidRPr="0055452D">
        <w:rPr>
          <w:rFonts w:ascii="Book Antiqua" w:hAnsi="Book Antiqua"/>
        </w:rPr>
        <w:t xml:space="preserve"> Prothrombin time; MELD</w:t>
      </w:r>
      <w:r>
        <w:rPr>
          <w:rFonts w:ascii="Book Antiqua" w:eastAsia="宋体" w:hAnsi="Book Antiqua" w:hint="eastAsia"/>
          <w:lang w:eastAsia="zh-CN"/>
        </w:rPr>
        <w:t>:</w:t>
      </w:r>
      <w:r w:rsidRPr="0055452D">
        <w:rPr>
          <w:rFonts w:ascii="Book Antiqua" w:hAnsi="Book Antiqua"/>
        </w:rPr>
        <w:t xml:space="preserve"> Model for End-Stage Liver Disease</w:t>
      </w:r>
      <w:r>
        <w:rPr>
          <w:rFonts w:ascii="Book Antiqua" w:eastAsia="宋体" w:hAnsi="Book Antiqua" w:hint="eastAsia"/>
          <w:lang w:eastAsia="zh-CN"/>
        </w:rPr>
        <w:t>.</w:t>
      </w:r>
    </w:p>
    <w:p w14:paraId="76446525" w14:textId="77777777" w:rsidR="000115FE" w:rsidRPr="0055452D" w:rsidRDefault="000115FE" w:rsidP="000115FE">
      <w:pPr>
        <w:widowControl w:val="0"/>
        <w:autoSpaceDE w:val="0"/>
        <w:autoSpaceDN w:val="0"/>
        <w:adjustRightInd w:val="0"/>
        <w:spacing w:line="360" w:lineRule="auto"/>
        <w:jc w:val="both"/>
        <w:rPr>
          <w:rFonts w:ascii="Book Antiqua" w:eastAsia="宋体" w:hAnsi="Book Antiqua"/>
          <w:lang w:eastAsia="zh-CN"/>
        </w:rPr>
      </w:pPr>
    </w:p>
    <w:p w14:paraId="401CA8EB" w14:textId="77777777" w:rsidR="00676839" w:rsidRPr="000115FE" w:rsidRDefault="00676839" w:rsidP="00676839">
      <w:pPr>
        <w:widowControl w:val="0"/>
        <w:autoSpaceDE w:val="0"/>
        <w:autoSpaceDN w:val="0"/>
        <w:adjustRightInd w:val="0"/>
        <w:spacing w:line="360" w:lineRule="auto"/>
        <w:jc w:val="both"/>
        <w:rPr>
          <w:rFonts w:ascii="Book Antiqua" w:hAnsi="Book Antiqua"/>
          <w:b/>
        </w:rPr>
      </w:pPr>
    </w:p>
    <w:p w14:paraId="15E2C2B8" w14:textId="4CDEF425" w:rsidR="002A30AF" w:rsidRPr="00676839" w:rsidRDefault="002A30AF" w:rsidP="00884A81">
      <w:pPr>
        <w:widowControl w:val="0"/>
        <w:autoSpaceDE w:val="0"/>
        <w:autoSpaceDN w:val="0"/>
        <w:adjustRightInd w:val="0"/>
        <w:spacing w:line="360" w:lineRule="auto"/>
        <w:jc w:val="both"/>
        <w:rPr>
          <w:rFonts w:ascii="Book Antiqua" w:hAnsi="Book Antiqua"/>
        </w:rPr>
      </w:pPr>
    </w:p>
    <w:sectPr w:rsidR="002A30AF" w:rsidRPr="00676839" w:rsidSect="00D06515">
      <w:headerReference w:type="default" r:id="rId11"/>
      <w:footerReference w:type="default" r:id="rId12"/>
      <w:headerReference w:type="first" r:id="rId13"/>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5DDBB" w15:done="0"/>
  <w15:commentEx w15:paraId="6DA6F588" w15:done="0"/>
  <w15:commentEx w15:paraId="407D2C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42CE0" w14:textId="77777777" w:rsidR="00A536B4" w:rsidRDefault="00A536B4" w:rsidP="00D06515">
      <w:r>
        <w:separator/>
      </w:r>
    </w:p>
  </w:endnote>
  <w:endnote w:type="continuationSeparator" w:id="0">
    <w:p w14:paraId="339111EF" w14:textId="77777777" w:rsidR="00A536B4" w:rsidRDefault="00A536B4" w:rsidP="00D0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E5DE" w14:textId="0A083066" w:rsidR="00EA4568" w:rsidRDefault="00EA4568">
    <w:pPr>
      <w:pStyle w:val="Footer"/>
    </w:pPr>
  </w:p>
  <w:p w14:paraId="59FB8204" w14:textId="77777777" w:rsidR="00EA4568" w:rsidRDefault="00EA4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BE71" w14:textId="77777777" w:rsidR="00A536B4" w:rsidRDefault="00A536B4" w:rsidP="00D06515">
      <w:r>
        <w:separator/>
      </w:r>
    </w:p>
  </w:footnote>
  <w:footnote w:type="continuationSeparator" w:id="0">
    <w:p w14:paraId="3149CF74" w14:textId="77777777" w:rsidR="00A536B4" w:rsidRDefault="00A536B4" w:rsidP="00D065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E065" w14:textId="7735724C" w:rsidR="00EA4568" w:rsidRDefault="00EA4568" w:rsidP="00D06515">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6343" w14:textId="53D32702" w:rsidR="00EA4568" w:rsidRDefault="00EA4568" w:rsidP="00D0651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40F2"/>
    <w:multiLevelType w:val="multilevel"/>
    <w:tmpl w:val="85908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AF"/>
    <w:rsid w:val="000022B9"/>
    <w:rsid w:val="0000326F"/>
    <w:rsid w:val="0000351E"/>
    <w:rsid w:val="0000620A"/>
    <w:rsid w:val="00010C30"/>
    <w:rsid w:val="000115FE"/>
    <w:rsid w:val="000122D5"/>
    <w:rsid w:val="0001384D"/>
    <w:rsid w:val="00015A4C"/>
    <w:rsid w:val="0002038E"/>
    <w:rsid w:val="00022830"/>
    <w:rsid w:val="00034F22"/>
    <w:rsid w:val="00061761"/>
    <w:rsid w:val="00061895"/>
    <w:rsid w:val="00061E97"/>
    <w:rsid w:val="00062ED4"/>
    <w:rsid w:val="000634BA"/>
    <w:rsid w:val="00070FAE"/>
    <w:rsid w:val="000749ED"/>
    <w:rsid w:val="00091844"/>
    <w:rsid w:val="000A0723"/>
    <w:rsid w:val="000A5264"/>
    <w:rsid w:val="000B3062"/>
    <w:rsid w:val="000B5C72"/>
    <w:rsid w:val="000C2CCB"/>
    <w:rsid w:val="000D17F8"/>
    <w:rsid w:val="000D2F02"/>
    <w:rsid w:val="000F0F2B"/>
    <w:rsid w:val="00103A85"/>
    <w:rsid w:val="0010401A"/>
    <w:rsid w:val="00110CF0"/>
    <w:rsid w:val="00114AAF"/>
    <w:rsid w:val="0014311C"/>
    <w:rsid w:val="001478B0"/>
    <w:rsid w:val="00155D5F"/>
    <w:rsid w:val="001567CB"/>
    <w:rsid w:val="00166C48"/>
    <w:rsid w:val="00173A15"/>
    <w:rsid w:val="00175DD0"/>
    <w:rsid w:val="0019162E"/>
    <w:rsid w:val="00192AE7"/>
    <w:rsid w:val="00194A54"/>
    <w:rsid w:val="00194C08"/>
    <w:rsid w:val="001A1E0F"/>
    <w:rsid w:val="001A596B"/>
    <w:rsid w:val="001A7373"/>
    <w:rsid w:val="001B2D60"/>
    <w:rsid w:val="001C237F"/>
    <w:rsid w:val="001D6DC4"/>
    <w:rsid w:val="001F0FC6"/>
    <w:rsid w:val="001F3C79"/>
    <w:rsid w:val="00200544"/>
    <w:rsid w:val="00200BBE"/>
    <w:rsid w:val="00211AC2"/>
    <w:rsid w:val="00217BDC"/>
    <w:rsid w:val="00223384"/>
    <w:rsid w:val="00223708"/>
    <w:rsid w:val="00234BEF"/>
    <w:rsid w:val="00235609"/>
    <w:rsid w:val="002545FD"/>
    <w:rsid w:val="002548AA"/>
    <w:rsid w:val="0025525D"/>
    <w:rsid w:val="002606C0"/>
    <w:rsid w:val="00260C0C"/>
    <w:rsid w:val="0027182D"/>
    <w:rsid w:val="0028260B"/>
    <w:rsid w:val="00284355"/>
    <w:rsid w:val="00285D04"/>
    <w:rsid w:val="00286155"/>
    <w:rsid w:val="0029307E"/>
    <w:rsid w:val="0029435D"/>
    <w:rsid w:val="0029483E"/>
    <w:rsid w:val="00294F71"/>
    <w:rsid w:val="00295B37"/>
    <w:rsid w:val="002A30AF"/>
    <w:rsid w:val="002A4A85"/>
    <w:rsid w:val="002B5D5D"/>
    <w:rsid w:val="002D4976"/>
    <w:rsid w:val="002E3D4C"/>
    <w:rsid w:val="002E73EA"/>
    <w:rsid w:val="00310921"/>
    <w:rsid w:val="003110DA"/>
    <w:rsid w:val="003163A6"/>
    <w:rsid w:val="00323442"/>
    <w:rsid w:val="00323581"/>
    <w:rsid w:val="00330953"/>
    <w:rsid w:val="00334A0B"/>
    <w:rsid w:val="003416CF"/>
    <w:rsid w:val="00373053"/>
    <w:rsid w:val="0038081E"/>
    <w:rsid w:val="00382320"/>
    <w:rsid w:val="00384085"/>
    <w:rsid w:val="003844A6"/>
    <w:rsid w:val="00395174"/>
    <w:rsid w:val="003A05B4"/>
    <w:rsid w:val="003B2D80"/>
    <w:rsid w:val="003B41BA"/>
    <w:rsid w:val="003B768F"/>
    <w:rsid w:val="003C0B00"/>
    <w:rsid w:val="003C702A"/>
    <w:rsid w:val="003E1747"/>
    <w:rsid w:val="003E2CBD"/>
    <w:rsid w:val="003F1924"/>
    <w:rsid w:val="003F4D14"/>
    <w:rsid w:val="00402850"/>
    <w:rsid w:val="00426F28"/>
    <w:rsid w:val="00434549"/>
    <w:rsid w:val="00443475"/>
    <w:rsid w:val="0044520C"/>
    <w:rsid w:val="004519EF"/>
    <w:rsid w:val="0045485A"/>
    <w:rsid w:val="004574AB"/>
    <w:rsid w:val="00470025"/>
    <w:rsid w:val="00473170"/>
    <w:rsid w:val="00474CCA"/>
    <w:rsid w:val="0048124A"/>
    <w:rsid w:val="004821C6"/>
    <w:rsid w:val="004832A2"/>
    <w:rsid w:val="00486DC1"/>
    <w:rsid w:val="0049481E"/>
    <w:rsid w:val="00497124"/>
    <w:rsid w:val="004A6DB7"/>
    <w:rsid w:val="004B0EED"/>
    <w:rsid w:val="004C1CE5"/>
    <w:rsid w:val="004C31CC"/>
    <w:rsid w:val="004C4F3B"/>
    <w:rsid w:val="004C6919"/>
    <w:rsid w:val="00502290"/>
    <w:rsid w:val="005045D0"/>
    <w:rsid w:val="00506E61"/>
    <w:rsid w:val="005150C8"/>
    <w:rsid w:val="00515C8D"/>
    <w:rsid w:val="00526550"/>
    <w:rsid w:val="0053544E"/>
    <w:rsid w:val="00535F47"/>
    <w:rsid w:val="00541444"/>
    <w:rsid w:val="00543519"/>
    <w:rsid w:val="00543A4A"/>
    <w:rsid w:val="00546711"/>
    <w:rsid w:val="005506BE"/>
    <w:rsid w:val="00551874"/>
    <w:rsid w:val="00553268"/>
    <w:rsid w:val="00554E99"/>
    <w:rsid w:val="00564607"/>
    <w:rsid w:val="0056570D"/>
    <w:rsid w:val="00567883"/>
    <w:rsid w:val="005679CD"/>
    <w:rsid w:val="00585503"/>
    <w:rsid w:val="00594794"/>
    <w:rsid w:val="00594937"/>
    <w:rsid w:val="005B0A14"/>
    <w:rsid w:val="005B3A6A"/>
    <w:rsid w:val="005B5EBF"/>
    <w:rsid w:val="005B64EF"/>
    <w:rsid w:val="005D0BDA"/>
    <w:rsid w:val="005D0CD1"/>
    <w:rsid w:val="005E1FB3"/>
    <w:rsid w:val="005E3686"/>
    <w:rsid w:val="005E489C"/>
    <w:rsid w:val="005E7658"/>
    <w:rsid w:val="005E7BCA"/>
    <w:rsid w:val="005F606B"/>
    <w:rsid w:val="005F783F"/>
    <w:rsid w:val="00604803"/>
    <w:rsid w:val="00606A2B"/>
    <w:rsid w:val="006070A8"/>
    <w:rsid w:val="006216F7"/>
    <w:rsid w:val="00625979"/>
    <w:rsid w:val="00625D95"/>
    <w:rsid w:val="00631AA2"/>
    <w:rsid w:val="00631B68"/>
    <w:rsid w:val="00636B2A"/>
    <w:rsid w:val="00643C2B"/>
    <w:rsid w:val="00646EB4"/>
    <w:rsid w:val="006479FD"/>
    <w:rsid w:val="00654CAF"/>
    <w:rsid w:val="00656032"/>
    <w:rsid w:val="00657844"/>
    <w:rsid w:val="00663460"/>
    <w:rsid w:val="00664588"/>
    <w:rsid w:val="00665D35"/>
    <w:rsid w:val="00674559"/>
    <w:rsid w:val="00676839"/>
    <w:rsid w:val="00682324"/>
    <w:rsid w:val="0069296E"/>
    <w:rsid w:val="00694227"/>
    <w:rsid w:val="006C04D7"/>
    <w:rsid w:val="006C1940"/>
    <w:rsid w:val="006C2FF4"/>
    <w:rsid w:val="006C4AA2"/>
    <w:rsid w:val="006C5B1B"/>
    <w:rsid w:val="006C7E0E"/>
    <w:rsid w:val="006D0622"/>
    <w:rsid w:val="006D13D3"/>
    <w:rsid w:val="006D2981"/>
    <w:rsid w:val="006D6B61"/>
    <w:rsid w:val="006D6E97"/>
    <w:rsid w:val="006D7B6D"/>
    <w:rsid w:val="006E0F7C"/>
    <w:rsid w:val="006F5A1C"/>
    <w:rsid w:val="0070656E"/>
    <w:rsid w:val="00706872"/>
    <w:rsid w:val="00707745"/>
    <w:rsid w:val="00712DBF"/>
    <w:rsid w:val="00713B5B"/>
    <w:rsid w:val="0071422F"/>
    <w:rsid w:val="00722126"/>
    <w:rsid w:val="00732EA4"/>
    <w:rsid w:val="0073668D"/>
    <w:rsid w:val="00741B74"/>
    <w:rsid w:val="00743536"/>
    <w:rsid w:val="00745028"/>
    <w:rsid w:val="007612E8"/>
    <w:rsid w:val="007662D1"/>
    <w:rsid w:val="007751DE"/>
    <w:rsid w:val="00786A11"/>
    <w:rsid w:val="00790C51"/>
    <w:rsid w:val="00793002"/>
    <w:rsid w:val="007961A2"/>
    <w:rsid w:val="007A164C"/>
    <w:rsid w:val="007A255A"/>
    <w:rsid w:val="007A7E9C"/>
    <w:rsid w:val="007B62D7"/>
    <w:rsid w:val="007B63C4"/>
    <w:rsid w:val="007C0213"/>
    <w:rsid w:val="007C5F60"/>
    <w:rsid w:val="007D0B19"/>
    <w:rsid w:val="007E525F"/>
    <w:rsid w:val="007E6418"/>
    <w:rsid w:val="00801DC6"/>
    <w:rsid w:val="00807DB4"/>
    <w:rsid w:val="00823252"/>
    <w:rsid w:val="00835EF8"/>
    <w:rsid w:val="008362F8"/>
    <w:rsid w:val="00840C64"/>
    <w:rsid w:val="008414CB"/>
    <w:rsid w:val="008416B7"/>
    <w:rsid w:val="00863E6C"/>
    <w:rsid w:val="00864269"/>
    <w:rsid w:val="00865CEB"/>
    <w:rsid w:val="00875C6B"/>
    <w:rsid w:val="008819E6"/>
    <w:rsid w:val="00884A81"/>
    <w:rsid w:val="00884AD2"/>
    <w:rsid w:val="00890AB7"/>
    <w:rsid w:val="0089129A"/>
    <w:rsid w:val="008918EE"/>
    <w:rsid w:val="008A660C"/>
    <w:rsid w:val="008B2D8E"/>
    <w:rsid w:val="008B38E2"/>
    <w:rsid w:val="008C5897"/>
    <w:rsid w:val="008F6787"/>
    <w:rsid w:val="00902008"/>
    <w:rsid w:val="00915B70"/>
    <w:rsid w:val="009178ED"/>
    <w:rsid w:val="0092178E"/>
    <w:rsid w:val="00934251"/>
    <w:rsid w:val="009541C7"/>
    <w:rsid w:val="00960D32"/>
    <w:rsid w:val="00966912"/>
    <w:rsid w:val="00970FA2"/>
    <w:rsid w:val="0097284C"/>
    <w:rsid w:val="00980815"/>
    <w:rsid w:val="00980C44"/>
    <w:rsid w:val="00980CE3"/>
    <w:rsid w:val="009868ED"/>
    <w:rsid w:val="00990D51"/>
    <w:rsid w:val="00996FAF"/>
    <w:rsid w:val="009A5C71"/>
    <w:rsid w:val="009C0943"/>
    <w:rsid w:val="009D1839"/>
    <w:rsid w:val="009D54FC"/>
    <w:rsid w:val="009E0F7B"/>
    <w:rsid w:val="009E5AAC"/>
    <w:rsid w:val="009F01D2"/>
    <w:rsid w:val="009F20FD"/>
    <w:rsid w:val="00A01B1A"/>
    <w:rsid w:val="00A050D5"/>
    <w:rsid w:val="00A13124"/>
    <w:rsid w:val="00A175F8"/>
    <w:rsid w:val="00A176CB"/>
    <w:rsid w:val="00A33C12"/>
    <w:rsid w:val="00A46865"/>
    <w:rsid w:val="00A5196B"/>
    <w:rsid w:val="00A536B4"/>
    <w:rsid w:val="00A60D5D"/>
    <w:rsid w:val="00A62B05"/>
    <w:rsid w:val="00A70988"/>
    <w:rsid w:val="00A72594"/>
    <w:rsid w:val="00AA18B4"/>
    <w:rsid w:val="00AA370A"/>
    <w:rsid w:val="00AB0B93"/>
    <w:rsid w:val="00AB104D"/>
    <w:rsid w:val="00AC6655"/>
    <w:rsid w:val="00AD01A0"/>
    <w:rsid w:val="00AD756C"/>
    <w:rsid w:val="00AE70C8"/>
    <w:rsid w:val="00AE73D3"/>
    <w:rsid w:val="00AF2A9C"/>
    <w:rsid w:val="00AF2B32"/>
    <w:rsid w:val="00AF56F7"/>
    <w:rsid w:val="00B012CB"/>
    <w:rsid w:val="00B0258E"/>
    <w:rsid w:val="00B056C9"/>
    <w:rsid w:val="00B24DD4"/>
    <w:rsid w:val="00B255FF"/>
    <w:rsid w:val="00B417C9"/>
    <w:rsid w:val="00B555AE"/>
    <w:rsid w:val="00B61E9A"/>
    <w:rsid w:val="00B64DF4"/>
    <w:rsid w:val="00B778B1"/>
    <w:rsid w:val="00B81ADB"/>
    <w:rsid w:val="00B837AF"/>
    <w:rsid w:val="00B90E61"/>
    <w:rsid w:val="00B95039"/>
    <w:rsid w:val="00BB2339"/>
    <w:rsid w:val="00BB4346"/>
    <w:rsid w:val="00BB4C1F"/>
    <w:rsid w:val="00BB6966"/>
    <w:rsid w:val="00BC0956"/>
    <w:rsid w:val="00BC7773"/>
    <w:rsid w:val="00BD29B5"/>
    <w:rsid w:val="00BE46FB"/>
    <w:rsid w:val="00BE5288"/>
    <w:rsid w:val="00C02D59"/>
    <w:rsid w:val="00C22B86"/>
    <w:rsid w:val="00C24346"/>
    <w:rsid w:val="00C454FD"/>
    <w:rsid w:val="00C526C6"/>
    <w:rsid w:val="00C55BF3"/>
    <w:rsid w:val="00C56D38"/>
    <w:rsid w:val="00C62D67"/>
    <w:rsid w:val="00C755EB"/>
    <w:rsid w:val="00C76881"/>
    <w:rsid w:val="00C77A1C"/>
    <w:rsid w:val="00C8118D"/>
    <w:rsid w:val="00C913E0"/>
    <w:rsid w:val="00CA0309"/>
    <w:rsid w:val="00CB0CB1"/>
    <w:rsid w:val="00CB3456"/>
    <w:rsid w:val="00CB41F6"/>
    <w:rsid w:val="00CC236F"/>
    <w:rsid w:val="00CC5676"/>
    <w:rsid w:val="00CE2CAC"/>
    <w:rsid w:val="00CE3550"/>
    <w:rsid w:val="00CE77AD"/>
    <w:rsid w:val="00CE78F6"/>
    <w:rsid w:val="00CF2492"/>
    <w:rsid w:val="00D06515"/>
    <w:rsid w:val="00D12762"/>
    <w:rsid w:val="00D212F0"/>
    <w:rsid w:val="00D23FD2"/>
    <w:rsid w:val="00D3357F"/>
    <w:rsid w:val="00D400D4"/>
    <w:rsid w:val="00D66D19"/>
    <w:rsid w:val="00D70D9D"/>
    <w:rsid w:val="00D72418"/>
    <w:rsid w:val="00D77247"/>
    <w:rsid w:val="00D85B48"/>
    <w:rsid w:val="00DA3D67"/>
    <w:rsid w:val="00DA465A"/>
    <w:rsid w:val="00DA60AD"/>
    <w:rsid w:val="00DD4391"/>
    <w:rsid w:val="00DD5C14"/>
    <w:rsid w:val="00DE14B1"/>
    <w:rsid w:val="00DE7392"/>
    <w:rsid w:val="00DF2EFF"/>
    <w:rsid w:val="00E00569"/>
    <w:rsid w:val="00E00A07"/>
    <w:rsid w:val="00E03242"/>
    <w:rsid w:val="00E1446E"/>
    <w:rsid w:val="00E170B7"/>
    <w:rsid w:val="00E21612"/>
    <w:rsid w:val="00E223B0"/>
    <w:rsid w:val="00E26F80"/>
    <w:rsid w:val="00E27A77"/>
    <w:rsid w:val="00E30F7B"/>
    <w:rsid w:val="00E37C65"/>
    <w:rsid w:val="00E445C7"/>
    <w:rsid w:val="00E46376"/>
    <w:rsid w:val="00E522F6"/>
    <w:rsid w:val="00E64179"/>
    <w:rsid w:val="00E647B2"/>
    <w:rsid w:val="00E65192"/>
    <w:rsid w:val="00E72C5A"/>
    <w:rsid w:val="00E7752F"/>
    <w:rsid w:val="00E84CD7"/>
    <w:rsid w:val="00E912E6"/>
    <w:rsid w:val="00E9673B"/>
    <w:rsid w:val="00EA0591"/>
    <w:rsid w:val="00EA175C"/>
    <w:rsid w:val="00EA4568"/>
    <w:rsid w:val="00EA752B"/>
    <w:rsid w:val="00EA7E47"/>
    <w:rsid w:val="00EA7F85"/>
    <w:rsid w:val="00EB5B11"/>
    <w:rsid w:val="00EC0C02"/>
    <w:rsid w:val="00ED443B"/>
    <w:rsid w:val="00ED65A1"/>
    <w:rsid w:val="00EE464B"/>
    <w:rsid w:val="00EF19C3"/>
    <w:rsid w:val="00EF4209"/>
    <w:rsid w:val="00EF78A5"/>
    <w:rsid w:val="00F004B5"/>
    <w:rsid w:val="00F009FF"/>
    <w:rsid w:val="00F018C9"/>
    <w:rsid w:val="00F0372E"/>
    <w:rsid w:val="00F07240"/>
    <w:rsid w:val="00F121E1"/>
    <w:rsid w:val="00F216E1"/>
    <w:rsid w:val="00F2352D"/>
    <w:rsid w:val="00F270FA"/>
    <w:rsid w:val="00F31CAA"/>
    <w:rsid w:val="00F33873"/>
    <w:rsid w:val="00F41884"/>
    <w:rsid w:val="00F47730"/>
    <w:rsid w:val="00F5671E"/>
    <w:rsid w:val="00F67C02"/>
    <w:rsid w:val="00F8010F"/>
    <w:rsid w:val="00F81D77"/>
    <w:rsid w:val="00F83AE4"/>
    <w:rsid w:val="00F904C0"/>
    <w:rsid w:val="00F930F1"/>
    <w:rsid w:val="00F95555"/>
    <w:rsid w:val="00F9695C"/>
    <w:rsid w:val="00F9796A"/>
    <w:rsid w:val="00FA2931"/>
    <w:rsid w:val="00FC0149"/>
    <w:rsid w:val="00FC2BF6"/>
    <w:rsid w:val="00FC4029"/>
    <w:rsid w:val="00FC452F"/>
    <w:rsid w:val="00FC73A3"/>
    <w:rsid w:val="00FC7C75"/>
    <w:rsid w:val="00FE1759"/>
    <w:rsid w:val="00FE4964"/>
    <w:rsid w:val="00FF4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B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0A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574AB"/>
    <w:pPr>
      <w:ind w:left="720"/>
      <w:contextualSpacing/>
    </w:pPr>
  </w:style>
  <w:style w:type="paragraph" w:styleId="BalloonText">
    <w:name w:val="Balloon Text"/>
    <w:basedOn w:val="Normal"/>
    <w:link w:val="BalloonTextChar"/>
    <w:uiPriority w:val="99"/>
    <w:semiHidden/>
    <w:unhideWhenUsed/>
    <w:rsid w:val="000D1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7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4803"/>
    <w:rPr>
      <w:sz w:val="18"/>
      <w:szCs w:val="18"/>
    </w:rPr>
  </w:style>
  <w:style w:type="paragraph" w:styleId="CommentText">
    <w:name w:val="annotation text"/>
    <w:basedOn w:val="Normal"/>
    <w:link w:val="CommentTextChar"/>
    <w:uiPriority w:val="99"/>
    <w:semiHidden/>
    <w:unhideWhenUsed/>
    <w:rsid w:val="00604803"/>
  </w:style>
  <w:style w:type="character" w:customStyle="1" w:styleId="CommentTextChar">
    <w:name w:val="Comment Text Char"/>
    <w:basedOn w:val="DefaultParagraphFont"/>
    <w:link w:val="CommentText"/>
    <w:uiPriority w:val="99"/>
    <w:semiHidden/>
    <w:rsid w:val="00604803"/>
  </w:style>
  <w:style w:type="paragraph" w:styleId="CommentSubject">
    <w:name w:val="annotation subject"/>
    <w:basedOn w:val="CommentText"/>
    <w:next w:val="CommentText"/>
    <w:link w:val="CommentSubjectChar"/>
    <w:uiPriority w:val="99"/>
    <w:semiHidden/>
    <w:unhideWhenUsed/>
    <w:rsid w:val="00604803"/>
    <w:rPr>
      <w:b/>
      <w:bCs/>
      <w:sz w:val="20"/>
      <w:szCs w:val="20"/>
    </w:rPr>
  </w:style>
  <w:style w:type="character" w:customStyle="1" w:styleId="CommentSubjectChar">
    <w:name w:val="Comment Subject Char"/>
    <w:basedOn w:val="CommentTextChar"/>
    <w:link w:val="CommentSubject"/>
    <w:uiPriority w:val="99"/>
    <w:semiHidden/>
    <w:rsid w:val="00604803"/>
    <w:rPr>
      <w:b/>
      <w:bCs/>
      <w:sz w:val="20"/>
      <w:szCs w:val="20"/>
    </w:rPr>
  </w:style>
  <w:style w:type="paragraph" w:styleId="Revision">
    <w:name w:val="Revision"/>
    <w:hidden/>
    <w:uiPriority w:val="99"/>
    <w:semiHidden/>
    <w:rsid w:val="00674559"/>
  </w:style>
  <w:style w:type="character" w:styleId="Hyperlink">
    <w:name w:val="Hyperlink"/>
    <w:basedOn w:val="DefaultParagraphFont"/>
    <w:uiPriority w:val="99"/>
    <w:unhideWhenUsed/>
    <w:rsid w:val="00E00A07"/>
    <w:rPr>
      <w:color w:val="0000FF" w:themeColor="hyperlink"/>
      <w:u w:val="single"/>
    </w:rPr>
  </w:style>
  <w:style w:type="paragraph" w:styleId="Header">
    <w:name w:val="header"/>
    <w:basedOn w:val="Normal"/>
    <w:link w:val="HeaderChar"/>
    <w:uiPriority w:val="99"/>
    <w:unhideWhenUsed/>
    <w:rsid w:val="00D06515"/>
    <w:pPr>
      <w:tabs>
        <w:tab w:val="center" w:pos="4680"/>
        <w:tab w:val="right" w:pos="9360"/>
      </w:tabs>
    </w:pPr>
  </w:style>
  <w:style w:type="character" w:customStyle="1" w:styleId="HeaderChar">
    <w:name w:val="Header Char"/>
    <w:basedOn w:val="DefaultParagraphFont"/>
    <w:link w:val="Header"/>
    <w:uiPriority w:val="99"/>
    <w:rsid w:val="00D06515"/>
  </w:style>
  <w:style w:type="paragraph" w:styleId="Footer">
    <w:name w:val="footer"/>
    <w:basedOn w:val="Normal"/>
    <w:link w:val="FooterChar"/>
    <w:uiPriority w:val="99"/>
    <w:unhideWhenUsed/>
    <w:rsid w:val="00D06515"/>
    <w:pPr>
      <w:tabs>
        <w:tab w:val="center" w:pos="4680"/>
        <w:tab w:val="right" w:pos="9360"/>
      </w:tabs>
    </w:pPr>
  </w:style>
  <w:style w:type="character" w:customStyle="1" w:styleId="FooterChar">
    <w:name w:val="Footer Char"/>
    <w:basedOn w:val="DefaultParagraphFont"/>
    <w:link w:val="Footer"/>
    <w:uiPriority w:val="99"/>
    <w:rsid w:val="00D06515"/>
  </w:style>
  <w:style w:type="table" w:styleId="TableGrid">
    <w:name w:val="Table Grid"/>
    <w:basedOn w:val="TableNormal"/>
    <w:uiPriority w:val="59"/>
    <w:rsid w:val="000115F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15FE"/>
    <w:pPr>
      <w:spacing w:after="200"/>
    </w:pPr>
    <w:rPr>
      <w:b/>
      <w:bCs/>
      <w:color w:val="4F81BD" w:themeColor="accent1"/>
      <w:sz w:val="18"/>
      <w:szCs w:val="18"/>
      <w:lang w:val="en-US" w:eastAsia="en-US"/>
    </w:rPr>
  </w:style>
  <w:style w:type="character" w:styleId="Emphasis">
    <w:name w:val="Emphasis"/>
    <w:qFormat/>
    <w:rsid w:val="00A33C1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0A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574AB"/>
    <w:pPr>
      <w:ind w:left="720"/>
      <w:contextualSpacing/>
    </w:pPr>
  </w:style>
  <w:style w:type="paragraph" w:styleId="BalloonText">
    <w:name w:val="Balloon Text"/>
    <w:basedOn w:val="Normal"/>
    <w:link w:val="BalloonTextChar"/>
    <w:uiPriority w:val="99"/>
    <w:semiHidden/>
    <w:unhideWhenUsed/>
    <w:rsid w:val="000D1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7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4803"/>
    <w:rPr>
      <w:sz w:val="18"/>
      <w:szCs w:val="18"/>
    </w:rPr>
  </w:style>
  <w:style w:type="paragraph" w:styleId="CommentText">
    <w:name w:val="annotation text"/>
    <w:basedOn w:val="Normal"/>
    <w:link w:val="CommentTextChar"/>
    <w:uiPriority w:val="99"/>
    <w:semiHidden/>
    <w:unhideWhenUsed/>
    <w:rsid w:val="00604803"/>
  </w:style>
  <w:style w:type="character" w:customStyle="1" w:styleId="CommentTextChar">
    <w:name w:val="Comment Text Char"/>
    <w:basedOn w:val="DefaultParagraphFont"/>
    <w:link w:val="CommentText"/>
    <w:uiPriority w:val="99"/>
    <w:semiHidden/>
    <w:rsid w:val="00604803"/>
  </w:style>
  <w:style w:type="paragraph" w:styleId="CommentSubject">
    <w:name w:val="annotation subject"/>
    <w:basedOn w:val="CommentText"/>
    <w:next w:val="CommentText"/>
    <w:link w:val="CommentSubjectChar"/>
    <w:uiPriority w:val="99"/>
    <w:semiHidden/>
    <w:unhideWhenUsed/>
    <w:rsid w:val="00604803"/>
    <w:rPr>
      <w:b/>
      <w:bCs/>
      <w:sz w:val="20"/>
      <w:szCs w:val="20"/>
    </w:rPr>
  </w:style>
  <w:style w:type="character" w:customStyle="1" w:styleId="CommentSubjectChar">
    <w:name w:val="Comment Subject Char"/>
    <w:basedOn w:val="CommentTextChar"/>
    <w:link w:val="CommentSubject"/>
    <w:uiPriority w:val="99"/>
    <w:semiHidden/>
    <w:rsid w:val="00604803"/>
    <w:rPr>
      <w:b/>
      <w:bCs/>
      <w:sz w:val="20"/>
      <w:szCs w:val="20"/>
    </w:rPr>
  </w:style>
  <w:style w:type="paragraph" w:styleId="Revision">
    <w:name w:val="Revision"/>
    <w:hidden/>
    <w:uiPriority w:val="99"/>
    <w:semiHidden/>
    <w:rsid w:val="00674559"/>
  </w:style>
  <w:style w:type="character" w:styleId="Hyperlink">
    <w:name w:val="Hyperlink"/>
    <w:basedOn w:val="DefaultParagraphFont"/>
    <w:uiPriority w:val="99"/>
    <w:unhideWhenUsed/>
    <w:rsid w:val="00E00A07"/>
    <w:rPr>
      <w:color w:val="0000FF" w:themeColor="hyperlink"/>
      <w:u w:val="single"/>
    </w:rPr>
  </w:style>
  <w:style w:type="paragraph" w:styleId="Header">
    <w:name w:val="header"/>
    <w:basedOn w:val="Normal"/>
    <w:link w:val="HeaderChar"/>
    <w:uiPriority w:val="99"/>
    <w:unhideWhenUsed/>
    <w:rsid w:val="00D06515"/>
    <w:pPr>
      <w:tabs>
        <w:tab w:val="center" w:pos="4680"/>
        <w:tab w:val="right" w:pos="9360"/>
      </w:tabs>
    </w:pPr>
  </w:style>
  <w:style w:type="character" w:customStyle="1" w:styleId="HeaderChar">
    <w:name w:val="Header Char"/>
    <w:basedOn w:val="DefaultParagraphFont"/>
    <w:link w:val="Header"/>
    <w:uiPriority w:val="99"/>
    <w:rsid w:val="00D06515"/>
  </w:style>
  <w:style w:type="paragraph" w:styleId="Footer">
    <w:name w:val="footer"/>
    <w:basedOn w:val="Normal"/>
    <w:link w:val="FooterChar"/>
    <w:uiPriority w:val="99"/>
    <w:unhideWhenUsed/>
    <w:rsid w:val="00D06515"/>
    <w:pPr>
      <w:tabs>
        <w:tab w:val="center" w:pos="4680"/>
        <w:tab w:val="right" w:pos="9360"/>
      </w:tabs>
    </w:pPr>
  </w:style>
  <w:style w:type="character" w:customStyle="1" w:styleId="FooterChar">
    <w:name w:val="Footer Char"/>
    <w:basedOn w:val="DefaultParagraphFont"/>
    <w:link w:val="Footer"/>
    <w:uiPriority w:val="99"/>
    <w:rsid w:val="00D06515"/>
  </w:style>
  <w:style w:type="table" w:styleId="TableGrid">
    <w:name w:val="Table Grid"/>
    <w:basedOn w:val="TableNormal"/>
    <w:uiPriority w:val="59"/>
    <w:rsid w:val="000115F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15FE"/>
    <w:pPr>
      <w:spacing w:after="200"/>
    </w:pPr>
    <w:rPr>
      <w:b/>
      <w:bCs/>
      <w:color w:val="4F81BD" w:themeColor="accent1"/>
      <w:sz w:val="18"/>
      <w:szCs w:val="18"/>
      <w:lang w:val="en-US" w:eastAsia="en-US"/>
    </w:rPr>
  </w:style>
  <w:style w:type="character" w:styleId="Emphasis">
    <w:name w:val="Emphasis"/>
    <w:qFormat/>
    <w:rsid w:val="00A33C1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1871">
      <w:bodyDiv w:val="1"/>
      <w:marLeft w:val="0"/>
      <w:marRight w:val="0"/>
      <w:marTop w:val="0"/>
      <w:marBottom w:val="0"/>
      <w:divBdr>
        <w:top w:val="none" w:sz="0" w:space="0" w:color="auto"/>
        <w:left w:val="none" w:sz="0" w:space="0" w:color="auto"/>
        <w:bottom w:val="none" w:sz="0" w:space="0" w:color="auto"/>
        <w:right w:val="none" w:sz="0" w:space="0" w:color="auto"/>
      </w:divBdr>
      <w:divsChild>
        <w:div w:id="1874078904">
          <w:marLeft w:val="0"/>
          <w:marRight w:val="0"/>
          <w:marTop w:val="0"/>
          <w:marBottom w:val="0"/>
          <w:divBdr>
            <w:top w:val="none" w:sz="0" w:space="0" w:color="auto"/>
            <w:left w:val="none" w:sz="0" w:space="0" w:color="auto"/>
            <w:bottom w:val="none" w:sz="0" w:space="0" w:color="auto"/>
            <w:right w:val="none" w:sz="0" w:space="0" w:color="auto"/>
          </w:divBdr>
          <w:divsChild>
            <w:div w:id="876040234">
              <w:marLeft w:val="0"/>
              <w:marRight w:val="0"/>
              <w:marTop w:val="0"/>
              <w:marBottom w:val="0"/>
              <w:divBdr>
                <w:top w:val="none" w:sz="0" w:space="0" w:color="auto"/>
                <w:left w:val="none" w:sz="0" w:space="0" w:color="auto"/>
                <w:bottom w:val="none" w:sz="0" w:space="0" w:color="auto"/>
                <w:right w:val="none" w:sz="0" w:space="0" w:color="auto"/>
              </w:divBdr>
            </w:div>
            <w:div w:id="1792287601">
              <w:marLeft w:val="0"/>
              <w:marRight w:val="0"/>
              <w:marTop w:val="0"/>
              <w:marBottom w:val="0"/>
              <w:divBdr>
                <w:top w:val="none" w:sz="0" w:space="0" w:color="auto"/>
                <w:left w:val="none" w:sz="0" w:space="0" w:color="auto"/>
                <w:bottom w:val="none" w:sz="0" w:space="0" w:color="auto"/>
                <w:right w:val="none" w:sz="0" w:space="0" w:color="auto"/>
              </w:divBdr>
            </w:div>
            <w:div w:id="768425652">
              <w:marLeft w:val="0"/>
              <w:marRight w:val="0"/>
              <w:marTop w:val="0"/>
              <w:marBottom w:val="0"/>
              <w:divBdr>
                <w:top w:val="none" w:sz="0" w:space="0" w:color="auto"/>
                <w:left w:val="none" w:sz="0" w:space="0" w:color="auto"/>
                <w:bottom w:val="none" w:sz="0" w:space="0" w:color="auto"/>
                <w:right w:val="none" w:sz="0" w:space="0" w:color="auto"/>
              </w:divBdr>
            </w:div>
            <w:div w:id="242688727">
              <w:marLeft w:val="0"/>
              <w:marRight w:val="0"/>
              <w:marTop w:val="0"/>
              <w:marBottom w:val="0"/>
              <w:divBdr>
                <w:top w:val="none" w:sz="0" w:space="0" w:color="auto"/>
                <w:left w:val="none" w:sz="0" w:space="0" w:color="auto"/>
                <w:bottom w:val="none" w:sz="0" w:space="0" w:color="auto"/>
                <w:right w:val="none" w:sz="0" w:space="0" w:color="auto"/>
              </w:divBdr>
            </w:div>
            <w:div w:id="583607664">
              <w:marLeft w:val="0"/>
              <w:marRight w:val="0"/>
              <w:marTop w:val="0"/>
              <w:marBottom w:val="0"/>
              <w:divBdr>
                <w:top w:val="none" w:sz="0" w:space="0" w:color="auto"/>
                <w:left w:val="none" w:sz="0" w:space="0" w:color="auto"/>
                <w:bottom w:val="none" w:sz="0" w:space="0" w:color="auto"/>
                <w:right w:val="none" w:sz="0" w:space="0" w:color="auto"/>
              </w:divBdr>
            </w:div>
            <w:div w:id="1163592959">
              <w:marLeft w:val="0"/>
              <w:marRight w:val="0"/>
              <w:marTop w:val="0"/>
              <w:marBottom w:val="0"/>
              <w:divBdr>
                <w:top w:val="none" w:sz="0" w:space="0" w:color="auto"/>
                <w:left w:val="none" w:sz="0" w:space="0" w:color="auto"/>
                <w:bottom w:val="none" w:sz="0" w:space="0" w:color="auto"/>
                <w:right w:val="none" w:sz="0" w:space="0" w:color="auto"/>
              </w:divBdr>
            </w:div>
            <w:div w:id="627318487">
              <w:marLeft w:val="0"/>
              <w:marRight w:val="0"/>
              <w:marTop w:val="0"/>
              <w:marBottom w:val="0"/>
              <w:divBdr>
                <w:top w:val="none" w:sz="0" w:space="0" w:color="auto"/>
                <w:left w:val="none" w:sz="0" w:space="0" w:color="auto"/>
                <w:bottom w:val="none" w:sz="0" w:space="0" w:color="auto"/>
                <w:right w:val="none" w:sz="0" w:space="0" w:color="auto"/>
              </w:divBdr>
            </w:div>
            <w:div w:id="882713004">
              <w:marLeft w:val="0"/>
              <w:marRight w:val="0"/>
              <w:marTop w:val="0"/>
              <w:marBottom w:val="0"/>
              <w:divBdr>
                <w:top w:val="none" w:sz="0" w:space="0" w:color="auto"/>
                <w:left w:val="none" w:sz="0" w:space="0" w:color="auto"/>
                <w:bottom w:val="none" w:sz="0" w:space="0" w:color="auto"/>
                <w:right w:val="none" w:sz="0" w:space="0" w:color="auto"/>
              </w:divBdr>
            </w:div>
            <w:div w:id="1717466406">
              <w:marLeft w:val="0"/>
              <w:marRight w:val="0"/>
              <w:marTop w:val="0"/>
              <w:marBottom w:val="0"/>
              <w:divBdr>
                <w:top w:val="none" w:sz="0" w:space="0" w:color="auto"/>
                <w:left w:val="none" w:sz="0" w:space="0" w:color="auto"/>
                <w:bottom w:val="none" w:sz="0" w:space="0" w:color="auto"/>
                <w:right w:val="none" w:sz="0" w:space="0" w:color="auto"/>
              </w:divBdr>
            </w:div>
            <w:div w:id="1830633667">
              <w:marLeft w:val="0"/>
              <w:marRight w:val="0"/>
              <w:marTop w:val="0"/>
              <w:marBottom w:val="0"/>
              <w:divBdr>
                <w:top w:val="none" w:sz="0" w:space="0" w:color="auto"/>
                <w:left w:val="none" w:sz="0" w:space="0" w:color="auto"/>
                <w:bottom w:val="none" w:sz="0" w:space="0" w:color="auto"/>
                <w:right w:val="none" w:sz="0" w:space="0" w:color="auto"/>
              </w:divBdr>
            </w:div>
            <w:div w:id="237979068">
              <w:marLeft w:val="0"/>
              <w:marRight w:val="0"/>
              <w:marTop w:val="0"/>
              <w:marBottom w:val="0"/>
              <w:divBdr>
                <w:top w:val="none" w:sz="0" w:space="0" w:color="auto"/>
                <w:left w:val="none" w:sz="0" w:space="0" w:color="auto"/>
                <w:bottom w:val="none" w:sz="0" w:space="0" w:color="auto"/>
                <w:right w:val="none" w:sz="0" w:space="0" w:color="auto"/>
              </w:divBdr>
            </w:div>
            <w:div w:id="1391885611">
              <w:marLeft w:val="0"/>
              <w:marRight w:val="0"/>
              <w:marTop w:val="0"/>
              <w:marBottom w:val="0"/>
              <w:divBdr>
                <w:top w:val="none" w:sz="0" w:space="0" w:color="auto"/>
                <w:left w:val="none" w:sz="0" w:space="0" w:color="auto"/>
                <w:bottom w:val="none" w:sz="0" w:space="0" w:color="auto"/>
                <w:right w:val="none" w:sz="0" w:space="0" w:color="auto"/>
              </w:divBdr>
            </w:div>
            <w:div w:id="384794084">
              <w:marLeft w:val="0"/>
              <w:marRight w:val="0"/>
              <w:marTop w:val="0"/>
              <w:marBottom w:val="0"/>
              <w:divBdr>
                <w:top w:val="none" w:sz="0" w:space="0" w:color="auto"/>
                <w:left w:val="none" w:sz="0" w:space="0" w:color="auto"/>
                <w:bottom w:val="none" w:sz="0" w:space="0" w:color="auto"/>
                <w:right w:val="none" w:sz="0" w:space="0" w:color="auto"/>
              </w:divBdr>
            </w:div>
            <w:div w:id="1019741589">
              <w:marLeft w:val="0"/>
              <w:marRight w:val="0"/>
              <w:marTop w:val="0"/>
              <w:marBottom w:val="0"/>
              <w:divBdr>
                <w:top w:val="none" w:sz="0" w:space="0" w:color="auto"/>
                <w:left w:val="none" w:sz="0" w:space="0" w:color="auto"/>
                <w:bottom w:val="none" w:sz="0" w:space="0" w:color="auto"/>
                <w:right w:val="none" w:sz="0" w:space="0" w:color="auto"/>
              </w:divBdr>
            </w:div>
            <w:div w:id="894631939">
              <w:marLeft w:val="0"/>
              <w:marRight w:val="0"/>
              <w:marTop w:val="0"/>
              <w:marBottom w:val="0"/>
              <w:divBdr>
                <w:top w:val="none" w:sz="0" w:space="0" w:color="auto"/>
                <w:left w:val="none" w:sz="0" w:space="0" w:color="auto"/>
                <w:bottom w:val="none" w:sz="0" w:space="0" w:color="auto"/>
                <w:right w:val="none" w:sz="0" w:space="0" w:color="auto"/>
              </w:divBdr>
            </w:div>
            <w:div w:id="203687281">
              <w:marLeft w:val="0"/>
              <w:marRight w:val="0"/>
              <w:marTop w:val="0"/>
              <w:marBottom w:val="0"/>
              <w:divBdr>
                <w:top w:val="none" w:sz="0" w:space="0" w:color="auto"/>
                <w:left w:val="none" w:sz="0" w:space="0" w:color="auto"/>
                <w:bottom w:val="none" w:sz="0" w:space="0" w:color="auto"/>
                <w:right w:val="none" w:sz="0" w:space="0" w:color="auto"/>
              </w:divBdr>
            </w:div>
            <w:div w:id="1102914779">
              <w:marLeft w:val="0"/>
              <w:marRight w:val="0"/>
              <w:marTop w:val="0"/>
              <w:marBottom w:val="0"/>
              <w:divBdr>
                <w:top w:val="none" w:sz="0" w:space="0" w:color="auto"/>
                <w:left w:val="none" w:sz="0" w:space="0" w:color="auto"/>
                <w:bottom w:val="none" w:sz="0" w:space="0" w:color="auto"/>
                <w:right w:val="none" w:sz="0" w:space="0" w:color="auto"/>
              </w:divBdr>
            </w:div>
            <w:div w:id="1994218830">
              <w:marLeft w:val="0"/>
              <w:marRight w:val="0"/>
              <w:marTop w:val="0"/>
              <w:marBottom w:val="0"/>
              <w:divBdr>
                <w:top w:val="none" w:sz="0" w:space="0" w:color="auto"/>
                <w:left w:val="none" w:sz="0" w:space="0" w:color="auto"/>
                <w:bottom w:val="none" w:sz="0" w:space="0" w:color="auto"/>
                <w:right w:val="none" w:sz="0" w:space="0" w:color="auto"/>
              </w:divBdr>
            </w:div>
            <w:div w:id="630476636">
              <w:marLeft w:val="0"/>
              <w:marRight w:val="0"/>
              <w:marTop w:val="0"/>
              <w:marBottom w:val="0"/>
              <w:divBdr>
                <w:top w:val="none" w:sz="0" w:space="0" w:color="auto"/>
                <w:left w:val="none" w:sz="0" w:space="0" w:color="auto"/>
                <w:bottom w:val="none" w:sz="0" w:space="0" w:color="auto"/>
                <w:right w:val="none" w:sz="0" w:space="0" w:color="auto"/>
              </w:divBdr>
            </w:div>
            <w:div w:id="257493588">
              <w:marLeft w:val="0"/>
              <w:marRight w:val="0"/>
              <w:marTop w:val="0"/>
              <w:marBottom w:val="0"/>
              <w:divBdr>
                <w:top w:val="none" w:sz="0" w:space="0" w:color="auto"/>
                <w:left w:val="none" w:sz="0" w:space="0" w:color="auto"/>
                <w:bottom w:val="none" w:sz="0" w:space="0" w:color="auto"/>
                <w:right w:val="none" w:sz="0" w:space="0" w:color="auto"/>
              </w:divBdr>
            </w:div>
            <w:div w:id="1386487166">
              <w:marLeft w:val="0"/>
              <w:marRight w:val="0"/>
              <w:marTop w:val="0"/>
              <w:marBottom w:val="0"/>
              <w:divBdr>
                <w:top w:val="none" w:sz="0" w:space="0" w:color="auto"/>
                <w:left w:val="none" w:sz="0" w:space="0" w:color="auto"/>
                <w:bottom w:val="none" w:sz="0" w:space="0" w:color="auto"/>
                <w:right w:val="none" w:sz="0" w:space="0" w:color="auto"/>
              </w:divBdr>
            </w:div>
            <w:div w:id="2094081551">
              <w:marLeft w:val="0"/>
              <w:marRight w:val="0"/>
              <w:marTop w:val="0"/>
              <w:marBottom w:val="0"/>
              <w:divBdr>
                <w:top w:val="none" w:sz="0" w:space="0" w:color="auto"/>
                <w:left w:val="none" w:sz="0" w:space="0" w:color="auto"/>
                <w:bottom w:val="none" w:sz="0" w:space="0" w:color="auto"/>
                <w:right w:val="none" w:sz="0" w:space="0" w:color="auto"/>
              </w:divBdr>
            </w:div>
            <w:div w:id="827358535">
              <w:marLeft w:val="0"/>
              <w:marRight w:val="0"/>
              <w:marTop w:val="0"/>
              <w:marBottom w:val="0"/>
              <w:divBdr>
                <w:top w:val="none" w:sz="0" w:space="0" w:color="auto"/>
                <w:left w:val="none" w:sz="0" w:space="0" w:color="auto"/>
                <w:bottom w:val="none" w:sz="0" w:space="0" w:color="auto"/>
                <w:right w:val="none" w:sz="0" w:space="0" w:color="auto"/>
              </w:divBdr>
            </w:div>
            <w:div w:id="1106194796">
              <w:marLeft w:val="0"/>
              <w:marRight w:val="0"/>
              <w:marTop w:val="0"/>
              <w:marBottom w:val="0"/>
              <w:divBdr>
                <w:top w:val="none" w:sz="0" w:space="0" w:color="auto"/>
                <w:left w:val="none" w:sz="0" w:space="0" w:color="auto"/>
                <w:bottom w:val="none" w:sz="0" w:space="0" w:color="auto"/>
                <w:right w:val="none" w:sz="0" w:space="0" w:color="auto"/>
              </w:divBdr>
            </w:div>
            <w:div w:id="143667707">
              <w:marLeft w:val="0"/>
              <w:marRight w:val="0"/>
              <w:marTop w:val="0"/>
              <w:marBottom w:val="0"/>
              <w:divBdr>
                <w:top w:val="none" w:sz="0" w:space="0" w:color="auto"/>
                <w:left w:val="none" w:sz="0" w:space="0" w:color="auto"/>
                <w:bottom w:val="none" w:sz="0" w:space="0" w:color="auto"/>
                <w:right w:val="none" w:sz="0" w:space="0" w:color="auto"/>
              </w:divBdr>
            </w:div>
            <w:div w:id="1956402822">
              <w:marLeft w:val="0"/>
              <w:marRight w:val="0"/>
              <w:marTop w:val="0"/>
              <w:marBottom w:val="0"/>
              <w:divBdr>
                <w:top w:val="none" w:sz="0" w:space="0" w:color="auto"/>
                <w:left w:val="none" w:sz="0" w:space="0" w:color="auto"/>
                <w:bottom w:val="none" w:sz="0" w:space="0" w:color="auto"/>
                <w:right w:val="none" w:sz="0" w:space="0" w:color="auto"/>
              </w:divBdr>
            </w:div>
            <w:div w:id="85001394">
              <w:marLeft w:val="0"/>
              <w:marRight w:val="0"/>
              <w:marTop w:val="0"/>
              <w:marBottom w:val="0"/>
              <w:divBdr>
                <w:top w:val="none" w:sz="0" w:space="0" w:color="auto"/>
                <w:left w:val="none" w:sz="0" w:space="0" w:color="auto"/>
                <w:bottom w:val="none" w:sz="0" w:space="0" w:color="auto"/>
                <w:right w:val="none" w:sz="0" w:space="0" w:color="auto"/>
              </w:divBdr>
            </w:div>
            <w:div w:id="490828832">
              <w:marLeft w:val="0"/>
              <w:marRight w:val="0"/>
              <w:marTop w:val="0"/>
              <w:marBottom w:val="0"/>
              <w:divBdr>
                <w:top w:val="none" w:sz="0" w:space="0" w:color="auto"/>
                <w:left w:val="none" w:sz="0" w:space="0" w:color="auto"/>
                <w:bottom w:val="none" w:sz="0" w:space="0" w:color="auto"/>
                <w:right w:val="none" w:sz="0" w:space="0" w:color="auto"/>
              </w:divBdr>
            </w:div>
            <w:div w:id="239415125">
              <w:marLeft w:val="0"/>
              <w:marRight w:val="0"/>
              <w:marTop w:val="0"/>
              <w:marBottom w:val="0"/>
              <w:divBdr>
                <w:top w:val="none" w:sz="0" w:space="0" w:color="auto"/>
                <w:left w:val="none" w:sz="0" w:space="0" w:color="auto"/>
                <w:bottom w:val="none" w:sz="0" w:space="0" w:color="auto"/>
                <w:right w:val="none" w:sz="0" w:space="0" w:color="auto"/>
              </w:divBdr>
            </w:div>
            <w:div w:id="1590040785">
              <w:marLeft w:val="0"/>
              <w:marRight w:val="0"/>
              <w:marTop w:val="0"/>
              <w:marBottom w:val="0"/>
              <w:divBdr>
                <w:top w:val="none" w:sz="0" w:space="0" w:color="auto"/>
                <w:left w:val="none" w:sz="0" w:space="0" w:color="auto"/>
                <w:bottom w:val="none" w:sz="0" w:space="0" w:color="auto"/>
                <w:right w:val="none" w:sz="0" w:space="0" w:color="auto"/>
              </w:divBdr>
            </w:div>
            <w:div w:id="500048433">
              <w:marLeft w:val="0"/>
              <w:marRight w:val="0"/>
              <w:marTop w:val="0"/>
              <w:marBottom w:val="0"/>
              <w:divBdr>
                <w:top w:val="none" w:sz="0" w:space="0" w:color="auto"/>
                <w:left w:val="none" w:sz="0" w:space="0" w:color="auto"/>
                <w:bottom w:val="none" w:sz="0" w:space="0" w:color="auto"/>
                <w:right w:val="none" w:sz="0" w:space="0" w:color="auto"/>
              </w:divBdr>
            </w:div>
            <w:div w:id="1132863462">
              <w:marLeft w:val="0"/>
              <w:marRight w:val="0"/>
              <w:marTop w:val="0"/>
              <w:marBottom w:val="0"/>
              <w:divBdr>
                <w:top w:val="none" w:sz="0" w:space="0" w:color="auto"/>
                <w:left w:val="none" w:sz="0" w:space="0" w:color="auto"/>
                <w:bottom w:val="none" w:sz="0" w:space="0" w:color="auto"/>
                <w:right w:val="none" w:sz="0" w:space="0" w:color="auto"/>
              </w:divBdr>
            </w:div>
            <w:div w:id="1135222505">
              <w:marLeft w:val="0"/>
              <w:marRight w:val="0"/>
              <w:marTop w:val="0"/>
              <w:marBottom w:val="0"/>
              <w:divBdr>
                <w:top w:val="none" w:sz="0" w:space="0" w:color="auto"/>
                <w:left w:val="none" w:sz="0" w:space="0" w:color="auto"/>
                <w:bottom w:val="none" w:sz="0" w:space="0" w:color="auto"/>
                <w:right w:val="none" w:sz="0" w:space="0" w:color="auto"/>
              </w:divBdr>
            </w:div>
            <w:div w:id="1765108479">
              <w:marLeft w:val="0"/>
              <w:marRight w:val="0"/>
              <w:marTop w:val="0"/>
              <w:marBottom w:val="0"/>
              <w:divBdr>
                <w:top w:val="none" w:sz="0" w:space="0" w:color="auto"/>
                <w:left w:val="none" w:sz="0" w:space="0" w:color="auto"/>
                <w:bottom w:val="none" w:sz="0" w:space="0" w:color="auto"/>
                <w:right w:val="none" w:sz="0" w:space="0" w:color="auto"/>
              </w:divBdr>
            </w:div>
            <w:div w:id="1630083824">
              <w:marLeft w:val="0"/>
              <w:marRight w:val="0"/>
              <w:marTop w:val="0"/>
              <w:marBottom w:val="0"/>
              <w:divBdr>
                <w:top w:val="none" w:sz="0" w:space="0" w:color="auto"/>
                <w:left w:val="none" w:sz="0" w:space="0" w:color="auto"/>
                <w:bottom w:val="none" w:sz="0" w:space="0" w:color="auto"/>
                <w:right w:val="none" w:sz="0" w:space="0" w:color="auto"/>
              </w:divBdr>
            </w:div>
            <w:div w:id="26873219">
              <w:marLeft w:val="0"/>
              <w:marRight w:val="0"/>
              <w:marTop w:val="0"/>
              <w:marBottom w:val="0"/>
              <w:divBdr>
                <w:top w:val="none" w:sz="0" w:space="0" w:color="auto"/>
                <w:left w:val="none" w:sz="0" w:space="0" w:color="auto"/>
                <w:bottom w:val="none" w:sz="0" w:space="0" w:color="auto"/>
                <w:right w:val="none" w:sz="0" w:space="0" w:color="auto"/>
              </w:divBdr>
            </w:div>
            <w:div w:id="1791169997">
              <w:marLeft w:val="0"/>
              <w:marRight w:val="0"/>
              <w:marTop w:val="0"/>
              <w:marBottom w:val="0"/>
              <w:divBdr>
                <w:top w:val="none" w:sz="0" w:space="0" w:color="auto"/>
                <w:left w:val="none" w:sz="0" w:space="0" w:color="auto"/>
                <w:bottom w:val="none" w:sz="0" w:space="0" w:color="auto"/>
                <w:right w:val="none" w:sz="0" w:space="0" w:color="auto"/>
              </w:divBdr>
            </w:div>
            <w:div w:id="1668098127">
              <w:marLeft w:val="0"/>
              <w:marRight w:val="0"/>
              <w:marTop w:val="0"/>
              <w:marBottom w:val="0"/>
              <w:divBdr>
                <w:top w:val="none" w:sz="0" w:space="0" w:color="auto"/>
                <w:left w:val="none" w:sz="0" w:space="0" w:color="auto"/>
                <w:bottom w:val="none" w:sz="0" w:space="0" w:color="auto"/>
                <w:right w:val="none" w:sz="0" w:space="0" w:color="auto"/>
              </w:divBdr>
            </w:div>
            <w:div w:id="1647003938">
              <w:marLeft w:val="0"/>
              <w:marRight w:val="0"/>
              <w:marTop w:val="0"/>
              <w:marBottom w:val="0"/>
              <w:divBdr>
                <w:top w:val="none" w:sz="0" w:space="0" w:color="auto"/>
                <w:left w:val="none" w:sz="0" w:space="0" w:color="auto"/>
                <w:bottom w:val="none" w:sz="0" w:space="0" w:color="auto"/>
                <w:right w:val="none" w:sz="0" w:space="0" w:color="auto"/>
              </w:divBdr>
            </w:div>
            <w:div w:id="718553947">
              <w:marLeft w:val="0"/>
              <w:marRight w:val="0"/>
              <w:marTop w:val="0"/>
              <w:marBottom w:val="0"/>
              <w:divBdr>
                <w:top w:val="none" w:sz="0" w:space="0" w:color="auto"/>
                <w:left w:val="none" w:sz="0" w:space="0" w:color="auto"/>
                <w:bottom w:val="none" w:sz="0" w:space="0" w:color="auto"/>
                <w:right w:val="none" w:sz="0" w:space="0" w:color="auto"/>
              </w:divBdr>
            </w:div>
            <w:div w:id="642973891">
              <w:marLeft w:val="0"/>
              <w:marRight w:val="0"/>
              <w:marTop w:val="0"/>
              <w:marBottom w:val="0"/>
              <w:divBdr>
                <w:top w:val="none" w:sz="0" w:space="0" w:color="auto"/>
                <w:left w:val="none" w:sz="0" w:space="0" w:color="auto"/>
                <w:bottom w:val="none" w:sz="0" w:space="0" w:color="auto"/>
                <w:right w:val="none" w:sz="0" w:space="0" w:color="auto"/>
              </w:divBdr>
            </w:div>
            <w:div w:id="1164008222">
              <w:marLeft w:val="0"/>
              <w:marRight w:val="0"/>
              <w:marTop w:val="0"/>
              <w:marBottom w:val="0"/>
              <w:divBdr>
                <w:top w:val="none" w:sz="0" w:space="0" w:color="auto"/>
                <w:left w:val="none" w:sz="0" w:space="0" w:color="auto"/>
                <w:bottom w:val="none" w:sz="0" w:space="0" w:color="auto"/>
                <w:right w:val="none" w:sz="0" w:space="0" w:color="auto"/>
              </w:divBdr>
            </w:div>
            <w:div w:id="676422683">
              <w:marLeft w:val="0"/>
              <w:marRight w:val="0"/>
              <w:marTop w:val="0"/>
              <w:marBottom w:val="0"/>
              <w:divBdr>
                <w:top w:val="none" w:sz="0" w:space="0" w:color="auto"/>
                <w:left w:val="none" w:sz="0" w:space="0" w:color="auto"/>
                <w:bottom w:val="none" w:sz="0" w:space="0" w:color="auto"/>
                <w:right w:val="none" w:sz="0" w:space="0" w:color="auto"/>
              </w:divBdr>
            </w:div>
            <w:div w:id="245847635">
              <w:marLeft w:val="0"/>
              <w:marRight w:val="0"/>
              <w:marTop w:val="0"/>
              <w:marBottom w:val="0"/>
              <w:divBdr>
                <w:top w:val="none" w:sz="0" w:space="0" w:color="auto"/>
                <w:left w:val="none" w:sz="0" w:space="0" w:color="auto"/>
                <w:bottom w:val="none" w:sz="0" w:space="0" w:color="auto"/>
                <w:right w:val="none" w:sz="0" w:space="0" w:color="auto"/>
              </w:divBdr>
            </w:div>
            <w:div w:id="1223368436">
              <w:marLeft w:val="0"/>
              <w:marRight w:val="0"/>
              <w:marTop w:val="0"/>
              <w:marBottom w:val="0"/>
              <w:divBdr>
                <w:top w:val="none" w:sz="0" w:space="0" w:color="auto"/>
                <w:left w:val="none" w:sz="0" w:space="0" w:color="auto"/>
                <w:bottom w:val="none" w:sz="0" w:space="0" w:color="auto"/>
                <w:right w:val="none" w:sz="0" w:space="0" w:color="auto"/>
              </w:divBdr>
            </w:div>
            <w:div w:id="356001770">
              <w:marLeft w:val="0"/>
              <w:marRight w:val="0"/>
              <w:marTop w:val="0"/>
              <w:marBottom w:val="0"/>
              <w:divBdr>
                <w:top w:val="none" w:sz="0" w:space="0" w:color="auto"/>
                <w:left w:val="none" w:sz="0" w:space="0" w:color="auto"/>
                <w:bottom w:val="none" w:sz="0" w:space="0" w:color="auto"/>
                <w:right w:val="none" w:sz="0" w:space="0" w:color="auto"/>
              </w:divBdr>
            </w:div>
            <w:div w:id="1187596009">
              <w:marLeft w:val="0"/>
              <w:marRight w:val="0"/>
              <w:marTop w:val="0"/>
              <w:marBottom w:val="0"/>
              <w:divBdr>
                <w:top w:val="none" w:sz="0" w:space="0" w:color="auto"/>
                <w:left w:val="none" w:sz="0" w:space="0" w:color="auto"/>
                <w:bottom w:val="none" w:sz="0" w:space="0" w:color="auto"/>
                <w:right w:val="none" w:sz="0" w:space="0" w:color="auto"/>
              </w:divBdr>
            </w:div>
            <w:div w:id="16808256">
              <w:marLeft w:val="0"/>
              <w:marRight w:val="0"/>
              <w:marTop w:val="0"/>
              <w:marBottom w:val="0"/>
              <w:divBdr>
                <w:top w:val="none" w:sz="0" w:space="0" w:color="auto"/>
                <w:left w:val="none" w:sz="0" w:space="0" w:color="auto"/>
                <w:bottom w:val="none" w:sz="0" w:space="0" w:color="auto"/>
                <w:right w:val="none" w:sz="0" w:space="0" w:color="auto"/>
              </w:divBdr>
            </w:div>
            <w:div w:id="784080842">
              <w:marLeft w:val="0"/>
              <w:marRight w:val="0"/>
              <w:marTop w:val="0"/>
              <w:marBottom w:val="0"/>
              <w:divBdr>
                <w:top w:val="none" w:sz="0" w:space="0" w:color="auto"/>
                <w:left w:val="none" w:sz="0" w:space="0" w:color="auto"/>
                <w:bottom w:val="none" w:sz="0" w:space="0" w:color="auto"/>
                <w:right w:val="none" w:sz="0" w:space="0" w:color="auto"/>
              </w:divBdr>
            </w:div>
            <w:div w:id="378407554">
              <w:marLeft w:val="0"/>
              <w:marRight w:val="0"/>
              <w:marTop w:val="0"/>
              <w:marBottom w:val="0"/>
              <w:divBdr>
                <w:top w:val="none" w:sz="0" w:space="0" w:color="auto"/>
                <w:left w:val="none" w:sz="0" w:space="0" w:color="auto"/>
                <w:bottom w:val="none" w:sz="0" w:space="0" w:color="auto"/>
                <w:right w:val="none" w:sz="0" w:space="0" w:color="auto"/>
              </w:divBdr>
            </w:div>
            <w:div w:id="918825712">
              <w:marLeft w:val="0"/>
              <w:marRight w:val="0"/>
              <w:marTop w:val="0"/>
              <w:marBottom w:val="0"/>
              <w:divBdr>
                <w:top w:val="none" w:sz="0" w:space="0" w:color="auto"/>
                <w:left w:val="none" w:sz="0" w:space="0" w:color="auto"/>
                <w:bottom w:val="none" w:sz="0" w:space="0" w:color="auto"/>
                <w:right w:val="none" w:sz="0" w:space="0" w:color="auto"/>
              </w:divBdr>
            </w:div>
            <w:div w:id="1482387287">
              <w:marLeft w:val="0"/>
              <w:marRight w:val="0"/>
              <w:marTop w:val="0"/>
              <w:marBottom w:val="0"/>
              <w:divBdr>
                <w:top w:val="none" w:sz="0" w:space="0" w:color="auto"/>
                <w:left w:val="none" w:sz="0" w:space="0" w:color="auto"/>
                <w:bottom w:val="none" w:sz="0" w:space="0" w:color="auto"/>
                <w:right w:val="none" w:sz="0" w:space="0" w:color="auto"/>
              </w:divBdr>
            </w:div>
            <w:div w:id="1984234646">
              <w:marLeft w:val="0"/>
              <w:marRight w:val="0"/>
              <w:marTop w:val="0"/>
              <w:marBottom w:val="0"/>
              <w:divBdr>
                <w:top w:val="none" w:sz="0" w:space="0" w:color="auto"/>
                <w:left w:val="none" w:sz="0" w:space="0" w:color="auto"/>
                <w:bottom w:val="none" w:sz="0" w:space="0" w:color="auto"/>
                <w:right w:val="none" w:sz="0" w:space="0" w:color="auto"/>
              </w:divBdr>
            </w:div>
            <w:div w:id="67190954">
              <w:marLeft w:val="0"/>
              <w:marRight w:val="0"/>
              <w:marTop w:val="0"/>
              <w:marBottom w:val="0"/>
              <w:divBdr>
                <w:top w:val="none" w:sz="0" w:space="0" w:color="auto"/>
                <w:left w:val="none" w:sz="0" w:space="0" w:color="auto"/>
                <w:bottom w:val="none" w:sz="0" w:space="0" w:color="auto"/>
                <w:right w:val="none" w:sz="0" w:space="0" w:color="auto"/>
              </w:divBdr>
            </w:div>
            <w:div w:id="1466653655">
              <w:marLeft w:val="0"/>
              <w:marRight w:val="0"/>
              <w:marTop w:val="0"/>
              <w:marBottom w:val="0"/>
              <w:divBdr>
                <w:top w:val="none" w:sz="0" w:space="0" w:color="auto"/>
                <w:left w:val="none" w:sz="0" w:space="0" w:color="auto"/>
                <w:bottom w:val="none" w:sz="0" w:space="0" w:color="auto"/>
                <w:right w:val="none" w:sz="0" w:space="0" w:color="auto"/>
              </w:divBdr>
            </w:div>
            <w:div w:id="2030839258">
              <w:marLeft w:val="0"/>
              <w:marRight w:val="0"/>
              <w:marTop w:val="0"/>
              <w:marBottom w:val="0"/>
              <w:divBdr>
                <w:top w:val="none" w:sz="0" w:space="0" w:color="auto"/>
                <w:left w:val="none" w:sz="0" w:space="0" w:color="auto"/>
                <w:bottom w:val="none" w:sz="0" w:space="0" w:color="auto"/>
                <w:right w:val="none" w:sz="0" w:space="0" w:color="auto"/>
              </w:divBdr>
            </w:div>
            <w:div w:id="911503323">
              <w:marLeft w:val="0"/>
              <w:marRight w:val="0"/>
              <w:marTop w:val="0"/>
              <w:marBottom w:val="0"/>
              <w:divBdr>
                <w:top w:val="none" w:sz="0" w:space="0" w:color="auto"/>
                <w:left w:val="none" w:sz="0" w:space="0" w:color="auto"/>
                <w:bottom w:val="none" w:sz="0" w:space="0" w:color="auto"/>
                <w:right w:val="none" w:sz="0" w:space="0" w:color="auto"/>
              </w:divBdr>
            </w:div>
            <w:div w:id="1240289802">
              <w:marLeft w:val="0"/>
              <w:marRight w:val="0"/>
              <w:marTop w:val="0"/>
              <w:marBottom w:val="0"/>
              <w:divBdr>
                <w:top w:val="none" w:sz="0" w:space="0" w:color="auto"/>
                <w:left w:val="none" w:sz="0" w:space="0" w:color="auto"/>
                <w:bottom w:val="none" w:sz="0" w:space="0" w:color="auto"/>
                <w:right w:val="none" w:sz="0" w:space="0" w:color="auto"/>
              </w:divBdr>
            </w:div>
            <w:div w:id="1975407242">
              <w:marLeft w:val="0"/>
              <w:marRight w:val="0"/>
              <w:marTop w:val="0"/>
              <w:marBottom w:val="0"/>
              <w:divBdr>
                <w:top w:val="none" w:sz="0" w:space="0" w:color="auto"/>
                <w:left w:val="none" w:sz="0" w:space="0" w:color="auto"/>
                <w:bottom w:val="none" w:sz="0" w:space="0" w:color="auto"/>
                <w:right w:val="none" w:sz="0" w:space="0" w:color="auto"/>
              </w:divBdr>
            </w:div>
            <w:div w:id="193738807">
              <w:marLeft w:val="0"/>
              <w:marRight w:val="0"/>
              <w:marTop w:val="0"/>
              <w:marBottom w:val="0"/>
              <w:divBdr>
                <w:top w:val="none" w:sz="0" w:space="0" w:color="auto"/>
                <w:left w:val="none" w:sz="0" w:space="0" w:color="auto"/>
                <w:bottom w:val="none" w:sz="0" w:space="0" w:color="auto"/>
                <w:right w:val="none" w:sz="0" w:space="0" w:color="auto"/>
              </w:divBdr>
            </w:div>
            <w:div w:id="1044793481">
              <w:marLeft w:val="0"/>
              <w:marRight w:val="0"/>
              <w:marTop w:val="0"/>
              <w:marBottom w:val="0"/>
              <w:divBdr>
                <w:top w:val="none" w:sz="0" w:space="0" w:color="auto"/>
                <w:left w:val="none" w:sz="0" w:space="0" w:color="auto"/>
                <w:bottom w:val="none" w:sz="0" w:space="0" w:color="auto"/>
                <w:right w:val="none" w:sz="0" w:space="0" w:color="auto"/>
              </w:divBdr>
            </w:div>
            <w:div w:id="1478303330">
              <w:marLeft w:val="0"/>
              <w:marRight w:val="0"/>
              <w:marTop w:val="0"/>
              <w:marBottom w:val="0"/>
              <w:divBdr>
                <w:top w:val="none" w:sz="0" w:space="0" w:color="auto"/>
                <w:left w:val="none" w:sz="0" w:space="0" w:color="auto"/>
                <w:bottom w:val="none" w:sz="0" w:space="0" w:color="auto"/>
                <w:right w:val="none" w:sz="0" w:space="0" w:color="auto"/>
              </w:divBdr>
            </w:div>
            <w:div w:id="343551386">
              <w:marLeft w:val="0"/>
              <w:marRight w:val="0"/>
              <w:marTop w:val="0"/>
              <w:marBottom w:val="0"/>
              <w:divBdr>
                <w:top w:val="none" w:sz="0" w:space="0" w:color="auto"/>
                <w:left w:val="none" w:sz="0" w:space="0" w:color="auto"/>
                <w:bottom w:val="none" w:sz="0" w:space="0" w:color="auto"/>
                <w:right w:val="none" w:sz="0" w:space="0" w:color="auto"/>
              </w:divBdr>
            </w:div>
            <w:div w:id="254360252">
              <w:marLeft w:val="0"/>
              <w:marRight w:val="0"/>
              <w:marTop w:val="0"/>
              <w:marBottom w:val="0"/>
              <w:divBdr>
                <w:top w:val="none" w:sz="0" w:space="0" w:color="auto"/>
                <w:left w:val="none" w:sz="0" w:space="0" w:color="auto"/>
                <w:bottom w:val="none" w:sz="0" w:space="0" w:color="auto"/>
                <w:right w:val="none" w:sz="0" w:space="0" w:color="auto"/>
              </w:divBdr>
            </w:div>
            <w:div w:id="1361931171">
              <w:marLeft w:val="0"/>
              <w:marRight w:val="0"/>
              <w:marTop w:val="0"/>
              <w:marBottom w:val="0"/>
              <w:divBdr>
                <w:top w:val="none" w:sz="0" w:space="0" w:color="auto"/>
                <w:left w:val="none" w:sz="0" w:space="0" w:color="auto"/>
                <w:bottom w:val="none" w:sz="0" w:space="0" w:color="auto"/>
                <w:right w:val="none" w:sz="0" w:space="0" w:color="auto"/>
              </w:divBdr>
            </w:div>
            <w:div w:id="2034721877">
              <w:marLeft w:val="0"/>
              <w:marRight w:val="0"/>
              <w:marTop w:val="0"/>
              <w:marBottom w:val="0"/>
              <w:divBdr>
                <w:top w:val="none" w:sz="0" w:space="0" w:color="auto"/>
                <w:left w:val="none" w:sz="0" w:space="0" w:color="auto"/>
                <w:bottom w:val="none" w:sz="0" w:space="0" w:color="auto"/>
                <w:right w:val="none" w:sz="0" w:space="0" w:color="auto"/>
              </w:divBdr>
            </w:div>
            <w:div w:id="973295145">
              <w:marLeft w:val="0"/>
              <w:marRight w:val="0"/>
              <w:marTop w:val="0"/>
              <w:marBottom w:val="0"/>
              <w:divBdr>
                <w:top w:val="none" w:sz="0" w:space="0" w:color="auto"/>
                <w:left w:val="none" w:sz="0" w:space="0" w:color="auto"/>
                <w:bottom w:val="none" w:sz="0" w:space="0" w:color="auto"/>
                <w:right w:val="none" w:sz="0" w:space="0" w:color="auto"/>
              </w:divBdr>
            </w:div>
            <w:div w:id="258300476">
              <w:marLeft w:val="0"/>
              <w:marRight w:val="0"/>
              <w:marTop w:val="0"/>
              <w:marBottom w:val="0"/>
              <w:divBdr>
                <w:top w:val="none" w:sz="0" w:space="0" w:color="auto"/>
                <w:left w:val="none" w:sz="0" w:space="0" w:color="auto"/>
                <w:bottom w:val="none" w:sz="0" w:space="0" w:color="auto"/>
                <w:right w:val="none" w:sz="0" w:space="0" w:color="auto"/>
              </w:divBdr>
            </w:div>
            <w:div w:id="1571188558">
              <w:marLeft w:val="0"/>
              <w:marRight w:val="0"/>
              <w:marTop w:val="0"/>
              <w:marBottom w:val="0"/>
              <w:divBdr>
                <w:top w:val="none" w:sz="0" w:space="0" w:color="auto"/>
                <w:left w:val="none" w:sz="0" w:space="0" w:color="auto"/>
                <w:bottom w:val="none" w:sz="0" w:space="0" w:color="auto"/>
                <w:right w:val="none" w:sz="0" w:space="0" w:color="auto"/>
              </w:divBdr>
            </w:div>
            <w:div w:id="809058458">
              <w:marLeft w:val="0"/>
              <w:marRight w:val="0"/>
              <w:marTop w:val="0"/>
              <w:marBottom w:val="0"/>
              <w:divBdr>
                <w:top w:val="none" w:sz="0" w:space="0" w:color="auto"/>
                <w:left w:val="none" w:sz="0" w:space="0" w:color="auto"/>
                <w:bottom w:val="none" w:sz="0" w:space="0" w:color="auto"/>
                <w:right w:val="none" w:sz="0" w:space="0" w:color="auto"/>
              </w:divBdr>
            </w:div>
            <w:div w:id="1566793219">
              <w:marLeft w:val="0"/>
              <w:marRight w:val="0"/>
              <w:marTop w:val="0"/>
              <w:marBottom w:val="0"/>
              <w:divBdr>
                <w:top w:val="none" w:sz="0" w:space="0" w:color="auto"/>
                <w:left w:val="none" w:sz="0" w:space="0" w:color="auto"/>
                <w:bottom w:val="none" w:sz="0" w:space="0" w:color="auto"/>
                <w:right w:val="none" w:sz="0" w:space="0" w:color="auto"/>
              </w:divBdr>
            </w:div>
            <w:div w:id="1296376366">
              <w:marLeft w:val="0"/>
              <w:marRight w:val="0"/>
              <w:marTop w:val="0"/>
              <w:marBottom w:val="0"/>
              <w:divBdr>
                <w:top w:val="none" w:sz="0" w:space="0" w:color="auto"/>
                <w:left w:val="none" w:sz="0" w:space="0" w:color="auto"/>
                <w:bottom w:val="none" w:sz="0" w:space="0" w:color="auto"/>
                <w:right w:val="none" w:sz="0" w:space="0" w:color="auto"/>
              </w:divBdr>
            </w:div>
            <w:div w:id="1140877916">
              <w:marLeft w:val="0"/>
              <w:marRight w:val="0"/>
              <w:marTop w:val="0"/>
              <w:marBottom w:val="0"/>
              <w:divBdr>
                <w:top w:val="none" w:sz="0" w:space="0" w:color="auto"/>
                <w:left w:val="none" w:sz="0" w:space="0" w:color="auto"/>
                <w:bottom w:val="none" w:sz="0" w:space="0" w:color="auto"/>
                <w:right w:val="none" w:sz="0" w:space="0" w:color="auto"/>
              </w:divBdr>
            </w:div>
            <w:div w:id="1898779739">
              <w:marLeft w:val="0"/>
              <w:marRight w:val="0"/>
              <w:marTop w:val="0"/>
              <w:marBottom w:val="0"/>
              <w:divBdr>
                <w:top w:val="none" w:sz="0" w:space="0" w:color="auto"/>
                <w:left w:val="none" w:sz="0" w:space="0" w:color="auto"/>
                <w:bottom w:val="none" w:sz="0" w:space="0" w:color="auto"/>
                <w:right w:val="none" w:sz="0" w:space="0" w:color="auto"/>
              </w:divBdr>
            </w:div>
            <w:div w:id="1824393526">
              <w:marLeft w:val="0"/>
              <w:marRight w:val="0"/>
              <w:marTop w:val="0"/>
              <w:marBottom w:val="0"/>
              <w:divBdr>
                <w:top w:val="none" w:sz="0" w:space="0" w:color="auto"/>
                <w:left w:val="none" w:sz="0" w:space="0" w:color="auto"/>
                <w:bottom w:val="none" w:sz="0" w:space="0" w:color="auto"/>
                <w:right w:val="none" w:sz="0" w:space="0" w:color="auto"/>
              </w:divBdr>
            </w:div>
            <w:div w:id="1998999521">
              <w:marLeft w:val="0"/>
              <w:marRight w:val="0"/>
              <w:marTop w:val="0"/>
              <w:marBottom w:val="0"/>
              <w:divBdr>
                <w:top w:val="none" w:sz="0" w:space="0" w:color="auto"/>
                <w:left w:val="none" w:sz="0" w:space="0" w:color="auto"/>
                <w:bottom w:val="none" w:sz="0" w:space="0" w:color="auto"/>
                <w:right w:val="none" w:sz="0" w:space="0" w:color="auto"/>
              </w:divBdr>
            </w:div>
            <w:div w:id="373702781">
              <w:marLeft w:val="0"/>
              <w:marRight w:val="0"/>
              <w:marTop w:val="0"/>
              <w:marBottom w:val="0"/>
              <w:divBdr>
                <w:top w:val="none" w:sz="0" w:space="0" w:color="auto"/>
                <w:left w:val="none" w:sz="0" w:space="0" w:color="auto"/>
                <w:bottom w:val="none" w:sz="0" w:space="0" w:color="auto"/>
                <w:right w:val="none" w:sz="0" w:space="0" w:color="auto"/>
              </w:divBdr>
            </w:div>
            <w:div w:id="391392509">
              <w:marLeft w:val="0"/>
              <w:marRight w:val="0"/>
              <w:marTop w:val="0"/>
              <w:marBottom w:val="0"/>
              <w:divBdr>
                <w:top w:val="none" w:sz="0" w:space="0" w:color="auto"/>
                <w:left w:val="none" w:sz="0" w:space="0" w:color="auto"/>
                <w:bottom w:val="none" w:sz="0" w:space="0" w:color="auto"/>
                <w:right w:val="none" w:sz="0" w:space="0" w:color="auto"/>
              </w:divBdr>
            </w:div>
            <w:div w:id="1991865083">
              <w:marLeft w:val="0"/>
              <w:marRight w:val="0"/>
              <w:marTop w:val="0"/>
              <w:marBottom w:val="0"/>
              <w:divBdr>
                <w:top w:val="none" w:sz="0" w:space="0" w:color="auto"/>
                <w:left w:val="none" w:sz="0" w:space="0" w:color="auto"/>
                <w:bottom w:val="none" w:sz="0" w:space="0" w:color="auto"/>
                <w:right w:val="none" w:sz="0" w:space="0" w:color="auto"/>
              </w:divBdr>
            </w:div>
            <w:div w:id="596672452">
              <w:marLeft w:val="0"/>
              <w:marRight w:val="0"/>
              <w:marTop w:val="0"/>
              <w:marBottom w:val="0"/>
              <w:divBdr>
                <w:top w:val="none" w:sz="0" w:space="0" w:color="auto"/>
                <w:left w:val="none" w:sz="0" w:space="0" w:color="auto"/>
                <w:bottom w:val="none" w:sz="0" w:space="0" w:color="auto"/>
                <w:right w:val="none" w:sz="0" w:space="0" w:color="auto"/>
              </w:divBdr>
            </w:div>
            <w:div w:id="897399046">
              <w:marLeft w:val="0"/>
              <w:marRight w:val="0"/>
              <w:marTop w:val="0"/>
              <w:marBottom w:val="0"/>
              <w:divBdr>
                <w:top w:val="none" w:sz="0" w:space="0" w:color="auto"/>
                <w:left w:val="none" w:sz="0" w:space="0" w:color="auto"/>
                <w:bottom w:val="none" w:sz="0" w:space="0" w:color="auto"/>
                <w:right w:val="none" w:sz="0" w:space="0" w:color="auto"/>
              </w:divBdr>
            </w:div>
            <w:div w:id="1008630994">
              <w:marLeft w:val="0"/>
              <w:marRight w:val="0"/>
              <w:marTop w:val="0"/>
              <w:marBottom w:val="0"/>
              <w:divBdr>
                <w:top w:val="none" w:sz="0" w:space="0" w:color="auto"/>
                <w:left w:val="none" w:sz="0" w:space="0" w:color="auto"/>
                <w:bottom w:val="none" w:sz="0" w:space="0" w:color="auto"/>
                <w:right w:val="none" w:sz="0" w:space="0" w:color="auto"/>
              </w:divBdr>
            </w:div>
            <w:div w:id="611977174">
              <w:marLeft w:val="0"/>
              <w:marRight w:val="0"/>
              <w:marTop w:val="0"/>
              <w:marBottom w:val="0"/>
              <w:divBdr>
                <w:top w:val="none" w:sz="0" w:space="0" w:color="auto"/>
                <w:left w:val="none" w:sz="0" w:space="0" w:color="auto"/>
                <w:bottom w:val="none" w:sz="0" w:space="0" w:color="auto"/>
                <w:right w:val="none" w:sz="0" w:space="0" w:color="auto"/>
              </w:divBdr>
            </w:div>
            <w:div w:id="654992443">
              <w:marLeft w:val="0"/>
              <w:marRight w:val="0"/>
              <w:marTop w:val="0"/>
              <w:marBottom w:val="0"/>
              <w:divBdr>
                <w:top w:val="none" w:sz="0" w:space="0" w:color="auto"/>
                <w:left w:val="none" w:sz="0" w:space="0" w:color="auto"/>
                <w:bottom w:val="none" w:sz="0" w:space="0" w:color="auto"/>
                <w:right w:val="none" w:sz="0" w:space="0" w:color="auto"/>
              </w:divBdr>
            </w:div>
            <w:div w:id="1283807113">
              <w:marLeft w:val="0"/>
              <w:marRight w:val="0"/>
              <w:marTop w:val="0"/>
              <w:marBottom w:val="0"/>
              <w:divBdr>
                <w:top w:val="none" w:sz="0" w:space="0" w:color="auto"/>
                <w:left w:val="none" w:sz="0" w:space="0" w:color="auto"/>
                <w:bottom w:val="none" w:sz="0" w:space="0" w:color="auto"/>
                <w:right w:val="none" w:sz="0" w:space="0" w:color="auto"/>
              </w:divBdr>
            </w:div>
            <w:div w:id="1402672704">
              <w:marLeft w:val="0"/>
              <w:marRight w:val="0"/>
              <w:marTop w:val="0"/>
              <w:marBottom w:val="0"/>
              <w:divBdr>
                <w:top w:val="none" w:sz="0" w:space="0" w:color="auto"/>
                <w:left w:val="none" w:sz="0" w:space="0" w:color="auto"/>
                <w:bottom w:val="none" w:sz="0" w:space="0" w:color="auto"/>
                <w:right w:val="none" w:sz="0" w:space="0" w:color="auto"/>
              </w:divBdr>
            </w:div>
            <w:div w:id="293682579">
              <w:marLeft w:val="0"/>
              <w:marRight w:val="0"/>
              <w:marTop w:val="0"/>
              <w:marBottom w:val="0"/>
              <w:divBdr>
                <w:top w:val="none" w:sz="0" w:space="0" w:color="auto"/>
                <w:left w:val="none" w:sz="0" w:space="0" w:color="auto"/>
                <w:bottom w:val="none" w:sz="0" w:space="0" w:color="auto"/>
                <w:right w:val="none" w:sz="0" w:space="0" w:color="auto"/>
              </w:divBdr>
            </w:div>
            <w:div w:id="1436680342">
              <w:marLeft w:val="0"/>
              <w:marRight w:val="0"/>
              <w:marTop w:val="0"/>
              <w:marBottom w:val="0"/>
              <w:divBdr>
                <w:top w:val="none" w:sz="0" w:space="0" w:color="auto"/>
                <w:left w:val="none" w:sz="0" w:space="0" w:color="auto"/>
                <w:bottom w:val="none" w:sz="0" w:space="0" w:color="auto"/>
                <w:right w:val="none" w:sz="0" w:space="0" w:color="auto"/>
              </w:divBdr>
            </w:div>
            <w:div w:id="1877501608">
              <w:marLeft w:val="0"/>
              <w:marRight w:val="0"/>
              <w:marTop w:val="0"/>
              <w:marBottom w:val="0"/>
              <w:divBdr>
                <w:top w:val="none" w:sz="0" w:space="0" w:color="auto"/>
                <w:left w:val="none" w:sz="0" w:space="0" w:color="auto"/>
                <w:bottom w:val="none" w:sz="0" w:space="0" w:color="auto"/>
                <w:right w:val="none" w:sz="0" w:space="0" w:color="auto"/>
              </w:divBdr>
            </w:div>
            <w:div w:id="1507667018">
              <w:marLeft w:val="0"/>
              <w:marRight w:val="0"/>
              <w:marTop w:val="0"/>
              <w:marBottom w:val="0"/>
              <w:divBdr>
                <w:top w:val="none" w:sz="0" w:space="0" w:color="auto"/>
                <w:left w:val="none" w:sz="0" w:space="0" w:color="auto"/>
                <w:bottom w:val="none" w:sz="0" w:space="0" w:color="auto"/>
                <w:right w:val="none" w:sz="0" w:space="0" w:color="auto"/>
              </w:divBdr>
            </w:div>
            <w:div w:id="610865395">
              <w:marLeft w:val="0"/>
              <w:marRight w:val="0"/>
              <w:marTop w:val="0"/>
              <w:marBottom w:val="0"/>
              <w:divBdr>
                <w:top w:val="none" w:sz="0" w:space="0" w:color="auto"/>
                <w:left w:val="none" w:sz="0" w:space="0" w:color="auto"/>
                <w:bottom w:val="none" w:sz="0" w:space="0" w:color="auto"/>
                <w:right w:val="none" w:sz="0" w:space="0" w:color="auto"/>
              </w:divBdr>
            </w:div>
            <w:div w:id="1361315654">
              <w:marLeft w:val="0"/>
              <w:marRight w:val="0"/>
              <w:marTop w:val="0"/>
              <w:marBottom w:val="0"/>
              <w:divBdr>
                <w:top w:val="none" w:sz="0" w:space="0" w:color="auto"/>
                <w:left w:val="none" w:sz="0" w:space="0" w:color="auto"/>
                <w:bottom w:val="none" w:sz="0" w:space="0" w:color="auto"/>
                <w:right w:val="none" w:sz="0" w:space="0" w:color="auto"/>
              </w:divBdr>
            </w:div>
            <w:div w:id="243613632">
              <w:marLeft w:val="0"/>
              <w:marRight w:val="0"/>
              <w:marTop w:val="0"/>
              <w:marBottom w:val="0"/>
              <w:divBdr>
                <w:top w:val="none" w:sz="0" w:space="0" w:color="auto"/>
                <w:left w:val="none" w:sz="0" w:space="0" w:color="auto"/>
                <w:bottom w:val="none" w:sz="0" w:space="0" w:color="auto"/>
                <w:right w:val="none" w:sz="0" w:space="0" w:color="auto"/>
              </w:divBdr>
            </w:div>
            <w:div w:id="1360659963">
              <w:marLeft w:val="0"/>
              <w:marRight w:val="0"/>
              <w:marTop w:val="0"/>
              <w:marBottom w:val="0"/>
              <w:divBdr>
                <w:top w:val="none" w:sz="0" w:space="0" w:color="auto"/>
                <w:left w:val="none" w:sz="0" w:space="0" w:color="auto"/>
                <w:bottom w:val="none" w:sz="0" w:space="0" w:color="auto"/>
                <w:right w:val="none" w:sz="0" w:space="0" w:color="auto"/>
              </w:divBdr>
            </w:div>
            <w:div w:id="2139716343">
              <w:marLeft w:val="0"/>
              <w:marRight w:val="0"/>
              <w:marTop w:val="0"/>
              <w:marBottom w:val="0"/>
              <w:divBdr>
                <w:top w:val="none" w:sz="0" w:space="0" w:color="auto"/>
                <w:left w:val="none" w:sz="0" w:space="0" w:color="auto"/>
                <w:bottom w:val="none" w:sz="0" w:space="0" w:color="auto"/>
                <w:right w:val="none" w:sz="0" w:space="0" w:color="auto"/>
              </w:divBdr>
            </w:div>
            <w:div w:id="303390898">
              <w:marLeft w:val="0"/>
              <w:marRight w:val="0"/>
              <w:marTop w:val="0"/>
              <w:marBottom w:val="0"/>
              <w:divBdr>
                <w:top w:val="none" w:sz="0" w:space="0" w:color="auto"/>
                <w:left w:val="none" w:sz="0" w:space="0" w:color="auto"/>
                <w:bottom w:val="none" w:sz="0" w:space="0" w:color="auto"/>
                <w:right w:val="none" w:sz="0" w:space="0" w:color="auto"/>
              </w:divBdr>
            </w:div>
            <w:div w:id="674382600">
              <w:marLeft w:val="0"/>
              <w:marRight w:val="0"/>
              <w:marTop w:val="0"/>
              <w:marBottom w:val="0"/>
              <w:divBdr>
                <w:top w:val="none" w:sz="0" w:space="0" w:color="auto"/>
                <w:left w:val="none" w:sz="0" w:space="0" w:color="auto"/>
                <w:bottom w:val="none" w:sz="0" w:space="0" w:color="auto"/>
                <w:right w:val="none" w:sz="0" w:space="0" w:color="auto"/>
              </w:divBdr>
            </w:div>
            <w:div w:id="889652067">
              <w:marLeft w:val="0"/>
              <w:marRight w:val="0"/>
              <w:marTop w:val="0"/>
              <w:marBottom w:val="0"/>
              <w:divBdr>
                <w:top w:val="none" w:sz="0" w:space="0" w:color="auto"/>
                <w:left w:val="none" w:sz="0" w:space="0" w:color="auto"/>
                <w:bottom w:val="none" w:sz="0" w:space="0" w:color="auto"/>
                <w:right w:val="none" w:sz="0" w:space="0" w:color="auto"/>
              </w:divBdr>
            </w:div>
            <w:div w:id="1662657650">
              <w:marLeft w:val="0"/>
              <w:marRight w:val="0"/>
              <w:marTop w:val="0"/>
              <w:marBottom w:val="0"/>
              <w:divBdr>
                <w:top w:val="none" w:sz="0" w:space="0" w:color="auto"/>
                <w:left w:val="none" w:sz="0" w:space="0" w:color="auto"/>
                <w:bottom w:val="none" w:sz="0" w:space="0" w:color="auto"/>
                <w:right w:val="none" w:sz="0" w:space="0" w:color="auto"/>
              </w:divBdr>
            </w:div>
            <w:div w:id="744034475">
              <w:marLeft w:val="0"/>
              <w:marRight w:val="0"/>
              <w:marTop w:val="0"/>
              <w:marBottom w:val="0"/>
              <w:divBdr>
                <w:top w:val="none" w:sz="0" w:space="0" w:color="auto"/>
                <w:left w:val="none" w:sz="0" w:space="0" w:color="auto"/>
                <w:bottom w:val="none" w:sz="0" w:space="0" w:color="auto"/>
                <w:right w:val="none" w:sz="0" w:space="0" w:color="auto"/>
              </w:divBdr>
            </w:div>
            <w:div w:id="1817139045">
              <w:marLeft w:val="0"/>
              <w:marRight w:val="0"/>
              <w:marTop w:val="0"/>
              <w:marBottom w:val="0"/>
              <w:divBdr>
                <w:top w:val="none" w:sz="0" w:space="0" w:color="auto"/>
                <w:left w:val="none" w:sz="0" w:space="0" w:color="auto"/>
                <w:bottom w:val="none" w:sz="0" w:space="0" w:color="auto"/>
                <w:right w:val="none" w:sz="0" w:space="0" w:color="auto"/>
              </w:divBdr>
            </w:div>
            <w:div w:id="1780417857">
              <w:marLeft w:val="0"/>
              <w:marRight w:val="0"/>
              <w:marTop w:val="0"/>
              <w:marBottom w:val="0"/>
              <w:divBdr>
                <w:top w:val="none" w:sz="0" w:space="0" w:color="auto"/>
                <w:left w:val="none" w:sz="0" w:space="0" w:color="auto"/>
                <w:bottom w:val="none" w:sz="0" w:space="0" w:color="auto"/>
                <w:right w:val="none" w:sz="0" w:space="0" w:color="auto"/>
              </w:divBdr>
            </w:div>
            <w:div w:id="633298080">
              <w:marLeft w:val="0"/>
              <w:marRight w:val="0"/>
              <w:marTop w:val="0"/>
              <w:marBottom w:val="0"/>
              <w:divBdr>
                <w:top w:val="none" w:sz="0" w:space="0" w:color="auto"/>
                <w:left w:val="none" w:sz="0" w:space="0" w:color="auto"/>
                <w:bottom w:val="none" w:sz="0" w:space="0" w:color="auto"/>
                <w:right w:val="none" w:sz="0" w:space="0" w:color="auto"/>
              </w:divBdr>
            </w:div>
            <w:div w:id="388574907">
              <w:marLeft w:val="0"/>
              <w:marRight w:val="0"/>
              <w:marTop w:val="0"/>
              <w:marBottom w:val="0"/>
              <w:divBdr>
                <w:top w:val="none" w:sz="0" w:space="0" w:color="auto"/>
                <w:left w:val="none" w:sz="0" w:space="0" w:color="auto"/>
                <w:bottom w:val="none" w:sz="0" w:space="0" w:color="auto"/>
                <w:right w:val="none" w:sz="0" w:space="0" w:color="auto"/>
              </w:divBdr>
            </w:div>
            <w:div w:id="1183318019">
              <w:marLeft w:val="0"/>
              <w:marRight w:val="0"/>
              <w:marTop w:val="0"/>
              <w:marBottom w:val="0"/>
              <w:divBdr>
                <w:top w:val="none" w:sz="0" w:space="0" w:color="auto"/>
                <w:left w:val="none" w:sz="0" w:space="0" w:color="auto"/>
                <w:bottom w:val="none" w:sz="0" w:space="0" w:color="auto"/>
                <w:right w:val="none" w:sz="0" w:space="0" w:color="auto"/>
              </w:divBdr>
            </w:div>
            <w:div w:id="1763914484">
              <w:marLeft w:val="0"/>
              <w:marRight w:val="0"/>
              <w:marTop w:val="0"/>
              <w:marBottom w:val="0"/>
              <w:divBdr>
                <w:top w:val="none" w:sz="0" w:space="0" w:color="auto"/>
                <w:left w:val="none" w:sz="0" w:space="0" w:color="auto"/>
                <w:bottom w:val="none" w:sz="0" w:space="0" w:color="auto"/>
                <w:right w:val="none" w:sz="0" w:space="0" w:color="auto"/>
              </w:divBdr>
            </w:div>
            <w:div w:id="1352998257">
              <w:marLeft w:val="0"/>
              <w:marRight w:val="0"/>
              <w:marTop w:val="0"/>
              <w:marBottom w:val="0"/>
              <w:divBdr>
                <w:top w:val="none" w:sz="0" w:space="0" w:color="auto"/>
                <w:left w:val="none" w:sz="0" w:space="0" w:color="auto"/>
                <w:bottom w:val="none" w:sz="0" w:space="0" w:color="auto"/>
                <w:right w:val="none" w:sz="0" w:space="0" w:color="auto"/>
              </w:divBdr>
            </w:div>
            <w:div w:id="278069397">
              <w:marLeft w:val="0"/>
              <w:marRight w:val="0"/>
              <w:marTop w:val="0"/>
              <w:marBottom w:val="0"/>
              <w:divBdr>
                <w:top w:val="none" w:sz="0" w:space="0" w:color="auto"/>
                <w:left w:val="none" w:sz="0" w:space="0" w:color="auto"/>
                <w:bottom w:val="none" w:sz="0" w:space="0" w:color="auto"/>
                <w:right w:val="none" w:sz="0" w:space="0" w:color="auto"/>
              </w:divBdr>
            </w:div>
            <w:div w:id="1428387968">
              <w:marLeft w:val="0"/>
              <w:marRight w:val="0"/>
              <w:marTop w:val="0"/>
              <w:marBottom w:val="0"/>
              <w:divBdr>
                <w:top w:val="none" w:sz="0" w:space="0" w:color="auto"/>
                <w:left w:val="none" w:sz="0" w:space="0" w:color="auto"/>
                <w:bottom w:val="none" w:sz="0" w:space="0" w:color="auto"/>
                <w:right w:val="none" w:sz="0" w:space="0" w:color="auto"/>
              </w:divBdr>
            </w:div>
            <w:div w:id="1907572778">
              <w:marLeft w:val="0"/>
              <w:marRight w:val="0"/>
              <w:marTop w:val="0"/>
              <w:marBottom w:val="0"/>
              <w:divBdr>
                <w:top w:val="none" w:sz="0" w:space="0" w:color="auto"/>
                <w:left w:val="none" w:sz="0" w:space="0" w:color="auto"/>
                <w:bottom w:val="none" w:sz="0" w:space="0" w:color="auto"/>
                <w:right w:val="none" w:sz="0" w:space="0" w:color="auto"/>
              </w:divBdr>
            </w:div>
            <w:div w:id="797335378">
              <w:marLeft w:val="0"/>
              <w:marRight w:val="0"/>
              <w:marTop w:val="0"/>
              <w:marBottom w:val="0"/>
              <w:divBdr>
                <w:top w:val="none" w:sz="0" w:space="0" w:color="auto"/>
                <w:left w:val="none" w:sz="0" w:space="0" w:color="auto"/>
                <w:bottom w:val="none" w:sz="0" w:space="0" w:color="auto"/>
                <w:right w:val="none" w:sz="0" w:space="0" w:color="auto"/>
              </w:divBdr>
            </w:div>
            <w:div w:id="47459293">
              <w:marLeft w:val="0"/>
              <w:marRight w:val="0"/>
              <w:marTop w:val="0"/>
              <w:marBottom w:val="0"/>
              <w:divBdr>
                <w:top w:val="none" w:sz="0" w:space="0" w:color="auto"/>
                <w:left w:val="none" w:sz="0" w:space="0" w:color="auto"/>
                <w:bottom w:val="none" w:sz="0" w:space="0" w:color="auto"/>
                <w:right w:val="none" w:sz="0" w:space="0" w:color="auto"/>
              </w:divBdr>
            </w:div>
            <w:div w:id="1263565603">
              <w:marLeft w:val="0"/>
              <w:marRight w:val="0"/>
              <w:marTop w:val="0"/>
              <w:marBottom w:val="0"/>
              <w:divBdr>
                <w:top w:val="none" w:sz="0" w:space="0" w:color="auto"/>
                <w:left w:val="none" w:sz="0" w:space="0" w:color="auto"/>
                <w:bottom w:val="none" w:sz="0" w:space="0" w:color="auto"/>
                <w:right w:val="none" w:sz="0" w:space="0" w:color="auto"/>
              </w:divBdr>
            </w:div>
            <w:div w:id="179508665">
              <w:marLeft w:val="0"/>
              <w:marRight w:val="0"/>
              <w:marTop w:val="0"/>
              <w:marBottom w:val="0"/>
              <w:divBdr>
                <w:top w:val="none" w:sz="0" w:space="0" w:color="auto"/>
                <w:left w:val="none" w:sz="0" w:space="0" w:color="auto"/>
                <w:bottom w:val="none" w:sz="0" w:space="0" w:color="auto"/>
                <w:right w:val="none" w:sz="0" w:space="0" w:color="auto"/>
              </w:divBdr>
            </w:div>
            <w:div w:id="1559394003">
              <w:marLeft w:val="0"/>
              <w:marRight w:val="0"/>
              <w:marTop w:val="0"/>
              <w:marBottom w:val="0"/>
              <w:divBdr>
                <w:top w:val="none" w:sz="0" w:space="0" w:color="auto"/>
                <w:left w:val="none" w:sz="0" w:space="0" w:color="auto"/>
                <w:bottom w:val="none" w:sz="0" w:space="0" w:color="auto"/>
                <w:right w:val="none" w:sz="0" w:space="0" w:color="auto"/>
              </w:divBdr>
            </w:div>
            <w:div w:id="628974820">
              <w:marLeft w:val="0"/>
              <w:marRight w:val="0"/>
              <w:marTop w:val="0"/>
              <w:marBottom w:val="0"/>
              <w:divBdr>
                <w:top w:val="none" w:sz="0" w:space="0" w:color="auto"/>
                <w:left w:val="none" w:sz="0" w:space="0" w:color="auto"/>
                <w:bottom w:val="none" w:sz="0" w:space="0" w:color="auto"/>
                <w:right w:val="none" w:sz="0" w:space="0" w:color="auto"/>
              </w:divBdr>
            </w:div>
            <w:div w:id="515462882">
              <w:marLeft w:val="0"/>
              <w:marRight w:val="0"/>
              <w:marTop w:val="0"/>
              <w:marBottom w:val="0"/>
              <w:divBdr>
                <w:top w:val="none" w:sz="0" w:space="0" w:color="auto"/>
                <w:left w:val="none" w:sz="0" w:space="0" w:color="auto"/>
                <w:bottom w:val="none" w:sz="0" w:space="0" w:color="auto"/>
                <w:right w:val="none" w:sz="0" w:space="0" w:color="auto"/>
              </w:divBdr>
            </w:div>
            <w:div w:id="742411121">
              <w:marLeft w:val="0"/>
              <w:marRight w:val="0"/>
              <w:marTop w:val="0"/>
              <w:marBottom w:val="0"/>
              <w:divBdr>
                <w:top w:val="none" w:sz="0" w:space="0" w:color="auto"/>
                <w:left w:val="none" w:sz="0" w:space="0" w:color="auto"/>
                <w:bottom w:val="none" w:sz="0" w:space="0" w:color="auto"/>
                <w:right w:val="none" w:sz="0" w:space="0" w:color="auto"/>
              </w:divBdr>
            </w:div>
            <w:div w:id="1181166256">
              <w:marLeft w:val="0"/>
              <w:marRight w:val="0"/>
              <w:marTop w:val="0"/>
              <w:marBottom w:val="0"/>
              <w:divBdr>
                <w:top w:val="none" w:sz="0" w:space="0" w:color="auto"/>
                <w:left w:val="none" w:sz="0" w:space="0" w:color="auto"/>
                <w:bottom w:val="none" w:sz="0" w:space="0" w:color="auto"/>
                <w:right w:val="none" w:sz="0" w:space="0" w:color="auto"/>
              </w:divBdr>
            </w:div>
            <w:div w:id="1114059622">
              <w:marLeft w:val="0"/>
              <w:marRight w:val="0"/>
              <w:marTop w:val="0"/>
              <w:marBottom w:val="0"/>
              <w:divBdr>
                <w:top w:val="none" w:sz="0" w:space="0" w:color="auto"/>
                <w:left w:val="none" w:sz="0" w:space="0" w:color="auto"/>
                <w:bottom w:val="none" w:sz="0" w:space="0" w:color="auto"/>
                <w:right w:val="none" w:sz="0" w:space="0" w:color="auto"/>
              </w:divBdr>
            </w:div>
            <w:div w:id="1891454393">
              <w:marLeft w:val="0"/>
              <w:marRight w:val="0"/>
              <w:marTop w:val="0"/>
              <w:marBottom w:val="0"/>
              <w:divBdr>
                <w:top w:val="none" w:sz="0" w:space="0" w:color="auto"/>
                <w:left w:val="none" w:sz="0" w:space="0" w:color="auto"/>
                <w:bottom w:val="none" w:sz="0" w:space="0" w:color="auto"/>
                <w:right w:val="none" w:sz="0" w:space="0" w:color="auto"/>
              </w:divBdr>
            </w:div>
            <w:div w:id="1420055086">
              <w:marLeft w:val="0"/>
              <w:marRight w:val="0"/>
              <w:marTop w:val="0"/>
              <w:marBottom w:val="0"/>
              <w:divBdr>
                <w:top w:val="none" w:sz="0" w:space="0" w:color="auto"/>
                <w:left w:val="none" w:sz="0" w:space="0" w:color="auto"/>
                <w:bottom w:val="none" w:sz="0" w:space="0" w:color="auto"/>
                <w:right w:val="none" w:sz="0" w:space="0" w:color="auto"/>
              </w:divBdr>
            </w:div>
            <w:div w:id="1438405111">
              <w:marLeft w:val="0"/>
              <w:marRight w:val="0"/>
              <w:marTop w:val="0"/>
              <w:marBottom w:val="0"/>
              <w:divBdr>
                <w:top w:val="none" w:sz="0" w:space="0" w:color="auto"/>
                <w:left w:val="none" w:sz="0" w:space="0" w:color="auto"/>
                <w:bottom w:val="none" w:sz="0" w:space="0" w:color="auto"/>
                <w:right w:val="none" w:sz="0" w:space="0" w:color="auto"/>
              </w:divBdr>
            </w:div>
            <w:div w:id="561135870">
              <w:marLeft w:val="0"/>
              <w:marRight w:val="0"/>
              <w:marTop w:val="0"/>
              <w:marBottom w:val="0"/>
              <w:divBdr>
                <w:top w:val="none" w:sz="0" w:space="0" w:color="auto"/>
                <w:left w:val="none" w:sz="0" w:space="0" w:color="auto"/>
                <w:bottom w:val="none" w:sz="0" w:space="0" w:color="auto"/>
                <w:right w:val="none" w:sz="0" w:space="0" w:color="auto"/>
              </w:divBdr>
            </w:div>
            <w:div w:id="1874076294">
              <w:marLeft w:val="0"/>
              <w:marRight w:val="0"/>
              <w:marTop w:val="0"/>
              <w:marBottom w:val="0"/>
              <w:divBdr>
                <w:top w:val="none" w:sz="0" w:space="0" w:color="auto"/>
                <w:left w:val="none" w:sz="0" w:space="0" w:color="auto"/>
                <w:bottom w:val="none" w:sz="0" w:space="0" w:color="auto"/>
                <w:right w:val="none" w:sz="0" w:space="0" w:color="auto"/>
              </w:divBdr>
            </w:div>
            <w:div w:id="2062247581">
              <w:marLeft w:val="0"/>
              <w:marRight w:val="0"/>
              <w:marTop w:val="0"/>
              <w:marBottom w:val="0"/>
              <w:divBdr>
                <w:top w:val="none" w:sz="0" w:space="0" w:color="auto"/>
                <w:left w:val="none" w:sz="0" w:space="0" w:color="auto"/>
                <w:bottom w:val="none" w:sz="0" w:space="0" w:color="auto"/>
                <w:right w:val="none" w:sz="0" w:space="0" w:color="auto"/>
              </w:divBdr>
            </w:div>
            <w:div w:id="1198664032">
              <w:marLeft w:val="0"/>
              <w:marRight w:val="0"/>
              <w:marTop w:val="0"/>
              <w:marBottom w:val="0"/>
              <w:divBdr>
                <w:top w:val="none" w:sz="0" w:space="0" w:color="auto"/>
                <w:left w:val="none" w:sz="0" w:space="0" w:color="auto"/>
                <w:bottom w:val="none" w:sz="0" w:space="0" w:color="auto"/>
                <w:right w:val="none" w:sz="0" w:space="0" w:color="auto"/>
              </w:divBdr>
            </w:div>
            <w:div w:id="1399279786">
              <w:marLeft w:val="0"/>
              <w:marRight w:val="0"/>
              <w:marTop w:val="0"/>
              <w:marBottom w:val="0"/>
              <w:divBdr>
                <w:top w:val="none" w:sz="0" w:space="0" w:color="auto"/>
                <w:left w:val="none" w:sz="0" w:space="0" w:color="auto"/>
                <w:bottom w:val="none" w:sz="0" w:space="0" w:color="auto"/>
                <w:right w:val="none" w:sz="0" w:space="0" w:color="auto"/>
              </w:divBdr>
            </w:div>
            <w:div w:id="980960272">
              <w:marLeft w:val="0"/>
              <w:marRight w:val="0"/>
              <w:marTop w:val="0"/>
              <w:marBottom w:val="0"/>
              <w:divBdr>
                <w:top w:val="none" w:sz="0" w:space="0" w:color="auto"/>
                <w:left w:val="none" w:sz="0" w:space="0" w:color="auto"/>
                <w:bottom w:val="none" w:sz="0" w:space="0" w:color="auto"/>
                <w:right w:val="none" w:sz="0" w:space="0" w:color="auto"/>
              </w:divBdr>
            </w:div>
            <w:div w:id="716513439">
              <w:marLeft w:val="0"/>
              <w:marRight w:val="0"/>
              <w:marTop w:val="0"/>
              <w:marBottom w:val="0"/>
              <w:divBdr>
                <w:top w:val="none" w:sz="0" w:space="0" w:color="auto"/>
                <w:left w:val="none" w:sz="0" w:space="0" w:color="auto"/>
                <w:bottom w:val="none" w:sz="0" w:space="0" w:color="auto"/>
                <w:right w:val="none" w:sz="0" w:space="0" w:color="auto"/>
              </w:divBdr>
            </w:div>
            <w:div w:id="1970743794">
              <w:marLeft w:val="0"/>
              <w:marRight w:val="0"/>
              <w:marTop w:val="0"/>
              <w:marBottom w:val="0"/>
              <w:divBdr>
                <w:top w:val="none" w:sz="0" w:space="0" w:color="auto"/>
                <w:left w:val="none" w:sz="0" w:space="0" w:color="auto"/>
                <w:bottom w:val="none" w:sz="0" w:space="0" w:color="auto"/>
                <w:right w:val="none" w:sz="0" w:space="0" w:color="auto"/>
              </w:divBdr>
            </w:div>
            <w:div w:id="848762155">
              <w:marLeft w:val="0"/>
              <w:marRight w:val="0"/>
              <w:marTop w:val="0"/>
              <w:marBottom w:val="0"/>
              <w:divBdr>
                <w:top w:val="none" w:sz="0" w:space="0" w:color="auto"/>
                <w:left w:val="none" w:sz="0" w:space="0" w:color="auto"/>
                <w:bottom w:val="none" w:sz="0" w:space="0" w:color="auto"/>
                <w:right w:val="none" w:sz="0" w:space="0" w:color="auto"/>
              </w:divBdr>
            </w:div>
            <w:div w:id="581990419">
              <w:marLeft w:val="0"/>
              <w:marRight w:val="0"/>
              <w:marTop w:val="0"/>
              <w:marBottom w:val="0"/>
              <w:divBdr>
                <w:top w:val="none" w:sz="0" w:space="0" w:color="auto"/>
                <w:left w:val="none" w:sz="0" w:space="0" w:color="auto"/>
                <w:bottom w:val="none" w:sz="0" w:space="0" w:color="auto"/>
                <w:right w:val="none" w:sz="0" w:space="0" w:color="auto"/>
              </w:divBdr>
            </w:div>
            <w:div w:id="382753789">
              <w:marLeft w:val="0"/>
              <w:marRight w:val="0"/>
              <w:marTop w:val="0"/>
              <w:marBottom w:val="0"/>
              <w:divBdr>
                <w:top w:val="none" w:sz="0" w:space="0" w:color="auto"/>
                <w:left w:val="none" w:sz="0" w:space="0" w:color="auto"/>
                <w:bottom w:val="none" w:sz="0" w:space="0" w:color="auto"/>
                <w:right w:val="none" w:sz="0" w:space="0" w:color="auto"/>
              </w:divBdr>
            </w:div>
            <w:div w:id="202640839">
              <w:marLeft w:val="0"/>
              <w:marRight w:val="0"/>
              <w:marTop w:val="0"/>
              <w:marBottom w:val="0"/>
              <w:divBdr>
                <w:top w:val="none" w:sz="0" w:space="0" w:color="auto"/>
                <w:left w:val="none" w:sz="0" w:space="0" w:color="auto"/>
                <w:bottom w:val="none" w:sz="0" w:space="0" w:color="auto"/>
                <w:right w:val="none" w:sz="0" w:space="0" w:color="auto"/>
              </w:divBdr>
            </w:div>
            <w:div w:id="154803803">
              <w:marLeft w:val="0"/>
              <w:marRight w:val="0"/>
              <w:marTop w:val="0"/>
              <w:marBottom w:val="0"/>
              <w:divBdr>
                <w:top w:val="none" w:sz="0" w:space="0" w:color="auto"/>
                <w:left w:val="none" w:sz="0" w:space="0" w:color="auto"/>
                <w:bottom w:val="none" w:sz="0" w:space="0" w:color="auto"/>
                <w:right w:val="none" w:sz="0" w:space="0" w:color="auto"/>
              </w:divBdr>
            </w:div>
            <w:div w:id="581062491">
              <w:marLeft w:val="0"/>
              <w:marRight w:val="0"/>
              <w:marTop w:val="0"/>
              <w:marBottom w:val="0"/>
              <w:divBdr>
                <w:top w:val="none" w:sz="0" w:space="0" w:color="auto"/>
                <w:left w:val="none" w:sz="0" w:space="0" w:color="auto"/>
                <w:bottom w:val="none" w:sz="0" w:space="0" w:color="auto"/>
                <w:right w:val="none" w:sz="0" w:space="0" w:color="auto"/>
              </w:divBdr>
            </w:div>
            <w:div w:id="2083486543">
              <w:marLeft w:val="0"/>
              <w:marRight w:val="0"/>
              <w:marTop w:val="0"/>
              <w:marBottom w:val="0"/>
              <w:divBdr>
                <w:top w:val="none" w:sz="0" w:space="0" w:color="auto"/>
                <w:left w:val="none" w:sz="0" w:space="0" w:color="auto"/>
                <w:bottom w:val="none" w:sz="0" w:space="0" w:color="auto"/>
                <w:right w:val="none" w:sz="0" w:space="0" w:color="auto"/>
              </w:divBdr>
            </w:div>
            <w:div w:id="548498252">
              <w:marLeft w:val="0"/>
              <w:marRight w:val="0"/>
              <w:marTop w:val="0"/>
              <w:marBottom w:val="0"/>
              <w:divBdr>
                <w:top w:val="none" w:sz="0" w:space="0" w:color="auto"/>
                <w:left w:val="none" w:sz="0" w:space="0" w:color="auto"/>
                <w:bottom w:val="none" w:sz="0" w:space="0" w:color="auto"/>
                <w:right w:val="none" w:sz="0" w:space="0" w:color="auto"/>
              </w:divBdr>
            </w:div>
            <w:div w:id="1645894338">
              <w:marLeft w:val="0"/>
              <w:marRight w:val="0"/>
              <w:marTop w:val="0"/>
              <w:marBottom w:val="0"/>
              <w:divBdr>
                <w:top w:val="none" w:sz="0" w:space="0" w:color="auto"/>
                <w:left w:val="none" w:sz="0" w:space="0" w:color="auto"/>
                <w:bottom w:val="none" w:sz="0" w:space="0" w:color="auto"/>
                <w:right w:val="none" w:sz="0" w:space="0" w:color="auto"/>
              </w:divBdr>
            </w:div>
            <w:div w:id="1532257565">
              <w:marLeft w:val="0"/>
              <w:marRight w:val="0"/>
              <w:marTop w:val="0"/>
              <w:marBottom w:val="0"/>
              <w:divBdr>
                <w:top w:val="none" w:sz="0" w:space="0" w:color="auto"/>
                <w:left w:val="none" w:sz="0" w:space="0" w:color="auto"/>
                <w:bottom w:val="none" w:sz="0" w:space="0" w:color="auto"/>
                <w:right w:val="none" w:sz="0" w:space="0" w:color="auto"/>
              </w:divBdr>
            </w:div>
            <w:div w:id="960376467">
              <w:marLeft w:val="0"/>
              <w:marRight w:val="0"/>
              <w:marTop w:val="0"/>
              <w:marBottom w:val="0"/>
              <w:divBdr>
                <w:top w:val="none" w:sz="0" w:space="0" w:color="auto"/>
                <w:left w:val="none" w:sz="0" w:space="0" w:color="auto"/>
                <w:bottom w:val="none" w:sz="0" w:space="0" w:color="auto"/>
                <w:right w:val="none" w:sz="0" w:space="0" w:color="auto"/>
              </w:divBdr>
            </w:div>
            <w:div w:id="1178158859">
              <w:marLeft w:val="0"/>
              <w:marRight w:val="0"/>
              <w:marTop w:val="0"/>
              <w:marBottom w:val="0"/>
              <w:divBdr>
                <w:top w:val="none" w:sz="0" w:space="0" w:color="auto"/>
                <w:left w:val="none" w:sz="0" w:space="0" w:color="auto"/>
                <w:bottom w:val="none" w:sz="0" w:space="0" w:color="auto"/>
                <w:right w:val="none" w:sz="0" w:space="0" w:color="auto"/>
              </w:divBdr>
            </w:div>
            <w:div w:id="299072072">
              <w:marLeft w:val="0"/>
              <w:marRight w:val="0"/>
              <w:marTop w:val="0"/>
              <w:marBottom w:val="0"/>
              <w:divBdr>
                <w:top w:val="none" w:sz="0" w:space="0" w:color="auto"/>
                <w:left w:val="none" w:sz="0" w:space="0" w:color="auto"/>
                <w:bottom w:val="none" w:sz="0" w:space="0" w:color="auto"/>
                <w:right w:val="none" w:sz="0" w:space="0" w:color="auto"/>
              </w:divBdr>
            </w:div>
            <w:div w:id="1157840372">
              <w:marLeft w:val="0"/>
              <w:marRight w:val="0"/>
              <w:marTop w:val="0"/>
              <w:marBottom w:val="0"/>
              <w:divBdr>
                <w:top w:val="none" w:sz="0" w:space="0" w:color="auto"/>
                <w:left w:val="none" w:sz="0" w:space="0" w:color="auto"/>
                <w:bottom w:val="none" w:sz="0" w:space="0" w:color="auto"/>
                <w:right w:val="none" w:sz="0" w:space="0" w:color="auto"/>
              </w:divBdr>
            </w:div>
            <w:div w:id="1217938442">
              <w:marLeft w:val="0"/>
              <w:marRight w:val="0"/>
              <w:marTop w:val="0"/>
              <w:marBottom w:val="0"/>
              <w:divBdr>
                <w:top w:val="none" w:sz="0" w:space="0" w:color="auto"/>
                <w:left w:val="none" w:sz="0" w:space="0" w:color="auto"/>
                <w:bottom w:val="none" w:sz="0" w:space="0" w:color="auto"/>
                <w:right w:val="none" w:sz="0" w:space="0" w:color="auto"/>
              </w:divBdr>
            </w:div>
            <w:div w:id="1349797940">
              <w:marLeft w:val="0"/>
              <w:marRight w:val="0"/>
              <w:marTop w:val="0"/>
              <w:marBottom w:val="0"/>
              <w:divBdr>
                <w:top w:val="none" w:sz="0" w:space="0" w:color="auto"/>
                <w:left w:val="none" w:sz="0" w:space="0" w:color="auto"/>
                <w:bottom w:val="none" w:sz="0" w:space="0" w:color="auto"/>
                <w:right w:val="none" w:sz="0" w:space="0" w:color="auto"/>
              </w:divBdr>
            </w:div>
            <w:div w:id="527987967">
              <w:marLeft w:val="0"/>
              <w:marRight w:val="0"/>
              <w:marTop w:val="0"/>
              <w:marBottom w:val="0"/>
              <w:divBdr>
                <w:top w:val="none" w:sz="0" w:space="0" w:color="auto"/>
                <w:left w:val="none" w:sz="0" w:space="0" w:color="auto"/>
                <w:bottom w:val="none" w:sz="0" w:space="0" w:color="auto"/>
                <w:right w:val="none" w:sz="0" w:space="0" w:color="auto"/>
              </w:divBdr>
            </w:div>
            <w:div w:id="1952740606">
              <w:marLeft w:val="0"/>
              <w:marRight w:val="0"/>
              <w:marTop w:val="0"/>
              <w:marBottom w:val="0"/>
              <w:divBdr>
                <w:top w:val="none" w:sz="0" w:space="0" w:color="auto"/>
                <w:left w:val="none" w:sz="0" w:space="0" w:color="auto"/>
                <w:bottom w:val="none" w:sz="0" w:space="0" w:color="auto"/>
                <w:right w:val="none" w:sz="0" w:space="0" w:color="auto"/>
              </w:divBdr>
            </w:div>
            <w:div w:id="12833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2992">
      <w:bodyDiv w:val="1"/>
      <w:marLeft w:val="0"/>
      <w:marRight w:val="0"/>
      <w:marTop w:val="0"/>
      <w:marBottom w:val="0"/>
      <w:divBdr>
        <w:top w:val="none" w:sz="0" w:space="0" w:color="auto"/>
        <w:left w:val="none" w:sz="0" w:space="0" w:color="auto"/>
        <w:bottom w:val="none" w:sz="0" w:space="0" w:color="auto"/>
        <w:right w:val="none" w:sz="0" w:space="0" w:color="auto"/>
      </w:divBdr>
      <w:divsChild>
        <w:div w:id="412242375">
          <w:marLeft w:val="0"/>
          <w:marRight w:val="0"/>
          <w:marTop w:val="0"/>
          <w:marBottom w:val="0"/>
          <w:divBdr>
            <w:top w:val="none" w:sz="0" w:space="0" w:color="auto"/>
            <w:left w:val="none" w:sz="0" w:space="0" w:color="auto"/>
            <w:bottom w:val="none" w:sz="0" w:space="0" w:color="auto"/>
            <w:right w:val="none" w:sz="0" w:space="0" w:color="auto"/>
          </w:divBdr>
          <w:divsChild>
            <w:div w:id="1446316091">
              <w:marLeft w:val="0"/>
              <w:marRight w:val="0"/>
              <w:marTop w:val="0"/>
              <w:marBottom w:val="0"/>
              <w:divBdr>
                <w:top w:val="none" w:sz="0" w:space="0" w:color="auto"/>
                <w:left w:val="none" w:sz="0" w:space="0" w:color="auto"/>
                <w:bottom w:val="none" w:sz="0" w:space="0" w:color="auto"/>
                <w:right w:val="none" w:sz="0" w:space="0" w:color="auto"/>
              </w:divBdr>
              <w:divsChild>
                <w:div w:id="798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03045">
      <w:bodyDiv w:val="1"/>
      <w:marLeft w:val="0"/>
      <w:marRight w:val="0"/>
      <w:marTop w:val="0"/>
      <w:marBottom w:val="0"/>
      <w:divBdr>
        <w:top w:val="none" w:sz="0" w:space="0" w:color="auto"/>
        <w:left w:val="none" w:sz="0" w:space="0" w:color="auto"/>
        <w:bottom w:val="none" w:sz="0" w:space="0" w:color="auto"/>
        <w:right w:val="none" w:sz="0" w:space="0" w:color="auto"/>
      </w:divBdr>
      <w:divsChild>
        <w:div w:id="2079358651">
          <w:marLeft w:val="0"/>
          <w:marRight w:val="0"/>
          <w:marTop w:val="0"/>
          <w:marBottom w:val="0"/>
          <w:divBdr>
            <w:top w:val="none" w:sz="0" w:space="0" w:color="auto"/>
            <w:left w:val="none" w:sz="0" w:space="0" w:color="auto"/>
            <w:bottom w:val="none" w:sz="0" w:space="0" w:color="auto"/>
            <w:right w:val="none" w:sz="0" w:space="0" w:color="auto"/>
          </w:divBdr>
          <w:divsChild>
            <w:div w:id="1930460904">
              <w:marLeft w:val="0"/>
              <w:marRight w:val="0"/>
              <w:marTop w:val="0"/>
              <w:marBottom w:val="0"/>
              <w:divBdr>
                <w:top w:val="none" w:sz="0" w:space="0" w:color="auto"/>
                <w:left w:val="none" w:sz="0" w:space="0" w:color="auto"/>
                <w:bottom w:val="none" w:sz="0" w:space="0" w:color="auto"/>
                <w:right w:val="none" w:sz="0" w:space="0" w:color="auto"/>
              </w:divBdr>
              <w:divsChild>
                <w:div w:id="1885023525">
                  <w:marLeft w:val="0"/>
                  <w:marRight w:val="0"/>
                  <w:marTop w:val="0"/>
                  <w:marBottom w:val="0"/>
                  <w:divBdr>
                    <w:top w:val="none" w:sz="0" w:space="0" w:color="auto"/>
                    <w:left w:val="none" w:sz="0" w:space="0" w:color="auto"/>
                    <w:bottom w:val="none" w:sz="0" w:space="0" w:color="auto"/>
                    <w:right w:val="none" w:sz="0" w:space="0" w:color="auto"/>
                  </w:divBdr>
                  <w:divsChild>
                    <w:div w:id="959455637">
                      <w:marLeft w:val="0"/>
                      <w:marRight w:val="0"/>
                      <w:marTop w:val="0"/>
                      <w:marBottom w:val="0"/>
                      <w:divBdr>
                        <w:top w:val="none" w:sz="0" w:space="0" w:color="auto"/>
                        <w:left w:val="none" w:sz="0" w:space="0" w:color="auto"/>
                        <w:bottom w:val="none" w:sz="0" w:space="0" w:color="auto"/>
                        <w:right w:val="none" w:sz="0" w:space="0" w:color="auto"/>
                      </w:divBdr>
                      <w:divsChild>
                        <w:div w:id="826169472">
                          <w:marLeft w:val="0"/>
                          <w:marRight w:val="0"/>
                          <w:marTop w:val="0"/>
                          <w:marBottom w:val="0"/>
                          <w:divBdr>
                            <w:top w:val="none" w:sz="0" w:space="0" w:color="auto"/>
                            <w:left w:val="none" w:sz="0" w:space="0" w:color="auto"/>
                            <w:bottom w:val="none" w:sz="0" w:space="0" w:color="auto"/>
                            <w:right w:val="none" w:sz="0" w:space="0" w:color="auto"/>
                          </w:divBdr>
                          <w:divsChild>
                            <w:div w:id="583805195">
                              <w:marLeft w:val="0"/>
                              <w:marRight w:val="0"/>
                              <w:marTop w:val="0"/>
                              <w:marBottom w:val="0"/>
                              <w:divBdr>
                                <w:top w:val="none" w:sz="0" w:space="0" w:color="auto"/>
                                <w:left w:val="none" w:sz="0" w:space="0" w:color="auto"/>
                                <w:bottom w:val="none" w:sz="0" w:space="0" w:color="auto"/>
                                <w:right w:val="none" w:sz="0" w:space="0" w:color="auto"/>
                              </w:divBdr>
                              <w:divsChild>
                                <w:div w:id="1415668348">
                                  <w:marLeft w:val="0"/>
                                  <w:marRight w:val="0"/>
                                  <w:marTop w:val="0"/>
                                  <w:marBottom w:val="0"/>
                                  <w:divBdr>
                                    <w:top w:val="none" w:sz="0" w:space="0" w:color="auto"/>
                                    <w:left w:val="none" w:sz="0" w:space="0" w:color="auto"/>
                                    <w:bottom w:val="none" w:sz="0" w:space="0" w:color="auto"/>
                                    <w:right w:val="none" w:sz="0" w:space="0" w:color="auto"/>
                                  </w:divBdr>
                                  <w:divsChild>
                                    <w:div w:id="1465732246">
                                      <w:marLeft w:val="0"/>
                                      <w:marRight w:val="0"/>
                                      <w:marTop w:val="0"/>
                                      <w:marBottom w:val="0"/>
                                      <w:divBdr>
                                        <w:top w:val="none" w:sz="0" w:space="0" w:color="auto"/>
                                        <w:left w:val="none" w:sz="0" w:space="0" w:color="auto"/>
                                        <w:bottom w:val="none" w:sz="0" w:space="0" w:color="auto"/>
                                        <w:right w:val="none" w:sz="0" w:space="0" w:color="auto"/>
                                      </w:divBdr>
                                      <w:divsChild>
                                        <w:div w:id="42563096">
                                          <w:marLeft w:val="0"/>
                                          <w:marRight w:val="0"/>
                                          <w:marTop w:val="0"/>
                                          <w:marBottom w:val="0"/>
                                          <w:divBdr>
                                            <w:top w:val="none" w:sz="0" w:space="0" w:color="auto"/>
                                            <w:left w:val="none" w:sz="0" w:space="0" w:color="auto"/>
                                            <w:bottom w:val="none" w:sz="0" w:space="0" w:color="auto"/>
                                            <w:right w:val="none" w:sz="0" w:space="0" w:color="auto"/>
                                          </w:divBdr>
                                          <w:divsChild>
                                            <w:div w:id="746075137">
                                              <w:marLeft w:val="0"/>
                                              <w:marRight w:val="0"/>
                                              <w:marTop w:val="0"/>
                                              <w:marBottom w:val="0"/>
                                              <w:divBdr>
                                                <w:top w:val="none" w:sz="0" w:space="0" w:color="auto"/>
                                                <w:left w:val="none" w:sz="0" w:space="0" w:color="auto"/>
                                                <w:bottom w:val="none" w:sz="0" w:space="0" w:color="auto"/>
                                                <w:right w:val="none" w:sz="0" w:space="0" w:color="auto"/>
                                              </w:divBdr>
                                              <w:divsChild>
                                                <w:div w:id="347565221">
                                                  <w:marLeft w:val="0"/>
                                                  <w:marRight w:val="0"/>
                                                  <w:marTop w:val="0"/>
                                                  <w:marBottom w:val="0"/>
                                                  <w:divBdr>
                                                    <w:top w:val="none" w:sz="0" w:space="0" w:color="auto"/>
                                                    <w:left w:val="none" w:sz="0" w:space="0" w:color="auto"/>
                                                    <w:bottom w:val="none" w:sz="0" w:space="0" w:color="auto"/>
                                                    <w:right w:val="none" w:sz="0" w:space="0" w:color="auto"/>
                                                  </w:divBdr>
                                                  <w:divsChild>
                                                    <w:div w:id="2021816356">
                                                      <w:marLeft w:val="0"/>
                                                      <w:marRight w:val="0"/>
                                                      <w:marTop w:val="0"/>
                                                      <w:marBottom w:val="0"/>
                                                      <w:divBdr>
                                                        <w:top w:val="none" w:sz="0" w:space="0" w:color="auto"/>
                                                        <w:left w:val="none" w:sz="0" w:space="0" w:color="auto"/>
                                                        <w:bottom w:val="none" w:sz="0" w:space="0" w:color="auto"/>
                                                        <w:right w:val="none" w:sz="0" w:space="0" w:color="auto"/>
                                                      </w:divBdr>
                                                      <w:divsChild>
                                                        <w:div w:id="62460321">
                                                          <w:marLeft w:val="0"/>
                                                          <w:marRight w:val="0"/>
                                                          <w:marTop w:val="0"/>
                                                          <w:marBottom w:val="0"/>
                                                          <w:divBdr>
                                                            <w:top w:val="none" w:sz="0" w:space="0" w:color="auto"/>
                                                            <w:left w:val="none" w:sz="0" w:space="0" w:color="auto"/>
                                                            <w:bottom w:val="none" w:sz="0" w:space="0" w:color="auto"/>
                                                            <w:right w:val="none" w:sz="0" w:space="0" w:color="auto"/>
                                                          </w:divBdr>
                                                          <w:divsChild>
                                                            <w:div w:id="419372811">
                                                              <w:marLeft w:val="0"/>
                                                              <w:marRight w:val="0"/>
                                                              <w:marTop w:val="0"/>
                                                              <w:marBottom w:val="0"/>
                                                              <w:divBdr>
                                                                <w:top w:val="none" w:sz="0" w:space="0" w:color="auto"/>
                                                                <w:left w:val="none" w:sz="0" w:space="0" w:color="auto"/>
                                                                <w:bottom w:val="none" w:sz="0" w:space="0" w:color="auto"/>
                                                                <w:right w:val="none" w:sz="0" w:space="0" w:color="auto"/>
                                                              </w:divBdr>
                                                              <w:divsChild>
                                                                <w:div w:id="1978678260">
                                                                  <w:marLeft w:val="0"/>
                                                                  <w:marRight w:val="0"/>
                                                                  <w:marTop w:val="0"/>
                                                                  <w:marBottom w:val="0"/>
                                                                  <w:divBdr>
                                                                    <w:top w:val="none" w:sz="0" w:space="0" w:color="auto"/>
                                                                    <w:left w:val="none" w:sz="0" w:space="0" w:color="auto"/>
                                                                    <w:bottom w:val="none" w:sz="0" w:space="0" w:color="auto"/>
                                                                    <w:right w:val="none" w:sz="0" w:space="0" w:color="auto"/>
                                                                  </w:divBdr>
                                                                  <w:divsChild>
                                                                    <w:div w:id="2017145781">
                                                                      <w:marLeft w:val="0"/>
                                                                      <w:marRight w:val="0"/>
                                                                      <w:marTop w:val="0"/>
                                                                      <w:marBottom w:val="0"/>
                                                                      <w:divBdr>
                                                                        <w:top w:val="none" w:sz="0" w:space="0" w:color="auto"/>
                                                                        <w:left w:val="none" w:sz="0" w:space="0" w:color="auto"/>
                                                                        <w:bottom w:val="none" w:sz="0" w:space="0" w:color="auto"/>
                                                                        <w:right w:val="none" w:sz="0" w:space="0" w:color="auto"/>
                                                                      </w:divBdr>
                                                                      <w:divsChild>
                                                                        <w:div w:id="737942588">
                                                                          <w:marLeft w:val="0"/>
                                                                          <w:marRight w:val="0"/>
                                                                          <w:marTop w:val="0"/>
                                                                          <w:marBottom w:val="0"/>
                                                                          <w:divBdr>
                                                                            <w:top w:val="none" w:sz="0" w:space="0" w:color="auto"/>
                                                                            <w:left w:val="none" w:sz="0" w:space="0" w:color="auto"/>
                                                                            <w:bottom w:val="none" w:sz="0" w:space="0" w:color="auto"/>
                                                                            <w:right w:val="none" w:sz="0" w:space="0" w:color="auto"/>
                                                                          </w:divBdr>
                                                                          <w:divsChild>
                                                                            <w:div w:id="1116682743">
                                                                              <w:marLeft w:val="0"/>
                                                                              <w:marRight w:val="0"/>
                                                                              <w:marTop w:val="0"/>
                                                                              <w:marBottom w:val="0"/>
                                                                              <w:divBdr>
                                                                                <w:top w:val="none" w:sz="0" w:space="0" w:color="auto"/>
                                                                                <w:left w:val="none" w:sz="0" w:space="0" w:color="auto"/>
                                                                                <w:bottom w:val="none" w:sz="0" w:space="0" w:color="auto"/>
                                                                                <w:right w:val="none" w:sz="0" w:space="0" w:color="auto"/>
                                                                              </w:divBdr>
                                                                              <w:divsChild>
                                                                                <w:div w:id="77338103">
                                                                                  <w:marLeft w:val="0"/>
                                                                                  <w:marRight w:val="0"/>
                                                                                  <w:marTop w:val="0"/>
                                                                                  <w:marBottom w:val="0"/>
                                                                                  <w:divBdr>
                                                                                    <w:top w:val="none" w:sz="0" w:space="0" w:color="auto"/>
                                                                                    <w:left w:val="none" w:sz="0" w:space="0" w:color="auto"/>
                                                                                    <w:bottom w:val="none" w:sz="0" w:space="0" w:color="auto"/>
                                                                                    <w:right w:val="none" w:sz="0" w:space="0" w:color="auto"/>
                                                                                  </w:divBdr>
                                                                                  <w:divsChild>
                                                                                    <w:div w:id="337582423">
                                                                                      <w:marLeft w:val="0"/>
                                                                                      <w:marRight w:val="0"/>
                                                                                      <w:marTop w:val="0"/>
                                                                                      <w:marBottom w:val="0"/>
                                                                                      <w:divBdr>
                                                                                        <w:top w:val="none" w:sz="0" w:space="0" w:color="auto"/>
                                                                                        <w:left w:val="none" w:sz="0" w:space="0" w:color="auto"/>
                                                                                        <w:bottom w:val="none" w:sz="0" w:space="0" w:color="auto"/>
                                                                                        <w:right w:val="none" w:sz="0" w:space="0" w:color="auto"/>
                                                                                      </w:divBdr>
                                                                                      <w:divsChild>
                                                                                        <w:div w:id="92170496">
                                                                                          <w:marLeft w:val="0"/>
                                                                                          <w:marRight w:val="0"/>
                                                                                          <w:marTop w:val="0"/>
                                                                                          <w:marBottom w:val="0"/>
                                                                                          <w:divBdr>
                                                                                            <w:top w:val="none" w:sz="0" w:space="0" w:color="auto"/>
                                                                                            <w:left w:val="none" w:sz="0" w:space="0" w:color="auto"/>
                                                                                            <w:bottom w:val="none" w:sz="0" w:space="0" w:color="auto"/>
                                                                                            <w:right w:val="none" w:sz="0" w:space="0" w:color="auto"/>
                                                                                          </w:divBdr>
                                                                                          <w:divsChild>
                                                                                            <w:div w:id="35005779">
                                                                                              <w:marLeft w:val="0"/>
                                                                                              <w:marRight w:val="0"/>
                                                                                              <w:marTop w:val="0"/>
                                                                                              <w:marBottom w:val="0"/>
                                                                                              <w:divBdr>
                                                                                                <w:top w:val="none" w:sz="0" w:space="0" w:color="auto"/>
                                                                                                <w:left w:val="none" w:sz="0" w:space="0" w:color="auto"/>
                                                                                                <w:bottom w:val="none" w:sz="0" w:space="0" w:color="auto"/>
                                                                                                <w:right w:val="none" w:sz="0" w:space="0" w:color="auto"/>
                                                                                              </w:divBdr>
                                                                                              <w:divsChild>
                                                                                                <w:div w:id="700055979">
                                                                                                  <w:marLeft w:val="0"/>
                                                                                                  <w:marRight w:val="0"/>
                                                                                                  <w:marTop w:val="0"/>
                                                                                                  <w:marBottom w:val="0"/>
                                                                                                  <w:divBdr>
                                                                                                    <w:top w:val="none" w:sz="0" w:space="0" w:color="auto"/>
                                                                                                    <w:left w:val="none" w:sz="0" w:space="0" w:color="auto"/>
                                                                                                    <w:bottom w:val="none" w:sz="0" w:space="0" w:color="auto"/>
                                                                                                    <w:right w:val="none" w:sz="0" w:space="0" w:color="auto"/>
                                                                                                  </w:divBdr>
                                                                                                  <w:divsChild>
                                                                                                    <w:div w:id="1989355763">
                                                                                                      <w:marLeft w:val="0"/>
                                                                                                      <w:marRight w:val="0"/>
                                                                                                      <w:marTop w:val="0"/>
                                                                                                      <w:marBottom w:val="0"/>
                                                                                                      <w:divBdr>
                                                                                                        <w:top w:val="none" w:sz="0" w:space="0" w:color="auto"/>
                                                                                                        <w:left w:val="none" w:sz="0" w:space="0" w:color="auto"/>
                                                                                                        <w:bottom w:val="none" w:sz="0" w:space="0" w:color="auto"/>
                                                                                                        <w:right w:val="none" w:sz="0" w:space="0" w:color="auto"/>
                                                                                                      </w:divBdr>
                                                                                                      <w:divsChild>
                                                                                                        <w:div w:id="653341718">
                                                                                                          <w:marLeft w:val="0"/>
                                                                                                          <w:marRight w:val="0"/>
                                                                                                          <w:marTop w:val="0"/>
                                                                                                          <w:marBottom w:val="0"/>
                                                                                                          <w:divBdr>
                                                                                                            <w:top w:val="none" w:sz="0" w:space="0" w:color="auto"/>
                                                                                                            <w:left w:val="none" w:sz="0" w:space="0" w:color="auto"/>
                                                                                                            <w:bottom w:val="none" w:sz="0" w:space="0" w:color="auto"/>
                                                                                                            <w:right w:val="none" w:sz="0" w:space="0" w:color="auto"/>
                                                                                                          </w:divBdr>
                                                                                                          <w:divsChild>
                                                                                                            <w:div w:id="1338269269">
                                                                                                              <w:marLeft w:val="0"/>
                                                                                                              <w:marRight w:val="0"/>
                                                                                                              <w:marTop w:val="0"/>
                                                                                                              <w:marBottom w:val="0"/>
                                                                                                              <w:divBdr>
                                                                                                                <w:top w:val="none" w:sz="0" w:space="0" w:color="auto"/>
                                                                                                                <w:left w:val="none" w:sz="0" w:space="0" w:color="auto"/>
                                                                                                                <w:bottom w:val="none" w:sz="0" w:space="0" w:color="auto"/>
                                                                                                                <w:right w:val="none" w:sz="0" w:space="0" w:color="auto"/>
                                                                                                              </w:divBdr>
                                                                                                              <w:divsChild>
                                                                                                                <w:div w:id="731931041">
                                                                                                                  <w:marLeft w:val="0"/>
                                                                                                                  <w:marRight w:val="0"/>
                                                                                                                  <w:marTop w:val="0"/>
                                                                                                                  <w:marBottom w:val="0"/>
                                                                                                                  <w:divBdr>
                                                                                                                    <w:top w:val="none" w:sz="0" w:space="0" w:color="auto"/>
                                                                                                                    <w:left w:val="none" w:sz="0" w:space="0" w:color="auto"/>
                                                                                                                    <w:bottom w:val="none" w:sz="0" w:space="0" w:color="auto"/>
                                                                                                                    <w:right w:val="none" w:sz="0" w:space="0" w:color="auto"/>
                                                                                                                  </w:divBdr>
                                                                                                                  <w:divsChild>
                                                                                                                    <w:div w:id="719087088">
                                                                                                                      <w:marLeft w:val="0"/>
                                                                                                                      <w:marRight w:val="0"/>
                                                                                                                      <w:marTop w:val="0"/>
                                                                                                                      <w:marBottom w:val="0"/>
                                                                                                                      <w:divBdr>
                                                                                                                        <w:top w:val="none" w:sz="0" w:space="0" w:color="auto"/>
                                                                                                                        <w:left w:val="none" w:sz="0" w:space="0" w:color="auto"/>
                                                                                                                        <w:bottom w:val="none" w:sz="0" w:space="0" w:color="auto"/>
                                                                                                                        <w:right w:val="none" w:sz="0" w:space="0" w:color="auto"/>
                                                                                                                      </w:divBdr>
                                                                                                                      <w:divsChild>
                                                                                                                        <w:div w:id="1037779923">
                                                                                                                          <w:marLeft w:val="0"/>
                                                                                                                          <w:marRight w:val="0"/>
                                                                                                                          <w:marTop w:val="0"/>
                                                                                                                          <w:marBottom w:val="0"/>
                                                                                                                          <w:divBdr>
                                                                                                                            <w:top w:val="none" w:sz="0" w:space="0" w:color="auto"/>
                                                                                                                            <w:left w:val="none" w:sz="0" w:space="0" w:color="auto"/>
                                                                                                                            <w:bottom w:val="none" w:sz="0" w:space="0" w:color="auto"/>
                                                                                                                            <w:right w:val="none" w:sz="0" w:space="0" w:color="auto"/>
                                                                                                                          </w:divBdr>
                                                                                                                          <w:divsChild>
                                                                                                                            <w:div w:id="2082360815">
                                                                                                                              <w:marLeft w:val="0"/>
                                                                                                                              <w:marRight w:val="0"/>
                                                                                                                              <w:marTop w:val="0"/>
                                                                                                                              <w:marBottom w:val="0"/>
                                                                                                                              <w:divBdr>
                                                                                                                                <w:top w:val="none" w:sz="0" w:space="0" w:color="auto"/>
                                                                                                                                <w:left w:val="none" w:sz="0" w:space="0" w:color="auto"/>
                                                                                                                                <w:bottom w:val="none" w:sz="0" w:space="0" w:color="auto"/>
                                                                                                                                <w:right w:val="none" w:sz="0" w:space="0" w:color="auto"/>
                                                                                                                              </w:divBdr>
                                                                                                                              <w:divsChild>
                                                                                                                                <w:div w:id="357968268">
                                                                                                                                  <w:marLeft w:val="0"/>
                                                                                                                                  <w:marRight w:val="0"/>
                                                                                                                                  <w:marTop w:val="0"/>
                                                                                                                                  <w:marBottom w:val="0"/>
                                                                                                                                  <w:divBdr>
                                                                                                                                    <w:top w:val="none" w:sz="0" w:space="0" w:color="auto"/>
                                                                                                                                    <w:left w:val="none" w:sz="0" w:space="0" w:color="auto"/>
                                                                                                                                    <w:bottom w:val="none" w:sz="0" w:space="0" w:color="auto"/>
                                                                                                                                    <w:right w:val="none" w:sz="0" w:space="0" w:color="auto"/>
                                                                                                                                  </w:divBdr>
                                                                                                                                  <w:divsChild>
                                                                                                                                    <w:div w:id="301664063">
                                                                                                                                      <w:marLeft w:val="0"/>
                                                                                                                                      <w:marRight w:val="0"/>
                                                                                                                                      <w:marTop w:val="0"/>
                                                                                                                                      <w:marBottom w:val="0"/>
                                                                                                                                      <w:divBdr>
                                                                                                                                        <w:top w:val="none" w:sz="0" w:space="0" w:color="auto"/>
                                                                                                                                        <w:left w:val="none" w:sz="0" w:space="0" w:color="auto"/>
                                                                                                                                        <w:bottom w:val="none" w:sz="0" w:space="0" w:color="auto"/>
                                                                                                                                        <w:right w:val="none" w:sz="0" w:space="0" w:color="auto"/>
                                                                                                                                      </w:divBdr>
                                                                                                                                      <w:divsChild>
                                                                                                                                        <w:div w:id="366220483">
                                                                                                                                          <w:marLeft w:val="0"/>
                                                                                                                                          <w:marRight w:val="0"/>
                                                                                                                                          <w:marTop w:val="0"/>
                                                                                                                                          <w:marBottom w:val="0"/>
                                                                                                                                          <w:divBdr>
                                                                                                                                            <w:top w:val="none" w:sz="0" w:space="0" w:color="auto"/>
                                                                                                                                            <w:left w:val="none" w:sz="0" w:space="0" w:color="auto"/>
                                                                                                                                            <w:bottom w:val="none" w:sz="0" w:space="0" w:color="auto"/>
                                                                                                                                            <w:right w:val="none" w:sz="0" w:space="0" w:color="auto"/>
                                                                                                                                          </w:divBdr>
                                                                                                                                          <w:divsChild>
                                                                                                                                            <w:div w:id="1634168218">
                                                                                                                                              <w:marLeft w:val="0"/>
                                                                                                                                              <w:marRight w:val="0"/>
                                                                                                                                              <w:marTop w:val="0"/>
                                                                                                                                              <w:marBottom w:val="0"/>
                                                                                                                                              <w:divBdr>
                                                                                                                                                <w:top w:val="none" w:sz="0" w:space="0" w:color="auto"/>
                                                                                                                                                <w:left w:val="none" w:sz="0" w:space="0" w:color="auto"/>
                                                                                                                                                <w:bottom w:val="none" w:sz="0" w:space="0" w:color="auto"/>
                                                                                                                                                <w:right w:val="none" w:sz="0" w:space="0" w:color="auto"/>
                                                                                                                                              </w:divBdr>
                                                                                                                                              <w:divsChild>
                                                                                                                                                <w:div w:id="763066590">
                                                                                                                                                  <w:marLeft w:val="0"/>
                                                                                                                                                  <w:marRight w:val="0"/>
                                                                                                                                                  <w:marTop w:val="0"/>
                                                                                                                                                  <w:marBottom w:val="0"/>
                                                                                                                                                  <w:divBdr>
                                                                                                                                                    <w:top w:val="none" w:sz="0" w:space="0" w:color="auto"/>
                                                                                                                                                    <w:left w:val="none" w:sz="0" w:space="0" w:color="auto"/>
                                                                                                                                                    <w:bottom w:val="none" w:sz="0" w:space="0" w:color="auto"/>
                                                                                                                                                    <w:right w:val="none" w:sz="0" w:space="0" w:color="auto"/>
                                                                                                                                                  </w:divBdr>
                                                                                                                                                  <w:divsChild>
                                                                                                                                                    <w:div w:id="242182031">
                                                                                                                                                      <w:marLeft w:val="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596210907">
                                                                                                                                                              <w:marLeft w:val="0"/>
                                                                                                                                                              <w:marRight w:val="0"/>
                                                                                                                                                              <w:marTop w:val="0"/>
                                                                                                                                                              <w:marBottom w:val="0"/>
                                                                                                                                                              <w:divBdr>
                                                                                                                                                                <w:top w:val="none" w:sz="0" w:space="0" w:color="auto"/>
                                                                                                                                                                <w:left w:val="none" w:sz="0" w:space="0" w:color="auto"/>
                                                                                                                                                                <w:bottom w:val="none" w:sz="0" w:space="0" w:color="auto"/>
                                                                                                                                                                <w:right w:val="none" w:sz="0" w:space="0" w:color="auto"/>
                                                                                                                                                              </w:divBdr>
                                                                                                                                                              <w:divsChild>
                                                                                                                                                                <w:div w:id="1451318512">
                                                                                                                                                                  <w:marLeft w:val="0"/>
                                                                                                                                                                  <w:marRight w:val="0"/>
                                                                                                                                                                  <w:marTop w:val="0"/>
                                                                                                                                                                  <w:marBottom w:val="0"/>
                                                                                                                                                                  <w:divBdr>
                                                                                                                                                                    <w:top w:val="none" w:sz="0" w:space="0" w:color="auto"/>
                                                                                                                                                                    <w:left w:val="none" w:sz="0" w:space="0" w:color="auto"/>
                                                                                                                                                                    <w:bottom w:val="none" w:sz="0" w:space="0" w:color="auto"/>
                                                                                                                                                                    <w:right w:val="none" w:sz="0" w:space="0" w:color="auto"/>
                                                                                                                                                                  </w:divBdr>
                                                                                                                                                                  <w:divsChild>
                                                                                                                                                                    <w:div w:id="1107697533">
                                                                                                                                                                      <w:marLeft w:val="0"/>
                                                                                                                                                                      <w:marRight w:val="0"/>
                                                                                                                                                                      <w:marTop w:val="0"/>
                                                                                                                                                                      <w:marBottom w:val="0"/>
                                                                                                                                                                      <w:divBdr>
                                                                                                                                                                        <w:top w:val="none" w:sz="0" w:space="0" w:color="auto"/>
                                                                                                                                                                        <w:left w:val="none" w:sz="0" w:space="0" w:color="auto"/>
                                                                                                                                                                        <w:bottom w:val="none" w:sz="0" w:space="0" w:color="auto"/>
                                                                                                                                                                        <w:right w:val="none" w:sz="0" w:space="0" w:color="auto"/>
                                                                                                                                                                      </w:divBdr>
                                                                                                                                                                      <w:divsChild>
                                                                                                                                                                        <w:div w:id="993723383">
                                                                                                                                                                          <w:marLeft w:val="0"/>
                                                                                                                                                                          <w:marRight w:val="0"/>
                                                                                                                                                                          <w:marTop w:val="0"/>
                                                                                                                                                                          <w:marBottom w:val="0"/>
                                                                                                                                                                          <w:divBdr>
                                                                                                                                                                            <w:top w:val="none" w:sz="0" w:space="0" w:color="auto"/>
                                                                                                                                                                            <w:left w:val="none" w:sz="0" w:space="0" w:color="auto"/>
                                                                                                                                                                            <w:bottom w:val="none" w:sz="0" w:space="0" w:color="auto"/>
                                                                                                                                                                            <w:right w:val="none" w:sz="0" w:space="0" w:color="auto"/>
                                                                                                                                                                          </w:divBdr>
                                                                                                                                                                          <w:divsChild>
                                                                                                                                                                            <w:div w:id="830566618">
                                                                                                                                                                              <w:marLeft w:val="0"/>
                                                                                                                                                                              <w:marRight w:val="0"/>
                                                                                                                                                                              <w:marTop w:val="0"/>
                                                                                                                                                                              <w:marBottom w:val="0"/>
                                                                                                                                                                              <w:divBdr>
                                                                                                                                                                                <w:top w:val="none" w:sz="0" w:space="0" w:color="auto"/>
                                                                                                                                                                                <w:left w:val="none" w:sz="0" w:space="0" w:color="auto"/>
                                                                                                                                                                                <w:bottom w:val="none" w:sz="0" w:space="0" w:color="auto"/>
                                                                                                                                                                                <w:right w:val="none" w:sz="0" w:space="0" w:color="auto"/>
                                                                                                                                                                              </w:divBdr>
                                                                                                                                                                              <w:divsChild>
                                                                                                                                                                                <w:div w:id="1708095443">
                                                                                                                                                                                  <w:marLeft w:val="0"/>
                                                                                                                                                                                  <w:marRight w:val="0"/>
                                                                                                                                                                                  <w:marTop w:val="0"/>
                                                                                                                                                                                  <w:marBottom w:val="0"/>
                                                                                                                                                                                  <w:divBdr>
                                                                                                                                                                                    <w:top w:val="none" w:sz="0" w:space="0" w:color="auto"/>
                                                                                                                                                                                    <w:left w:val="none" w:sz="0" w:space="0" w:color="auto"/>
                                                                                                                                                                                    <w:bottom w:val="none" w:sz="0" w:space="0" w:color="auto"/>
                                                                                                                                                                                    <w:right w:val="none" w:sz="0" w:space="0" w:color="auto"/>
                                                                                                                                                                                  </w:divBdr>
                                                                                                                                                                                  <w:divsChild>
                                                                                                                                                                                    <w:div w:id="159200624">
                                                                                                                                                                                      <w:marLeft w:val="0"/>
                                                                                                                                                                                      <w:marRight w:val="0"/>
                                                                                                                                                                                      <w:marTop w:val="0"/>
                                                                                                                                                                                      <w:marBottom w:val="0"/>
                                                                                                                                                                                      <w:divBdr>
                                                                                                                                                                                        <w:top w:val="none" w:sz="0" w:space="0" w:color="auto"/>
                                                                                                                                                                                        <w:left w:val="none" w:sz="0" w:space="0" w:color="auto"/>
                                                                                                                                                                                        <w:bottom w:val="none" w:sz="0" w:space="0" w:color="auto"/>
                                                                                                                                                                                        <w:right w:val="none" w:sz="0" w:space="0" w:color="auto"/>
                                                                                                                                                                                      </w:divBdr>
                                                                                                                                                                                      <w:divsChild>
                                                                                                                                                                                        <w:div w:id="993336458">
                                                                                                                                                                                          <w:marLeft w:val="0"/>
                                                                                                                                                                                          <w:marRight w:val="0"/>
                                                                                                                                                                                          <w:marTop w:val="0"/>
                                                                                                                                                                                          <w:marBottom w:val="0"/>
                                                                                                                                                                                          <w:divBdr>
                                                                                                                                                                                            <w:top w:val="none" w:sz="0" w:space="0" w:color="auto"/>
                                                                                                                                                                                            <w:left w:val="none" w:sz="0" w:space="0" w:color="auto"/>
                                                                                                                                                                                            <w:bottom w:val="none" w:sz="0" w:space="0" w:color="auto"/>
                                                                                                                                                                                            <w:right w:val="none" w:sz="0" w:space="0" w:color="auto"/>
                                                                                                                                                                                          </w:divBdr>
                                                                                                                                                                                          <w:divsChild>
                                                                                                                                                                                            <w:div w:id="2125029722">
                                                                                                                                                                                              <w:marLeft w:val="0"/>
                                                                                                                                                                                              <w:marRight w:val="0"/>
                                                                                                                                                                                              <w:marTop w:val="0"/>
                                                                                                                                                                                              <w:marBottom w:val="0"/>
                                                                                                                                                                                              <w:divBdr>
                                                                                                                                                                                                <w:top w:val="none" w:sz="0" w:space="0" w:color="auto"/>
                                                                                                                                                                                                <w:left w:val="none" w:sz="0" w:space="0" w:color="auto"/>
                                                                                                                                                                                                <w:bottom w:val="none" w:sz="0" w:space="0" w:color="auto"/>
                                                                                                                                                                                                <w:right w:val="none" w:sz="0" w:space="0" w:color="auto"/>
                                                                                                                                                                                              </w:divBdr>
                                                                                                                                                                                              <w:divsChild>
                                                                                                                                                                                                <w:div w:id="1335573615">
                                                                                                                                                                                                  <w:marLeft w:val="0"/>
                                                                                                                                                                                                  <w:marRight w:val="0"/>
                                                                                                                                                                                                  <w:marTop w:val="0"/>
                                                                                                                                                                                                  <w:marBottom w:val="0"/>
                                                                                                                                                                                                  <w:divBdr>
                                                                                                                                                                                                    <w:top w:val="none" w:sz="0" w:space="0" w:color="auto"/>
                                                                                                                                                                                                    <w:left w:val="none" w:sz="0" w:space="0" w:color="auto"/>
                                                                                                                                                                                                    <w:bottom w:val="none" w:sz="0" w:space="0" w:color="auto"/>
                                                                                                                                                                                                    <w:right w:val="none" w:sz="0" w:space="0" w:color="auto"/>
                                                                                                                                                                                                  </w:divBdr>
                                                                                                                                                                                                  <w:divsChild>
                                                                                                                                                                                                    <w:div w:id="739717755">
                                                                                                                                                                                                      <w:marLeft w:val="0"/>
                                                                                                                                                                                                      <w:marRight w:val="0"/>
                                                                                                                                                                                                      <w:marTop w:val="0"/>
                                                                                                                                                                                                      <w:marBottom w:val="0"/>
                                                                                                                                                                                                      <w:divBdr>
                                                                                                                                                                                                        <w:top w:val="none" w:sz="0" w:space="0" w:color="auto"/>
                                                                                                                                                                                                        <w:left w:val="none" w:sz="0" w:space="0" w:color="auto"/>
                                                                                                                                                                                                        <w:bottom w:val="none" w:sz="0" w:space="0" w:color="auto"/>
                                                                                                                                                                                                        <w:right w:val="none" w:sz="0" w:space="0" w:color="auto"/>
                                                                                                                                                                                                      </w:divBdr>
                                                                                                                                                                                                      <w:divsChild>
                                                                                                                                                                                                        <w:div w:id="1940522995">
                                                                                                                                                                                                          <w:marLeft w:val="0"/>
                                                                                                                                                                                                          <w:marRight w:val="0"/>
                                                                                                                                                                                                          <w:marTop w:val="0"/>
                                                                                                                                                                                                          <w:marBottom w:val="0"/>
                                                                                                                                                                                                          <w:divBdr>
                                                                                                                                                                                                            <w:top w:val="none" w:sz="0" w:space="0" w:color="auto"/>
                                                                                                                                                                                                            <w:left w:val="none" w:sz="0" w:space="0" w:color="auto"/>
                                                                                                                                                                                                            <w:bottom w:val="none" w:sz="0" w:space="0" w:color="auto"/>
                                                                                                                                                                                                            <w:right w:val="none" w:sz="0" w:space="0" w:color="auto"/>
                                                                                                                                                                                                          </w:divBdr>
                                                                                                                                                                                                          <w:divsChild>
                                                                                                                                                                                                            <w:div w:id="167985842">
                                                                                                                                                                                                              <w:marLeft w:val="0"/>
                                                                                                                                                                                                              <w:marRight w:val="0"/>
                                                                                                                                                                                                              <w:marTop w:val="0"/>
                                                                                                                                                                                                              <w:marBottom w:val="0"/>
                                                                                                                                                                                                              <w:divBdr>
                                                                                                                                                                                                                <w:top w:val="none" w:sz="0" w:space="0" w:color="auto"/>
                                                                                                                                                                                                                <w:left w:val="none" w:sz="0" w:space="0" w:color="auto"/>
                                                                                                                                                                                                                <w:bottom w:val="none" w:sz="0" w:space="0" w:color="auto"/>
                                                                                                                                                                                                                <w:right w:val="none" w:sz="0" w:space="0" w:color="auto"/>
                                                                                                                                                                                                              </w:divBdr>
                                                                                                                                                                                                              <w:divsChild>
                                                                                                                                                                                                                <w:div w:id="2110850659">
                                                                                                                                                                                                                  <w:marLeft w:val="0"/>
                                                                                                                                                                                                                  <w:marRight w:val="0"/>
                                                                                                                                                                                                                  <w:marTop w:val="0"/>
                                                                                                                                                                                                                  <w:marBottom w:val="0"/>
                                                                                                                                                                                                                  <w:divBdr>
                                                                                                                                                                                                                    <w:top w:val="none" w:sz="0" w:space="0" w:color="auto"/>
                                                                                                                                                                                                                    <w:left w:val="none" w:sz="0" w:space="0" w:color="auto"/>
                                                                                                                                                                                                                    <w:bottom w:val="none" w:sz="0" w:space="0" w:color="auto"/>
                                                                                                                                                                                                                    <w:right w:val="none" w:sz="0" w:space="0" w:color="auto"/>
                                                                                                                                                                                                                  </w:divBdr>
                                                                                                                                                                                                                  <w:divsChild>
                                                                                                                                                                                                                    <w:div w:id="4553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1596">
      <w:bodyDiv w:val="1"/>
      <w:marLeft w:val="0"/>
      <w:marRight w:val="0"/>
      <w:marTop w:val="0"/>
      <w:marBottom w:val="0"/>
      <w:divBdr>
        <w:top w:val="none" w:sz="0" w:space="0" w:color="auto"/>
        <w:left w:val="none" w:sz="0" w:space="0" w:color="auto"/>
        <w:bottom w:val="none" w:sz="0" w:space="0" w:color="auto"/>
        <w:right w:val="none" w:sz="0" w:space="0" w:color="auto"/>
      </w:divBdr>
      <w:divsChild>
        <w:div w:id="328170011">
          <w:marLeft w:val="0"/>
          <w:marRight w:val="0"/>
          <w:marTop w:val="0"/>
          <w:marBottom w:val="0"/>
          <w:divBdr>
            <w:top w:val="none" w:sz="0" w:space="0" w:color="auto"/>
            <w:left w:val="none" w:sz="0" w:space="0" w:color="auto"/>
            <w:bottom w:val="none" w:sz="0" w:space="0" w:color="auto"/>
            <w:right w:val="none" w:sz="0" w:space="0" w:color="auto"/>
          </w:divBdr>
        </w:div>
      </w:divsChild>
    </w:div>
    <w:div w:id="2005359426">
      <w:bodyDiv w:val="1"/>
      <w:marLeft w:val="0"/>
      <w:marRight w:val="0"/>
      <w:marTop w:val="0"/>
      <w:marBottom w:val="0"/>
      <w:divBdr>
        <w:top w:val="none" w:sz="0" w:space="0" w:color="auto"/>
        <w:left w:val="none" w:sz="0" w:space="0" w:color="auto"/>
        <w:bottom w:val="none" w:sz="0" w:space="0" w:color="auto"/>
        <w:right w:val="none" w:sz="0" w:space="0" w:color="auto"/>
      </w:divBdr>
    </w:div>
    <w:div w:id="212002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tuart.mccluskey@uh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8F68-9424-1842-9C31-8831FA13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129464</Words>
  <Characters>737950</Characters>
  <Application>Microsoft Macintosh Word</Application>
  <DocSecurity>0</DocSecurity>
  <Lines>6149</Lines>
  <Paragraphs>1731</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865683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 Ma</cp:lastModifiedBy>
  <cp:revision>4</cp:revision>
  <cp:lastPrinted>2015-11-03T17:26:00Z</cp:lastPrinted>
  <dcterms:created xsi:type="dcterms:W3CDTF">2016-04-09T01:57:00Z</dcterms:created>
  <dcterms:modified xsi:type="dcterms:W3CDTF">2016-04-09T02:01:00Z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stuartcleland@btinternet.com@www.mendeley.com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http://www.zotero.org/styles/the-new-england-journal-of-medicine</vt:lpwstr>
  </property>
  <property fmtid="{D5CDD505-2E9C-101B-9397-08002B2CF9AE}" pid="21" name="Mendeley Recent Style Name 8_1">
    <vt:lpwstr>The New England Journal of Medicine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