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1F" w:rsidRPr="00A71E3B" w:rsidRDefault="00BA0F1F" w:rsidP="00B30536">
      <w:pPr>
        <w:spacing w:line="360" w:lineRule="auto"/>
        <w:jc w:val="both"/>
        <w:rPr>
          <w:rFonts w:ascii="Book Antiqua" w:hAnsi="Book Antiqua"/>
          <w:b/>
        </w:rPr>
      </w:pPr>
      <w:r w:rsidRPr="00A71E3B">
        <w:rPr>
          <w:rFonts w:ascii="Book Antiqua" w:hAnsi="Book Antiqua"/>
          <w:b/>
        </w:rPr>
        <w:t xml:space="preserve">Name of Journal: </w:t>
      </w:r>
      <w:r w:rsidRPr="00A71E3B">
        <w:rPr>
          <w:rFonts w:ascii="Book Antiqua" w:hAnsi="Book Antiqua"/>
          <w:b/>
          <w:i/>
          <w:iCs/>
        </w:rPr>
        <w:t>World Journal of Transplantation</w:t>
      </w:r>
    </w:p>
    <w:p w:rsidR="00BA0F1F" w:rsidRPr="00A71E3B" w:rsidRDefault="00BA0F1F" w:rsidP="00B30536">
      <w:pPr>
        <w:spacing w:line="360" w:lineRule="auto"/>
        <w:jc w:val="both"/>
        <w:rPr>
          <w:rFonts w:ascii="Book Antiqua" w:hAnsi="Book Antiqua"/>
          <w:b/>
          <w:lang w:eastAsia="zh-CN"/>
        </w:rPr>
      </w:pPr>
      <w:r w:rsidRPr="00A71E3B">
        <w:rPr>
          <w:rFonts w:ascii="Book Antiqua" w:hAnsi="Book Antiqua"/>
          <w:b/>
        </w:rPr>
        <w:t xml:space="preserve">ESPS Manuscript NO: </w:t>
      </w:r>
      <w:r w:rsidRPr="00A71E3B">
        <w:rPr>
          <w:rFonts w:ascii="Book Antiqua" w:hAnsi="Book Antiqua"/>
          <w:b/>
          <w:lang w:eastAsia="zh-CN"/>
        </w:rPr>
        <w:t>23393</w:t>
      </w:r>
    </w:p>
    <w:p w:rsidR="00BA0F1F" w:rsidRPr="00A71E3B" w:rsidRDefault="00BA0F1F" w:rsidP="00B30536">
      <w:pPr>
        <w:pStyle w:val="BodyText"/>
        <w:spacing w:after="0" w:line="360" w:lineRule="auto"/>
        <w:jc w:val="both"/>
        <w:rPr>
          <w:rFonts w:ascii="Book Antiqua" w:eastAsia="宋体" w:hAnsi="Book Antiqua"/>
          <w:b/>
          <w:sz w:val="24"/>
          <w:szCs w:val="24"/>
          <w:lang w:eastAsia="zh-CN"/>
        </w:rPr>
      </w:pPr>
      <w:r w:rsidRPr="00A71E3B">
        <w:rPr>
          <w:rFonts w:ascii="Book Antiqua" w:hAnsi="Book Antiqua"/>
          <w:b/>
          <w:sz w:val="24"/>
          <w:szCs w:val="24"/>
        </w:rPr>
        <w:t>Manuscript Type: R</w:t>
      </w:r>
      <w:r w:rsidR="00CC3A6A" w:rsidRPr="00A71E3B">
        <w:rPr>
          <w:rFonts w:ascii="Book Antiqua" w:hAnsi="Book Antiqua"/>
          <w:b/>
          <w:sz w:val="24"/>
          <w:szCs w:val="24"/>
        </w:rPr>
        <w:t>eview</w:t>
      </w:r>
    </w:p>
    <w:p w:rsidR="00B37BF3" w:rsidRPr="00A71E3B" w:rsidRDefault="00B37BF3" w:rsidP="00B30536">
      <w:pPr>
        <w:pStyle w:val="BodyText"/>
        <w:spacing w:after="0" w:line="360" w:lineRule="auto"/>
        <w:jc w:val="both"/>
        <w:rPr>
          <w:rFonts w:ascii="Book Antiqua" w:hAnsi="Book Antiqua" w:cs="Times New Roman"/>
          <w:b/>
          <w:bCs/>
          <w:sz w:val="24"/>
          <w:szCs w:val="24"/>
        </w:rPr>
      </w:pPr>
    </w:p>
    <w:p w:rsidR="00B37BF3" w:rsidRPr="00A71E3B" w:rsidRDefault="00B37BF3" w:rsidP="00B30536">
      <w:pPr>
        <w:pStyle w:val="BodyText"/>
        <w:spacing w:after="0" w:line="360" w:lineRule="auto"/>
        <w:jc w:val="both"/>
        <w:rPr>
          <w:rFonts w:ascii="Book Antiqua" w:hAnsi="Book Antiqua" w:cs="Times New Roman"/>
          <w:b/>
          <w:bCs/>
          <w:sz w:val="24"/>
          <w:szCs w:val="24"/>
          <w:lang w:val="en-US"/>
        </w:rPr>
      </w:pPr>
      <w:r w:rsidRPr="00A71E3B">
        <w:rPr>
          <w:rFonts w:ascii="Book Antiqua" w:hAnsi="Book Antiqua" w:cs="Times New Roman"/>
          <w:b/>
          <w:bCs/>
          <w:sz w:val="24"/>
          <w:szCs w:val="24"/>
          <w:lang w:val="en-US"/>
        </w:rPr>
        <w:t>Update on the treatment of focal segmental glomerulosclerosis in renal transplantation</w:t>
      </w:r>
    </w:p>
    <w:p w:rsidR="00B37BF3" w:rsidRPr="00A71E3B" w:rsidRDefault="00B37BF3" w:rsidP="00B30536">
      <w:pPr>
        <w:pStyle w:val="BodyText"/>
        <w:spacing w:after="0" w:line="360" w:lineRule="auto"/>
        <w:jc w:val="both"/>
        <w:rPr>
          <w:rFonts w:ascii="Book Antiqua" w:hAnsi="Book Antiqua" w:cs="Times New Roman"/>
          <w:b/>
          <w:bCs/>
          <w:sz w:val="24"/>
          <w:szCs w:val="24"/>
          <w:lang w:val="en-US"/>
        </w:rPr>
      </w:pPr>
    </w:p>
    <w:p w:rsidR="00B37BF3" w:rsidRPr="00A71E3B" w:rsidRDefault="00B37BF3" w:rsidP="00B30536">
      <w:pPr>
        <w:pStyle w:val="BodyText"/>
        <w:spacing w:after="0" w:line="360" w:lineRule="auto"/>
        <w:jc w:val="both"/>
        <w:rPr>
          <w:rFonts w:ascii="Book Antiqua" w:hAnsi="Book Antiqua" w:cs="Times New Roman"/>
          <w:bCs/>
          <w:sz w:val="24"/>
          <w:szCs w:val="24"/>
          <w:lang w:val="en-US"/>
        </w:rPr>
      </w:pPr>
      <w:r w:rsidRPr="00A71E3B">
        <w:rPr>
          <w:rFonts w:ascii="Book Antiqua" w:hAnsi="Book Antiqua" w:cs="Times New Roman"/>
          <w:bCs/>
          <w:sz w:val="24"/>
          <w:szCs w:val="24"/>
          <w:lang w:val="en-US"/>
        </w:rPr>
        <w:t xml:space="preserve">Messina M </w:t>
      </w:r>
      <w:r w:rsidRPr="00A71E3B">
        <w:rPr>
          <w:rFonts w:ascii="Book Antiqua" w:hAnsi="Book Antiqua" w:cs="Times New Roman"/>
          <w:bCs/>
          <w:i/>
          <w:sz w:val="24"/>
          <w:szCs w:val="24"/>
          <w:lang w:val="en-US"/>
        </w:rPr>
        <w:t>et al</w:t>
      </w:r>
      <w:r w:rsidRPr="00A71E3B">
        <w:rPr>
          <w:rFonts w:ascii="Book Antiqua" w:hAnsi="Book Antiqua" w:cs="Times New Roman"/>
          <w:bCs/>
          <w:sz w:val="24"/>
          <w:szCs w:val="24"/>
          <w:lang w:val="en-US"/>
        </w:rPr>
        <w:t>. Focal segmental glomerulosclerosis in renal transplantation</w:t>
      </w:r>
    </w:p>
    <w:p w:rsidR="00B37BF3" w:rsidRPr="00A71E3B" w:rsidRDefault="00B37BF3" w:rsidP="00B30536">
      <w:pPr>
        <w:pStyle w:val="BodyText"/>
        <w:spacing w:after="0" w:line="360" w:lineRule="auto"/>
        <w:jc w:val="both"/>
        <w:rPr>
          <w:rFonts w:ascii="Book Antiqua" w:hAnsi="Book Antiqua" w:cs="Times New Roman"/>
          <w:b/>
          <w:bCs/>
          <w:sz w:val="24"/>
          <w:szCs w:val="24"/>
          <w:lang w:val="en-US"/>
        </w:rPr>
      </w:pPr>
    </w:p>
    <w:p w:rsidR="00B37BF3" w:rsidRPr="00A71E3B" w:rsidRDefault="00B37BF3" w:rsidP="00B30536">
      <w:pPr>
        <w:spacing w:line="360" w:lineRule="auto"/>
        <w:jc w:val="both"/>
        <w:rPr>
          <w:rFonts w:ascii="Book Antiqua" w:hAnsi="Book Antiqua"/>
          <w:b/>
          <w:lang w:val="en-US"/>
        </w:rPr>
      </w:pPr>
      <w:r w:rsidRPr="00A71E3B">
        <w:rPr>
          <w:rFonts w:ascii="Book Antiqua" w:hAnsi="Book Antiqua"/>
          <w:b/>
          <w:lang w:val="en-US"/>
        </w:rPr>
        <w:t xml:space="preserve">Maria Messina, Ester Gallo, Alberto </w:t>
      </w:r>
      <w:proofErr w:type="spellStart"/>
      <w:r w:rsidRPr="00A71E3B">
        <w:rPr>
          <w:rFonts w:ascii="Book Antiqua" w:hAnsi="Book Antiqua"/>
          <w:b/>
          <w:lang w:val="en-US"/>
        </w:rPr>
        <w:t>Mella</w:t>
      </w:r>
      <w:proofErr w:type="spellEnd"/>
      <w:r w:rsidRPr="00A71E3B">
        <w:rPr>
          <w:rFonts w:ascii="Book Antiqua" w:hAnsi="Book Antiqua"/>
          <w:b/>
          <w:lang w:val="en-US"/>
        </w:rPr>
        <w:t xml:space="preserve">, Fabiola </w:t>
      </w:r>
      <w:proofErr w:type="spellStart"/>
      <w:r w:rsidRPr="00A71E3B">
        <w:rPr>
          <w:rFonts w:ascii="Book Antiqua" w:hAnsi="Book Antiqua"/>
          <w:b/>
          <w:lang w:val="en-US"/>
        </w:rPr>
        <w:t>Pagani</w:t>
      </w:r>
      <w:proofErr w:type="spellEnd"/>
      <w:r w:rsidRPr="00A71E3B">
        <w:rPr>
          <w:rFonts w:ascii="Book Antiqua" w:hAnsi="Book Antiqua"/>
          <w:b/>
          <w:lang w:val="en-US"/>
        </w:rPr>
        <w:t xml:space="preserve">, Luigi </w:t>
      </w:r>
      <w:proofErr w:type="spellStart"/>
      <w:r w:rsidRPr="00A71E3B">
        <w:rPr>
          <w:rFonts w:ascii="Book Antiqua" w:hAnsi="Book Antiqua"/>
          <w:b/>
          <w:lang w:val="en-US"/>
        </w:rPr>
        <w:t>Biancone</w:t>
      </w:r>
      <w:proofErr w:type="spellEnd"/>
    </w:p>
    <w:p w:rsidR="00B37BF3" w:rsidRPr="00A71E3B" w:rsidRDefault="00B37BF3" w:rsidP="00B30536">
      <w:pPr>
        <w:spacing w:line="360" w:lineRule="auto"/>
        <w:jc w:val="both"/>
        <w:rPr>
          <w:rFonts w:ascii="Book Antiqua" w:hAnsi="Book Antiqua"/>
          <w:lang w:val="en-US"/>
        </w:rPr>
      </w:pPr>
    </w:p>
    <w:p w:rsidR="00B37BF3" w:rsidRPr="00A71E3B" w:rsidRDefault="00B37BF3" w:rsidP="00B30536">
      <w:pPr>
        <w:spacing w:line="360" w:lineRule="auto"/>
        <w:jc w:val="both"/>
        <w:rPr>
          <w:rFonts w:ascii="Book Antiqua" w:hAnsi="Book Antiqua"/>
          <w:lang w:val="en-US"/>
        </w:rPr>
      </w:pPr>
      <w:r w:rsidRPr="00A71E3B">
        <w:rPr>
          <w:rFonts w:ascii="Book Antiqua" w:hAnsi="Book Antiqua"/>
          <w:b/>
          <w:lang w:val="en-US"/>
        </w:rPr>
        <w:t xml:space="preserve">Maria Messina, Ester Gallo, Alberto </w:t>
      </w:r>
      <w:proofErr w:type="spellStart"/>
      <w:r w:rsidRPr="00A71E3B">
        <w:rPr>
          <w:rFonts w:ascii="Book Antiqua" w:hAnsi="Book Antiqua"/>
          <w:b/>
          <w:lang w:val="en-US"/>
        </w:rPr>
        <w:t>Mella</w:t>
      </w:r>
      <w:proofErr w:type="spellEnd"/>
      <w:r w:rsidRPr="00A71E3B">
        <w:rPr>
          <w:rFonts w:ascii="Book Antiqua" w:hAnsi="Book Antiqua"/>
          <w:b/>
          <w:lang w:val="en-US"/>
        </w:rPr>
        <w:t xml:space="preserve">, Fabiola </w:t>
      </w:r>
      <w:proofErr w:type="spellStart"/>
      <w:r w:rsidRPr="00A71E3B">
        <w:rPr>
          <w:rFonts w:ascii="Book Antiqua" w:hAnsi="Book Antiqua"/>
          <w:b/>
          <w:lang w:val="en-US"/>
        </w:rPr>
        <w:t>Pagani</w:t>
      </w:r>
      <w:proofErr w:type="spellEnd"/>
      <w:r w:rsidRPr="00A71E3B">
        <w:rPr>
          <w:rFonts w:ascii="Book Antiqua" w:hAnsi="Book Antiqua"/>
          <w:b/>
          <w:lang w:val="en-US"/>
        </w:rPr>
        <w:t xml:space="preserve">, Luigi </w:t>
      </w:r>
      <w:proofErr w:type="spellStart"/>
      <w:r w:rsidRPr="00A71E3B">
        <w:rPr>
          <w:rFonts w:ascii="Book Antiqua" w:hAnsi="Book Antiqua"/>
          <w:b/>
          <w:lang w:val="en-US"/>
        </w:rPr>
        <w:t>Biancone</w:t>
      </w:r>
      <w:proofErr w:type="spellEnd"/>
      <w:r w:rsidRPr="00A71E3B">
        <w:rPr>
          <w:rFonts w:ascii="Book Antiqua" w:hAnsi="Book Antiqua"/>
          <w:b/>
          <w:lang w:val="en-US"/>
        </w:rPr>
        <w:t>,</w:t>
      </w:r>
      <w:r w:rsidRPr="00A71E3B">
        <w:rPr>
          <w:rFonts w:ascii="Book Antiqua" w:hAnsi="Book Antiqua"/>
          <w:lang w:val="en-US"/>
        </w:rPr>
        <w:t xml:space="preserve"> Renal Transplantation Center “A. </w:t>
      </w:r>
      <w:proofErr w:type="spellStart"/>
      <w:r w:rsidRPr="00A71E3B">
        <w:rPr>
          <w:rFonts w:ascii="Book Antiqua" w:hAnsi="Book Antiqua"/>
          <w:lang w:val="en-US"/>
        </w:rPr>
        <w:t>Vercellone</w:t>
      </w:r>
      <w:proofErr w:type="spellEnd"/>
      <w:r w:rsidRPr="00A71E3B">
        <w:rPr>
          <w:rFonts w:ascii="Book Antiqua" w:hAnsi="Book Antiqua"/>
          <w:lang w:val="en-US"/>
        </w:rPr>
        <w:t>”, Division of Nephrology Dialysis and</w:t>
      </w:r>
      <w:r w:rsidRPr="00A71E3B">
        <w:rPr>
          <w:rFonts w:ascii="Book Antiqua" w:hAnsi="Book Antiqua"/>
          <w:b/>
          <w:lang w:val="en-US"/>
        </w:rPr>
        <w:t xml:space="preserve"> </w:t>
      </w:r>
      <w:r w:rsidRPr="00A71E3B">
        <w:rPr>
          <w:rFonts w:ascii="Book Antiqua" w:hAnsi="Book Antiqua"/>
          <w:lang w:val="en-US"/>
        </w:rPr>
        <w:t xml:space="preserve">Transplantation, Department of Medical Sciences, </w:t>
      </w:r>
      <w:proofErr w:type="spellStart"/>
      <w:r w:rsidRPr="00A71E3B">
        <w:rPr>
          <w:rFonts w:ascii="Book Antiqua" w:hAnsi="Book Antiqua"/>
          <w:lang w:val="en-US"/>
        </w:rPr>
        <w:t>Città</w:t>
      </w:r>
      <w:proofErr w:type="spellEnd"/>
      <w:r w:rsidRPr="00A71E3B">
        <w:rPr>
          <w:rFonts w:ascii="Book Antiqua" w:hAnsi="Book Antiqua"/>
          <w:lang w:val="en-US"/>
        </w:rPr>
        <w:t xml:space="preserve"> </w:t>
      </w:r>
      <w:proofErr w:type="spellStart"/>
      <w:r w:rsidRPr="00A71E3B">
        <w:rPr>
          <w:rFonts w:ascii="Book Antiqua" w:hAnsi="Book Antiqua"/>
          <w:lang w:val="en-US"/>
        </w:rPr>
        <w:t>della</w:t>
      </w:r>
      <w:proofErr w:type="spellEnd"/>
      <w:r w:rsidRPr="00A71E3B">
        <w:rPr>
          <w:rFonts w:ascii="Book Antiqua" w:hAnsi="Book Antiqua"/>
          <w:lang w:val="en-US"/>
        </w:rPr>
        <w:t xml:space="preserve"> Salute e </w:t>
      </w:r>
      <w:proofErr w:type="spellStart"/>
      <w:r w:rsidRPr="00A71E3B">
        <w:rPr>
          <w:rFonts w:ascii="Book Antiqua" w:hAnsi="Book Antiqua"/>
          <w:lang w:val="en-US"/>
        </w:rPr>
        <w:t>della</w:t>
      </w:r>
      <w:proofErr w:type="spellEnd"/>
      <w:r w:rsidRPr="00A71E3B">
        <w:rPr>
          <w:rFonts w:ascii="Book Antiqua" w:hAnsi="Book Antiqua"/>
          <w:lang w:val="en-US"/>
        </w:rPr>
        <w:t xml:space="preserve"> </w:t>
      </w:r>
      <w:proofErr w:type="spellStart"/>
      <w:r w:rsidRPr="00A71E3B">
        <w:rPr>
          <w:rFonts w:ascii="Book Antiqua" w:hAnsi="Book Antiqua"/>
          <w:lang w:val="en-US"/>
        </w:rPr>
        <w:t>Scienza</w:t>
      </w:r>
      <w:proofErr w:type="spellEnd"/>
      <w:r w:rsidRPr="00A71E3B">
        <w:rPr>
          <w:rFonts w:ascii="Book Antiqua" w:hAnsi="Book Antiqua"/>
          <w:lang w:val="en-US"/>
        </w:rPr>
        <w:t xml:space="preserve"> Hospital and University of Turin, 10126 Turin, Italy</w:t>
      </w:r>
    </w:p>
    <w:p w:rsidR="00B37BF3" w:rsidRPr="00A71E3B" w:rsidRDefault="00B37BF3" w:rsidP="00B30536">
      <w:pPr>
        <w:suppressAutoHyphens w:val="0"/>
        <w:autoSpaceDE w:val="0"/>
        <w:autoSpaceDN w:val="0"/>
        <w:adjustRightInd w:val="0"/>
        <w:spacing w:line="360" w:lineRule="auto"/>
        <w:jc w:val="both"/>
        <w:rPr>
          <w:rFonts w:ascii="Book Antiqua" w:hAnsi="Book Antiqua" w:cs="Book Antiqua"/>
          <w:lang w:val="en-US" w:eastAsia="it-IT"/>
        </w:rPr>
      </w:pPr>
    </w:p>
    <w:p w:rsidR="00B37BF3" w:rsidRPr="00A71E3B" w:rsidRDefault="00B37BF3" w:rsidP="00B30536">
      <w:pPr>
        <w:suppressAutoHyphens w:val="0"/>
        <w:autoSpaceDE w:val="0"/>
        <w:autoSpaceDN w:val="0"/>
        <w:adjustRightInd w:val="0"/>
        <w:spacing w:line="360" w:lineRule="auto"/>
        <w:jc w:val="both"/>
        <w:rPr>
          <w:rFonts w:ascii="Book Antiqua" w:hAnsi="Book Antiqua" w:cs="Book Antiqua"/>
          <w:lang w:val="en-US" w:eastAsia="it-IT"/>
        </w:rPr>
      </w:pPr>
      <w:r w:rsidRPr="00A71E3B">
        <w:rPr>
          <w:rFonts w:ascii="Book Antiqua" w:hAnsi="Book Antiqua" w:cs="Book Antiqua"/>
          <w:b/>
          <w:lang w:val="en-US" w:eastAsia="it-IT"/>
        </w:rPr>
        <w:t>Author contributions</w:t>
      </w:r>
      <w:r w:rsidRPr="00A71E3B">
        <w:rPr>
          <w:rFonts w:ascii="Book Antiqua" w:hAnsi="Book Antiqua" w:cs="Book Antiqua"/>
          <w:lang w:val="en-US" w:eastAsia="it-IT"/>
        </w:rPr>
        <w:t xml:space="preserve">: </w:t>
      </w:r>
      <w:r w:rsidRPr="00A71E3B">
        <w:rPr>
          <w:rFonts w:ascii="Book Antiqua" w:hAnsi="Book Antiqua"/>
          <w:lang w:val="en-US"/>
        </w:rPr>
        <w:t xml:space="preserve">Messina M, Gallo E, </w:t>
      </w:r>
      <w:proofErr w:type="spellStart"/>
      <w:r w:rsidRPr="00A71E3B">
        <w:rPr>
          <w:rFonts w:ascii="Book Antiqua" w:hAnsi="Book Antiqua"/>
          <w:lang w:val="en-US"/>
        </w:rPr>
        <w:t>Mella</w:t>
      </w:r>
      <w:proofErr w:type="spellEnd"/>
      <w:r w:rsidRPr="00A71E3B">
        <w:rPr>
          <w:rFonts w:ascii="Book Antiqua" w:hAnsi="Book Antiqua"/>
          <w:lang w:val="en-US"/>
        </w:rPr>
        <w:t xml:space="preserve"> A, </w:t>
      </w:r>
      <w:proofErr w:type="spellStart"/>
      <w:r w:rsidRPr="00A71E3B">
        <w:rPr>
          <w:rFonts w:ascii="Book Antiqua" w:hAnsi="Book Antiqua"/>
          <w:lang w:val="en-US"/>
        </w:rPr>
        <w:t>Pagani</w:t>
      </w:r>
      <w:proofErr w:type="spellEnd"/>
      <w:r w:rsidRPr="00A71E3B">
        <w:rPr>
          <w:rFonts w:ascii="Book Antiqua" w:hAnsi="Book Antiqua"/>
          <w:lang w:val="en-US"/>
        </w:rPr>
        <w:t xml:space="preserve"> </w:t>
      </w:r>
      <w:r w:rsidR="006A7C70" w:rsidRPr="00A71E3B">
        <w:rPr>
          <w:rFonts w:ascii="Book Antiqua" w:hAnsi="Book Antiqua"/>
          <w:lang w:val="en-US" w:eastAsia="zh-CN"/>
        </w:rPr>
        <w:t>F</w:t>
      </w:r>
      <w:r w:rsidRPr="00A71E3B">
        <w:rPr>
          <w:rFonts w:ascii="Book Antiqua" w:hAnsi="Book Antiqua"/>
          <w:lang w:val="en-US"/>
        </w:rPr>
        <w:t xml:space="preserve"> and </w:t>
      </w:r>
      <w:proofErr w:type="spellStart"/>
      <w:r w:rsidRPr="00A71E3B">
        <w:rPr>
          <w:rFonts w:ascii="Book Antiqua" w:hAnsi="Book Antiqua"/>
          <w:lang w:val="en-US"/>
        </w:rPr>
        <w:t>Biancone</w:t>
      </w:r>
      <w:proofErr w:type="spellEnd"/>
      <w:r w:rsidRPr="00A71E3B">
        <w:rPr>
          <w:rFonts w:ascii="Book Antiqua" w:hAnsi="Book Antiqua"/>
          <w:lang w:val="en-US"/>
        </w:rPr>
        <w:t xml:space="preserve"> L</w:t>
      </w:r>
      <w:r w:rsidRPr="00A71E3B" w:rsidDel="009E08AD">
        <w:rPr>
          <w:rFonts w:ascii="Book Antiqua" w:hAnsi="Book Antiqua" w:cs="Book Antiqua"/>
          <w:lang w:val="en-US" w:eastAsia="it-IT"/>
        </w:rPr>
        <w:t xml:space="preserve"> </w:t>
      </w:r>
      <w:r w:rsidRPr="00A71E3B">
        <w:rPr>
          <w:rFonts w:ascii="Book Antiqua" w:hAnsi="Book Antiqua" w:cs="Book Antiqua"/>
          <w:lang w:val="en-US" w:eastAsia="it-IT"/>
        </w:rPr>
        <w:t xml:space="preserve">equally contributed to conception and design of the study, literature review, and analysis, drafting, critical revision and editing of the manuscript; </w:t>
      </w:r>
      <w:r w:rsidR="006A7C70" w:rsidRPr="00A71E3B">
        <w:rPr>
          <w:rFonts w:ascii="Book Antiqua" w:hAnsi="Book Antiqua" w:cs="Book Antiqua"/>
          <w:lang w:val="en-US" w:eastAsia="it-IT"/>
        </w:rPr>
        <w:t>a</w:t>
      </w:r>
      <w:r w:rsidRPr="00A71E3B">
        <w:rPr>
          <w:rFonts w:ascii="Book Antiqua" w:hAnsi="Book Antiqua" w:cs="Book Antiqua"/>
          <w:lang w:val="en-US" w:eastAsia="it-IT"/>
        </w:rPr>
        <w:t>ll authors approved the final version.</w:t>
      </w:r>
    </w:p>
    <w:p w:rsidR="00B37BF3" w:rsidRPr="00A71E3B" w:rsidRDefault="00B37BF3" w:rsidP="00B30536">
      <w:pPr>
        <w:spacing w:line="360" w:lineRule="auto"/>
        <w:jc w:val="both"/>
        <w:rPr>
          <w:rFonts w:ascii="Book Antiqua" w:hAnsi="Book Antiqua"/>
          <w:lang w:val="en-US" w:eastAsia="zh-CN"/>
        </w:rPr>
      </w:pPr>
    </w:p>
    <w:p w:rsidR="006A7C70" w:rsidRPr="00A71E3B" w:rsidRDefault="006A7C70" w:rsidP="00B30536">
      <w:pPr>
        <w:spacing w:line="360" w:lineRule="auto"/>
        <w:jc w:val="both"/>
        <w:rPr>
          <w:rFonts w:ascii="Book Antiqua" w:hAnsi="Book Antiqua" w:cs="Garamond"/>
        </w:rPr>
      </w:pPr>
      <w:r w:rsidRPr="00A71E3B">
        <w:rPr>
          <w:rFonts w:ascii="Book Antiqua" w:hAnsi="Book Antiqua" w:cs="TimesNewRomanPS-BoldItalicMT"/>
          <w:b/>
          <w:bCs/>
          <w:iCs/>
        </w:rPr>
        <w:t>Conflict-of-interest</w:t>
      </w:r>
      <w:r w:rsidRPr="00A71E3B">
        <w:rPr>
          <w:rFonts w:ascii="Book Antiqua" w:hAnsi="Book Antiqua"/>
        </w:rPr>
        <w:t xml:space="preserve"> </w:t>
      </w:r>
      <w:r w:rsidRPr="00A71E3B">
        <w:rPr>
          <w:rFonts w:ascii="Book Antiqua" w:hAnsi="Book Antiqua" w:cs="TimesNewRomanPS-BoldItalicMT"/>
          <w:b/>
          <w:bCs/>
          <w:iCs/>
        </w:rPr>
        <w:t xml:space="preserve">statement: </w:t>
      </w:r>
      <w:r w:rsidRPr="00A71E3B">
        <w:rPr>
          <w:rFonts w:ascii="Book Antiqua" w:hAnsi="Book Antiqua" w:cs="Book Antiqua"/>
          <w:lang w:val="en-US" w:eastAsia="it-IT"/>
        </w:rPr>
        <w:t>None of the authors has any potential conflicts of interest related to this study.</w:t>
      </w:r>
    </w:p>
    <w:p w:rsidR="006A7C70" w:rsidRPr="00A71E3B" w:rsidRDefault="006A7C70" w:rsidP="00B30536">
      <w:pPr>
        <w:spacing w:line="360" w:lineRule="auto"/>
        <w:jc w:val="both"/>
        <w:rPr>
          <w:rFonts w:ascii="Book Antiqua" w:hAnsi="Book Antiqua" w:cs="Garamond"/>
        </w:rPr>
      </w:pPr>
    </w:p>
    <w:p w:rsidR="006A7C70" w:rsidRPr="00A71E3B" w:rsidRDefault="006A7C70" w:rsidP="00B30536">
      <w:pPr>
        <w:spacing w:line="360" w:lineRule="auto"/>
        <w:jc w:val="both"/>
        <w:rPr>
          <w:rFonts w:ascii="Book Antiqua" w:hAnsi="Book Antiqua"/>
        </w:rPr>
      </w:pPr>
      <w:bookmarkStart w:id="0" w:name="OLE_LINK507"/>
      <w:bookmarkStart w:id="1" w:name="OLE_LINK506"/>
      <w:bookmarkStart w:id="2" w:name="OLE_LINK496"/>
      <w:bookmarkStart w:id="3" w:name="OLE_LINK479"/>
      <w:r w:rsidRPr="00A71E3B">
        <w:rPr>
          <w:rFonts w:ascii="Book Antiqua" w:hAnsi="Book Antiqua"/>
          <w:b/>
        </w:rPr>
        <w:t xml:space="preserve">Open-Access: </w:t>
      </w:r>
      <w:r w:rsidRPr="00A71E3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71E3B">
          <w:rPr>
            <w:rStyle w:val="Hyperlink"/>
            <w:rFonts w:ascii="Book Antiqua" w:hAnsi="Book Antiqua"/>
            <w:color w:val="auto"/>
            <w:u w:val="none"/>
          </w:rPr>
          <w:t>http://creativecommons.org/licenses/by-nc/4.0/</w:t>
        </w:r>
      </w:hyperlink>
      <w:bookmarkEnd w:id="0"/>
      <w:bookmarkEnd w:id="1"/>
      <w:bookmarkEnd w:id="2"/>
      <w:bookmarkEnd w:id="3"/>
    </w:p>
    <w:p w:rsidR="00B37BF3" w:rsidRPr="00A71E3B" w:rsidRDefault="00B37BF3" w:rsidP="00B30536">
      <w:pPr>
        <w:suppressAutoHyphens w:val="0"/>
        <w:autoSpaceDE w:val="0"/>
        <w:autoSpaceDN w:val="0"/>
        <w:adjustRightInd w:val="0"/>
        <w:spacing w:line="360" w:lineRule="auto"/>
        <w:jc w:val="both"/>
        <w:rPr>
          <w:rFonts w:ascii="Book Antiqua" w:hAnsi="Book Antiqua" w:cs="Book Antiqua"/>
          <w:lang w:val="en-US" w:eastAsia="it-IT"/>
        </w:rPr>
      </w:pPr>
    </w:p>
    <w:p w:rsidR="00B37BF3" w:rsidRPr="00A71E3B" w:rsidRDefault="00B37BF3" w:rsidP="00B30536">
      <w:pPr>
        <w:suppressAutoHyphens w:val="0"/>
        <w:autoSpaceDE w:val="0"/>
        <w:autoSpaceDN w:val="0"/>
        <w:adjustRightInd w:val="0"/>
        <w:spacing w:line="360" w:lineRule="auto"/>
        <w:jc w:val="both"/>
        <w:rPr>
          <w:rFonts w:ascii="Book Antiqua" w:hAnsi="Book Antiqua"/>
          <w:lang w:val="en-US"/>
        </w:rPr>
      </w:pPr>
      <w:r w:rsidRPr="00A71E3B">
        <w:rPr>
          <w:rFonts w:ascii="Book Antiqua" w:hAnsi="Book Antiqua"/>
          <w:b/>
          <w:lang w:val="en-US"/>
        </w:rPr>
        <w:t>Correspondence to:</w:t>
      </w:r>
      <w:r w:rsidRPr="00A71E3B">
        <w:rPr>
          <w:rFonts w:ascii="Book Antiqua" w:hAnsi="Book Antiqua"/>
          <w:lang w:val="en-US"/>
        </w:rPr>
        <w:t xml:space="preserve"> </w:t>
      </w:r>
      <w:r w:rsidRPr="00A71E3B">
        <w:rPr>
          <w:rFonts w:ascii="Book Antiqua" w:hAnsi="Book Antiqua"/>
          <w:b/>
          <w:lang w:val="en-US"/>
        </w:rPr>
        <w:t xml:space="preserve">Luigi </w:t>
      </w:r>
      <w:proofErr w:type="spellStart"/>
      <w:r w:rsidRPr="00A71E3B">
        <w:rPr>
          <w:rFonts w:ascii="Book Antiqua" w:hAnsi="Book Antiqua"/>
          <w:b/>
          <w:lang w:val="en-US"/>
        </w:rPr>
        <w:t>Biancone</w:t>
      </w:r>
      <w:proofErr w:type="spellEnd"/>
      <w:r w:rsidRPr="00A71E3B">
        <w:rPr>
          <w:rFonts w:ascii="Book Antiqua" w:hAnsi="Book Antiqua"/>
          <w:b/>
          <w:lang w:val="en-US"/>
        </w:rPr>
        <w:t>, MD, PhD,</w:t>
      </w:r>
      <w:r w:rsidRPr="00A71E3B">
        <w:rPr>
          <w:rFonts w:ascii="Book Antiqua" w:hAnsi="Book Antiqua"/>
          <w:lang w:val="en-US"/>
        </w:rPr>
        <w:t xml:space="preserve"> Renal Transplantation Center “A. </w:t>
      </w:r>
      <w:proofErr w:type="spellStart"/>
      <w:r w:rsidRPr="00A71E3B">
        <w:rPr>
          <w:rFonts w:ascii="Book Antiqua" w:hAnsi="Book Antiqua"/>
          <w:lang w:val="en-US"/>
        </w:rPr>
        <w:t>Vercellone</w:t>
      </w:r>
      <w:proofErr w:type="spellEnd"/>
      <w:r w:rsidRPr="00A71E3B">
        <w:rPr>
          <w:rFonts w:ascii="Book Antiqua" w:hAnsi="Book Antiqua"/>
          <w:lang w:val="en-US"/>
        </w:rPr>
        <w:t xml:space="preserve">”, Division of Nephrology Dialysis and Transplantation, Department of Medical Sciences, </w:t>
      </w:r>
      <w:proofErr w:type="spellStart"/>
      <w:r w:rsidRPr="00A71E3B">
        <w:rPr>
          <w:rFonts w:ascii="Book Antiqua" w:hAnsi="Book Antiqua"/>
          <w:lang w:val="en-US"/>
        </w:rPr>
        <w:t>Città</w:t>
      </w:r>
      <w:proofErr w:type="spellEnd"/>
      <w:r w:rsidRPr="00A71E3B">
        <w:rPr>
          <w:rFonts w:ascii="Book Antiqua" w:hAnsi="Book Antiqua"/>
          <w:lang w:val="en-US"/>
        </w:rPr>
        <w:t xml:space="preserve"> </w:t>
      </w:r>
      <w:proofErr w:type="spellStart"/>
      <w:r w:rsidRPr="00A71E3B">
        <w:rPr>
          <w:rFonts w:ascii="Book Antiqua" w:hAnsi="Book Antiqua"/>
          <w:lang w:val="en-US"/>
        </w:rPr>
        <w:t>della</w:t>
      </w:r>
      <w:proofErr w:type="spellEnd"/>
      <w:r w:rsidRPr="00A71E3B">
        <w:rPr>
          <w:rFonts w:ascii="Book Antiqua" w:hAnsi="Book Antiqua"/>
          <w:lang w:val="en-US"/>
        </w:rPr>
        <w:t xml:space="preserve"> Salute e </w:t>
      </w:r>
      <w:proofErr w:type="spellStart"/>
      <w:r w:rsidRPr="00A71E3B">
        <w:rPr>
          <w:rFonts w:ascii="Book Antiqua" w:hAnsi="Book Antiqua"/>
          <w:lang w:val="en-US"/>
        </w:rPr>
        <w:t>della</w:t>
      </w:r>
      <w:proofErr w:type="spellEnd"/>
      <w:r w:rsidRPr="00A71E3B">
        <w:rPr>
          <w:rFonts w:ascii="Book Antiqua" w:hAnsi="Book Antiqua"/>
          <w:lang w:val="en-US"/>
        </w:rPr>
        <w:t xml:space="preserve"> </w:t>
      </w:r>
      <w:proofErr w:type="spellStart"/>
      <w:r w:rsidRPr="00A71E3B">
        <w:rPr>
          <w:rFonts w:ascii="Book Antiqua" w:hAnsi="Book Antiqua"/>
          <w:lang w:val="en-US"/>
        </w:rPr>
        <w:t>Scienza</w:t>
      </w:r>
      <w:proofErr w:type="spellEnd"/>
      <w:r w:rsidRPr="00A71E3B">
        <w:rPr>
          <w:rFonts w:ascii="Book Antiqua" w:hAnsi="Book Antiqua"/>
          <w:lang w:val="en-US"/>
        </w:rPr>
        <w:t xml:space="preserve"> Hospital and University of Turin, Corso Bramante 88, 10126 Turin, Italy. luigi.biancone@unito.it</w:t>
      </w:r>
    </w:p>
    <w:p w:rsidR="00B37BF3" w:rsidRPr="00A71E3B" w:rsidRDefault="00B37BF3" w:rsidP="00B30536">
      <w:pPr>
        <w:suppressAutoHyphens w:val="0"/>
        <w:autoSpaceDE w:val="0"/>
        <w:spacing w:line="360" w:lineRule="auto"/>
        <w:jc w:val="both"/>
        <w:rPr>
          <w:rFonts w:ascii="Book Antiqua" w:hAnsi="Book Antiqua"/>
          <w:lang w:val="en-US"/>
        </w:rPr>
      </w:pPr>
      <w:r w:rsidRPr="00A71E3B">
        <w:rPr>
          <w:rFonts w:ascii="Book Antiqua" w:hAnsi="Book Antiqua"/>
          <w:b/>
          <w:lang w:val="en-US"/>
        </w:rPr>
        <w:t>Telephone:</w:t>
      </w:r>
      <w:r w:rsidRPr="00A71E3B">
        <w:rPr>
          <w:rFonts w:ascii="Book Antiqua" w:hAnsi="Book Antiqua"/>
          <w:lang w:val="en-US"/>
        </w:rPr>
        <w:t xml:space="preserve"> +39</w:t>
      </w:r>
      <w:r w:rsidR="006A7C70" w:rsidRPr="00A71E3B">
        <w:rPr>
          <w:rFonts w:ascii="Book Antiqua" w:hAnsi="Book Antiqua"/>
          <w:lang w:val="en-US" w:eastAsia="zh-CN"/>
        </w:rPr>
        <w:t>-</w:t>
      </w:r>
      <w:r w:rsidRPr="00A71E3B">
        <w:rPr>
          <w:rFonts w:ascii="Book Antiqua" w:hAnsi="Book Antiqua"/>
          <w:lang w:val="en-US"/>
        </w:rPr>
        <w:t>011</w:t>
      </w:r>
      <w:r w:rsidR="006A7C70" w:rsidRPr="00A71E3B">
        <w:rPr>
          <w:rFonts w:ascii="Book Antiqua" w:hAnsi="Book Antiqua"/>
          <w:lang w:val="en-US" w:eastAsia="zh-CN"/>
        </w:rPr>
        <w:t>-</w:t>
      </w:r>
      <w:r w:rsidRPr="00A71E3B">
        <w:rPr>
          <w:rFonts w:ascii="Book Antiqua" w:hAnsi="Book Antiqua"/>
          <w:lang w:val="en-US"/>
        </w:rPr>
        <w:t>6336797</w:t>
      </w:r>
    </w:p>
    <w:p w:rsidR="00B37BF3" w:rsidRPr="00A71E3B" w:rsidRDefault="00B37BF3" w:rsidP="00B30536">
      <w:pPr>
        <w:suppressAutoHyphens w:val="0"/>
        <w:autoSpaceDE w:val="0"/>
        <w:spacing w:line="360" w:lineRule="auto"/>
        <w:jc w:val="both"/>
        <w:rPr>
          <w:rFonts w:ascii="Book Antiqua" w:hAnsi="Book Antiqua"/>
          <w:lang w:val="en-US" w:eastAsia="zh-CN"/>
        </w:rPr>
      </w:pPr>
      <w:r w:rsidRPr="00A71E3B">
        <w:rPr>
          <w:rFonts w:ascii="Book Antiqua" w:hAnsi="Book Antiqua"/>
          <w:b/>
          <w:lang w:val="en-US"/>
        </w:rPr>
        <w:t>Fax:</w:t>
      </w:r>
      <w:r w:rsidRPr="00A71E3B">
        <w:rPr>
          <w:rFonts w:ascii="Book Antiqua" w:hAnsi="Book Antiqua"/>
          <w:lang w:val="en-US"/>
        </w:rPr>
        <w:t xml:space="preserve"> +39</w:t>
      </w:r>
      <w:r w:rsidR="006A7C70" w:rsidRPr="00A71E3B">
        <w:rPr>
          <w:rFonts w:ascii="Book Antiqua" w:hAnsi="Book Antiqua"/>
          <w:lang w:val="en-US" w:eastAsia="zh-CN"/>
        </w:rPr>
        <w:t>-</w:t>
      </w:r>
      <w:r w:rsidRPr="00A71E3B">
        <w:rPr>
          <w:rFonts w:ascii="Book Antiqua" w:hAnsi="Book Antiqua"/>
          <w:lang w:val="en-US"/>
        </w:rPr>
        <w:t>011</w:t>
      </w:r>
      <w:r w:rsidR="006A7C70" w:rsidRPr="00A71E3B">
        <w:rPr>
          <w:rFonts w:ascii="Book Antiqua" w:hAnsi="Book Antiqua"/>
          <w:lang w:val="en-US" w:eastAsia="zh-CN"/>
        </w:rPr>
        <w:t>-</w:t>
      </w:r>
      <w:r w:rsidRPr="00A71E3B">
        <w:rPr>
          <w:rFonts w:ascii="Book Antiqua" w:hAnsi="Book Antiqua"/>
          <w:lang w:val="en-US"/>
        </w:rPr>
        <w:t>6334990</w:t>
      </w:r>
    </w:p>
    <w:p w:rsidR="006A7C70" w:rsidRPr="00A71E3B" w:rsidRDefault="006A7C70" w:rsidP="00B30536">
      <w:pPr>
        <w:suppressAutoHyphens w:val="0"/>
        <w:autoSpaceDE w:val="0"/>
        <w:spacing w:line="360" w:lineRule="auto"/>
        <w:jc w:val="both"/>
        <w:rPr>
          <w:rFonts w:ascii="Book Antiqua" w:hAnsi="Book Antiqua"/>
          <w:lang w:val="en-US" w:eastAsia="zh-CN"/>
        </w:rPr>
      </w:pPr>
    </w:p>
    <w:p w:rsidR="006A7C70" w:rsidRPr="00A71E3B" w:rsidRDefault="006A7C70" w:rsidP="00B30536">
      <w:pPr>
        <w:spacing w:line="360" w:lineRule="auto"/>
        <w:jc w:val="both"/>
        <w:rPr>
          <w:rFonts w:ascii="Book Antiqua" w:hAnsi="Book Antiqua"/>
          <w:b/>
        </w:rPr>
      </w:pPr>
      <w:r w:rsidRPr="00A71E3B">
        <w:rPr>
          <w:rFonts w:ascii="Book Antiqua" w:hAnsi="Book Antiqua"/>
          <w:b/>
        </w:rPr>
        <w:t xml:space="preserve">Received: </w:t>
      </w:r>
      <w:r w:rsidRPr="00A71E3B">
        <w:rPr>
          <w:rFonts w:ascii="Book Antiqua" w:hAnsi="Book Antiqua"/>
          <w:lang w:eastAsia="zh-CN"/>
        </w:rPr>
        <w:t>November 15, 2015</w:t>
      </w:r>
      <w:r w:rsidRPr="00A71E3B">
        <w:rPr>
          <w:rFonts w:ascii="Book Antiqua" w:hAnsi="Book Antiqua"/>
        </w:rPr>
        <w:t xml:space="preserve">  </w:t>
      </w:r>
    </w:p>
    <w:p w:rsidR="006A7C70" w:rsidRPr="00A71E3B" w:rsidRDefault="006A7C70" w:rsidP="00B30536">
      <w:pPr>
        <w:spacing w:line="360" w:lineRule="auto"/>
        <w:jc w:val="both"/>
        <w:rPr>
          <w:rFonts w:ascii="Book Antiqua" w:hAnsi="Book Antiqua"/>
          <w:b/>
        </w:rPr>
      </w:pPr>
      <w:r w:rsidRPr="00A71E3B">
        <w:rPr>
          <w:rFonts w:ascii="Book Antiqua" w:hAnsi="Book Antiqua"/>
          <w:b/>
        </w:rPr>
        <w:t>Peer-review started:</w:t>
      </w:r>
      <w:r w:rsidRPr="00A71E3B">
        <w:rPr>
          <w:rFonts w:ascii="Book Antiqua" w:hAnsi="Book Antiqua"/>
          <w:lang w:eastAsia="zh-CN"/>
        </w:rPr>
        <w:t xml:space="preserve"> November 16, 2015</w:t>
      </w:r>
      <w:r w:rsidRPr="00A71E3B">
        <w:rPr>
          <w:rFonts w:ascii="Book Antiqua" w:hAnsi="Book Antiqua"/>
        </w:rPr>
        <w:t xml:space="preserve">  </w:t>
      </w:r>
    </w:p>
    <w:p w:rsidR="006A7C70" w:rsidRPr="00A71E3B" w:rsidRDefault="006A7C70" w:rsidP="00B30536">
      <w:pPr>
        <w:spacing w:line="360" w:lineRule="auto"/>
        <w:jc w:val="both"/>
        <w:rPr>
          <w:rFonts w:ascii="Book Antiqua" w:hAnsi="Book Antiqua"/>
          <w:b/>
          <w:lang w:eastAsia="zh-CN"/>
        </w:rPr>
      </w:pPr>
      <w:r w:rsidRPr="00A71E3B">
        <w:rPr>
          <w:rFonts w:ascii="Book Antiqua" w:hAnsi="Book Antiqua"/>
          <w:b/>
        </w:rPr>
        <w:t>First decision:</w:t>
      </w:r>
      <w:r w:rsidRPr="00A71E3B">
        <w:rPr>
          <w:rFonts w:ascii="Book Antiqua" w:hAnsi="Book Antiqua"/>
          <w:lang w:eastAsia="zh-CN"/>
        </w:rPr>
        <w:t xml:space="preserve"> December 7, 2015</w:t>
      </w:r>
    </w:p>
    <w:p w:rsidR="006A7C70" w:rsidRPr="00A71E3B" w:rsidRDefault="006A7C70" w:rsidP="00B30536">
      <w:pPr>
        <w:spacing w:line="360" w:lineRule="auto"/>
        <w:jc w:val="both"/>
        <w:rPr>
          <w:rFonts w:ascii="Book Antiqua" w:hAnsi="Book Antiqua"/>
          <w:b/>
        </w:rPr>
      </w:pPr>
      <w:r w:rsidRPr="00A71E3B">
        <w:rPr>
          <w:rFonts w:ascii="Book Antiqua" w:hAnsi="Book Antiqua"/>
          <w:b/>
        </w:rPr>
        <w:t xml:space="preserve">Revised: </w:t>
      </w:r>
      <w:r w:rsidRPr="00A71E3B">
        <w:rPr>
          <w:rFonts w:ascii="Book Antiqua" w:hAnsi="Book Antiqua"/>
          <w:lang w:eastAsia="zh-CN"/>
        </w:rPr>
        <w:t>December 22, 2015</w:t>
      </w:r>
      <w:r w:rsidRPr="00A71E3B">
        <w:rPr>
          <w:rFonts w:ascii="Book Antiqua" w:hAnsi="Book Antiqua"/>
          <w:b/>
        </w:rPr>
        <w:t xml:space="preserve"> </w:t>
      </w:r>
    </w:p>
    <w:p w:rsidR="006A7C70" w:rsidRPr="00A71E3B" w:rsidRDefault="006A7C70" w:rsidP="00B30536">
      <w:pPr>
        <w:spacing w:line="360" w:lineRule="auto"/>
        <w:jc w:val="both"/>
        <w:rPr>
          <w:rFonts w:ascii="Book Antiqua" w:hAnsi="Book Antiqua"/>
          <w:b/>
        </w:rPr>
      </w:pPr>
      <w:proofErr w:type="spellStart"/>
      <w:r w:rsidRPr="00A71E3B">
        <w:rPr>
          <w:rFonts w:ascii="Book Antiqua" w:hAnsi="Book Antiqua"/>
          <w:b/>
        </w:rPr>
        <w:t>Accepted</w:t>
      </w:r>
      <w:proofErr w:type="spellEnd"/>
      <w:r w:rsidRPr="00A71E3B">
        <w:rPr>
          <w:rFonts w:ascii="Book Antiqua" w:hAnsi="Book Antiqua"/>
          <w:b/>
        </w:rPr>
        <w:t xml:space="preserve">: </w:t>
      </w:r>
      <w:proofErr w:type="spellStart"/>
      <w:r w:rsidR="00C25011" w:rsidRPr="00C25011">
        <w:rPr>
          <w:rFonts w:ascii="Book Antiqua" w:hAnsi="Book Antiqua"/>
        </w:rPr>
        <w:t>January</w:t>
      </w:r>
      <w:proofErr w:type="spellEnd"/>
      <w:r w:rsidR="00C25011" w:rsidRPr="00C25011">
        <w:rPr>
          <w:rFonts w:ascii="Book Antiqua" w:hAnsi="Book Antiqua"/>
        </w:rPr>
        <w:t xml:space="preserve"> 21, 2016</w:t>
      </w:r>
      <w:r w:rsidRPr="00A71E3B">
        <w:rPr>
          <w:rFonts w:ascii="Book Antiqua" w:hAnsi="Book Antiqua"/>
          <w:b/>
        </w:rPr>
        <w:t xml:space="preserve"> </w:t>
      </w:r>
    </w:p>
    <w:p w:rsidR="006A7C70" w:rsidRPr="00A71E3B" w:rsidRDefault="006A7C70" w:rsidP="00B30536">
      <w:pPr>
        <w:spacing w:line="360" w:lineRule="auto"/>
        <w:jc w:val="both"/>
        <w:rPr>
          <w:rFonts w:ascii="Book Antiqua" w:hAnsi="Book Antiqua"/>
          <w:b/>
        </w:rPr>
      </w:pPr>
      <w:r w:rsidRPr="00A71E3B">
        <w:rPr>
          <w:rFonts w:ascii="Book Antiqua" w:hAnsi="Book Antiqua"/>
          <w:b/>
        </w:rPr>
        <w:t>Article in press:</w:t>
      </w:r>
      <w:r w:rsidRPr="00A71E3B">
        <w:rPr>
          <w:rFonts w:ascii="Book Antiqua" w:hAnsi="Book Antiqua"/>
        </w:rPr>
        <w:t xml:space="preserve">    </w:t>
      </w:r>
    </w:p>
    <w:p w:rsidR="006A7C70" w:rsidRPr="00A71E3B" w:rsidRDefault="006A7C70" w:rsidP="00B30536">
      <w:pPr>
        <w:spacing w:line="360" w:lineRule="auto"/>
        <w:jc w:val="both"/>
        <w:rPr>
          <w:rFonts w:ascii="Book Antiqua" w:hAnsi="Book Antiqua"/>
          <w:b/>
        </w:rPr>
      </w:pPr>
      <w:r w:rsidRPr="00A71E3B">
        <w:rPr>
          <w:rFonts w:ascii="Book Antiqua" w:hAnsi="Book Antiqua"/>
          <w:b/>
        </w:rPr>
        <w:t xml:space="preserve">Published online: </w:t>
      </w:r>
    </w:p>
    <w:p w:rsidR="006A7C70" w:rsidRPr="00A71E3B" w:rsidRDefault="006A7C70" w:rsidP="00B30536">
      <w:pPr>
        <w:suppressAutoHyphens w:val="0"/>
        <w:spacing w:line="360" w:lineRule="auto"/>
        <w:jc w:val="both"/>
        <w:rPr>
          <w:rFonts w:ascii="Book Antiqua" w:eastAsia="Calibri" w:hAnsi="Book Antiqua"/>
          <w:b/>
          <w:bCs/>
          <w:lang w:val="en-US"/>
        </w:rPr>
      </w:pPr>
      <w:r w:rsidRPr="00A71E3B">
        <w:rPr>
          <w:rFonts w:ascii="Book Antiqua" w:hAnsi="Book Antiqua"/>
          <w:b/>
          <w:bCs/>
          <w:lang w:val="en-US"/>
        </w:rPr>
        <w:br w:type="page"/>
      </w:r>
    </w:p>
    <w:p w:rsidR="00B37BF3" w:rsidRPr="00A71E3B" w:rsidRDefault="00B37BF3" w:rsidP="00B30536">
      <w:pPr>
        <w:pStyle w:val="BodyText"/>
        <w:spacing w:after="0" w:line="360" w:lineRule="auto"/>
        <w:jc w:val="both"/>
        <w:rPr>
          <w:rFonts w:ascii="Book Antiqua" w:hAnsi="Book Antiqua"/>
          <w:sz w:val="24"/>
          <w:szCs w:val="24"/>
          <w:lang w:val="en-US"/>
        </w:rPr>
      </w:pPr>
      <w:r w:rsidRPr="00A71E3B">
        <w:rPr>
          <w:rFonts w:ascii="Book Antiqua" w:hAnsi="Book Antiqua" w:cs="Times New Roman"/>
          <w:b/>
          <w:bCs/>
          <w:sz w:val="24"/>
          <w:szCs w:val="24"/>
          <w:lang w:val="en-US"/>
        </w:rPr>
        <w:lastRenderedPageBreak/>
        <w:t>Abstract</w:t>
      </w:r>
    </w:p>
    <w:p w:rsidR="00B37BF3" w:rsidRPr="00A71E3B" w:rsidRDefault="00B37BF3" w:rsidP="00B30536">
      <w:pPr>
        <w:suppressAutoHyphens w:val="0"/>
        <w:autoSpaceDE w:val="0"/>
        <w:spacing w:line="360" w:lineRule="auto"/>
        <w:jc w:val="both"/>
        <w:rPr>
          <w:rFonts w:ascii="Book Antiqua" w:hAnsi="Book Antiqua"/>
          <w:b/>
          <w:bCs/>
          <w:lang w:val="en-US"/>
        </w:rPr>
      </w:pPr>
      <w:r w:rsidRPr="00A71E3B">
        <w:rPr>
          <w:rFonts w:ascii="Book Antiqua" w:hAnsi="Book Antiqua"/>
          <w:lang w:val="en-US"/>
        </w:rPr>
        <w:t xml:space="preserve">Focal segmental glomerulosclerosis (FSGS) represents one of the most severe glomerular diseases, with frequent progression to end-stage renal disease and a high rate of recurrence in renal allografts (30%-50%). Recurrent FSGS portends a negative outcome, with the hazard ratio of graft failure being two-fold higher then that of other glomerulonephritis. Two patterns of clinical presentations are observed: </w:t>
      </w:r>
      <w:r w:rsidR="00B30536" w:rsidRPr="00A71E3B">
        <w:rPr>
          <w:rFonts w:ascii="Book Antiqua" w:hAnsi="Book Antiqua"/>
          <w:lang w:val="en-US"/>
        </w:rPr>
        <w:t>E</w:t>
      </w:r>
      <w:r w:rsidRPr="00A71E3B">
        <w:rPr>
          <w:rFonts w:ascii="Book Antiqua" w:hAnsi="Book Antiqua"/>
          <w:lang w:val="en-US"/>
        </w:rPr>
        <w:t>arly recurrence, which is characterized by massive proteinuria within hours to days after implantation of the renal graft, and late recurrence, which occurs several months or years after the transplantation. Many clinical conditions have been recognized as risk factors for recurrence, including younger age, rapid progression of the disease to end-stage renal disease on native kidneys, and loss of previous renal allografts due to recurrence. However, much less is known about the incidence and risk factors of the so-called “</w:t>
      </w:r>
      <w:r w:rsidRPr="00A71E3B">
        <w:rPr>
          <w:rFonts w:ascii="Book Antiqua" w:hAnsi="Book Antiqua"/>
          <w:i/>
          <w:lang w:val="en-US"/>
        </w:rPr>
        <w:t>de novo</w:t>
      </w:r>
      <w:r w:rsidRPr="00A71E3B">
        <w:rPr>
          <w:rFonts w:ascii="Book Antiqua" w:hAnsi="Book Antiqua"/>
          <w:lang w:val="en-US"/>
        </w:rPr>
        <w:t>” type of FSGS, for which sufferers are transplanted patients without disease on native kidneys; but, rapid development of allograft failure is frequently observed. Management of both forms is challenging, and none of the approaches proposed to date have been demonstrated as consistently beneficial or effective. In the present review we report an update on the available therapeutic strategies for FSGS in renal transplantation within the context of a critical overview of the current literature.</w:t>
      </w:r>
    </w:p>
    <w:p w:rsidR="00B37BF3" w:rsidRPr="00A71E3B" w:rsidRDefault="00B37BF3" w:rsidP="00B30536">
      <w:pPr>
        <w:pStyle w:val="BodyText"/>
        <w:spacing w:after="0" w:line="360" w:lineRule="auto"/>
        <w:jc w:val="both"/>
        <w:rPr>
          <w:rFonts w:ascii="Book Antiqua" w:hAnsi="Book Antiqua" w:cs="Times New Roman"/>
          <w:b/>
          <w:bCs/>
          <w:sz w:val="24"/>
          <w:szCs w:val="24"/>
          <w:lang w:val="en-US"/>
        </w:rPr>
      </w:pPr>
    </w:p>
    <w:p w:rsidR="00B37BF3" w:rsidRPr="00A71E3B" w:rsidRDefault="00B37BF3" w:rsidP="00B30536">
      <w:pPr>
        <w:pStyle w:val="BodyText"/>
        <w:spacing w:after="0" w:line="360" w:lineRule="auto"/>
        <w:jc w:val="both"/>
        <w:rPr>
          <w:rFonts w:ascii="Book Antiqua" w:hAnsi="Book Antiqua" w:cs="Times New Roman"/>
          <w:b/>
          <w:bCs/>
          <w:sz w:val="24"/>
          <w:szCs w:val="24"/>
          <w:lang w:val="en-US"/>
        </w:rPr>
      </w:pPr>
      <w:r w:rsidRPr="00A71E3B">
        <w:rPr>
          <w:rFonts w:ascii="Book Antiqua" w:hAnsi="Book Antiqua" w:cs="Times New Roman"/>
          <w:b/>
          <w:bCs/>
          <w:sz w:val="24"/>
          <w:szCs w:val="24"/>
          <w:lang w:val="en-US"/>
        </w:rPr>
        <w:t xml:space="preserve">Key words: </w:t>
      </w:r>
      <w:r w:rsidRPr="00A71E3B">
        <w:rPr>
          <w:rFonts w:ascii="Book Antiqua" w:hAnsi="Book Antiqua" w:cs="Times New Roman"/>
          <w:bCs/>
          <w:sz w:val="24"/>
          <w:szCs w:val="24"/>
          <w:lang w:val="en-US"/>
        </w:rPr>
        <w:t>Focal segmental glomerulosclerosis; Kidney transplantation; Permeability factors; Plasma exchange; Rituximab</w:t>
      </w:r>
    </w:p>
    <w:p w:rsidR="00B37BF3" w:rsidRPr="00A71E3B" w:rsidRDefault="00B37BF3" w:rsidP="00B30536">
      <w:pPr>
        <w:pStyle w:val="BodyText"/>
        <w:spacing w:after="0" w:line="360" w:lineRule="auto"/>
        <w:jc w:val="both"/>
        <w:rPr>
          <w:rFonts w:ascii="Book Antiqua" w:eastAsiaTheme="minorEastAsia" w:hAnsi="Book Antiqua" w:cs="Times New Roman"/>
          <w:b/>
          <w:bCs/>
          <w:sz w:val="24"/>
          <w:szCs w:val="24"/>
          <w:lang w:val="en-US" w:eastAsia="zh-CN"/>
        </w:rPr>
      </w:pPr>
    </w:p>
    <w:p w:rsidR="00B30536" w:rsidRPr="00A71E3B" w:rsidRDefault="00B30536" w:rsidP="00B30536">
      <w:pPr>
        <w:spacing w:line="360" w:lineRule="auto"/>
        <w:jc w:val="both"/>
        <w:rPr>
          <w:rFonts w:ascii="Book Antiqua" w:hAnsi="Book Antiqua" w:cs="Arial"/>
        </w:rPr>
      </w:pPr>
      <w:r w:rsidRPr="00A71E3B">
        <w:rPr>
          <w:rFonts w:ascii="Book Antiqua" w:hAnsi="Book Antiqua"/>
          <w:b/>
        </w:rPr>
        <w:t xml:space="preserve">© </w:t>
      </w:r>
      <w:r w:rsidRPr="00A71E3B">
        <w:rPr>
          <w:rFonts w:ascii="Book Antiqua" w:hAnsi="Book Antiqua" w:cs="Arial"/>
          <w:b/>
        </w:rPr>
        <w:t>The Author(s) 2016.</w:t>
      </w:r>
      <w:r w:rsidRPr="00A71E3B">
        <w:rPr>
          <w:rFonts w:ascii="Book Antiqua" w:hAnsi="Book Antiqua" w:cs="Arial"/>
        </w:rPr>
        <w:t xml:space="preserve"> Published by Baishideng Publishing Group Inc. All rights reserved.</w:t>
      </w:r>
    </w:p>
    <w:p w:rsidR="00B30536" w:rsidRPr="00A71E3B" w:rsidRDefault="00B30536" w:rsidP="00B30536">
      <w:pPr>
        <w:pStyle w:val="BodyText"/>
        <w:spacing w:after="0" w:line="360" w:lineRule="auto"/>
        <w:jc w:val="both"/>
        <w:rPr>
          <w:rFonts w:ascii="Book Antiqua" w:eastAsiaTheme="minorEastAsia" w:hAnsi="Book Antiqua" w:cs="Times New Roman"/>
          <w:b/>
          <w:bCs/>
          <w:sz w:val="24"/>
          <w:szCs w:val="24"/>
          <w:lang w:val="en-US" w:eastAsia="zh-CN"/>
        </w:rPr>
      </w:pPr>
    </w:p>
    <w:p w:rsidR="00B37BF3" w:rsidRPr="00A71E3B" w:rsidRDefault="00B37BF3" w:rsidP="00B30536">
      <w:pPr>
        <w:pStyle w:val="BodyText"/>
        <w:spacing w:after="0" w:line="360" w:lineRule="auto"/>
        <w:jc w:val="both"/>
        <w:rPr>
          <w:rFonts w:ascii="Book Antiqua" w:hAnsi="Book Antiqua" w:cs="Times New Roman"/>
          <w:b/>
          <w:bCs/>
          <w:sz w:val="24"/>
          <w:szCs w:val="24"/>
          <w:lang w:val="en-US"/>
        </w:rPr>
      </w:pPr>
      <w:r w:rsidRPr="00A71E3B">
        <w:rPr>
          <w:rFonts w:ascii="Book Antiqua" w:hAnsi="Book Antiqua" w:cs="Times New Roman"/>
          <w:b/>
          <w:bCs/>
          <w:sz w:val="24"/>
          <w:szCs w:val="24"/>
          <w:lang w:val="en-US"/>
        </w:rPr>
        <w:t xml:space="preserve">Core tip: </w:t>
      </w:r>
      <w:r w:rsidRPr="00A71E3B">
        <w:rPr>
          <w:rFonts w:ascii="Book Antiqua" w:hAnsi="Book Antiqua"/>
          <w:sz w:val="24"/>
          <w:szCs w:val="24"/>
          <w:lang w:val="en-US"/>
        </w:rPr>
        <w:t xml:space="preserve">Focal segmental glomerulosclerosis (FSGS) presents as a histological pattern of kidney damage with different, multifactorial, and often undefined pathogenesis. Primary FGSS represents one of the most severe glomerular diseases, with frequent progression to end-stage renal failure and a high rate </w:t>
      </w:r>
      <w:r w:rsidRPr="00A71E3B">
        <w:rPr>
          <w:rFonts w:ascii="Book Antiqua" w:hAnsi="Book Antiqua"/>
          <w:sz w:val="24"/>
          <w:szCs w:val="24"/>
          <w:lang w:val="en-US"/>
        </w:rPr>
        <w:lastRenderedPageBreak/>
        <w:t xml:space="preserve">of recurrence in renal allografts. FSGS recurrence also portends a negative outcome. Despite the proposal of multiple therapeutic approaches, none has emerged as the </w:t>
      </w:r>
      <w:proofErr w:type="spellStart"/>
      <w:r w:rsidRPr="00A71E3B">
        <w:rPr>
          <w:rFonts w:ascii="Book Antiqua" w:hAnsi="Book Antiqua"/>
          <w:sz w:val="24"/>
          <w:szCs w:val="24"/>
          <w:lang w:val="en-US"/>
        </w:rPr>
        <w:t>resolutive</w:t>
      </w:r>
      <w:proofErr w:type="spellEnd"/>
      <w:r w:rsidRPr="00A71E3B">
        <w:rPr>
          <w:rFonts w:ascii="Book Antiqua" w:hAnsi="Book Antiqua"/>
          <w:sz w:val="24"/>
          <w:szCs w:val="24"/>
          <w:lang w:val="en-US"/>
        </w:rPr>
        <w:t xml:space="preserve"> option. This review provides an update on the currently available therapeutic strategies for FSGS in renal transplantation, along with a critical overview of the related literature.</w:t>
      </w:r>
    </w:p>
    <w:p w:rsidR="00B37BF3" w:rsidRPr="00A71E3B" w:rsidRDefault="00B37BF3" w:rsidP="00B30536">
      <w:pPr>
        <w:pStyle w:val="BodyText"/>
        <w:spacing w:after="0" w:line="360" w:lineRule="auto"/>
        <w:jc w:val="both"/>
        <w:rPr>
          <w:rFonts w:ascii="Book Antiqua" w:hAnsi="Book Antiqua"/>
          <w:sz w:val="24"/>
          <w:szCs w:val="24"/>
          <w:lang w:val="en-US"/>
        </w:rPr>
      </w:pPr>
    </w:p>
    <w:p w:rsidR="00B30536" w:rsidRPr="00A71E3B" w:rsidRDefault="00B37BF3" w:rsidP="00B30536">
      <w:pPr>
        <w:pStyle w:val="BodyText"/>
        <w:spacing w:after="0" w:line="360" w:lineRule="auto"/>
        <w:jc w:val="both"/>
        <w:rPr>
          <w:rFonts w:ascii="Book Antiqua" w:eastAsiaTheme="minorEastAsia" w:hAnsi="Book Antiqua" w:cs="Times New Roman"/>
          <w:bCs/>
          <w:sz w:val="24"/>
          <w:szCs w:val="24"/>
          <w:lang w:val="en-US" w:eastAsia="zh-CN"/>
        </w:rPr>
      </w:pPr>
      <w:r w:rsidRPr="00A71E3B">
        <w:rPr>
          <w:rFonts w:ascii="Book Antiqua" w:hAnsi="Book Antiqua"/>
          <w:sz w:val="24"/>
          <w:szCs w:val="24"/>
          <w:lang w:val="en-US"/>
        </w:rPr>
        <w:t xml:space="preserve">Messina M, Gallo E, </w:t>
      </w:r>
      <w:proofErr w:type="spellStart"/>
      <w:r w:rsidRPr="00A71E3B">
        <w:rPr>
          <w:rFonts w:ascii="Book Antiqua" w:hAnsi="Book Antiqua"/>
          <w:sz w:val="24"/>
          <w:szCs w:val="24"/>
          <w:lang w:val="en-US"/>
        </w:rPr>
        <w:t>Mella</w:t>
      </w:r>
      <w:proofErr w:type="spellEnd"/>
      <w:r w:rsidRPr="00A71E3B">
        <w:rPr>
          <w:rFonts w:ascii="Book Antiqua" w:hAnsi="Book Antiqua"/>
          <w:sz w:val="24"/>
          <w:szCs w:val="24"/>
          <w:lang w:val="en-US"/>
        </w:rPr>
        <w:t xml:space="preserve"> A, </w:t>
      </w:r>
      <w:proofErr w:type="spellStart"/>
      <w:r w:rsidRPr="00A71E3B">
        <w:rPr>
          <w:rFonts w:ascii="Book Antiqua" w:hAnsi="Book Antiqua"/>
          <w:sz w:val="24"/>
          <w:szCs w:val="24"/>
          <w:lang w:val="en-US"/>
        </w:rPr>
        <w:t>Pagani</w:t>
      </w:r>
      <w:proofErr w:type="spellEnd"/>
      <w:r w:rsidRPr="00A71E3B">
        <w:rPr>
          <w:rFonts w:ascii="Book Antiqua" w:hAnsi="Book Antiqua"/>
          <w:sz w:val="24"/>
          <w:szCs w:val="24"/>
          <w:lang w:val="en-US"/>
        </w:rPr>
        <w:t xml:space="preserve"> </w:t>
      </w:r>
      <w:r w:rsidR="00B30536" w:rsidRPr="00A71E3B">
        <w:rPr>
          <w:rFonts w:ascii="Book Antiqua" w:eastAsiaTheme="minorEastAsia" w:hAnsi="Book Antiqua"/>
          <w:sz w:val="24"/>
          <w:szCs w:val="24"/>
          <w:lang w:val="en-US" w:eastAsia="zh-CN"/>
        </w:rPr>
        <w:t>F</w:t>
      </w:r>
      <w:r w:rsidRPr="00A71E3B">
        <w:rPr>
          <w:rFonts w:ascii="Book Antiqua" w:hAnsi="Book Antiqua"/>
          <w:sz w:val="24"/>
          <w:szCs w:val="24"/>
          <w:lang w:val="en-US"/>
        </w:rPr>
        <w:t xml:space="preserve">, </w:t>
      </w:r>
      <w:proofErr w:type="spellStart"/>
      <w:r w:rsidRPr="00A71E3B">
        <w:rPr>
          <w:rFonts w:ascii="Book Antiqua" w:hAnsi="Book Antiqua"/>
          <w:sz w:val="24"/>
          <w:szCs w:val="24"/>
          <w:lang w:val="en-US"/>
        </w:rPr>
        <w:t>Biancone</w:t>
      </w:r>
      <w:proofErr w:type="spellEnd"/>
      <w:r w:rsidRPr="00A71E3B">
        <w:rPr>
          <w:rFonts w:ascii="Book Antiqua" w:hAnsi="Book Antiqua"/>
          <w:sz w:val="24"/>
          <w:szCs w:val="24"/>
          <w:lang w:val="en-US"/>
        </w:rPr>
        <w:t xml:space="preserve"> L. </w:t>
      </w:r>
      <w:r w:rsidR="00B30536" w:rsidRPr="00A71E3B">
        <w:rPr>
          <w:rFonts w:ascii="Book Antiqua" w:hAnsi="Book Antiqua" w:cs="Times New Roman"/>
          <w:bCs/>
          <w:sz w:val="24"/>
          <w:szCs w:val="24"/>
          <w:lang w:val="en-US"/>
        </w:rPr>
        <w:t>Update on the treatment of focal segmental glomerulosclerosis in renal transplantation</w:t>
      </w:r>
      <w:r w:rsidR="00B30536" w:rsidRPr="00A71E3B">
        <w:rPr>
          <w:rFonts w:ascii="Book Antiqua" w:eastAsiaTheme="minorEastAsia" w:hAnsi="Book Antiqua" w:cs="Times New Roman"/>
          <w:bCs/>
          <w:sz w:val="24"/>
          <w:szCs w:val="24"/>
          <w:lang w:val="en-US" w:eastAsia="zh-CN"/>
        </w:rPr>
        <w:t xml:space="preserve">. </w:t>
      </w:r>
      <w:r w:rsidR="00B30536" w:rsidRPr="00A71E3B">
        <w:rPr>
          <w:rFonts w:ascii="Book Antiqua" w:hAnsi="Book Antiqua"/>
          <w:i/>
          <w:iCs/>
          <w:sz w:val="24"/>
          <w:szCs w:val="24"/>
        </w:rPr>
        <w:t>World J Transplant</w:t>
      </w:r>
      <w:r w:rsidR="00B30536" w:rsidRPr="00A71E3B">
        <w:rPr>
          <w:rFonts w:ascii="Book Antiqua" w:eastAsiaTheme="minorEastAsia" w:hAnsi="Book Antiqua"/>
          <w:i/>
          <w:iCs/>
          <w:sz w:val="24"/>
          <w:szCs w:val="24"/>
          <w:lang w:eastAsia="zh-CN"/>
        </w:rPr>
        <w:t xml:space="preserve"> </w:t>
      </w:r>
      <w:r w:rsidR="00B30536" w:rsidRPr="00A71E3B">
        <w:rPr>
          <w:rFonts w:ascii="Book Antiqua" w:eastAsiaTheme="minorEastAsia" w:hAnsi="Book Antiqua"/>
          <w:iCs/>
          <w:sz w:val="24"/>
          <w:szCs w:val="24"/>
          <w:lang w:eastAsia="zh-CN"/>
        </w:rPr>
        <w:t>2016; In press</w:t>
      </w:r>
    </w:p>
    <w:p w:rsidR="00B37BF3" w:rsidRPr="00A71E3B" w:rsidRDefault="00B37BF3" w:rsidP="00B30536">
      <w:pPr>
        <w:pStyle w:val="BodyText"/>
        <w:spacing w:after="0" w:line="360" w:lineRule="auto"/>
        <w:jc w:val="both"/>
        <w:rPr>
          <w:rFonts w:ascii="Book Antiqua" w:hAnsi="Book Antiqua" w:cs="Times New Roman"/>
          <w:b/>
          <w:bCs/>
          <w:sz w:val="24"/>
          <w:szCs w:val="24"/>
          <w:lang w:val="en-US"/>
        </w:rPr>
      </w:pPr>
    </w:p>
    <w:p w:rsidR="00B37BF3" w:rsidRPr="00A71E3B" w:rsidRDefault="00B37BF3" w:rsidP="00B30536">
      <w:pPr>
        <w:pStyle w:val="BodyText"/>
        <w:spacing w:after="0" w:line="360" w:lineRule="auto"/>
        <w:jc w:val="both"/>
        <w:rPr>
          <w:rFonts w:ascii="Book Antiqua" w:hAnsi="Book Antiqua"/>
          <w:sz w:val="24"/>
          <w:szCs w:val="24"/>
          <w:lang w:val="en-US"/>
        </w:rPr>
      </w:pPr>
      <w:r w:rsidRPr="00A71E3B">
        <w:rPr>
          <w:rFonts w:ascii="Book Antiqua" w:hAnsi="Book Antiqua" w:cs="Times New Roman"/>
          <w:b/>
          <w:bCs/>
          <w:sz w:val="24"/>
          <w:szCs w:val="24"/>
          <w:lang w:val="en-US"/>
        </w:rPr>
        <w:br w:type="page"/>
      </w:r>
      <w:r w:rsidRPr="00A71E3B">
        <w:rPr>
          <w:rFonts w:ascii="Book Antiqua" w:hAnsi="Book Antiqua" w:cs="Times New Roman"/>
          <w:b/>
          <w:bCs/>
          <w:sz w:val="24"/>
          <w:szCs w:val="24"/>
          <w:lang w:val="en-US"/>
        </w:rPr>
        <w:lastRenderedPageBreak/>
        <w:t>INTRODUCTION</w:t>
      </w:r>
    </w:p>
    <w:p w:rsidR="00B37BF3" w:rsidRPr="00A71E3B" w:rsidRDefault="00B37BF3" w:rsidP="00B30536">
      <w:pPr>
        <w:suppressAutoHyphens w:val="0"/>
        <w:autoSpaceDE w:val="0"/>
        <w:spacing w:line="360" w:lineRule="auto"/>
        <w:jc w:val="both"/>
        <w:rPr>
          <w:rFonts w:ascii="Book Antiqua" w:hAnsi="Book Antiqua"/>
          <w:lang w:val="en-US"/>
        </w:rPr>
      </w:pPr>
      <w:r w:rsidRPr="00A71E3B">
        <w:rPr>
          <w:rFonts w:ascii="Book Antiqua" w:hAnsi="Book Antiqua"/>
          <w:lang w:val="en-US"/>
        </w:rPr>
        <w:t>Focal segmental glomerulosclerosis (FSGS) presents as a histological pattern of kidney damage with different, multifactorial, and frequently undefined pathogenesis. FSGS represents one of the most serious glomerular diseases, with frequent progression to end-stage renal disease and a high rate of recurrence in renal allografts. Clinical classification includes the following five forms</w:t>
      </w:r>
      <w:r w:rsidRPr="00A71E3B">
        <w:rPr>
          <w:rFonts w:ascii="Book Antiqua" w:hAnsi="Book Antiqua"/>
          <w:vertAlign w:val="superscript"/>
          <w:lang w:val="en-US"/>
        </w:rPr>
        <w:t>[1]</w:t>
      </w:r>
      <w:r w:rsidRPr="00A71E3B">
        <w:rPr>
          <w:rFonts w:ascii="Book Antiqua" w:hAnsi="Book Antiqua"/>
          <w:lang w:val="en-US"/>
        </w:rPr>
        <w:t xml:space="preserve">: </w:t>
      </w:r>
      <w:r w:rsidR="0094056C" w:rsidRPr="00A71E3B">
        <w:rPr>
          <w:rFonts w:ascii="Book Antiqua" w:hAnsi="Book Antiqua"/>
          <w:lang w:val="en-US"/>
        </w:rPr>
        <w:t>P</w:t>
      </w:r>
      <w:r w:rsidRPr="00A71E3B">
        <w:rPr>
          <w:rFonts w:ascii="Book Antiqua" w:hAnsi="Book Antiqua"/>
          <w:lang w:val="en-US"/>
        </w:rPr>
        <w:t>rimary or idiopathic FSGS, the etiology of which is largely unknown; secondary or adaptive FSGS, which commonly refers to an adaptive response to glomerular hypertrophy/</w:t>
      </w:r>
      <w:proofErr w:type="spellStart"/>
      <w:r w:rsidRPr="00A71E3B">
        <w:rPr>
          <w:rFonts w:ascii="Book Antiqua" w:hAnsi="Book Antiqua"/>
          <w:lang w:val="en-US"/>
        </w:rPr>
        <w:t>hyperfiltration</w:t>
      </w:r>
      <w:proofErr w:type="spellEnd"/>
      <w:r w:rsidRPr="00A71E3B">
        <w:rPr>
          <w:rFonts w:ascii="Book Antiqua" w:hAnsi="Book Antiqua"/>
          <w:lang w:val="en-US"/>
        </w:rPr>
        <w:t xml:space="preserve"> and which presents a nonspecific pattern of scarring due to a previous injury; genetic FSGS; drug-induced FSGS; virus-associated FSGS.</w:t>
      </w:r>
      <w:r w:rsidRPr="00A71E3B">
        <w:rPr>
          <w:rFonts w:ascii="Book Antiqua" w:hAnsi="Book Antiqua"/>
          <w:lang w:val="en-US"/>
        </w:rPr>
        <w:tab/>
      </w:r>
    </w:p>
    <w:p w:rsidR="00B37BF3" w:rsidRPr="00A71E3B" w:rsidRDefault="00B37BF3" w:rsidP="0094056C">
      <w:pPr>
        <w:suppressAutoHyphens w:val="0"/>
        <w:autoSpaceDE w:val="0"/>
        <w:spacing w:line="360" w:lineRule="auto"/>
        <w:ind w:firstLineChars="100" w:firstLine="240"/>
        <w:jc w:val="both"/>
        <w:rPr>
          <w:rFonts w:ascii="Book Antiqua" w:hAnsi="Book Antiqua"/>
          <w:lang w:val="en-US"/>
        </w:rPr>
      </w:pPr>
      <w:r w:rsidRPr="00A71E3B">
        <w:rPr>
          <w:rFonts w:ascii="Book Antiqua" w:hAnsi="Book Antiqua"/>
          <w:lang w:val="en-US"/>
        </w:rPr>
        <w:t xml:space="preserve">In renal transplanted patients, both primary and secondary FSGS are commonly observed. For the primary form, recurrent and </w:t>
      </w:r>
      <w:r w:rsidRPr="00A71E3B">
        <w:rPr>
          <w:rFonts w:ascii="Book Antiqua" w:hAnsi="Book Antiqua"/>
          <w:i/>
          <w:iCs/>
          <w:lang w:val="en-US"/>
        </w:rPr>
        <w:t>de no</w:t>
      </w:r>
      <w:r w:rsidRPr="00A71E3B">
        <w:rPr>
          <w:rFonts w:ascii="Book Antiqua" w:hAnsi="Book Antiqua"/>
          <w:i/>
          <w:lang w:val="en-US"/>
        </w:rPr>
        <w:t>vo</w:t>
      </w:r>
      <w:r w:rsidRPr="00A71E3B">
        <w:rPr>
          <w:rFonts w:ascii="Book Antiqua" w:hAnsi="Book Antiqua"/>
          <w:lang w:val="en-US"/>
        </w:rPr>
        <w:t xml:space="preserve"> types are more severe</w:t>
      </w:r>
      <w:r w:rsidRPr="00A71E3B">
        <w:rPr>
          <w:rFonts w:ascii="Book Antiqua" w:hAnsi="Book Antiqua"/>
          <w:i/>
          <w:lang w:val="en-US"/>
        </w:rPr>
        <w:t xml:space="preserve">. </w:t>
      </w:r>
      <w:r w:rsidRPr="00A71E3B">
        <w:rPr>
          <w:rFonts w:ascii="Book Antiqua" w:hAnsi="Book Antiqua"/>
          <w:lang w:val="en-US"/>
        </w:rPr>
        <w:t xml:space="preserve">Obtaining an accurate estimation of </w:t>
      </w:r>
      <w:r w:rsidRPr="00A71E3B">
        <w:rPr>
          <w:rFonts w:ascii="Book Antiqua" w:hAnsi="Book Antiqua"/>
          <w:i/>
          <w:iCs/>
          <w:lang w:val="en-US"/>
        </w:rPr>
        <w:t>de novo</w:t>
      </w:r>
      <w:r w:rsidRPr="00A71E3B">
        <w:rPr>
          <w:rFonts w:ascii="Book Antiqua" w:hAnsi="Book Antiqua"/>
          <w:lang w:val="en-US"/>
        </w:rPr>
        <w:t xml:space="preserve"> FSGS occurrence, however, is challenging because of the high rate of renal diseases of unknown cause in native kidneys (15.6% and 18.2% in the OPTN-SRTR annual report and ERA-EDTA registry, respectively)</w:t>
      </w:r>
      <w:r w:rsidRPr="00A71E3B">
        <w:rPr>
          <w:rFonts w:ascii="Book Antiqua" w:hAnsi="Book Antiqua"/>
          <w:vertAlign w:val="superscript"/>
          <w:lang w:val="en-US"/>
        </w:rPr>
        <w:t>[2,3]</w:t>
      </w:r>
      <w:r w:rsidRPr="00A71E3B">
        <w:rPr>
          <w:rFonts w:ascii="Book Antiqua" w:hAnsi="Book Antiqua"/>
          <w:lang w:val="en-US"/>
        </w:rPr>
        <w:t>. FSGS recurrence occurs frequently after transplantation, with reported rates ranging from 30% to 50%</w:t>
      </w:r>
      <w:r w:rsidRPr="00A71E3B">
        <w:rPr>
          <w:rFonts w:ascii="Book Antiqua" w:hAnsi="Book Antiqua"/>
          <w:vertAlign w:val="superscript"/>
          <w:lang w:val="en-US"/>
        </w:rPr>
        <w:t>[4-6]</w:t>
      </w:r>
      <w:r w:rsidRPr="00A71E3B">
        <w:rPr>
          <w:rFonts w:ascii="Book Antiqua" w:hAnsi="Book Antiqua"/>
          <w:lang w:val="en-US"/>
        </w:rPr>
        <w:t xml:space="preserve">. The risk of recurrence is substantially higher (up to nearly 100%) in patients who lost their first graft due to a </w:t>
      </w:r>
      <w:proofErr w:type="gramStart"/>
      <w:r w:rsidRPr="00A71E3B">
        <w:rPr>
          <w:rFonts w:ascii="Book Antiqua" w:hAnsi="Book Antiqua"/>
          <w:lang w:val="en-US"/>
        </w:rPr>
        <w:t>recurrence</w:t>
      </w:r>
      <w:r w:rsidRPr="00A71E3B">
        <w:rPr>
          <w:rFonts w:ascii="Book Antiqua" w:hAnsi="Book Antiqua"/>
          <w:vertAlign w:val="superscript"/>
          <w:lang w:val="en-US"/>
        </w:rPr>
        <w:t>[</w:t>
      </w:r>
      <w:proofErr w:type="gramEnd"/>
      <w:r w:rsidRPr="00A71E3B">
        <w:rPr>
          <w:rFonts w:ascii="Book Antiqua" w:hAnsi="Book Antiqua"/>
          <w:vertAlign w:val="superscript"/>
          <w:lang w:val="en-US"/>
        </w:rPr>
        <w:t>7]</w:t>
      </w:r>
      <w:r w:rsidRPr="00A71E3B">
        <w:rPr>
          <w:rFonts w:ascii="Book Antiqua" w:hAnsi="Book Antiqua"/>
          <w:lang w:val="en-US"/>
        </w:rPr>
        <w:t xml:space="preserve">. Recurrent FSGS portends a negative outcome, with the hazard ratio of kidney failure being 2.03 compared to other kinds of recurrent </w:t>
      </w:r>
      <w:proofErr w:type="gramStart"/>
      <w:r w:rsidRPr="00A71E3B">
        <w:rPr>
          <w:rFonts w:ascii="Book Antiqua" w:hAnsi="Book Antiqua"/>
          <w:lang w:val="en-US"/>
        </w:rPr>
        <w:t>glomerulonephritis</w:t>
      </w:r>
      <w:r w:rsidRPr="00A71E3B">
        <w:rPr>
          <w:rFonts w:ascii="Book Antiqua" w:hAnsi="Book Antiqua"/>
          <w:vertAlign w:val="superscript"/>
          <w:lang w:val="en-US"/>
        </w:rPr>
        <w:t>[</w:t>
      </w:r>
      <w:proofErr w:type="gramEnd"/>
      <w:r w:rsidRPr="00A71E3B">
        <w:rPr>
          <w:rFonts w:ascii="Book Antiqua" w:hAnsi="Book Antiqua"/>
          <w:vertAlign w:val="superscript"/>
          <w:lang w:val="en-US"/>
        </w:rPr>
        <w:t>8]</w:t>
      </w:r>
      <w:r w:rsidRPr="00A71E3B">
        <w:rPr>
          <w:rFonts w:ascii="Book Antiqua" w:hAnsi="Book Antiqua"/>
          <w:lang w:val="en-US"/>
        </w:rPr>
        <w:t xml:space="preserve">. Two patterns of clinical presentations are observed: early recurrence, which is most commonly encountered in pediatric patients and characterized by a massive proteinuria that occurs within hours to days after implantation of the new kidney; late recurrence, which often develops insidiously at several months to years after the </w:t>
      </w:r>
      <w:proofErr w:type="gramStart"/>
      <w:r w:rsidRPr="00A71E3B">
        <w:rPr>
          <w:rFonts w:ascii="Book Antiqua" w:hAnsi="Book Antiqua"/>
          <w:lang w:val="en-US"/>
        </w:rPr>
        <w:t>transplantation</w:t>
      </w:r>
      <w:r w:rsidRPr="00A71E3B">
        <w:rPr>
          <w:rFonts w:ascii="Book Antiqua" w:hAnsi="Book Antiqua"/>
          <w:vertAlign w:val="superscript"/>
          <w:lang w:val="en-US"/>
        </w:rPr>
        <w:t>[</w:t>
      </w:r>
      <w:proofErr w:type="gramEnd"/>
      <w:r w:rsidRPr="00A71E3B">
        <w:rPr>
          <w:rFonts w:ascii="Book Antiqua" w:hAnsi="Book Antiqua"/>
          <w:vertAlign w:val="superscript"/>
          <w:lang w:val="en-US"/>
        </w:rPr>
        <w:t>9]</w:t>
      </w:r>
      <w:r w:rsidRPr="00A71E3B">
        <w:rPr>
          <w:rFonts w:ascii="Book Antiqua" w:hAnsi="Book Antiqua"/>
          <w:lang w:val="en-US"/>
        </w:rPr>
        <w:t>.</w:t>
      </w:r>
    </w:p>
    <w:p w:rsidR="00B37BF3" w:rsidRPr="00A71E3B" w:rsidRDefault="00B37BF3" w:rsidP="0094056C">
      <w:pPr>
        <w:spacing w:line="360" w:lineRule="auto"/>
        <w:ind w:firstLineChars="100" w:firstLine="240"/>
        <w:jc w:val="both"/>
        <w:rPr>
          <w:rFonts w:ascii="Book Antiqua" w:hAnsi="Book Antiqua"/>
          <w:b/>
          <w:bCs/>
          <w:lang w:val="en-US"/>
        </w:rPr>
      </w:pPr>
      <w:r w:rsidRPr="00A71E3B">
        <w:rPr>
          <w:rFonts w:ascii="Book Antiqua" w:hAnsi="Book Antiqua"/>
          <w:lang w:val="en-US"/>
        </w:rPr>
        <w:t>Many clinical conditions have been recognized as risk factors for recurrence</w:t>
      </w:r>
      <w:r w:rsidRPr="00A71E3B">
        <w:rPr>
          <w:rFonts w:ascii="Book Antiqua" w:hAnsi="Book Antiqua"/>
          <w:vertAlign w:val="superscript"/>
          <w:lang w:val="en-US"/>
        </w:rPr>
        <w:t>[4,8,10]</w:t>
      </w:r>
      <w:r w:rsidRPr="00A71E3B">
        <w:rPr>
          <w:rFonts w:ascii="Book Antiqua" w:hAnsi="Book Antiqua"/>
          <w:lang w:val="en-US"/>
        </w:rPr>
        <w:t>, including younger age (particularly in childr</w:t>
      </w:r>
      <w:r w:rsidR="0094056C" w:rsidRPr="00A71E3B">
        <w:rPr>
          <w:rFonts w:ascii="Book Antiqua" w:hAnsi="Book Antiqua"/>
          <w:lang w:val="en-US"/>
        </w:rPr>
        <w:t>en who were &gt; 6-year</w:t>
      </w:r>
      <w:r w:rsidRPr="00A71E3B">
        <w:rPr>
          <w:rFonts w:ascii="Book Antiqua" w:hAnsi="Book Antiqua"/>
          <w:lang w:val="en-US"/>
        </w:rPr>
        <w:t xml:space="preserve">-old at FSGS onset), mesangial proliferation in the native kidneys, rapid progression of the disease to end-stage renal disease (ESRD; &lt; 3 years from onset) for native kidneys, pre-transplant bilateral nephrectomy, non-African </w:t>
      </w:r>
      <w:r w:rsidRPr="00A71E3B">
        <w:rPr>
          <w:rFonts w:ascii="Book Antiqua" w:hAnsi="Book Antiqua"/>
          <w:lang w:val="en-US"/>
        </w:rPr>
        <w:lastRenderedPageBreak/>
        <w:t>race, specific genetic background, heavy proteinuria before transplantation, and, as cited above, loss of previous allografts due to recurrence.</w:t>
      </w:r>
    </w:p>
    <w:p w:rsidR="00B37BF3" w:rsidRPr="00A71E3B" w:rsidRDefault="00B37BF3" w:rsidP="00B30536">
      <w:pPr>
        <w:pStyle w:val="BodyText"/>
        <w:spacing w:after="0" w:line="360" w:lineRule="auto"/>
        <w:jc w:val="both"/>
        <w:rPr>
          <w:rFonts w:ascii="Book Antiqua" w:hAnsi="Book Antiqua" w:cs="Times New Roman"/>
          <w:b/>
          <w:bCs/>
          <w:sz w:val="24"/>
          <w:szCs w:val="24"/>
          <w:lang w:val="en-US"/>
        </w:rPr>
      </w:pPr>
    </w:p>
    <w:p w:rsidR="00B37BF3" w:rsidRPr="00A71E3B" w:rsidRDefault="00B37BF3" w:rsidP="00B30536">
      <w:pPr>
        <w:pStyle w:val="BodyText"/>
        <w:spacing w:after="0" w:line="360" w:lineRule="auto"/>
        <w:jc w:val="both"/>
        <w:rPr>
          <w:rFonts w:ascii="Book Antiqua" w:hAnsi="Book Antiqua" w:cs="Times New Roman"/>
          <w:i/>
          <w:sz w:val="24"/>
          <w:szCs w:val="24"/>
          <w:lang w:val="en-US"/>
        </w:rPr>
      </w:pPr>
      <w:r w:rsidRPr="00A71E3B">
        <w:rPr>
          <w:rFonts w:ascii="Book Antiqua" w:hAnsi="Book Antiqua" w:cs="Times New Roman"/>
          <w:b/>
          <w:bCs/>
          <w:i/>
          <w:sz w:val="24"/>
          <w:szCs w:val="24"/>
          <w:lang w:val="en-US"/>
        </w:rPr>
        <w:t xml:space="preserve">Update on </w:t>
      </w:r>
      <w:proofErr w:type="spellStart"/>
      <w:r w:rsidRPr="00A71E3B">
        <w:rPr>
          <w:rFonts w:ascii="Book Antiqua" w:hAnsi="Book Antiqua" w:cs="Times New Roman"/>
          <w:b/>
          <w:bCs/>
          <w:i/>
          <w:sz w:val="24"/>
          <w:szCs w:val="24"/>
          <w:lang w:val="en-US"/>
        </w:rPr>
        <w:t>pathogenetic</w:t>
      </w:r>
      <w:proofErr w:type="spellEnd"/>
      <w:r w:rsidRPr="00A71E3B">
        <w:rPr>
          <w:rFonts w:ascii="Book Antiqua" w:hAnsi="Book Antiqua" w:cs="Times New Roman"/>
          <w:b/>
          <w:bCs/>
          <w:i/>
          <w:sz w:val="24"/>
          <w:szCs w:val="24"/>
          <w:lang w:val="en-US"/>
        </w:rPr>
        <w:t xml:space="preserve"> mechanisms</w:t>
      </w:r>
    </w:p>
    <w:p w:rsidR="00B37BF3" w:rsidRPr="00A71E3B" w:rsidRDefault="00B37BF3" w:rsidP="00B30536">
      <w:pPr>
        <w:pStyle w:val="BodyText"/>
        <w:spacing w:after="0" w:line="360" w:lineRule="auto"/>
        <w:jc w:val="both"/>
        <w:rPr>
          <w:rFonts w:ascii="Book Antiqua" w:hAnsi="Book Antiqua" w:cs="Times New Roman"/>
          <w:sz w:val="24"/>
          <w:szCs w:val="24"/>
          <w:lang w:val="en-US"/>
        </w:rPr>
      </w:pPr>
      <w:r w:rsidRPr="00A71E3B">
        <w:rPr>
          <w:rFonts w:ascii="Book Antiqua" w:hAnsi="Book Antiqua" w:cs="Times New Roman"/>
          <w:sz w:val="24"/>
          <w:szCs w:val="24"/>
          <w:lang w:val="en-US"/>
        </w:rPr>
        <w:t xml:space="preserve">Several lines of evidence have suggested that proteinuria and glomerular histologic alterations can be mediated by the direct activity of a circulating factor. These data were obtained from </w:t>
      </w:r>
      <w:r w:rsidRPr="00A71E3B">
        <w:rPr>
          <w:rFonts w:ascii="Book Antiqua" w:hAnsi="Book Antiqua" w:cs="Times New Roman"/>
          <w:i/>
          <w:sz w:val="24"/>
          <w:szCs w:val="24"/>
          <w:lang w:val="en-US"/>
        </w:rPr>
        <w:t>ex vivo</w:t>
      </w:r>
      <w:r w:rsidRPr="00A71E3B">
        <w:rPr>
          <w:rFonts w:ascii="Book Antiqua" w:hAnsi="Book Antiqua" w:cs="Times New Roman"/>
          <w:sz w:val="24"/>
          <w:szCs w:val="24"/>
          <w:lang w:val="en-US"/>
        </w:rPr>
        <w:t xml:space="preserve"> analysis of glomerular changes after incubation with serum from patients with FSGS, as firstly described by </w:t>
      </w:r>
      <w:proofErr w:type="spellStart"/>
      <w:proofErr w:type="gramStart"/>
      <w:r w:rsidRPr="00A71E3B">
        <w:rPr>
          <w:rFonts w:ascii="Book Antiqua" w:hAnsi="Book Antiqua" w:cs="Times New Roman"/>
          <w:sz w:val="24"/>
          <w:szCs w:val="24"/>
          <w:lang w:val="en-US"/>
        </w:rPr>
        <w:t>Savin</w:t>
      </w:r>
      <w:proofErr w:type="spellEnd"/>
      <w:r w:rsidR="0094056C" w:rsidRPr="00A71E3B">
        <w:rPr>
          <w:rFonts w:ascii="Book Antiqua" w:hAnsi="Book Antiqua" w:cs="Times New Roman"/>
          <w:sz w:val="24"/>
          <w:szCs w:val="24"/>
          <w:vertAlign w:val="superscript"/>
          <w:lang w:val="en-US"/>
        </w:rPr>
        <w:t>[</w:t>
      </w:r>
      <w:proofErr w:type="gramEnd"/>
      <w:r w:rsidR="0094056C" w:rsidRPr="00A71E3B">
        <w:rPr>
          <w:rFonts w:ascii="Book Antiqua" w:hAnsi="Book Antiqua" w:cs="Times New Roman"/>
          <w:sz w:val="24"/>
          <w:szCs w:val="24"/>
          <w:vertAlign w:val="superscript"/>
          <w:lang w:val="en-US"/>
        </w:rPr>
        <w:t>11]</w:t>
      </w:r>
      <w:r w:rsidRPr="00A71E3B">
        <w:rPr>
          <w:rFonts w:ascii="Book Antiqua" w:hAnsi="Book Antiqua" w:cs="Times New Roman"/>
          <w:sz w:val="24"/>
          <w:szCs w:val="24"/>
          <w:lang w:val="en-US"/>
        </w:rPr>
        <w:t xml:space="preserve"> in 1999, as well as from analysis of animal models in which kidneys from a specific line of affected mice showed recovery from FSGS after transplantation into normal mice</w:t>
      </w:r>
      <w:r w:rsidRPr="00A71E3B">
        <w:rPr>
          <w:rFonts w:ascii="Book Antiqua" w:hAnsi="Book Antiqua" w:cs="Times New Roman"/>
          <w:sz w:val="24"/>
          <w:szCs w:val="24"/>
          <w:vertAlign w:val="superscript"/>
          <w:lang w:val="en-US"/>
        </w:rPr>
        <w:t>[12]</w:t>
      </w:r>
      <w:r w:rsidRPr="00A71E3B">
        <w:rPr>
          <w:rFonts w:ascii="Book Antiqua" w:hAnsi="Book Antiqua" w:cs="Times New Roman"/>
          <w:sz w:val="24"/>
          <w:szCs w:val="24"/>
          <w:lang w:val="en-US"/>
        </w:rPr>
        <w:t xml:space="preserve">. The most striking data, however, was obtained from a study of a kidney with FSGS recurrence that had been re-grafted from a patient to another and led to total regression of the </w:t>
      </w:r>
      <w:proofErr w:type="gramStart"/>
      <w:r w:rsidRPr="00A71E3B">
        <w:rPr>
          <w:rFonts w:ascii="Book Antiqua" w:hAnsi="Book Antiqua" w:cs="Times New Roman"/>
          <w:sz w:val="24"/>
          <w:szCs w:val="24"/>
          <w:lang w:val="en-US"/>
        </w:rPr>
        <w:t>disease</w:t>
      </w:r>
      <w:r w:rsidRPr="00A71E3B">
        <w:rPr>
          <w:rFonts w:ascii="Book Antiqua" w:hAnsi="Book Antiqua" w:cs="Times New Roman"/>
          <w:sz w:val="24"/>
          <w:szCs w:val="24"/>
          <w:vertAlign w:val="superscript"/>
          <w:lang w:val="en-US"/>
        </w:rPr>
        <w:t>[</w:t>
      </w:r>
      <w:proofErr w:type="gramEnd"/>
      <w:r w:rsidRPr="00A71E3B">
        <w:rPr>
          <w:rFonts w:ascii="Book Antiqua" w:hAnsi="Book Antiqua" w:cs="Times New Roman"/>
          <w:sz w:val="24"/>
          <w:szCs w:val="24"/>
          <w:vertAlign w:val="superscript"/>
          <w:lang w:val="en-US"/>
        </w:rPr>
        <w:t>13]</w:t>
      </w:r>
      <w:r w:rsidRPr="00A71E3B">
        <w:rPr>
          <w:rFonts w:ascii="Book Antiqua" w:hAnsi="Book Antiqua" w:cs="Times New Roman"/>
          <w:sz w:val="24"/>
          <w:szCs w:val="24"/>
          <w:lang w:val="en-US"/>
        </w:rPr>
        <w:t>. However, identification of the responsible factor(s) is still a matter of investigation, although some different molecules are considered likely candidates.</w:t>
      </w:r>
    </w:p>
    <w:p w:rsidR="00B37BF3" w:rsidRPr="00A71E3B" w:rsidRDefault="00B37BF3" w:rsidP="0094056C">
      <w:pPr>
        <w:pStyle w:val="BodyText"/>
        <w:spacing w:after="0" w:line="360" w:lineRule="auto"/>
        <w:ind w:firstLineChars="100" w:firstLine="240"/>
        <w:jc w:val="both"/>
        <w:rPr>
          <w:rFonts w:ascii="Book Antiqua" w:hAnsi="Book Antiqua"/>
          <w:sz w:val="24"/>
          <w:szCs w:val="24"/>
          <w:lang w:val="en-US"/>
        </w:rPr>
      </w:pPr>
      <w:r w:rsidRPr="00A71E3B">
        <w:rPr>
          <w:rFonts w:ascii="Book Antiqua" w:hAnsi="Book Antiqua" w:cs="Times New Roman"/>
          <w:sz w:val="24"/>
          <w:szCs w:val="24"/>
          <w:lang w:val="en-US"/>
        </w:rPr>
        <w:t xml:space="preserve">In recent years research interest has focused on the soluble form of the </w:t>
      </w:r>
      <w:proofErr w:type="spellStart"/>
      <w:r w:rsidRPr="00A71E3B">
        <w:rPr>
          <w:rFonts w:ascii="Book Antiqua" w:hAnsi="Book Antiqua" w:cs="Times New Roman"/>
          <w:sz w:val="24"/>
          <w:szCs w:val="24"/>
          <w:lang w:val="en-US"/>
        </w:rPr>
        <w:t>urokinase</w:t>
      </w:r>
      <w:proofErr w:type="spellEnd"/>
      <w:r w:rsidRPr="00A71E3B">
        <w:rPr>
          <w:rFonts w:ascii="Book Antiqua" w:hAnsi="Book Antiqua" w:cs="Times New Roman"/>
          <w:sz w:val="24"/>
          <w:szCs w:val="24"/>
          <w:lang w:val="en-US"/>
        </w:rPr>
        <w:t xml:space="preserve"> type plasminogen activator receptor (</w:t>
      </w:r>
      <w:proofErr w:type="spellStart"/>
      <w:r w:rsidRPr="00A71E3B">
        <w:rPr>
          <w:rFonts w:ascii="Book Antiqua" w:hAnsi="Book Antiqua" w:cs="Times New Roman"/>
          <w:sz w:val="24"/>
          <w:szCs w:val="24"/>
          <w:lang w:val="en-US"/>
        </w:rPr>
        <w:t>suPAR</w:t>
      </w:r>
      <w:proofErr w:type="spellEnd"/>
      <w:r w:rsidRPr="00A71E3B">
        <w:rPr>
          <w:rFonts w:ascii="Book Antiqua" w:hAnsi="Book Antiqua" w:cs="Times New Roman"/>
          <w:sz w:val="24"/>
          <w:szCs w:val="24"/>
          <w:lang w:val="en-US"/>
        </w:rPr>
        <w:t xml:space="preserve">). </w:t>
      </w:r>
      <w:proofErr w:type="spellStart"/>
      <w:proofErr w:type="gramStart"/>
      <w:r w:rsidRPr="00A71E3B">
        <w:rPr>
          <w:rFonts w:ascii="Book Antiqua" w:hAnsi="Book Antiqua" w:cs="Times New Roman"/>
          <w:sz w:val="24"/>
          <w:szCs w:val="24"/>
          <w:lang w:val="en-US"/>
        </w:rPr>
        <w:t>suPAR</w:t>
      </w:r>
      <w:proofErr w:type="spellEnd"/>
      <w:proofErr w:type="gramEnd"/>
      <w:r w:rsidRPr="00A71E3B">
        <w:rPr>
          <w:rFonts w:ascii="Book Antiqua" w:hAnsi="Book Antiqua" w:cs="Times New Roman"/>
          <w:sz w:val="24"/>
          <w:szCs w:val="24"/>
          <w:lang w:val="en-US"/>
        </w:rPr>
        <w:t xml:space="preserve"> appears to be able to cause podocyte foot effacement in mice</w:t>
      </w:r>
      <w:r w:rsidRPr="00A71E3B">
        <w:rPr>
          <w:rFonts w:ascii="Book Antiqua" w:hAnsi="Book Antiqua" w:cs="Times New Roman"/>
          <w:sz w:val="24"/>
          <w:szCs w:val="24"/>
          <w:vertAlign w:val="superscript"/>
          <w:lang w:val="en-US"/>
        </w:rPr>
        <w:t>[14]</w:t>
      </w:r>
      <w:r w:rsidRPr="00A71E3B">
        <w:rPr>
          <w:rFonts w:ascii="Book Antiqua" w:hAnsi="Book Antiqua" w:cs="Times New Roman"/>
          <w:sz w:val="24"/>
          <w:szCs w:val="24"/>
          <w:lang w:val="en-US"/>
        </w:rPr>
        <w:t xml:space="preserve">, and </w:t>
      </w:r>
      <w:proofErr w:type="spellStart"/>
      <w:r w:rsidRPr="00A71E3B">
        <w:rPr>
          <w:rFonts w:ascii="Book Antiqua" w:hAnsi="Book Antiqua" w:cs="Times New Roman"/>
          <w:sz w:val="24"/>
          <w:szCs w:val="24"/>
          <w:lang w:val="en-US"/>
        </w:rPr>
        <w:t>suPAR</w:t>
      </w:r>
      <w:proofErr w:type="spellEnd"/>
      <w:r w:rsidRPr="00A71E3B">
        <w:rPr>
          <w:rFonts w:ascii="Book Antiqua" w:hAnsi="Book Antiqua" w:cs="Times New Roman"/>
          <w:sz w:val="24"/>
          <w:szCs w:val="24"/>
          <w:lang w:val="en-US"/>
        </w:rPr>
        <w:t xml:space="preserve"> levels observed in patients with FSGS are higher than those in patients with other </w:t>
      </w:r>
      <w:proofErr w:type="spellStart"/>
      <w:r w:rsidRPr="00A71E3B">
        <w:rPr>
          <w:rFonts w:ascii="Book Antiqua" w:hAnsi="Book Antiqua" w:cs="Times New Roman"/>
          <w:sz w:val="24"/>
          <w:szCs w:val="24"/>
          <w:lang w:val="en-US"/>
        </w:rPr>
        <w:t>glomerulopathies</w:t>
      </w:r>
      <w:proofErr w:type="spellEnd"/>
      <w:r w:rsidRPr="00A71E3B">
        <w:rPr>
          <w:rFonts w:ascii="Book Antiqua" w:hAnsi="Book Antiqua" w:cs="Times New Roman"/>
          <w:sz w:val="24"/>
          <w:szCs w:val="24"/>
          <w:vertAlign w:val="superscript"/>
          <w:lang w:val="en-US"/>
        </w:rPr>
        <w:t>[15]</w:t>
      </w:r>
      <w:r w:rsidRPr="00A71E3B">
        <w:rPr>
          <w:rFonts w:ascii="Book Antiqua" w:hAnsi="Book Antiqua" w:cs="Times New Roman"/>
          <w:sz w:val="24"/>
          <w:szCs w:val="24"/>
          <w:lang w:val="en-US"/>
        </w:rPr>
        <w:t xml:space="preserve">. </w:t>
      </w:r>
      <w:r w:rsidRPr="00A71E3B">
        <w:rPr>
          <w:rFonts w:ascii="Book Antiqua" w:hAnsi="Book Antiqua"/>
          <w:sz w:val="24"/>
          <w:szCs w:val="24"/>
          <w:lang w:val="en-US"/>
        </w:rPr>
        <w:t xml:space="preserve">Nevertheless, the specific involvement of </w:t>
      </w:r>
      <w:proofErr w:type="spellStart"/>
      <w:r w:rsidRPr="00A71E3B">
        <w:rPr>
          <w:rFonts w:ascii="Book Antiqua" w:hAnsi="Book Antiqua"/>
          <w:sz w:val="24"/>
          <w:szCs w:val="24"/>
          <w:lang w:val="en-US"/>
        </w:rPr>
        <w:t>suPAR</w:t>
      </w:r>
      <w:proofErr w:type="spellEnd"/>
      <w:r w:rsidRPr="00A71E3B">
        <w:rPr>
          <w:rFonts w:ascii="Book Antiqua" w:hAnsi="Book Antiqua"/>
          <w:sz w:val="24"/>
          <w:szCs w:val="24"/>
          <w:lang w:val="en-US"/>
        </w:rPr>
        <w:t xml:space="preserve"> in glomerulonephritis has not been confirmed by other studies, which showed increased (plasma) </w:t>
      </w:r>
      <w:proofErr w:type="spellStart"/>
      <w:r w:rsidRPr="00A71E3B">
        <w:rPr>
          <w:rFonts w:ascii="Book Antiqua" w:hAnsi="Book Antiqua"/>
          <w:sz w:val="24"/>
          <w:szCs w:val="24"/>
          <w:lang w:val="en-US"/>
        </w:rPr>
        <w:t>suPAR</w:t>
      </w:r>
      <w:proofErr w:type="spellEnd"/>
      <w:r w:rsidRPr="00A71E3B">
        <w:rPr>
          <w:rFonts w:ascii="Book Antiqua" w:hAnsi="Book Antiqua"/>
          <w:sz w:val="24"/>
          <w:szCs w:val="24"/>
          <w:lang w:val="en-US"/>
        </w:rPr>
        <w:t xml:space="preserve"> levels in other pathological situations (</w:t>
      </w:r>
      <w:r w:rsidRPr="00A71E3B">
        <w:rPr>
          <w:rFonts w:ascii="Book Antiqua" w:hAnsi="Book Antiqua"/>
          <w:i/>
          <w:sz w:val="24"/>
          <w:szCs w:val="24"/>
          <w:lang w:val="en-US"/>
        </w:rPr>
        <w:t>i.e</w:t>
      </w:r>
      <w:r w:rsidRPr="00A71E3B">
        <w:rPr>
          <w:rFonts w:ascii="Book Antiqua" w:hAnsi="Book Antiqua"/>
          <w:sz w:val="24"/>
          <w:szCs w:val="24"/>
          <w:lang w:val="en-US"/>
        </w:rPr>
        <w:t>.</w:t>
      </w:r>
      <w:r w:rsidR="0094056C" w:rsidRPr="00A71E3B">
        <w:rPr>
          <w:rFonts w:ascii="Book Antiqua" w:eastAsiaTheme="minorEastAsia" w:hAnsi="Book Antiqua" w:hint="eastAsia"/>
          <w:sz w:val="24"/>
          <w:szCs w:val="24"/>
          <w:lang w:val="en-US" w:eastAsia="zh-CN"/>
        </w:rPr>
        <w:t>,</w:t>
      </w:r>
      <w:r w:rsidRPr="00A71E3B">
        <w:rPr>
          <w:rFonts w:ascii="Book Antiqua" w:hAnsi="Book Antiqua"/>
          <w:sz w:val="24"/>
          <w:szCs w:val="24"/>
          <w:lang w:val="en-US"/>
        </w:rPr>
        <w:t xml:space="preserve"> bacterial and viral infections, sepsis, and cancer)</w:t>
      </w:r>
      <w:r w:rsidRPr="00A71E3B">
        <w:rPr>
          <w:rFonts w:ascii="Book Antiqua" w:hAnsi="Book Antiqua"/>
          <w:sz w:val="24"/>
          <w:szCs w:val="24"/>
          <w:vertAlign w:val="superscript"/>
          <w:lang w:val="en-US"/>
        </w:rPr>
        <w:t>[16]</w:t>
      </w:r>
      <w:r w:rsidRPr="00A71E3B">
        <w:rPr>
          <w:rFonts w:ascii="Book Antiqua" w:hAnsi="Book Antiqua"/>
          <w:sz w:val="24"/>
          <w:szCs w:val="24"/>
          <w:lang w:val="en-US"/>
        </w:rPr>
        <w:t xml:space="preserve">. Rather, increased </w:t>
      </w:r>
      <w:proofErr w:type="spellStart"/>
      <w:r w:rsidRPr="00A71E3B">
        <w:rPr>
          <w:rFonts w:ascii="Book Antiqua" w:hAnsi="Book Antiqua"/>
          <w:sz w:val="24"/>
          <w:szCs w:val="24"/>
          <w:lang w:val="en-US"/>
        </w:rPr>
        <w:t>suPAR</w:t>
      </w:r>
      <w:proofErr w:type="spellEnd"/>
      <w:r w:rsidRPr="00A71E3B">
        <w:rPr>
          <w:rFonts w:ascii="Book Antiqua" w:hAnsi="Book Antiqua"/>
          <w:sz w:val="24"/>
          <w:szCs w:val="24"/>
          <w:lang w:val="en-US"/>
        </w:rPr>
        <w:t xml:space="preserve"> levels were observed primarily in patients with reduced glomerular filtration rate (GFR), suggesting that an elevation of </w:t>
      </w:r>
      <w:proofErr w:type="spellStart"/>
      <w:r w:rsidRPr="00A71E3B">
        <w:rPr>
          <w:rFonts w:ascii="Book Antiqua" w:hAnsi="Book Antiqua"/>
          <w:sz w:val="24"/>
          <w:szCs w:val="24"/>
          <w:lang w:val="en-US"/>
        </w:rPr>
        <w:t>suPAR</w:t>
      </w:r>
      <w:proofErr w:type="spellEnd"/>
      <w:r w:rsidRPr="00A71E3B">
        <w:rPr>
          <w:rFonts w:ascii="Book Antiqua" w:hAnsi="Book Antiqua"/>
          <w:sz w:val="24"/>
          <w:szCs w:val="24"/>
          <w:lang w:val="en-US"/>
        </w:rPr>
        <w:t xml:space="preserve"> levels may merely be an indicator of reduced </w:t>
      </w:r>
      <w:proofErr w:type="gramStart"/>
      <w:r w:rsidRPr="00A71E3B">
        <w:rPr>
          <w:rFonts w:ascii="Book Antiqua" w:hAnsi="Book Antiqua"/>
          <w:sz w:val="24"/>
          <w:szCs w:val="24"/>
          <w:lang w:val="en-US"/>
        </w:rPr>
        <w:t>GFR</w:t>
      </w:r>
      <w:r w:rsidRPr="00A71E3B">
        <w:rPr>
          <w:rFonts w:ascii="Book Antiqua" w:hAnsi="Book Antiqua"/>
          <w:sz w:val="24"/>
          <w:szCs w:val="24"/>
          <w:vertAlign w:val="superscript"/>
          <w:lang w:val="en-US"/>
        </w:rPr>
        <w:t>[</w:t>
      </w:r>
      <w:proofErr w:type="gramEnd"/>
      <w:r w:rsidRPr="00A71E3B">
        <w:rPr>
          <w:rFonts w:ascii="Book Antiqua" w:hAnsi="Book Antiqua"/>
          <w:sz w:val="24"/>
          <w:szCs w:val="24"/>
          <w:vertAlign w:val="superscript"/>
          <w:lang w:val="en-US"/>
        </w:rPr>
        <w:t>17]</w:t>
      </w:r>
      <w:r w:rsidRPr="00A71E3B">
        <w:rPr>
          <w:rFonts w:ascii="Book Antiqua" w:hAnsi="Book Antiqua"/>
          <w:sz w:val="24"/>
          <w:szCs w:val="24"/>
          <w:lang w:val="en-US"/>
        </w:rPr>
        <w:t xml:space="preserve">. Finally, the usefulness of </w:t>
      </w:r>
      <w:proofErr w:type="spellStart"/>
      <w:r w:rsidRPr="00A71E3B">
        <w:rPr>
          <w:rFonts w:ascii="Book Antiqua" w:hAnsi="Book Antiqua"/>
          <w:sz w:val="24"/>
          <w:szCs w:val="24"/>
          <w:lang w:val="en-US"/>
        </w:rPr>
        <w:t>suPAR</w:t>
      </w:r>
      <w:proofErr w:type="spellEnd"/>
      <w:r w:rsidRPr="00A71E3B">
        <w:rPr>
          <w:rFonts w:ascii="Book Antiqua" w:hAnsi="Book Antiqua"/>
          <w:sz w:val="24"/>
          <w:szCs w:val="24"/>
          <w:lang w:val="en-US"/>
        </w:rPr>
        <w:t xml:space="preserve"> to distinguish between FSGS and non-FSGS glomerulonephritis has been questioned by Bock </w:t>
      </w:r>
      <w:r w:rsidRPr="00A71E3B">
        <w:rPr>
          <w:rFonts w:ascii="Book Antiqua" w:hAnsi="Book Antiqua"/>
          <w:i/>
          <w:sz w:val="24"/>
          <w:szCs w:val="24"/>
          <w:lang w:val="en-US"/>
        </w:rPr>
        <w:t xml:space="preserve">et </w:t>
      </w:r>
      <w:proofErr w:type="gramStart"/>
      <w:r w:rsidRPr="00A71E3B">
        <w:rPr>
          <w:rFonts w:ascii="Book Antiqua" w:hAnsi="Book Antiqua"/>
          <w:i/>
          <w:sz w:val="24"/>
          <w:szCs w:val="24"/>
          <w:lang w:val="en-US"/>
        </w:rPr>
        <w:t>al</w:t>
      </w:r>
      <w:r w:rsidRPr="00A71E3B">
        <w:rPr>
          <w:rFonts w:ascii="Book Antiqua" w:hAnsi="Book Antiqua"/>
          <w:sz w:val="24"/>
          <w:szCs w:val="24"/>
          <w:vertAlign w:val="superscript"/>
          <w:lang w:val="en-US"/>
        </w:rPr>
        <w:t>[</w:t>
      </w:r>
      <w:proofErr w:type="gramEnd"/>
      <w:r w:rsidRPr="00A71E3B">
        <w:rPr>
          <w:rFonts w:ascii="Book Antiqua" w:hAnsi="Book Antiqua"/>
          <w:sz w:val="24"/>
          <w:szCs w:val="24"/>
          <w:vertAlign w:val="superscript"/>
          <w:lang w:val="en-US"/>
        </w:rPr>
        <w:t>18]</w:t>
      </w:r>
      <w:r w:rsidRPr="00A71E3B">
        <w:rPr>
          <w:rFonts w:ascii="Book Antiqua" w:hAnsi="Book Antiqua"/>
          <w:sz w:val="24"/>
          <w:szCs w:val="24"/>
          <w:lang w:val="en-US"/>
        </w:rPr>
        <w:t xml:space="preserve">, who showed similar (plasma) </w:t>
      </w:r>
      <w:proofErr w:type="spellStart"/>
      <w:r w:rsidRPr="00A71E3B">
        <w:rPr>
          <w:rFonts w:ascii="Book Antiqua" w:hAnsi="Book Antiqua"/>
          <w:sz w:val="24"/>
          <w:szCs w:val="24"/>
          <w:lang w:val="en-US"/>
        </w:rPr>
        <w:t>suPAR</w:t>
      </w:r>
      <w:proofErr w:type="spellEnd"/>
      <w:r w:rsidRPr="00A71E3B">
        <w:rPr>
          <w:rFonts w:ascii="Book Antiqua" w:hAnsi="Book Antiqua"/>
          <w:sz w:val="24"/>
          <w:szCs w:val="24"/>
          <w:lang w:val="en-US"/>
        </w:rPr>
        <w:t xml:space="preserve"> levels among FSGS patients, non-FSGS controls, and healthy volunteers</w:t>
      </w:r>
      <w:r w:rsidRPr="00A71E3B">
        <w:rPr>
          <w:rFonts w:ascii="Book Antiqua" w:hAnsi="Book Antiqua" w:cs="Times New Roman"/>
          <w:sz w:val="24"/>
          <w:szCs w:val="24"/>
          <w:lang w:val="en-US"/>
        </w:rPr>
        <w:t>.</w:t>
      </w:r>
    </w:p>
    <w:p w:rsidR="00B37BF3" w:rsidRPr="00A71E3B" w:rsidRDefault="00B37BF3" w:rsidP="0094056C">
      <w:pPr>
        <w:spacing w:line="360" w:lineRule="auto"/>
        <w:ind w:firstLineChars="100" w:firstLine="240"/>
        <w:jc w:val="both"/>
        <w:rPr>
          <w:rFonts w:ascii="Book Antiqua" w:hAnsi="Book Antiqua"/>
          <w:lang w:val="en-US"/>
        </w:rPr>
      </w:pPr>
      <w:r w:rsidRPr="00A71E3B">
        <w:rPr>
          <w:rFonts w:ascii="Book Antiqua" w:hAnsi="Book Antiqua"/>
          <w:lang w:val="en-US"/>
        </w:rPr>
        <w:t xml:space="preserve">Other circulating factors, such as </w:t>
      </w:r>
      <w:proofErr w:type="spellStart"/>
      <w:r w:rsidRPr="00A71E3B">
        <w:rPr>
          <w:rFonts w:ascii="Book Antiqua" w:hAnsi="Book Antiqua"/>
          <w:lang w:val="en-US"/>
        </w:rPr>
        <w:t>cardiothropin</w:t>
      </w:r>
      <w:proofErr w:type="spellEnd"/>
      <w:r w:rsidRPr="00A71E3B">
        <w:rPr>
          <w:rFonts w:ascii="Book Antiqua" w:hAnsi="Book Antiqua"/>
          <w:lang w:val="en-US"/>
        </w:rPr>
        <w:t xml:space="preserve">-like cytokine 1 (CLC-1), vasodilator-stimulated phosphoprotein and apolipoprotein A-I, have also </w:t>
      </w:r>
      <w:r w:rsidRPr="00A71E3B">
        <w:rPr>
          <w:rFonts w:ascii="Book Antiqua" w:hAnsi="Book Antiqua"/>
          <w:lang w:val="en-US"/>
        </w:rPr>
        <w:lastRenderedPageBreak/>
        <w:t xml:space="preserve">been proposed as effectors in the glomerular permeability process, but their clinical and pathological roles remain </w:t>
      </w:r>
      <w:proofErr w:type="gramStart"/>
      <w:r w:rsidRPr="00A71E3B">
        <w:rPr>
          <w:rFonts w:ascii="Book Antiqua" w:hAnsi="Book Antiqua"/>
          <w:lang w:val="en-US"/>
        </w:rPr>
        <w:t>unknown</w:t>
      </w:r>
      <w:r w:rsidRPr="00A71E3B">
        <w:rPr>
          <w:rFonts w:ascii="Book Antiqua" w:hAnsi="Book Antiqua"/>
          <w:vertAlign w:val="superscript"/>
          <w:lang w:val="en-US"/>
        </w:rPr>
        <w:t>[</w:t>
      </w:r>
      <w:proofErr w:type="gramEnd"/>
      <w:r w:rsidRPr="00A71E3B">
        <w:rPr>
          <w:rFonts w:ascii="Book Antiqua" w:hAnsi="Book Antiqua"/>
          <w:vertAlign w:val="superscript"/>
          <w:lang w:val="en-US"/>
        </w:rPr>
        <w:t>19]</w:t>
      </w:r>
      <w:r w:rsidRPr="00A71E3B">
        <w:rPr>
          <w:rFonts w:ascii="Book Antiqua" w:hAnsi="Book Antiqua"/>
          <w:lang w:val="en-US"/>
        </w:rPr>
        <w:t>. Recently, detection of a panel of serum antibodies directed towards podocyte antigens was found to be associated with a high percentage of relapses in FSGS (predictive recurrence value of 92%)</w:t>
      </w:r>
      <w:r w:rsidRPr="00A71E3B">
        <w:rPr>
          <w:rFonts w:ascii="Book Antiqua" w:hAnsi="Book Antiqua"/>
          <w:vertAlign w:val="superscript"/>
          <w:lang w:val="en-US"/>
        </w:rPr>
        <w:t>[20]</w:t>
      </w:r>
      <w:r w:rsidRPr="00A71E3B">
        <w:rPr>
          <w:rFonts w:ascii="Book Antiqua" w:hAnsi="Book Antiqua"/>
          <w:lang w:val="en-US"/>
        </w:rPr>
        <w:t xml:space="preserve">. The most prominent of these antigens is CD40; the expression of which is up-regulated in podocytes in FSGS, supporting the hypothesis of a potential direct </w:t>
      </w:r>
      <w:proofErr w:type="spellStart"/>
      <w:r w:rsidRPr="00A71E3B">
        <w:rPr>
          <w:rFonts w:ascii="Book Antiqua" w:hAnsi="Book Antiqua"/>
          <w:lang w:val="en-US"/>
        </w:rPr>
        <w:t>pathogenetic</w:t>
      </w:r>
      <w:proofErr w:type="spellEnd"/>
      <w:r w:rsidRPr="00A71E3B">
        <w:rPr>
          <w:rFonts w:ascii="Book Antiqua" w:hAnsi="Book Antiqua"/>
          <w:lang w:val="en-US"/>
        </w:rPr>
        <w:t xml:space="preserve"> effect of anti-CD40 antibodies.</w:t>
      </w:r>
    </w:p>
    <w:p w:rsidR="00B37BF3" w:rsidRPr="00A71E3B" w:rsidRDefault="00B37BF3" w:rsidP="0094056C">
      <w:pPr>
        <w:suppressAutoHyphens w:val="0"/>
        <w:autoSpaceDE w:val="0"/>
        <w:spacing w:line="360" w:lineRule="auto"/>
        <w:ind w:firstLineChars="100" w:firstLine="240"/>
        <w:jc w:val="both"/>
        <w:rPr>
          <w:rFonts w:ascii="Book Antiqua" w:hAnsi="Book Antiqua"/>
          <w:lang w:val="en-US"/>
        </w:rPr>
      </w:pPr>
      <w:r w:rsidRPr="00A71E3B">
        <w:rPr>
          <w:rFonts w:ascii="Book Antiqua" w:hAnsi="Book Antiqua"/>
          <w:lang w:val="en-US"/>
        </w:rPr>
        <w:t>Demonstration of the precise permeability factor(s) remains elusive. Yet, recent findings have confirmed the critical role played by podocytes in FSGS development, and different podocyte antigens/cellular pathways have been associated with the disease course and medical treatment response (Figure 1). For example, it has been postulated that the B71 and sphingomyelin-phosphodiesterase-acid-like-3b (SMLPD-3b) proteins (both of which are expressed on the podocyte membrane) may directly interact with the cytoskeleton-inducing foot process effacement in response to a permeability factor</w:t>
      </w:r>
      <w:r w:rsidRPr="00A71E3B">
        <w:rPr>
          <w:rFonts w:ascii="Book Antiqua" w:hAnsi="Book Antiqua"/>
          <w:vertAlign w:val="superscript"/>
          <w:lang w:val="en-US"/>
        </w:rPr>
        <w:t>[21,22]</w:t>
      </w:r>
      <w:r w:rsidRPr="00A71E3B">
        <w:rPr>
          <w:rFonts w:ascii="Book Antiqua" w:hAnsi="Book Antiqua"/>
          <w:lang w:val="en-US"/>
        </w:rPr>
        <w:t xml:space="preserve">; interestingly, this effect could be antagonized by some drugs recently adopted in FSGS treatment </w:t>
      </w:r>
      <w:r w:rsidR="0094056C" w:rsidRPr="00A71E3B">
        <w:rPr>
          <w:rFonts w:ascii="Book Antiqua" w:hAnsi="Book Antiqua" w:hint="eastAsia"/>
          <w:lang w:val="en-US" w:eastAsia="zh-CN"/>
        </w:rPr>
        <w:t>[</w:t>
      </w:r>
      <w:proofErr w:type="spellStart"/>
      <w:r w:rsidRPr="00A71E3B">
        <w:rPr>
          <w:rFonts w:ascii="Book Antiqua" w:hAnsi="Book Antiqua"/>
          <w:lang w:val="en-US"/>
        </w:rPr>
        <w:t>abatacept</w:t>
      </w:r>
      <w:proofErr w:type="spellEnd"/>
      <w:r w:rsidRPr="00A71E3B">
        <w:rPr>
          <w:rFonts w:ascii="Book Antiqua" w:hAnsi="Book Antiqua"/>
          <w:lang w:val="en-US"/>
        </w:rPr>
        <w:t xml:space="preserve"> (</w:t>
      </w:r>
      <w:proofErr w:type="spellStart"/>
      <w:r w:rsidRPr="00A71E3B">
        <w:rPr>
          <w:rFonts w:ascii="Book Antiqua" w:hAnsi="Book Antiqua"/>
          <w:lang w:val="en-US"/>
        </w:rPr>
        <w:t>Orencia</w:t>
      </w:r>
      <w:proofErr w:type="spellEnd"/>
      <w:r w:rsidR="00B1092A" w:rsidRPr="00A71E3B">
        <w:rPr>
          <w:rFonts w:ascii="Book Antiqua" w:hAnsi="Book Antiqua"/>
          <w:vertAlign w:val="superscript"/>
          <w:lang w:val="en-US"/>
        </w:rPr>
        <w:t>®</w:t>
      </w:r>
      <w:r w:rsidRPr="00A71E3B">
        <w:rPr>
          <w:rFonts w:ascii="Book Antiqua" w:hAnsi="Book Antiqua"/>
          <w:lang w:val="en-US"/>
        </w:rPr>
        <w:t>)/</w:t>
      </w:r>
      <w:proofErr w:type="spellStart"/>
      <w:r w:rsidRPr="00A71E3B">
        <w:rPr>
          <w:rFonts w:ascii="Book Antiqua" w:hAnsi="Book Antiqua"/>
          <w:lang w:val="en-US"/>
        </w:rPr>
        <w:t>belatacept</w:t>
      </w:r>
      <w:proofErr w:type="spellEnd"/>
      <w:r w:rsidRPr="00A71E3B">
        <w:rPr>
          <w:rFonts w:ascii="Book Antiqua" w:hAnsi="Book Antiqua"/>
          <w:lang w:val="en-US"/>
        </w:rPr>
        <w:t xml:space="preserve"> (</w:t>
      </w:r>
      <w:proofErr w:type="spellStart"/>
      <w:r w:rsidRPr="00A71E3B">
        <w:rPr>
          <w:rFonts w:ascii="Book Antiqua" w:hAnsi="Book Antiqua"/>
          <w:lang w:val="en-US"/>
        </w:rPr>
        <w:t>Nulojix</w:t>
      </w:r>
      <w:proofErr w:type="spellEnd"/>
      <w:r w:rsidRPr="00A71E3B">
        <w:rPr>
          <w:rFonts w:ascii="Book Antiqua" w:hAnsi="Book Antiqua"/>
          <w:vertAlign w:val="superscript"/>
          <w:lang w:val="en-US"/>
        </w:rPr>
        <w:t>®</w:t>
      </w:r>
      <w:r w:rsidRPr="00A71E3B">
        <w:rPr>
          <w:rFonts w:ascii="Book Antiqua" w:hAnsi="Book Antiqua"/>
          <w:lang w:val="en-US"/>
        </w:rPr>
        <w:t>)</w:t>
      </w:r>
      <w:r w:rsidR="0094056C" w:rsidRPr="00A71E3B">
        <w:rPr>
          <w:rFonts w:ascii="Book Antiqua" w:hAnsi="Book Antiqua" w:hint="eastAsia"/>
          <w:lang w:val="en-US" w:eastAsia="zh-CN"/>
        </w:rPr>
        <w:t>]</w:t>
      </w:r>
      <w:r w:rsidRPr="00A71E3B">
        <w:rPr>
          <w:rFonts w:ascii="Book Antiqua" w:hAnsi="Book Antiqua"/>
          <w:lang w:val="en-US"/>
        </w:rPr>
        <w:t xml:space="preserve"> for B71 and Rituximab</w:t>
      </w:r>
      <w:r w:rsidRPr="00A71E3B">
        <w:rPr>
          <w:rFonts w:ascii="Book Antiqua" w:hAnsi="Book Antiqua"/>
          <w:vertAlign w:val="superscript"/>
          <w:lang w:val="en-US"/>
        </w:rPr>
        <w:t>®</w:t>
      </w:r>
      <w:r w:rsidRPr="00A71E3B">
        <w:rPr>
          <w:rFonts w:ascii="Book Antiqua" w:hAnsi="Book Antiqua"/>
          <w:lang w:val="en-US"/>
        </w:rPr>
        <w:t xml:space="preserve"> for SMLPD-3b, in particular), as outlined below in the therapeutic section.</w:t>
      </w:r>
    </w:p>
    <w:p w:rsidR="00B37BF3" w:rsidRPr="00A71E3B" w:rsidRDefault="00B37BF3" w:rsidP="0094056C">
      <w:pPr>
        <w:suppressAutoHyphens w:val="0"/>
        <w:autoSpaceDE w:val="0"/>
        <w:spacing w:line="360" w:lineRule="auto"/>
        <w:ind w:firstLineChars="100" w:firstLine="240"/>
        <w:jc w:val="both"/>
        <w:rPr>
          <w:rFonts w:ascii="Book Antiqua" w:hAnsi="Book Antiqua"/>
          <w:lang w:val="en-US"/>
        </w:rPr>
      </w:pPr>
      <w:r w:rsidRPr="00A71E3B">
        <w:rPr>
          <w:rFonts w:ascii="Book Antiqua" w:hAnsi="Book Antiqua"/>
          <w:lang w:val="en-US"/>
        </w:rPr>
        <w:t xml:space="preserve">Drug-induced or genetic-related alterations of the podocyte metabolic pathways may also lead to a maladaptive response to cell injury, defining a “pro-FSGS” phenotype, as has been observed in some patients with specific donor APOL1 </w:t>
      </w:r>
      <w:proofErr w:type="gramStart"/>
      <w:r w:rsidRPr="00A71E3B">
        <w:rPr>
          <w:rFonts w:ascii="Book Antiqua" w:hAnsi="Book Antiqua"/>
          <w:lang w:val="en-US"/>
        </w:rPr>
        <w:t>polymorphisms</w:t>
      </w:r>
      <w:r w:rsidRPr="00A71E3B">
        <w:rPr>
          <w:rFonts w:ascii="Book Antiqua" w:hAnsi="Book Antiqua"/>
          <w:vertAlign w:val="superscript"/>
          <w:lang w:val="en-US"/>
        </w:rPr>
        <w:t>[</w:t>
      </w:r>
      <w:proofErr w:type="gramEnd"/>
      <w:r w:rsidRPr="00A71E3B">
        <w:rPr>
          <w:rFonts w:ascii="Book Antiqua" w:hAnsi="Book Antiqua"/>
          <w:vertAlign w:val="superscript"/>
          <w:lang w:val="en-US"/>
        </w:rPr>
        <w:t>23]</w:t>
      </w:r>
      <w:r w:rsidRPr="00A71E3B">
        <w:rPr>
          <w:rFonts w:ascii="Book Antiqua" w:hAnsi="Book Antiqua"/>
          <w:lang w:val="en-US"/>
        </w:rPr>
        <w:t xml:space="preserve"> or in animal models with inhibition of the </w:t>
      </w:r>
      <w:proofErr w:type="spellStart"/>
      <w:r w:rsidRPr="00A71E3B">
        <w:rPr>
          <w:rFonts w:ascii="Book Antiqua" w:hAnsi="Book Antiqua"/>
          <w:lang w:val="en-US"/>
        </w:rPr>
        <w:t>mTOR</w:t>
      </w:r>
      <w:proofErr w:type="spellEnd"/>
      <w:r w:rsidRPr="00A71E3B">
        <w:rPr>
          <w:rFonts w:ascii="Book Antiqua" w:hAnsi="Book Antiqua"/>
          <w:lang w:val="en-US"/>
        </w:rPr>
        <w:t>/</w:t>
      </w:r>
      <w:proofErr w:type="spellStart"/>
      <w:r w:rsidRPr="00A71E3B">
        <w:rPr>
          <w:rFonts w:ascii="Book Antiqua" w:hAnsi="Book Antiqua"/>
          <w:lang w:val="en-US"/>
        </w:rPr>
        <w:t>Akt</w:t>
      </w:r>
      <w:proofErr w:type="spellEnd"/>
      <w:r w:rsidRPr="00A71E3B">
        <w:rPr>
          <w:rFonts w:ascii="Book Antiqua" w:hAnsi="Book Antiqua"/>
          <w:lang w:val="en-US"/>
        </w:rPr>
        <w:t xml:space="preserve"> axis</w:t>
      </w:r>
      <w:r w:rsidRPr="00A71E3B">
        <w:rPr>
          <w:rFonts w:ascii="Book Antiqua" w:hAnsi="Book Antiqua"/>
          <w:vertAlign w:val="superscript"/>
          <w:lang w:val="en-US"/>
        </w:rPr>
        <w:t>[24]</w:t>
      </w:r>
      <w:r w:rsidRPr="00A71E3B">
        <w:rPr>
          <w:rFonts w:ascii="Book Antiqua" w:hAnsi="Book Antiqua"/>
          <w:lang w:val="en-US"/>
        </w:rPr>
        <w:t>.</w:t>
      </w:r>
    </w:p>
    <w:p w:rsidR="00B37BF3" w:rsidRPr="00A71E3B" w:rsidRDefault="00B37BF3" w:rsidP="0094056C">
      <w:pPr>
        <w:suppressAutoHyphens w:val="0"/>
        <w:autoSpaceDE w:val="0"/>
        <w:spacing w:line="360" w:lineRule="auto"/>
        <w:ind w:firstLineChars="100" w:firstLine="240"/>
        <w:jc w:val="both"/>
        <w:rPr>
          <w:rFonts w:ascii="Book Antiqua" w:hAnsi="Book Antiqua"/>
          <w:lang w:val="en-US"/>
        </w:rPr>
      </w:pPr>
      <w:r w:rsidRPr="00A71E3B">
        <w:rPr>
          <w:rFonts w:ascii="Book Antiqua" w:hAnsi="Book Antiqua"/>
          <w:lang w:val="en-US"/>
        </w:rPr>
        <w:t>Another step forward in defining this disease may be achieved upon increasing our knowledge of the influence of micro (</w:t>
      </w:r>
      <w:proofErr w:type="gramStart"/>
      <w:r w:rsidRPr="00A71E3B">
        <w:rPr>
          <w:rFonts w:ascii="Book Antiqua" w:hAnsi="Book Antiqua"/>
          <w:lang w:val="en-US"/>
        </w:rPr>
        <w:t>mi)RNAs</w:t>
      </w:r>
      <w:proofErr w:type="gramEnd"/>
      <w:r w:rsidRPr="00A71E3B">
        <w:rPr>
          <w:rFonts w:ascii="Book Antiqua" w:hAnsi="Book Antiqua"/>
          <w:lang w:val="en-US"/>
        </w:rPr>
        <w:t xml:space="preserve"> on podocyte activity. In a mouse model, </w:t>
      </w:r>
      <w:proofErr w:type="spellStart"/>
      <w:r w:rsidRPr="00A71E3B">
        <w:rPr>
          <w:rFonts w:ascii="Book Antiqua" w:hAnsi="Book Antiqua"/>
          <w:lang w:val="en-US"/>
        </w:rPr>
        <w:t>Gebeshuber</w:t>
      </w:r>
      <w:proofErr w:type="spellEnd"/>
      <w:r w:rsidRPr="00A71E3B">
        <w:rPr>
          <w:rFonts w:ascii="Book Antiqua" w:hAnsi="Book Antiqua"/>
          <w:lang w:val="en-US"/>
        </w:rPr>
        <w:t xml:space="preserve"> </w:t>
      </w:r>
      <w:r w:rsidRPr="00A71E3B">
        <w:rPr>
          <w:rFonts w:ascii="Book Antiqua" w:hAnsi="Book Antiqua"/>
          <w:i/>
          <w:lang w:val="en-US"/>
        </w:rPr>
        <w:t>et al</w:t>
      </w:r>
      <w:r w:rsidRPr="00A71E3B">
        <w:rPr>
          <w:rFonts w:ascii="Book Antiqua" w:hAnsi="Book Antiqua"/>
          <w:vertAlign w:val="superscript"/>
          <w:lang w:val="en-US"/>
        </w:rPr>
        <w:t>[25]</w:t>
      </w:r>
      <w:r w:rsidRPr="00A71E3B">
        <w:rPr>
          <w:rFonts w:ascii="Book Antiqua" w:hAnsi="Book Antiqua"/>
          <w:lang w:val="en-US"/>
        </w:rPr>
        <w:t xml:space="preserve"> observed that transgenic expression of miR-193a (a down-regulator of WT1, itself a crucial effector in podocyte homeostasis) rapidly induces FSGS and observed up-regulated expression of miR-193a in isolated glomeruli from individuals with FSGS, as compared to kidney levels in healthy individuals or individuals with other glomerular diseases. </w:t>
      </w:r>
    </w:p>
    <w:p w:rsidR="00B37BF3" w:rsidRPr="00A71E3B" w:rsidRDefault="00B37BF3" w:rsidP="0094056C">
      <w:pPr>
        <w:suppressAutoHyphens w:val="0"/>
        <w:autoSpaceDE w:val="0"/>
        <w:spacing w:line="360" w:lineRule="auto"/>
        <w:ind w:firstLineChars="100" w:firstLine="240"/>
        <w:jc w:val="both"/>
        <w:rPr>
          <w:rFonts w:ascii="Book Antiqua" w:hAnsi="Book Antiqua"/>
          <w:lang w:val="en-US"/>
        </w:rPr>
      </w:pPr>
      <w:r w:rsidRPr="00A71E3B">
        <w:rPr>
          <w:rFonts w:ascii="Book Antiqua" w:hAnsi="Book Antiqua"/>
          <w:lang w:val="en-US"/>
        </w:rPr>
        <w:lastRenderedPageBreak/>
        <w:t>In addition to the probably pivotal role of podocytes in the disease process, it is also likely that T and B cells of the immune system contribute to FSGS development. A Th2 phenotype is commonly observed in patients with idiopathic nephrotic syndrome (NS)</w:t>
      </w:r>
      <w:r w:rsidRPr="00A71E3B">
        <w:rPr>
          <w:rFonts w:ascii="Book Antiqua" w:hAnsi="Book Antiqua"/>
          <w:vertAlign w:val="superscript"/>
          <w:lang w:val="en-US"/>
        </w:rPr>
        <w:t>[26]</w:t>
      </w:r>
      <w:r w:rsidRPr="00A71E3B">
        <w:rPr>
          <w:rFonts w:ascii="Book Antiqua" w:hAnsi="Book Antiqua"/>
          <w:lang w:val="en-US"/>
        </w:rPr>
        <w:t xml:space="preserve">, and overexpression of IL-13, a characteristic Th2 cytokine, is associated with significant proteinuria in </w:t>
      </w:r>
      <w:proofErr w:type="spellStart"/>
      <w:r w:rsidRPr="00A71E3B">
        <w:rPr>
          <w:rFonts w:ascii="Book Antiqua" w:hAnsi="Book Antiqua"/>
          <w:lang w:val="en-US"/>
        </w:rPr>
        <w:t>Wistar</w:t>
      </w:r>
      <w:proofErr w:type="spellEnd"/>
      <w:r w:rsidRPr="00A71E3B">
        <w:rPr>
          <w:rFonts w:ascii="Book Antiqua" w:hAnsi="Book Antiqua"/>
          <w:lang w:val="en-US"/>
        </w:rPr>
        <w:t xml:space="preserve"> </w:t>
      </w:r>
      <w:proofErr w:type="gramStart"/>
      <w:r w:rsidRPr="00A71E3B">
        <w:rPr>
          <w:rFonts w:ascii="Book Antiqua" w:hAnsi="Book Antiqua"/>
          <w:lang w:val="en-US"/>
        </w:rPr>
        <w:t>rats</w:t>
      </w:r>
      <w:r w:rsidRPr="00A71E3B">
        <w:rPr>
          <w:rFonts w:ascii="Book Antiqua" w:hAnsi="Book Antiqua"/>
          <w:vertAlign w:val="superscript"/>
          <w:lang w:val="en-US"/>
        </w:rPr>
        <w:t>[</w:t>
      </w:r>
      <w:proofErr w:type="gramEnd"/>
      <w:r w:rsidRPr="00A71E3B">
        <w:rPr>
          <w:rFonts w:ascii="Book Antiqua" w:hAnsi="Book Antiqua"/>
          <w:vertAlign w:val="superscript"/>
          <w:lang w:val="en-US"/>
        </w:rPr>
        <w:t>27]</w:t>
      </w:r>
      <w:r w:rsidRPr="00A71E3B">
        <w:rPr>
          <w:rFonts w:ascii="Book Antiqua" w:hAnsi="Book Antiqua"/>
          <w:lang w:val="en-US"/>
        </w:rPr>
        <w:t>. An indirect confirmation of B cell involvement derives from evidence showing a selective Rituximab</w:t>
      </w:r>
      <w:r w:rsidRPr="00A71E3B">
        <w:rPr>
          <w:rFonts w:ascii="Book Antiqua" w:hAnsi="Book Antiqua"/>
          <w:vertAlign w:val="superscript"/>
          <w:lang w:val="en-US"/>
        </w:rPr>
        <w:t>®</w:t>
      </w:r>
      <w:r w:rsidRPr="00A71E3B">
        <w:rPr>
          <w:rFonts w:ascii="Book Antiqua" w:hAnsi="Book Antiqua"/>
          <w:lang w:val="en-US"/>
        </w:rPr>
        <w:t xml:space="preserve">-induced depletion is correlated to disease </w:t>
      </w:r>
      <w:proofErr w:type="gramStart"/>
      <w:r w:rsidRPr="00A71E3B">
        <w:rPr>
          <w:rFonts w:ascii="Book Antiqua" w:hAnsi="Book Antiqua"/>
          <w:lang w:val="en-US"/>
        </w:rPr>
        <w:t>remission</w:t>
      </w:r>
      <w:r w:rsidRPr="00A71E3B">
        <w:rPr>
          <w:rFonts w:ascii="Book Antiqua" w:hAnsi="Book Antiqua"/>
          <w:vertAlign w:val="superscript"/>
          <w:lang w:val="en-US"/>
        </w:rPr>
        <w:t>[</w:t>
      </w:r>
      <w:proofErr w:type="gramEnd"/>
      <w:r w:rsidRPr="00A71E3B">
        <w:rPr>
          <w:rFonts w:ascii="Book Antiqua" w:hAnsi="Book Antiqua"/>
          <w:vertAlign w:val="superscript"/>
          <w:lang w:val="en-US"/>
        </w:rPr>
        <w:t>28]</w:t>
      </w:r>
      <w:r w:rsidRPr="00A71E3B">
        <w:rPr>
          <w:rFonts w:ascii="Book Antiqua" w:hAnsi="Book Antiqua"/>
          <w:lang w:val="en-US"/>
        </w:rPr>
        <w:t>. This association has recently been questioned, however, so the role of B cells in FSGS pathogenesis is still not well defined.</w:t>
      </w:r>
    </w:p>
    <w:p w:rsidR="00B37BF3" w:rsidRPr="00A71E3B" w:rsidRDefault="00B37BF3" w:rsidP="00B30536">
      <w:pPr>
        <w:suppressAutoHyphens w:val="0"/>
        <w:autoSpaceDE w:val="0"/>
        <w:spacing w:line="360" w:lineRule="auto"/>
        <w:jc w:val="both"/>
        <w:rPr>
          <w:rFonts w:ascii="Book Antiqua" w:hAnsi="Book Antiqua"/>
          <w:b/>
          <w:bCs/>
          <w:lang w:val="en-US"/>
        </w:rPr>
      </w:pPr>
    </w:p>
    <w:p w:rsidR="00B37BF3" w:rsidRPr="00A71E3B" w:rsidRDefault="00B37BF3" w:rsidP="00B30536">
      <w:pPr>
        <w:pStyle w:val="BodyText"/>
        <w:spacing w:after="0" w:line="360" w:lineRule="auto"/>
        <w:jc w:val="both"/>
        <w:rPr>
          <w:rFonts w:ascii="Book Antiqua" w:hAnsi="Book Antiqua"/>
          <w:caps/>
          <w:sz w:val="24"/>
          <w:szCs w:val="24"/>
          <w:lang w:val="en-US"/>
        </w:rPr>
      </w:pPr>
      <w:r w:rsidRPr="00A71E3B">
        <w:rPr>
          <w:rFonts w:ascii="Book Antiqua" w:hAnsi="Book Antiqua" w:cs="Times New Roman"/>
          <w:b/>
          <w:bCs/>
          <w:caps/>
          <w:sz w:val="24"/>
          <w:szCs w:val="24"/>
          <w:lang w:val="en-US"/>
        </w:rPr>
        <w:t>Overview of current FSGS treatments</w:t>
      </w:r>
    </w:p>
    <w:p w:rsidR="00B37BF3" w:rsidRPr="00A71E3B" w:rsidRDefault="00B37BF3" w:rsidP="00B30536">
      <w:pPr>
        <w:suppressAutoHyphens w:val="0"/>
        <w:autoSpaceDE w:val="0"/>
        <w:spacing w:line="360" w:lineRule="auto"/>
        <w:jc w:val="both"/>
        <w:rPr>
          <w:rFonts w:ascii="Book Antiqua" w:hAnsi="Book Antiqua"/>
          <w:lang w:val="en-US"/>
        </w:rPr>
      </w:pPr>
      <w:r w:rsidRPr="00A71E3B">
        <w:rPr>
          <w:rFonts w:ascii="Book Antiqua" w:hAnsi="Book Antiqua"/>
          <w:lang w:val="en-US"/>
        </w:rPr>
        <w:t xml:space="preserve">FSGS treatment in renal transplantation, both for recurrent and </w:t>
      </w:r>
      <w:r w:rsidRPr="00A71E3B">
        <w:rPr>
          <w:rFonts w:ascii="Book Antiqua" w:hAnsi="Book Antiqua"/>
          <w:i/>
          <w:lang w:val="en-US"/>
        </w:rPr>
        <w:t>de novo</w:t>
      </w:r>
      <w:r w:rsidRPr="00A71E3B">
        <w:rPr>
          <w:rFonts w:ascii="Book Antiqua" w:hAnsi="Book Antiqua"/>
          <w:lang w:val="en-US"/>
        </w:rPr>
        <w:t xml:space="preserve"> types, is a significant clinical challenge. Unfortunately, most of the reports consist of few cases or even a single case. Studies of the available strategies are few and have shown unclear and conflicting results for each, possibly due to their retrospective nature, uncontrolled design and limited number of enrolled patients or short follow-up periods. Consequently, while experimental studies have provided major advancements in our knowledge of the pathophysiology of FSGS, the treatment remains largely empirical. Some interesting preliminary data about the use of novel therapies are emerging, but they need further evaluation and validation. Therapeutic indications for </w:t>
      </w:r>
      <w:r w:rsidRPr="00A71E3B">
        <w:rPr>
          <w:rFonts w:ascii="Book Antiqua" w:hAnsi="Book Antiqua"/>
          <w:i/>
          <w:iCs/>
          <w:lang w:val="en-US"/>
        </w:rPr>
        <w:t>de novo</w:t>
      </w:r>
      <w:r w:rsidRPr="00A71E3B">
        <w:rPr>
          <w:rFonts w:ascii="Book Antiqua" w:hAnsi="Book Antiqua"/>
          <w:lang w:val="en-US"/>
        </w:rPr>
        <w:t xml:space="preserve"> idiopathic and non-idiopathic FSGS are even more </w:t>
      </w:r>
      <w:proofErr w:type="gramStart"/>
      <w:r w:rsidRPr="00A71E3B">
        <w:rPr>
          <w:rFonts w:ascii="Book Antiqua" w:hAnsi="Book Antiqua"/>
          <w:lang w:val="en-US"/>
        </w:rPr>
        <w:t>elusive</w:t>
      </w:r>
      <w:r w:rsidRPr="00A71E3B">
        <w:rPr>
          <w:rFonts w:ascii="Book Antiqua" w:hAnsi="Book Antiqua"/>
          <w:vertAlign w:val="superscript"/>
          <w:lang w:val="en-US"/>
        </w:rPr>
        <w:t>[</w:t>
      </w:r>
      <w:proofErr w:type="gramEnd"/>
      <w:r w:rsidRPr="00A71E3B">
        <w:rPr>
          <w:rFonts w:ascii="Book Antiqua" w:hAnsi="Book Antiqua"/>
          <w:vertAlign w:val="superscript"/>
          <w:lang w:val="en-US"/>
        </w:rPr>
        <w:t>29]</w:t>
      </w:r>
      <w:r w:rsidRPr="00A71E3B">
        <w:rPr>
          <w:rFonts w:ascii="Book Antiqua" w:hAnsi="Book Antiqua"/>
          <w:lang w:val="en-US"/>
        </w:rPr>
        <w:t xml:space="preserve">. </w:t>
      </w:r>
    </w:p>
    <w:p w:rsidR="00B37BF3" w:rsidRPr="00A71E3B" w:rsidRDefault="00B37BF3" w:rsidP="0094056C">
      <w:pPr>
        <w:suppressAutoHyphens w:val="0"/>
        <w:autoSpaceDE w:val="0"/>
        <w:spacing w:line="360" w:lineRule="auto"/>
        <w:ind w:firstLineChars="100" w:firstLine="240"/>
        <w:jc w:val="both"/>
        <w:rPr>
          <w:rFonts w:ascii="Book Antiqua" w:hAnsi="Book Antiqua"/>
          <w:lang w:val="en-US"/>
        </w:rPr>
      </w:pPr>
      <w:r w:rsidRPr="00A71E3B">
        <w:rPr>
          <w:rFonts w:ascii="Book Antiqua" w:hAnsi="Book Antiqua"/>
          <w:lang w:val="en-US"/>
        </w:rPr>
        <w:t xml:space="preserve">Here, we summarize the most frequently reported available strategies for the management of recurrent and </w:t>
      </w:r>
      <w:r w:rsidRPr="00A71E3B">
        <w:rPr>
          <w:rFonts w:ascii="Book Antiqua" w:hAnsi="Book Antiqua"/>
          <w:i/>
          <w:iCs/>
          <w:lang w:val="en-US"/>
        </w:rPr>
        <w:t>de novo</w:t>
      </w:r>
      <w:r w:rsidRPr="00A71E3B">
        <w:rPr>
          <w:rFonts w:ascii="Book Antiqua" w:hAnsi="Book Antiqua"/>
          <w:lang w:val="en-US"/>
        </w:rPr>
        <w:t xml:space="preserve"> FSGS, and suggest the potential benefit of these emerging therapies (summarized in Table 1).</w:t>
      </w:r>
    </w:p>
    <w:p w:rsidR="00B37BF3" w:rsidRPr="00A71E3B" w:rsidRDefault="00B37BF3" w:rsidP="00B30536">
      <w:pPr>
        <w:spacing w:line="360" w:lineRule="auto"/>
        <w:jc w:val="both"/>
        <w:rPr>
          <w:rFonts w:ascii="Book Antiqua" w:hAnsi="Book Antiqua"/>
          <w:b/>
          <w:i/>
          <w:lang w:val="en-US"/>
        </w:rPr>
      </w:pPr>
    </w:p>
    <w:p w:rsidR="00B37BF3" w:rsidRPr="00A71E3B" w:rsidRDefault="005B5171" w:rsidP="00B30536">
      <w:pPr>
        <w:spacing w:line="360" w:lineRule="auto"/>
        <w:jc w:val="both"/>
        <w:rPr>
          <w:rFonts w:ascii="Book Antiqua" w:hAnsi="Book Antiqua"/>
          <w:lang w:val="en-US" w:eastAsia="zh-CN"/>
        </w:rPr>
      </w:pPr>
      <w:r w:rsidRPr="00A71E3B">
        <w:rPr>
          <w:rFonts w:ascii="Book Antiqua" w:hAnsi="Book Antiqua"/>
          <w:b/>
          <w:i/>
          <w:lang w:val="en-US"/>
        </w:rPr>
        <w:t>Plasma exchange</w:t>
      </w:r>
    </w:p>
    <w:p w:rsidR="00B37BF3" w:rsidRPr="00A71E3B" w:rsidRDefault="00B37BF3" w:rsidP="00B30536">
      <w:pPr>
        <w:spacing w:line="360" w:lineRule="auto"/>
        <w:jc w:val="both"/>
        <w:rPr>
          <w:rFonts w:ascii="Book Antiqua" w:hAnsi="Book Antiqua"/>
          <w:lang w:val="en-US"/>
        </w:rPr>
      </w:pPr>
      <w:r w:rsidRPr="00A71E3B">
        <w:rPr>
          <w:rFonts w:ascii="Book Antiqua" w:hAnsi="Book Antiqua"/>
          <w:lang w:val="en-US"/>
        </w:rPr>
        <w:t xml:space="preserve">The adoption of </w:t>
      </w:r>
      <w:r w:rsidR="005B5171" w:rsidRPr="00A71E3B">
        <w:rPr>
          <w:rFonts w:ascii="Book Antiqua" w:hAnsi="Book Antiqua"/>
          <w:lang w:val="en-US"/>
        </w:rPr>
        <w:t>plasma exchange (PE)</w:t>
      </w:r>
      <w:r w:rsidR="005B5171" w:rsidRPr="00A71E3B">
        <w:rPr>
          <w:rFonts w:ascii="Book Antiqua" w:hAnsi="Book Antiqua" w:hint="eastAsia"/>
          <w:lang w:val="en-US" w:eastAsia="zh-CN"/>
        </w:rPr>
        <w:t xml:space="preserve"> </w:t>
      </w:r>
      <w:r w:rsidRPr="00A71E3B">
        <w:rPr>
          <w:rFonts w:ascii="Book Antiqua" w:hAnsi="Book Antiqua"/>
          <w:lang w:val="en-US"/>
        </w:rPr>
        <w:t xml:space="preserve">for treatment of FSGS recurrence has been based on the hypothesis of the presence of circulating factor(s) that could be removed in order to treat or prevent the disease. Despite research into this causative factor remaining in a status of “cold case”, PE is still a cornerstone in FSGS recurrence treatment, since the 1985 report of its first positive </w:t>
      </w:r>
      <w:r w:rsidRPr="00A71E3B">
        <w:rPr>
          <w:rFonts w:ascii="Book Antiqua" w:hAnsi="Book Antiqua"/>
          <w:lang w:val="en-US"/>
        </w:rPr>
        <w:lastRenderedPageBreak/>
        <w:t xml:space="preserve">application by Zimmerman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30]</w:t>
      </w:r>
      <w:r w:rsidRPr="00A71E3B">
        <w:rPr>
          <w:rFonts w:ascii="Book Antiqua" w:hAnsi="Book Antiqua"/>
          <w:lang w:val="en-US"/>
        </w:rPr>
        <w:t>. A systematic review by</w:t>
      </w:r>
      <w:r w:rsidRPr="00A71E3B">
        <w:rPr>
          <w:rFonts w:ascii="Book Antiqua" w:hAnsi="Book Antiqua"/>
          <w:b/>
          <w:bCs/>
          <w:lang w:val="en-US"/>
        </w:rPr>
        <w:t xml:space="preserve"> </w:t>
      </w:r>
      <w:proofErr w:type="spellStart"/>
      <w:proofErr w:type="gramStart"/>
      <w:r w:rsidRPr="00A71E3B">
        <w:rPr>
          <w:rFonts w:ascii="Book Antiqua" w:hAnsi="Book Antiqua"/>
          <w:bCs/>
          <w:lang w:val="en-US"/>
        </w:rPr>
        <w:t>Ponticelli</w:t>
      </w:r>
      <w:proofErr w:type="spellEnd"/>
      <w:r w:rsidRPr="00A71E3B">
        <w:rPr>
          <w:rFonts w:ascii="Book Antiqua" w:hAnsi="Book Antiqua"/>
          <w:vertAlign w:val="superscript"/>
          <w:lang w:val="en-US"/>
        </w:rPr>
        <w:t>[</w:t>
      </w:r>
      <w:proofErr w:type="gramEnd"/>
      <w:r w:rsidRPr="00A71E3B">
        <w:rPr>
          <w:rFonts w:ascii="Book Antiqua" w:hAnsi="Book Antiqua"/>
          <w:vertAlign w:val="superscript"/>
          <w:lang w:val="en-US"/>
        </w:rPr>
        <w:t>4]</w:t>
      </w:r>
      <w:r w:rsidRPr="00A71E3B">
        <w:rPr>
          <w:rFonts w:ascii="Book Antiqua" w:hAnsi="Book Antiqua"/>
          <w:lang w:val="en-US"/>
        </w:rPr>
        <w:t xml:space="preserve"> showed that PE promotes partial or complete remission in 70% of children and 63% of adults with FSGS recurrence. Most of the analyzed studies, however, are limited by their retrospective or uncontrolled design.</w:t>
      </w:r>
    </w:p>
    <w:p w:rsidR="00B37BF3" w:rsidRPr="00A71E3B" w:rsidRDefault="00B37BF3" w:rsidP="00715A3B">
      <w:pPr>
        <w:spacing w:line="360" w:lineRule="auto"/>
        <w:ind w:firstLineChars="100" w:firstLine="240"/>
        <w:jc w:val="both"/>
        <w:rPr>
          <w:rFonts w:ascii="Book Antiqua" w:hAnsi="Book Antiqua"/>
          <w:lang w:val="en-US"/>
        </w:rPr>
      </w:pPr>
      <w:r w:rsidRPr="00A71E3B">
        <w:rPr>
          <w:rFonts w:ascii="Book Antiqua" w:hAnsi="Book Antiqua"/>
          <w:lang w:val="en-US"/>
        </w:rPr>
        <w:t xml:space="preserve">Adoption of PE in a pre-emptive protocol to reduce FSGS recurrence has been described by </w:t>
      </w:r>
      <w:proofErr w:type="spellStart"/>
      <w:r w:rsidRPr="00A71E3B">
        <w:rPr>
          <w:rFonts w:ascii="Book Antiqua" w:hAnsi="Book Antiqua"/>
          <w:lang w:val="en-US"/>
        </w:rPr>
        <w:t>Gohh</w:t>
      </w:r>
      <w:proofErr w:type="spellEnd"/>
      <w:r w:rsidRPr="00A71E3B">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31]</w:t>
      </w:r>
      <w:r w:rsidRPr="00A71E3B">
        <w:rPr>
          <w:rFonts w:ascii="Book Antiqua" w:hAnsi="Book Antiqua"/>
          <w:lang w:val="en-US"/>
        </w:rPr>
        <w:t xml:space="preserve"> in one of the few prospective studies in the literature. Ten transplanted patients with FSGS and at high risk of recurrence (both children and adults, including 5 transplants from living donors and 5 from deceased donors) were treated with a course of 8 PE sessions in the </w:t>
      </w:r>
      <w:proofErr w:type="spellStart"/>
      <w:r w:rsidRPr="00A71E3B">
        <w:rPr>
          <w:rFonts w:ascii="Book Antiqua" w:hAnsi="Book Antiqua"/>
          <w:lang w:val="en-US"/>
        </w:rPr>
        <w:t>peri</w:t>
      </w:r>
      <w:proofErr w:type="spellEnd"/>
      <w:r w:rsidRPr="00A71E3B">
        <w:rPr>
          <w:rFonts w:ascii="Book Antiqua" w:hAnsi="Book Antiqua"/>
          <w:lang w:val="en-US"/>
        </w:rPr>
        <w:t xml:space="preserve">-operative period. Seven of the patients (including all 4 who received first grafts and 3 out of 6 who had prior recurrence) were free of recurrence at the end of follow-up (range of 238-1258 d). The use of pre-emptive PE in a high risk pediatric patient who underwent a second living kidney transplantation (the first kidney was lost due to recurrence) was more recently described by </w:t>
      </w:r>
      <w:proofErr w:type="spellStart"/>
      <w:r w:rsidRPr="00A71E3B">
        <w:rPr>
          <w:rFonts w:ascii="Book Antiqua" w:hAnsi="Book Antiqua"/>
          <w:lang w:val="en-US"/>
        </w:rPr>
        <w:t>Chikamoto</w:t>
      </w:r>
      <w:proofErr w:type="spellEnd"/>
      <w:r w:rsidRPr="00A71E3B">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32]</w:t>
      </w:r>
      <w:r w:rsidRPr="00A71E3B">
        <w:rPr>
          <w:rFonts w:ascii="Book Antiqua" w:hAnsi="Book Antiqua"/>
          <w:lang w:val="en-US"/>
        </w:rPr>
        <w:t>. The p</w:t>
      </w:r>
      <w:r w:rsidR="00715A3B" w:rsidRPr="00A71E3B">
        <w:rPr>
          <w:rFonts w:ascii="Book Antiqua" w:hAnsi="Book Antiqua"/>
          <w:lang w:val="en-US"/>
        </w:rPr>
        <w:t>atient had also received a 2-w</w:t>
      </w:r>
      <w:r w:rsidRPr="00A71E3B">
        <w:rPr>
          <w:rFonts w:ascii="Book Antiqua" w:hAnsi="Book Antiqua"/>
          <w:lang w:val="en-US"/>
        </w:rPr>
        <w:t>k course of Rituximab</w:t>
      </w:r>
      <w:r w:rsidRPr="00A71E3B">
        <w:rPr>
          <w:rFonts w:ascii="Book Antiqua" w:hAnsi="Book Antiqua"/>
          <w:vertAlign w:val="superscript"/>
          <w:lang w:val="en-US"/>
        </w:rPr>
        <w:t>®</w:t>
      </w:r>
      <w:r w:rsidRPr="00A71E3B">
        <w:rPr>
          <w:rFonts w:ascii="Book Antiqua" w:hAnsi="Book Antiqua"/>
          <w:lang w:val="en-US"/>
        </w:rPr>
        <w:t xml:space="preserve"> (375 mg/m</w:t>
      </w:r>
      <w:r w:rsidRPr="00A71E3B">
        <w:rPr>
          <w:rFonts w:ascii="Book Antiqua" w:hAnsi="Book Antiqua"/>
          <w:vertAlign w:val="superscript"/>
          <w:lang w:val="en-US"/>
        </w:rPr>
        <w:t>2</w:t>
      </w:r>
      <w:r w:rsidRPr="00A71E3B">
        <w:rPr>
          <w:rFonts w:ascii="Book Antiqua" w:hAnsi="Book Antiqua"/>
          <w:lang w:val="en-US"/>
        </w:rPr>
        <w:t>; 2 doses), methylprednisolone (1 mg/kg</w:t>
      </w:r>
      <w:r w:rsidR="00715A3B" w:rsidRPr="00A71E3B">
        <w:rPr>
          <w:rFonts w:ascii="Book Antiqua" w:hAnsi="Book Antiqua" w:hint="eastAsia"/>
          <w:lang w:val="en-US" w:eastAsia="zh-CN"/>
        </w:rPr>
        <w:t xml:space="preserve"> per </w:t>
      </w:r>
      <w:r w:rsidRPr="00A71E3B">
        <w:rPr>
          <w:rFonts w:ascii="Book Antiqua" w:hAnsi="Book Antiqua"/>
          <w:lang w:val="en-US"/>
        </w:rPr>
        <w:t xml:space="preserve">day), tacrolimus (10 ng/mL) and mycophenolate </w:t>
      </w:r>
      <w:proofErr w:type="spellStart"/>
      <w:r w:rsidRPr="00A71E3B">
        <w:rPr>
          <w:rFonts w:ascii="Book Antiqua" w:hAnsi="Book Antiqua"/>
          <w:lang w:val="en-US"/>
        </w:rPr>
        <w:t>mofetil</w:t>
      </w:r>
      <w:proofErr w:type="spellEnd"/>
      <w:r w:rsidRPr="00A71E3B">
        <w:rPr>
          <w:rFonts w:ascii="Book Antiqua" w:hAnsi="Book Antiqua"/>
          <w:lang w:val="en-US"/>
        </w:rPr>
        <w:t xml:space="preserve"> (MMF) (600 mg/m</w:t>
      </w:r>
      <w:r w:rsidRPr="00A71E3B">
        <w:rPr>
          <w:rFonts w:ascii="Book Antiqua" w:hAnsi="Book Antiqua"/>
          <w:vertAlign w:val="superscript"/>
          <w:lang w:val="en-US"/>
        </w:rPr>
        <w:t>2</w:t>
      </w:r>
      <w:r w:rsidR="00715A3B" w:rsidRPr="00A71E3B">
        <w:rPr>
          <w:rFonts w:ascii="Book Antiqua" w:hAnsi="Book Antiqua" w:hint="eastAsia"/>
          <w:lang w:val="en-US" w:eastAsia="zh-CN"/>
        </w:rPr>
        <w:t xml:space="preserve"> per </w:t>
      </w:r>
      <w:r w:rsidRPr="00A71E3B">
        <w:rPr>
          <w:rFonts w:ascii="Book Antiqua" w:hAnsi="Book Antiqua"/>
          <w:lang w:val="en-US"/>
        </w:rPr>
        <w:t xml:space="preserve">day) before transplantation; at 12 d before transplantation, 4 PE sessions were performed. No sign of recurrence was found in protocol biopsies at 8 </w:t>
      </w:r>
      <w:proofErr w:type="spellStart"/>
      <w:proofErr w:type="gramStart"/>
      <w:r w:rsidRPr="00A71E3B">
        <w:rPr>
          <w:rFonts w:ascii="Book Antiqua" w:hAnsi="Book Antiqua"/>
          <w:lang w:val="en-US"/>
        </w:rPr>
        <w:t>mo</w:t>
      </w:r>
      <w:proofErr w:type="spellEnd"/>
      <w:proofErr w:type="gramEnd"/>
      <w:r w:rsidRPr="00A71E3B">
        <w:rPr>
          <w:rFonts w:ascii="Book Antiqua" w:hAnsi="Book Antiqua"/>
          <w:lang w:val="en-US"/>
        </w:rPr>
        <w:t xml:space="preserve"> after transplantation.</w:t>
      </w:r>
    </w:p>
    <w:p w:rsidR="00B37BF3" w:rsidRPr="00A71E3B" w:rsidRDefault="00B37BF3" w:rsidP="00715A3B">
      <w:pPr>
        <w:spacing w:line="360" w:lineRule="auto"/>
        <w:ind w:firstLineChars="100" w:firstLine="240"/>
        <w:jc w:val="both"/>
        <w:rPr>
          <w:rFonts w:ascii="Book Antiqua" w:hAnsi="Book Antiqua"/>
          <w:lang w:val="en-US"/>
        </w:rPr>
      </w:pPr>
      <w:proofErr w:type="spellStart"/>
      <w:r w:rsidRPr="00A71E3B">
        <w:rPr>
          <w:rFonts w:ascii="Book Antiqua" w:hAnsi="Book Antiqua"/>
          <w:lang w:val="en-US"/>
        </w:rPr>
        <w:t>Canaud</w:t>
      </w:r>
      <w:proofErr w:type="spellEnd"/>
      <w:r w:rsidRPr="00A71E3B">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33]</w:t>
      </w:r>
      <w:r w:rsidRPr="00A71E3B">
        <w:rPr>
          <w:rFonts w:ascii="Book Antiqua" w:hAnsi="Book Antiqua"/>
          <w:lang w:val="en-US"/>
        </w:rPr>
        <w:t xml:space="preserve"> described positive outcome (complete remission at 3 </w:t>
      </w:r>
      <w:proofErr w:type="spellStart"/>
      <w:r w:rsidRPr="00A71E3B">
        <w:rPr>
          <w:rFonts w:ascii="Book Antiqua" w:hAnsi="Book Antiqua"/>
          <w:lang w:val="en-US"/>
        </w:rPr>
        <w:t>mo</w:t>
      </w:r>
      <w:proofErr w:type="spellEnd"/>
      <w:r w:rsidRPr="00A71E3B">
        <w:rPr>
          <w:rFonts w:ascii="Book Antiqua" w:hAnsi="Book Antiqua"/>
          <w:lang w:val="en-US"/>
        </w:rPr>
        <w:t xml:space="preserve"> after diagnosis) for 10 patients with FSGS recurrence that had been treated with a 9-mo course of intravenous cyclosporine (</w:t>
      </w:r>
      <w:proofErr w:type="spellStart"/>
      <w:r w:rsidRPr="00A71E3B">
        <w:rPr>
          <w:rFonts w:ascii="Book Antiqua" w:hAnsi="Book Antiqua"/>
          <w:lang w:val="en-US"/>
        </w:rPr>
        <w:t>CyA</w:t>
      </w:r>
      <w:proofErr w:type="spellEnd"/>
      <w:r w:rsidRPr="00A71E3B">
        <w:rPr>
          <w:rFonts w:ascii="Book Antiqua" w:hAnsi="Book Antiqua"/>
          <w:lang w:val="en-US"/>
        </w:rPr>
        <w:t>; C</w:t>
      </w:r>
      <w:r w:rsidRPr="00A71E3B">
        <w:rPr>
          <w:rFonts w:ascii="Book Antiqua" w:hAnsi="Book Antiqua"/>
          <w:vertAlign w:val="subscript"/>
          <w:lang w:val="en-US"/>
        </w:rPr>
        <w:t>0</w:t>
      </w:r>
      <w:r w:rsidRPr="00A71E3B">
        <w:rPr>
          <w:rFonts w:ascii="Book Antiqua" w:hAnsi="Book Antiqua"/>
          <w:lang w:val="en-US"/>
        </w:rPr>
        <w:t xml:space="preserve"> levels at 200-400 ng/mL), followed by oral </w:t>
      </w:r>
      <w:proofErr w:type="spellStart"/>
      <w:r w:rsidRPr="00A71E3B">
        <w:rPr>
          <w:rFonts w:ascii="Book Antiqua" w:hAnsi="Book Antiqua"/>
          <w:lang w:val="en-US"/>
        </w:rPr>
        <w:t>CyA</w:t>
      </w:r>
      <w:proofErr w:type="spellEnd"/>
      <w:r w:rsidRPr="00A71E3B">
        <w:rPr>
          <w:rFonts w:ascii="Book Antiqua" w:hAnsi="Book Antiqua"/>
          <w:lang w:val="en-US"/>
        </w:rPr>
        <w:t xml:space="preserve"> (C</w:t>
      </w:r>
      <w:r w:rsidRPr="00A71E3B">
        <w:rPr>
          <w:rFonts w:ascii="Book Antiqua" w:hAnsi="Book Antiqua"/>
          <w:vertAlign w:val="subscript"/>
          <w:lang w:val="en-US"/>
        </w:rPr>
        <w:t>2</w:t>
      </w:r>
      <w:r w:rsidRPr="00A71E3B">
        <w:rPr>
          <w:rFonts w:ascii="Book Antiqua" w:hAnsi="Book Antiqua"/>
          <w:lang w:val="en-US"/>
        </w:rPr>
        <w:t xml:space="preserve"> levels at 1200-1400 ng/mL), high dose oral steroids (1 mg/kg</w:t>
      </w:r>
      <w:r w:rsidR="00715A3B" w:rsidRPr="00A71E3B">
        <w:rPr>
          <w:rFonts w:ascii="Book Antiqua" w:hAnsi="Book Antiqua" w:hint="eastAsia"/>
          <w:lang w:val="en-US" w:eastAsia="zh-CN"/>
        </w:rPr>
        <w:t xml:space="preserve"> per </w:t>
      </w:r>
      <w:r w:rsidR="00715A3B" w:rsidRPr="00A71E3B">
        <w:rPr>
          <w:rFonts w:ascii="Book Antiqua" w:hAnsi="Book Antiqua"/>
          <w:lang w:val="en-US"/>
        </w:rPr>
        <w:t xml:space="preserve">day for the first 4 </w:t>
      </w:r>
      <w:proofErr w:type="spellStart"/>
      <w:r w:rsidR="00715A3B" w:rsidRPr="00A71E3B">
        <w:rPr>
          <w:rFonts w:ascii="Book Antiqua" w:hAnsi="Book Antiqua"/>
          <w:lang w:val="en-US"/>
        </w:rPr>
        <w:t>wk</w:t>
      </w:r>
      <w:proofErr w:type="spellEnd"/>
      <w:r w:rsidRPr="00A71E3B">
        <w:rPr>
          <w:rFonts w:ascii="Book Antiqua" w:hAnsi="Book Antiqua"/>
          <w:lang w:val="en-US"/>
        </w:rPr>
        <w:t>, then progressively tapered) and a course of PE sessions. The only patient who experienced recurrence of proteinuria after post-transplant year 1, concurrent to PE frequency reduction, had been successfully treated with Rituximab</w:t>
      </w:r>
      <w:r w:rsidRPr="00A71E3B">
        <w:rPr>
          <w:rFonts w:ascii="Book Antiqua" w:hAnsi="Book Antiqua"/>
          <w:vertAlign w:val="superscript"/>
          <w:lang w:val="en-US"/>
        </w:rPr>
        <w:t>®</w:t>
      </w:r>
      <w:r w:rsidRPr="00A71E3B">
        <w:rPr>
          <w:rFonts w:ascii="Book Antiqua" w:hAnsi="Book Antiqua"/>
          <w:lang w:val="en-US"/>
        </w:rPr>
        <w:t xml:space="preserve"> (2 doses) and PE sessions bimonthly, obtaining a complete proteinuria remission in the 34 ± 6.7 </w:t>
      </w:r>
      <w:proofErr w:type="spellStart"/>
      <w:r w:rsidRPr="00A71E3B">
        <w:rPr>
          <w:rFonts w:ascii="Book Antiqua" w:hAnsi="Book Antiqua"/>
          <w:lang w:val="en-US"/>
        </w:rPr>
        <w:t>mo</w:t>
      </w:r>
      <w:proofErr w:type="spellEnd"/>
      <w:r w:rsidR="00715A3B" w:rsidRPr="00A71E3B">
        <w:rPr>
          <w:rFonts w:ascii="Book Antiqua" w:hAnsi="Book Antiqua" w:hint="eastAsia"/>
          <w:lang w:val="en-US" w:eastAsia="zh-CN"/>
        </w:rPr>
        <w:t xml:space="preserve"> </w:t>
      </w:r>
      <w:r w:rsidRPr="00A71E3B">
        <w:rPr>
          <w:rFonts w:ascii="Book Antiqua" w:hAnsi="Book Antiqua"/>
          <w:lang w:val="en-US"/>
        </w:rPr>
        <w:t>of follow-up.</w:t>
      </w:r>
    </w:p>
    <w:p w:rsidR="00B37BF3" w:rsidRPr="00A71E3B" w:rsidRDefault="00B37BF3" w:rsidP="00715A3B">
      <w:pPr>
        <w:spacing w:line="360" w:lineRule="auto"/>
        <w:ind w:firstLineChars="100" w:firstLine="240"/>
        <w:jc w:val="both"/>
        <w:rPr>
          <w:rFonts w:ascii="Book Antiqua" w:hAnsi="Book Antiqua"/>
          <w:b/>
          <w:bCs/>
          <w:i/>
          <w:lang w:val="en-US"/>
        </w:rPr>
      </w:pPr>
      <w:r w:rsidRPr="00A71E3B">
        <w:rPr>
          <w:rFonts w:ascii="Book Antiqua" w:hAnsi="Book Antiqua"/>
          <w:lang w:val="en-US"/>
        </w:rPr>
        <w:lastRenderedPageBreak/>
        <w:t xml:space="preserve">A positive effect is also described for plasma absorption in some </w:t>
      </w:r>
      <w:proofErr w:type="gramStart"/>
      <w:r w:rsidRPr="00A71E3B">
        <w:rPr>
          <w:rFonts w:ascii="Book Antiqua" w:hAnsi="Book Antiqua"/>
          <w:lang w:val="en-US"/>
        </w:rPr>
        <w:t>papers</w:t>
      </w:r>
      <w:r w:rsidRPr="00A71E3B">
        <w:rPr>
          <w:rFonts w:ascii="Book Antiqua" w:hAnsi="Book Antiqua"/>
          <w:vertAlign w:val="superscript"/>
          <w:lang w:val="en-US"/>
        </w:rPr>
        <w:t>[</w:t>
      </w:r>
      <w:proofErr w:type="gramEnd"/>
      <w:r w:rsidRPr="00A71E3B">
        <w:rPr>
          <w:rFonts w:ascii="Book Antiqua" w:hAnsi="Book Antiqua"/>
          <w:vertAlign w:val="superscript"/>
          <w:lang w:val="en-US"/>
        </w:rPr>
        <w:t>34-37]</w:t>
      </w:r>
      <w:r w:rsidRPr="00A71E3B">
        <w:rPr>
          <w:rFonts w:ascii="Book Antiqua" w:hAnsi="Book Antiqua"/>
          <w:lang w:val="en-US"/>
        </w:rPr>
        <w:t>, but further studies are needed to define the potential additive benefit in comparison with PE.</w:t>
      </w:r>
    </w:p>
    <w:p w:rsidR="00B37BF3" w:rsidRPr="00A71E3B" w:rsidRDefault="00B37BF3" w:rsidP="00B30536">
      <w:pPr>
        <w:spacing w:line="360" w:lineRule="auto"/>
        <w:jc w:val="both"/>
        <w:rPr>
          <w:rFonts w:ascii="Book Antiqua" w:hAnsi="Book Antiqua"/>
          <w:b/>
          <w:bCs/>
          <w:i/>
          <w:lang w:val="en-US"/>
        </w:rPr>
      </w:pPr>
    </w:p>
    <w:p w:rsidR="00B37BF3" w:rsidRPr="00A71E3B" w:rsidRDefault="00B37BF3" w:rsidP="00B30536">
      <w:pPr>
        <w:spacing w:line="360" w:lineRule="auto"/>
        <w:jc w:val="both"/>
        <w:rPr>
          <w:rFonts w:ascii="Book Antiqua" w:hAnsi="Book Antiqua"/>
          <w:lang w:val="en-US"/>
        </w:rPr>
      </w:pPr>
      <w:r w:rsidRPr="00A71E3B">
        <w:rPr>
          <w:rFonts w:ascii="Book Antiqua" w:hAnsi="Book Antiqua"/>
          <w:b/>
          <w:bCs/>
          <w:i/>
          <w:lang w:val="en-US"/>
        </w:rPr>
        <w:t>Glucocorticoids</w:t>
      </w:r>
    </w:p>
    <w:p w:rsidR="00B37BF3" w:rsidRPr="00A71E3B" w:rsidRDefault="00B37BF3" w:rsidP="00B30536">
      <w:pPr>
        <w:spacing w:line="360" w:lineRule="auto"/>
        <w:jc w:val="both"/>
        <w:rPr>
          <w:rFonts w:ascii="Book Antiqua" w:hAnsi="Book Antiqua"/>
          <w:lang w:val="en-US"/>
        </w:rPr>
      </w:pPr>
      <w:r w:rsidRPr="00A71E3B">
        <w:rPr>
          <w:rFonts w:ascii="Book Antiqua" w:hAnsi="Book Antiqua"/>
          <w:lang w:val="en-US"/>
        </w:rPr>
        <w:t>KDIGO guidelines suggest fo</w:t>
      </w:r>
      <w:r w:rsidR="00715A3B" w:rsidRPr="00A71E3B">
        <w:rPr>
          <w:rFonts w:ascii="Book Antiqua" w:hAnsi="Book Antiqua"/>
          <w:lang w:val="en-US"/>
        </w:rPr>
        <w:t>r FSGS on native kidneys a 4-wk to 16-w</w:t>
      </w:r>
      <w:r w:rsidRPr="00A71E3B">
        <w:rPr>
          <w:rFonts w:ascii="Book Antiqua" w:hAnsi="Book Antiqua"/>
          <w:lang w:val="en-US"/>
        </w:rPr>
        <w:t>k course of prednisone (1 mg/kg</w:t>
      </w:r>
      <w:r w:rsidR="00715A3B" w:rsidRPr="00A71E3B">
        <w:rPr>
          <w:rFonts w:ascii="Book Antiqua" w:hAnsi="Book Antiqua" w:hint="eastAsia"/>
          <w:lang w:val="en-US" w:eastAsia="zh-CN"/>
        </w:rPr>
        <w:t xml:space="preserve"> per </w:t>
      </w:r>
      <w:r w:rsidRPr="00A71E3B">
        <w:rPr>
          <w:rFonts w:ascii="Book Antiqua" w:hAnsi="Book Antiqua"/>
          <w:lang w:val="en-US"/>
        </w:rPr>
        <w:t xml:space="preserve">day, with a maximum of 80 mg and a slow tapering in the 6 </w:t>
      </w:r>
      <w:proofErr w:type="spellStart"/>
      <w:r w:rsidRPr="00A71E3B">
        <w:rPr>
          <w:rFonts w:ascii="Book Antiqua" w:hAnsi="Book Antiqua"/>
          <w:lang w:val="en-US"/>
        </w:rPr>
        <w:t>mo</w:t>
      </w:r>
      <w:proofErr w:type="spellEnd"/>
      <w:r w:rsidRPr="00A71E3B">
        <w:rPr>
          <w:rFonts w:ascii="Book Antiqua" w:hAnsi="Book Antiqua"/>
          <w:lang w:val="en-US"/>
        </w:rPr>
        <w:t xml:space="preserve"> after remission)</w:t>
      </w:r>
      <w:r w:rsidRPr="00A71E3B">
        <w:rPr>
          <w:rFonts w:ascii="Book Antiqua" w:hAnsi="Book Antiqua"/>
          <w:vertAlign w:val="superscript"/>
          <w:lang w:val="en-US"/>
        </w:rPr>
        <w:t>[38]</w:t>
      </w:r>
      <w:r w:rsidRPr="00A71E3B">
        <w:rPr>
          <w:rFonts w:ascii="Book Antiqua" w:hAnsi="Book Antiqua"/>
          <w:lang w:val="en-US"/>
        </w:rPr>
        <w:t xml:space="preserve">. Glucocorticoids may act to stabilize the actin cytoskeleton, thereby preserving glomerular </w:t>
      </w:r>
      <w:proofErr w:type="spellStart"/>
      <w:proofErr w:type="gramStart"/>
      <w:r w:rsidRPr="00A71E3B">
        <w:rPr>
          <w:rFonts w:ascii="Book Antiqua" w:hAnsi="Book Antiqua"/>
          <w:lang w:val="en-US"/>
        </w:rPr>
        <w:t>permeselectivity</w:t>
      </w:r>
      <w:proofErr w:type="spellEnd"/>
      <w:r w:rsidRPr="00A71E3B">
        <w:rPr>
          <w:rFonts w:ascii="Book Antiqua" w:hAnsi="Book Antiqua"/>
          <w:vertAlign w:val="superscript"/>
          <w:lang w:val="en-US"/>
        </w:rPr>
        <w:t>[</w:t>
      </w:r>
      <w:proofErr w:type="gramEnd"/>
      <w:r w:rsidRPr="00A71E3B">
        <w:rPr>
          <w:rFonts w:ascii="Book Antiqua" w:hAnsi="Book Antiqua"/>
          <w:vertAlign w:val="superscript"/>
          <w:lang w:val="en-US"/>
        </w:rPr>
        <w:t>39]</w:t>
      </w:r>
      <w:r w:rsidRPr="00A71E3B">
        <w:rPr>
          <w:rFonts w:ascii="Book Antiqua" w:hAnsi="Book Antiqua"/>
          <w:lang w:val="en-US"/>
        </w:rPr>
        <w:t xml:space="preserve"> and directly reducing podocyte apoptosis </w:t>
      </w:r>
      <w:r w:rsidRPr="00256FDF">
        <w:rPr>
          <w:rFonts w:ascii="Book Antiqua" w:hAnsi="Book Antiqua"/>
          <w:i/>
          <w:lang w:val="en-US"/>
        </w:rPr>
        <w:t>via</w:t>
      </w:r>
      <w:r w:rsidRPr="00A71E3B">
        <w:rPr>
          <w:rFonts w:ascii="Book Antiqua" w:hAnsi="Book Antiqua"/>
          <w:lang w:val="en-US"/>
        </w:rPr>
        <w:t xml:space="preserve"> the PI3K/</w:t>
      </w:r>
      <w:proofErr w:type="spellStart"/>
      <w:r w:rsidRPr="00A71E3B">
        <w:rPr>
          <w:rFonts w:ascii="Book Antiqua" w:hAnsi="Book Antiqua"/>
          <w:lang w:val="en-US"/>
        </w:rPr>
        <w:t>Akt</w:t>
      </w:r>
      <w:proofErr w:type="spellEnd"/>
      <w:r w:rsidRPr="00A71E3B">
        <w:rPr>
          <w:rFonts w:ascii="Book Antiqua" w:hAnsi="Book Antiqua"/>
          <w:lang w:val="en-US"/>
        </w:rPr>
        <w:t xml:space="preserve"> signal pathway</w:t>
      </w:r>
      <w:r w:rsidRPr="00A71E3B">
        <w:rPr>
          <w:rFonts w:ascii="Book Antiqua" w:hAnsi="Book Antiqua"/>
          <w:vertAlign w:val="superscript"/>
          <w:lang w:val="en-US"/>
        </w:rPr>
        <w:t>[40]</w:t>
      </w:r>
      <w:r w:rsidRPr="00A71E3B">
        <w:rPr>
          <w:rFonts w:ascii="Book Antiqua" w:hAnsi="Book Antiqua"/>
          <w:lang w:val="en-US"/>
        </w:rPr>
        <w:t>. Efficacy of steroid treatment in recurrent/</w:t>
      </w:r>
      <w:r w:rsidRPr="00A71E3B">
        <w:rPr>
          <w:rFonts w:ascii="Book Antiqua" w:hAnsi="Book Antiqua"/>
          <w:i/>
          <w:iCs/>
          <w:lang w:val="en-US"/>
        </w:rPr>
        <w:t>de novo</w:t>
      </w:r>
      <w:r w:rsidRPr="00A71E3B">
        <w:rPr>
          <w:rFonts w:ascii="Book Antiqua" w:hAnsi="Book Antiqua"/>
          <w:lang w:val="en-US"/>
        </w:rPr>
        <w:t xml:space="preserve"> FSGS has never been evaluated in a randomized trial; on the other hand, considering its pivotal therapeutic role in FSGS on native kidneys, many different regimens have included steroids in post-transplantation FSGS treatment.</w:t>
      </w:r>
    </w:p>
    <w:p w:rsidR="00B37BF3" w:rsidRPr="00A71E3B" w:rsidRDefault="00B37BF3" w:rsidP="00715A3B">
      <w:pPr>
        <w:spacing w:line="360" w:lineRule="auto"/>
        <w:ind w:firstLineChars="100" w:firstLine="240"/>
        <w:jc w:val="both"/>
        <w:rPr>
          <w:rFonts w:ascii="Book Antiqua" w:hAnsi="Book Antiqua"/>
          <w:lang w:val="en-US"/>
        </w:rPr>
      </w:pPr>
      <w:r w:rsidRPr="00A71E3B">
        <w:rPr>
          <w:rFonts w:ascii="Book Antiqua" w:hAnsi="Book Antiqua"/>
          <w:lang w:val="en-US"/>
        </w:rPr>
        <w:t xml:space="preserve">Apart from the paper by </w:t>
      </w:r>
      <w:proofErr w:type="spellStart"/>
      <w:r w:rsidRPr="00A71E3B">
        <w:rPr>
          <w:rFonts w:ascii="Book Antiqua" w:hAnsi="Book Antiqua"/>
          <w:lang w:val="en-US"/>
        </w:rPr>
        <w:t>Canaud</w:t>
      </w:r>
      <w:proofErr w:type="spellEnd"/>
      <w:r w:rsidRPr="00A71E3B">
        <w:rPr>
          <w:rFonts w:ascii="Book Antiqua" w:hAnsi="Book Antiqua"/>
          <w:lang w:val="en-US"/>
        </w:rPr>
        <w:t xml:space="preserve"> </w:t>
      </w:r>
      <w:r w:rsidRPr="00A71E3B">
        <w:rPr>
          <w:rFonts w:ascii="Book Antiqua" w:hAnsi="Book Antiqua"/>
          <w:i/>
          <w:lang w:val="en-US"/>
        </w:rPr>
        <w:t>et al</w:t>
      </w:r>
      <w:r w:rsidRPr="00A71E3B">
        <w:rPr>
          <w:rFonts w:ascii="Book Antiqua" w:hAnsi="Book Antiqua"/>
          <w:vertAlign w:val="superscript"/>
          <w:lang w:val="en-US"/>
        </w:rPr>
        <w:t>[33]</w:t>
      </w:r>
      <w:r w:rsidRPr="00A71E3B">
        <w:rPr>
          <w:rFonts w:ascii="Book Antiqua" w:hAnsi="Book Antiqua"/>
          <w:lang w:val="en-US"/>
        </w:rPr>
        <w:t xml:space="preserve">, who described a combined treatment of </w:t>
      </w:r>
      <w:proofErr w:type="spellStart"/>
      <w:r w:rsidRPr="00A71E3B">
        <w:rPr>
          <w:rFonts w:ascii="Book Antiqua" w:hAnsi="Book Antiqua"/>
          <w:lang w:val="en-US"/>
        </w:rPr>
        <w:t>CyA</w:t>
      </w:r>
      <w:proofErr w:type="spellEnd"/>
      <w:r w:rsidRPr="00A71E3B">
        <w:rPr>
          <w:rFonts w:ascii="Book Antiqua" w:hAnsi="Book Antiqua"/>
          <w:lang w:val="en-US"/>
        </w:rPr>
        <w:t xml:space="preserve"> in association with high dose steroids and PE, </w:t>
      </w:r>
      <w:proofErr w:type="spellStart"/>
      <w:r w:rsidRPr="00A71E3B">
        <w:rPr>
          <w:rFonts w:ascii="Book Antiqua" w:hAnsi="Book Antiqua"/>
          <w:lang w:val="en-US"/>
        </w:rPr>
        <w:t>Shishido</w:t>
      </w:r>
      <w:proofErr w:type="spellEnd"/>
      <w:r w:rsidRPr="00A71E3B">
        <w:rPr>
          <w:rFonts w:ascii="Book Antiqua" w:hAnsi="Book Antiqua"/>
          <w:lang w:val="en-US"/>
        </w:rPr>
        <w:t xml:space="preserve"> </w:t>
      </w:r>
      <w:r w:rsidRPr="00A71E3B">
        <w:rPr>
          <w:rFonts w:ascii="Book Antiqua" w:hAnsi="Book Antiqua"/>
          <w:i/>
          <w:lang w:val="en-US"/>
        </w:rPr>
        <w:t>et al</w:t>
      </w:r>
      <w:r w:rsidRPr="00A71E3B">
        <w:rPr>
          <w:rFonts w:ascii="Book Antiqua" w:hAnsi="Book Antiqua"/>
          <w:vertAlign w:val="superscript"/>
          <w:lang w:val="en-US"/>
        </w:rPr>
        <w:t>[41]</w:t>
      </w:r>
      <w:r w:rsidRPr="00A71E3B">
        <w:rPr>
          <w:rFonts w:ascii="Book Antiqua" w:hAnsi="Book Antiqua"/>
          <w:lang w:val="en-US"/>
        </w:rPr>
        <w:t xml:space="preserve"> also reported a favorable outcome (7/10 complete remission) for pediatric patients with FSGS recurrence in response to a combined treatment with methylprednisolone pulses (20 mg/kg after diagnosis on 3 consecutive days in weeks 1, 3 and 5) and an increase in </w:t>
      </w:r>
      <w:proofErr w:type="spellStart"/>
      <w:r w:rsidRPr="00A71E3B">
        <w:rPr>
          <w:rFonts w:ascii="Book Antiqua" w:hAnsi="Book Antiqua"/>
          <w:lang w:val="en-US"/>
        </w:rPr>
        <w:t>CyA</w:t>
      </w:r>
      <w:proofErr w:type="spellEnd"/>
      <w:r w:rsidRPr="00A71E3B">
        <w:rPr>
          <w:rFonts w:ascii="Book Antiqua" w:hAnsi="Book Antiqua"/>
          <w:lang w:val="en-US"/>
        </w:rPr>
        <w:t xml:space="preserve"> target levels (area under the curve</w:t>
      </w:r>
      <w:r w:rsidRPr="00A71E3B">
        <w:rPr>
          <w:rFonts w:ascii="Book Antiqua" w:hAnsi="Book Antiqua"/>
          <w:vertAlign w:val="subscript"/>
          <w:lang w:val="en-US"/>
        </w:rPr>
        <w:t>0–4</w:t>
      </w:r>
      <w:r w:rsidRPr="00A71E3B">
        <w:rPr>
          <w:rFonts w:ascii="Book Antiqua" w:hAnsi="Book Antiqua"/>
          <w:lang w:val="en-US"/>
        </w:rPr>
        <w:t xml:space="preserve"> 4500</w:t>
      </w:r>
      <w:r w:rsidR="00CF688A">
        <w:rPr>
          <w:rFonts w:ascii="Book Antiqua" w:hAnsi="Book Antiqua" w:hint="eastAsia"/>
          <w:lang w:val="en-US" w:eastAsia="zh-CN"/>
        </w:rPr>
        <w:t>-</w:t>
      </w:r>
      <w:r w:rsidRPr="00A71E3B">
        <w:rPr>
          <w:rFonts w:ascii="Book Antiqua" w:hAnsi="Book Antiqua"/>
          <w:lang w:val="en-US"/>
        </w:rPr>
        <w:t>5500 ng/h</w:t>
      </w:r>
      <w:r w:rsidR="00715A3B" w:rsidRPr="00A71E3B">
        <w:t xml:space="preserve"> </w:t>
      </w:r>
      <w:r w:rsidR="00715A3B" w:rsidRPr="00A71E3B">
        <w:rPr>
          <w:rFonts w:ascii="Book Antiqua" w:hAnsi="Book Antiqua"/>
          <w:lang w:val="en-US"/>
        </w:rPr>
        <w:t>per milliliter</w:t>
      </w:r>
      <w:r w:rsidRPr="00A71E3B">
        <w:rPr>
          <w:rFonts w:ascii="Book Antiqua" w:hAnsi="Book Antiqua"/>
          <w:lang w:val="en-US"/>
        </w:rPr>
        <w:t xml:space="preserve"> for the first month, 4000 ng/h</w:t>
      </w:r>
      <w:r w:rsidR="00715A3B" w:rsidRPr="00A71E3B">
        <w:rPr>
          <w:rFonts w:ascii="Book Antiqua" w:hAnsi="Book Antiqua"/>
          <w:lang w:val="en-US"/>
        </w:rPr>
        <w:t xml:space="preserve"> per milliliter</w:t>
      </w:r>
      <w:r w:rsidRPr="00A71E3B">
        <w:rPr>
          <w:rFonts w:ascii="Book Antiqua" w:hAnsi="Book Antiqua"/>
          <w:lang w:val="en-US"/>
        </w:rPr>
        <w:t xml:space="preserve"> for the next 2 </w:t>
      </w:r>
      <w:proofErr w:type="spellStart"/>
      <w:r w:rsidRPr="00A71E3B">
        <w:rPr>
          <w:rFonts w:ascii="Book Antiqua" w:hAnsi="Book Antiqua"/>
          <w:lang w:val="en-US"/>
        </w:rPr>
        <w:t>mo</w:t>
      </w:r>
      <w:proofErr w:type="spellEnd"/>
      <w:r w:rsidRPr="00A71E3B">
        <w:rPr>
          <w:rFonts w:ascii="Book Antiqua" w:hAnsi="Book Antiqua"/>
          <w:lang w:val="en-US"/>
        </w:rPr>
        <w:t>, and 3000 ng/h</w:t>
      </w:r>
      <w:r w:rsidR="00715A3B" w:rsidRPr="00A71E3B">
        <w:rPr>
          <w:rFonts w:ascii="Book Antiqua" w:hAnsi="Book Antiqua"/>
          <w:lang w:val="en-US"/>
        </w:rPr>
        <w:t xml:space="preserve"> per milliliter</w:t>
      </w:r>
      <w:r w:rsidRPr="00A71E3B">
        <w:rPr>
          <w:rFonts w:ascii="Book Antiqua" w:hAnsi="Book Antiqua"/>
          <w:lang w:val="en-US"/>
        </w:rPr>
        <w:t xml:space="preserve"> thereafter).</w:t>
      </w:r>
    </w:p>
    <w:p w:rsidR="00B37BF3" w:rsidRPr="00A71E3B" w:rsidRDefault="00B37BF3" w:rsidP="00B30536">
      <w:pPr>
        <w:spacing w:line="360" w:lineRule="auto"/>
        <w:jc w:val="both"/>
        <w:rPr>
          <w:rFonts w:ascii="Book Antiqua" w:hAnsi="Book Antiqua"/>
          <w:b/>
          <w:bCs/>
          <w:i/>
          <w:lang w:val="en-US"/>
        </w:rPr>
      </w:pPr>
    </w:p>
    <w:p w:rsidR="00B37BF3" w:rsidRPr="00A71E3B" w:rsidRDefault="00B37BF3" w:rsidP="00B30536">
      <w:pPr>
        <w:spacing w:line="360" w:lineRule="auto"/>
        <w:jc w:val="both"/>
        <w:rPr>
          <w:rFonts w:ascii="Book Antiqua" w:hAnsi="Book Antiqua"/>
          <w:lang w:val="en-US"/>
        </w:rPr>
      </w:pPr>
      <w:r w:rsidRPr="00A71E3B">
        <w:rPr>
          <w:rFonts w:ascii="Book Antiqua" w:hAnsi="Book Antiqua"/>
          <w:b/>
          <w:bCs/>
          <w:i/>
          <w:lang w:val="en-US"/>
        </w:rPr>
        <w:t xml:space="preserve">Cyclosporine </w:t>
      </w:r>
    </w:p>
    <w:p w:rsidR="00B37BF3" w:rsidRPr="00A71E3B" w:rsidRDefault="00B37BF3" w:rsidP="00B30536">
      <w:pPr>
        <w:spacing w:line="360" w:lineRule="auto"/>
        <w:jc w:val="both"/>
        <w:rPr>
          <w:rFonts w:ascii="Book Antiqua" w:hAnsi="Book Antiqua"/>
          <w:lang w:val="en-US"/>
        </w:rPr>
      </w:pPr>
      <w:proofErr w:type="spellStart"/>
      <w:r w:rsidRPr="00A71E3B">
        <w:rPr>
          <w:rFonts w:ascii="Book Antiqua" w:hAnsi="Book Antiqua"/>
          <w:lang w:val="en-US"/>
        </w:rPr>
        <w:t>CyA</w:t>
      </w:r>
      <w:proofErr w:type="spellEnd"/>
      <w:r w:rsidRPr="00A71E3B">
        <w:rPr>
          <w:rFonts w:ascii="Book Antiqua" w:hAnsi="Book Antiqua"/>
          <w:lang w:val="en-US"/>
        </w:rPr>
        <w:t xml:space="preserve"> is commonly applied for the treatment of several immune-mediated diseases and as a second-line therapy for steroid-resistant/dependent FSGS on native </w:t>
      </w:r>
      <w:proofErr w:type="gramStart"/>
      <w:r w:rsidRPr="00A71E3B">
        <w:rPr>
          <w:rFonts w:ascii="Book Antiqua" w:hAnsi="Book Antiqua"/>
          <w:lang w:val="en-US"/>
        </w:rPr>
        <w:t>kidneys</w:t>
      </w:r>
      <w:r w:rsidRPr="00A71E3B">
        <w:rPr>
          <w:rFonts w:ascii="Book Antiqua" w:hAnsi="Book Antiqua"/>
          <w:vertAlign w:val="superscript"/>
          <w:lang w:val="en-US"/>
        </w:rPr>
        <w:t>[</w:t>
      </w:r>
      <w:proofErr w:type="gramEnd"/>
      <w:r w:rsidRPr="00A71E3B">
        <w:rPr>
          <w:rFonts w:ascii="Book Antiqua" w:hAnsi="Book Antiqua"/>
          <w:vertAlign w:val="superscript"/>
          <w:lang w:val="en-US"/>
        </w:rPr>
        <w:t>38]</w:t>
      </w:r>
      <w:r w:rsidRPr="00A71E3B">
        <w:rPr>
          <w:rFonts w:ascii="Book Antiqua" w:hAnsi="Book Antiqua"/>
          <w:lang w:val="en-US"/>
        </w:rPr>
        <w:t xml:space="preserve">. Conversely, </w:t>
      </w:r>
      <w:proofErr w:type="spellStart"/>
      <w:r w:rsidRPr="00A71E3B">
        <w:rPr>
          <w:rFonts w:ascii="Book Antiqua" w:hAnsi="Book Antiqua"/>
          <w:lang w:val="en-US"/>
        </w:rPr>
        <w:t>CyA</w:t>
      </w:r>
      <w:proofErr w:type="spellEnd"/>
      <w:r w:rsidRPr="00A71E3B">
        <w:rPr>
          <w:rFonts w:ascii="Book Antiqua" w:hAnsi="Book Antiqua"/>
          <w:lang w:val="en-US"/>
        </w:rPr>
        <w:t xml:space="preserve"> does not appear to prevent post-transplant FSGS recurrence when given as a part of the initial immunosuppressive </w:t>
      </w:r>
      <w:proofErr w:type="gramStart"/>
      <w:r w:rsidRPr="00A71E3B">
        <w:rPr>
          <w:rFonts w:ascii="Book Antiqua" w:hAnsi="Book Antiqua"/>
          <w:lang w:val="en-US"/>
        </w:rPr>
        <w:t>regimen</w:t>
      </w:r>
      <w:r w:rsidRPr="00A71E3B">
        <w:rPr>
          <w:rFonts w:ascii="Book Antiqua" w:hAnsi="Book Antiqua"/>
          <w:vertAlign w:val="superscript"/>
          <w:lang w:val="en-US"/>
        </w:rPr>
        <w:t>[</w:t>
      </w:r>
      <w:proofErr w:type="gramEnd"/>
      <w:r w:rsidRPr="00A71E3B">
        <w:rPr>
          <w:rFonts w:ascii="Book Antiqua" w:hAnsi="Book Antiqua"/>
          <w:vertAlign w:val="superscript"/>
          <w:lang w:val="en-US"/>
        </w:rPr>
        <w:t>42,43]</w:t>
      </w:r>
      <w:r w:rsidRPr="00A71E3B">
        <w:rPr>
          <w:rFonts w:ascii="Book Antiqua" w:hAnsi="Book Antiqua"/>
          <w:lang w:val="en-US"/>
        </w:rPr>
        <w:t xml:space="preserve">; although, this potential has not been evaluated in more recent studies. Standard oral doses of </w:t>
      </w:r>
      <w:proofErr w:type="spellStart"/>
      <w:r w:rsidRPr="00A71E3B">
        <w:rPr>
          <w:rFonts w:ascii="Book Antiqua" w:hAnsi="Book Antiqua"/>
          <w:lang w:val="en-US"/>
        </w:rPr>
        <w:t>CyA</w:t>
      </w:r>
      <w:proofErr w:type="spellEnd"/>
      <w:r w:rsidRPr="00A71E3B">
        <w:rPr>
          <w:rFonts w:ascii="Book Antiqua" w:hAnsi="Book Antiqua"/>
          <w:lang w:val="en-US"/>
        </w:rPr>
        <w:t xml:space="preserve"> have not been associated with reduced incidence of recurrent FSGS. Nonetheless, higher </w:t>
      </w:r>
      <w:r w:rsidRPr="00A71E3B">
        <w:rPr>
          <w:rFonts w:ascii="Book Antiqua" w:hAnsi="Book Antiqua"/>
          <w:lang w:val="en-US"/>
        </w:rPr>
        <w:lastRenderedPageBreak/>
        <w:t xml:space="preserve">intravenous doses have been associated with remission of proteinuria for the first time since reported by </w:t>
      </w:r>
      <w:proofErr w:type="spellStart"/>
      <w:r w:rsidRPr="00A71E3B">
        <w:rPr>
          <w:rFonts w:ascii="Book Antiqua" w:hAnsi="Book Antiqua"/>
          <w:lang w:val="en-US"/>
        </w:rPr>
        <w:t>Ingulli</w:t>
      </w:r>
      <w:proofErr w:type="spellEnd"/>
      <w:r w:rsidRPr="00A71E3B">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44]</w:t>
      </w:r>
      <w:r w:rsidRPr="00A71E3B">
        <w:rPr>
          <w:rFonts w:ascii="Book Antiqua" w:hAnsi="Book Antiqua"/>
          <w:lang w:val="en-US"/>
        </w:rPr>
        <w:t xml:space="preserve"> 25 years ago.</w:t>
      </w:r>
    </w:p>
    <w:p w:rsidR="00B37BF3" w:rsidRPr="00A71E3B" w:rsidRDefault="00B37BF3" w:rsidP="00DA756C">
      <w:pPr>
        <w:spacing w:line="360" w:lineRule="auto"/>
        <w:ind w:firstLineChars="100" w:firstLine="240"/>
        <w:jc w:val="both"/>
        <w:rPr>
          <w:rFonts w:ascii="Book Antiqua" w:hAnsi="Book Antiqua"/>
          <w:lang w:val="en-US"/>
        </w:rPr>
      </w:pPr>
      <w:r w:rsidRPr="00A71E3B">
        <w:rPr>
          <w:rFonts w:ascii="Book Antiqua" w:hAnsi="Book Antiqua"/>
          <w:lang w:val="en-US"/>
        </w:rPr>
        <w:t xml:space="preserve">Overall, limited evidence has supported the administration of high dose </w:t>
      </w:r>
      <w:proofErr w:type="spellStart"/>
      <w:r w:rsidRPr="00A71E3B">
        <w:rPr>
          <w:rFonts w:ascii="Book Antiqua" w:hAnsi="Book Antiqua"/>
          <w:lang w:val="en-US"/>
        </w:rPr>
        <w:t>CyA</w:t>
      </w:r>
      <w:proofErr w:type="spellEnd"/>
      <w:r w:rsidRPr="00A71E3B">
        <w:rPr>
          <w:rFonts w:ascii="Book Antiqua" w:hAnsi="Book Antiqua"/>
          <w:lang w:val="en-US"/>
        </w:rPr>
        <w:t xml:space="preserve"> to achieve remission of FSGS recurrence with a persistent </w:t>
      </w:r>
      <w:proofErr w:type="gramStart"/>
      <w:r w:rsidRPr="00A71E3B">
        <w:rPr>
          <w:rFonts w:ascii="Book Antiqua" w:hAnsi="Book Antiqua"/>
          <w:lang w:val="en-US"/>
        </w:rPr>
        <w:t>effect</w:t>
      </w:r>
      <w:r w:rsidRPr="00A71E3B">
        <w:rPr>
          <w:rFonts w:ascii="Book Antiqua" w:hAnsi="Book Antiqua"/>
          <w:vertAlign w:val="superscript"/>
          <w:lang w:val="en-US"/>
        </w:rPr>
        <w:t>[</w:t>
      </w:r>
      <w:proofErr w:type="gramEnd"/>
      <w:r w:rsidRPr="00A71E3B">
        <w:rPr>
          <w:rFonts w:ascii="Book Antiqua" w:hAnsi="Book Antiqua"/>
          <w:vertAlign w:val="superscript"/>
          <w:lang w:val="en-US"/>
        </w:rPr>
        <w:t>45,46]</w:t>
      </w:r>
      <w:r w:rsidRPr="00A71E3B">
        <w:rPr>
          <w:rFonts w:ascii="Book Antiqua" w:hAnsi="Book Antiqua"/>
          <w:lang w:val="en-US"/>
        </w:rPr>
        <w:t xml:space="preserve">. Salomon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45]</w:t>
      </w:r>
      <w:r w:rsidRPr="00A71E3B">
        <w:rPr>
          <w:rFonts w:ascii="Book Antiqua" w:hAnsi="Book Antiqua"/>
          <w:lang w:val="en-US"/>
        </w:rPr>
        <w:t xml:space="preserve"> reported a remission of recurrent proteinuria in 14/17 (82%) of children following administration of intravenous </w:t>
      </w:r>
      <w:proofErr w:type="spellStart"/>
      <w:r w:rsidRPr="00A71E3B">
        <w:rPr>
          <w:rFonts w:ascii="Book Antiqua" w:hAnsi="Book Antiqua"/>
          <w:lang w:val="en-US"/>
        </w:rPr>
        <w:t>CyA</w:t>
      </w:r>
      <w:proofErr w:type="spellEnd"/>
      <w:r w:rsidRPr="00A71E3B">
        <w:rPr>
          <w:rFonts w:ascii="Book Antiqua" w:hAnsi="Book Antiqua"/>
          <w:lang w:val="en-US"/>
        </w:rPr>
        <w:t xml:space="preserve"> (mean period of 21 d; range of 250-350 ng/mL); after 4 years, 11/17 (64%) patients had achieved sustained remission. In a second series, remission was induced in 13/16 patients (81%), which also included PE sessions for 4 of the cases; </w:t>
      </w:r>
      <w:proofErr w:type="spellStart"/>
      <w:r w:rsidRPr="00A71E3B">
        <w:rPr>
          <w:rFonts w:ascii="Book Antiqua" w:hAnsi="Book Antiqua"/>
          <w:lang w:val="en-US"/>
        </w:rPr>
        <w:t>CyA</w:t>
      </w:r>
      <w:proofErr w:type="spellEnd"/>
      <w:r w:rsidRPr="00A71E3B">
        <w:rPr>
          <w:rFonts w:ascii="Book Antiqua" w:hAnsi="Book Antiqua"/>
          <w:lang w:val="en-US"/>
        </w:rPr>
        <w:t xml:space="preserve"> doses were from 6 to 25 mg/kg</w:t>
      </w:r>
      <w:r w:rsidR="00DA756C" w:rsidRPr="00A71E3B">
        <w:rPr>
          <w:rFonts w:ascii="Book Antiqua" w:hAnsi="Book Antiqua" w:hint="eastAsia"/>
          <w:lang w:val="en-US" w:eastAsia="zh-CN"/>
        </w:rPr>
        <w:t xml:space="preserve"> per </w:t>
      </w:r>
      <w:proofErr w:type="gramStart"/>
      <w:r w:rsidRPr="00A71E3B">
        <w:rPr>
          <w:rFonts w:ascii="Book Antiqua" w:hAnsi="Book Antiqua"/>
          <w:lang w:val="en-US"/>
        </w:rPr>
        <w:t>day</w:t>
      </w:r>
      <w:r w:rsidRPr="00A71E3B">
        <w:rPr>
          <w:rFonts w:ascii="Book Antiqua" w:hAnsi="Book Antiqua"/>
          <w:vertAlign w:val="superscript"/>
          <w:lang w:val="en-US"/>
        </w:rPr>
        <w:t>[</w:t>
      </w:r>
      <w:proofErr w:type="gramEnd"/>
      <w:r w:rsidRPr="00A71E3B">
        <w:rPr>
          <w:rFonts w:ascii="Book Antiqua" w:hAnsi="Book Antiqua"/>
          <w:vertAlign w:val="superscript"/>
          <w:lang w:val="en-US"/>
        </w:rPr>
        <w:t>46]</w:t>
      </w:r>
      <w:r w:rsidRPr="00A71E3B">
        <w:rPr>
          <w:rFonts w:ascii="Book Antiqua" w:hAnsi="Book Antiqua"/>
          <w:lang w:val="en-US"/>
        </w:rPr>
        <w:t xml:space="preserve">. At the latest follow-up (range of 10 </w:t>
      </w:r>
      <w:proofErr w:type="spellStart"/>
      <w:r w:rsidRPr="00A71E3B">
        <w:rPr>
          <w:rFonts w:ascii="Book Antiqua" w:hAnsi="Book Antiqua"/>
          <w:lang w:val="en-US"/>
        </w:rPr>
        <w:t>mo</w:t>
      </w:r>
      <w:proofErr w:type="spellEnd"/>
      <w:r w:rsidRPr="00A71E3B">
        <w:rPr>
          <w:rFonts w:ascii="Book Antiqua" w:hAnsi="Book Antiqua"/>
          <w:lang w:val="en-US"/>
        </w:rPr>
        <w:t xml:space="preserve"> to 12 years), 11/13 (84%) patients had a functioning allograft. It is noteworthy to mention that in this study, as in the studies by </w:t>
      </w:r>
      <w:proofErr w:type="spellStart"/>
      <w:r w:rsidRPr="00A71E3B">
        <w:rPr>
          <w:rFonts w:ascii="Book Antiqua" w:hAnsi="Book Antiqua"/>
          <w:lang w:val="en-US"/>
        </w:rPr>
        <w:t>Canaud</w:t>
      </w:r>
      <w:proofErr w:type="spellEnd"/>
      <w:r w:rsidRPr="00A71E3B">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33]</w:t>
      </w:r>
      <w:r w:rsidRPr="00A71E3B">
        <w:rPr>
          <w:rFonts w:ascii="Book Antiqua" w:hAnsi="Book Antiqua"/>
          <w:lang w:val="en-US"/>
        </w:rPr>
        <w:t xml:space="preserve"> and </w:t>
      </w:r>
      <w:proofErr w:type="spellStart"/>
      <w:r w:rsidRPr="00A71E3B">
        <w:rPr>
          <w:rFonts w:ascii="Book Antiqua" w:hAnsi="Book Antiqua"/>
          <w:lang w:val="en-US"/>
        </w:rPr>
        <w:t>Chikamoto</w:t>
      </w:r>
      <w:proofErr w:type="spellEnd"/>
      <w:r w:rsidRPr="00A71E3B">
        <w:rPr>
          <w:rFonts w:ascii="Book Antiqua" w:hAnsi="Book Antiqua"/>
          <w:lang w:val="en-US"/>
        </w:rPr>
        <w:t xml:space="preserve"> </w:t>
      </w:r>
      <w:r w:rsidRPr="00A71E3B">
        <w:rPr>
          <w:rFonts w:ascii="Book Antiqua" w:hAnsi="Book Antiqua"/>
          <w:i/>
          <w:lang w:val="en-US"/>
        </w:rPr>
        <w:t>et al</w:t>
      </w:r>
      <w:r w:rsidRPr="00A71E3B">
        <w:rPr>
          <w:rFonts w:ascii="Book Antiqua" w:hAnsi="Book Antiqua"/>
          <w:vertAlign w:val="superscript"/>
          <w:lang w:val="en-US"/>
        </w:rPr>
        <w:t>[32]</w:t>
      </w:r>
      <w:r w:rsidRPr="00A71E3B">
        <w:rPr>
          <w:rFonts w:ascii="Book Antiqua" w:hAnsi="Book Antiqua"/>
          <w:lang w:val="en-US"/>
        </w:rPr>
        <w:t xml:space="preserve">, the </w:t>
      </w:r>
      <w:proofErr w:type="spellStart"/>
      <w:r w:rsidRPr="00A71E3B">
        <w:rPr>
          <w:rFonts w:ascii="Book Antiqua" w:hAnsi="Book Antiqua"/>
          <w:lang w:val="en-US"/>
        </w:rPr>
        <w:t>CyA</w:t>
      </w:r>
      <w:proofErr w:type="spellEnd"/>
      <w:r w:rsidRPr="00A71E3B">
        <w:rPr>
          <w:rFonts w:ascii="Book Antiqua" w:hAnsi="Book Antiqua"/>
          <w:lang w:val="en-US"/>
        </w:rPr>
        <w:t xml:space="preserve"> treatment was combined with PE sessions.</w:t>
      </w:r>
    </w:p>
    <w:p w:rsidR="00B37BF3" w:rsidRPr="00A71E3B" w:rsidRDefault="00B37BF3" w:rsidP="00DA756C">
      <w:pPr>
        <w:spacing w:line="360" w:lineRule="auto"/>
        <w:ind w:firstLineChars="100" w:firstLine="240"/>
        <w:jc w:val="both"/>
        <w:rPr>
          <w:rFonts w:ascii="Book Antiqua" w:hAnsi="Book Antiqua"/>
          <w:lang w:val="en-US"/>
        </w:rPr>
      </w:pPr>
      <w:r w:rsidRPr="00A71E3B">
        <w:rPr>
          <w:rFonts w:ascii="Book Antiqua" w:hAnsi="Book Antiqua"/>
          <w:lang w:val="en-US"/>
        </w:rPr>
        <w:t xml:space="preserve">The mechanism by which </w:t>
      </w:r>
      <w:proofErr w:type="spellStart"/>
      <w:r w:rsidRPr="00A71E3B">
        <w:rPr>
          <w:rFonts w:ascii="Book Antiqua" w:hAnsi="Book Antiqua"/>
          <w:lang w:val="en-US"/>
        </w:rPr>
        <w:t>CyA</w:t>
      </w:r>
      <w:proofErr w:type="spellEnd"/>
      <w:r w:rsidRPr="00A71E3B">
        <w:rPr>
          <w:rFonts w:ascii="Book Antiqua" w:hAnsi="Book Antiqua"/>
          <w:lang w:val="en-US"/>
        </w:rPr>
        <w:t xml:space="preserve"> might decrease proteinuria has been elucidated recently. Briefly, </w:t>
      </w:r>
      <w:proofErr w:type="spellStart"/>
      <w:r w:rsidRPr="00A71E3B">
        <w:rPr>
          <w:rFonts w:ascii="Book Antiqua" w:hAnsi="Book Antiqua"/>
          <w:lang w:val="en-US"/>
        </w:rPr>
        <w:t>CyA</w:t>
      </w:r>
      <w:proofErr w:type="spellEnd"/>
      <w:r w:rsidRPr="00A71E3B">
        <w:rPr>
          <w:rFonts w:ascii="Book Antiqua" w:hAnsi="Book Antiqua"/>
          <w:lang w:val="en-US"/>
        </w:rPr>
        <w:t xml:space="preserve"> has been shown to act by means of a direct effect on the cytoskeleton </w:t>
      </w:r>
      <w:r w:rsidR="00256FDF" w:rsidRPr="00256FDF">
        <w:rPr>
          <w:rFonts w:ascii="Book Antiqua" w:hAnsi="Book Antiqua"/>
          <w:i/>
          <w:lang w:val="en-US"/>
        </w:rPr>
        <w:t>via</w:t>
      </w:r>
      <w:r w:rsidRPr="00A71E3B">
        <w:rPr>
          <w:rFonts w:ascii="Book Antiqua" w:hAnsi="Book Antiqua"/>
          <w:lang w:val="en-US"/>
        </w:rPr>
        <w:t xml:space="preserve"> </w:t>
      </w:r>
      <w:proofErr w:type="spellStart"/>
      <w:r w:rsidRPr="00A71E3B">
        <w:rPr>
          <w:rFonts w:ascii="Book Antiqua" w:hAnsi="Book Antiqua"/>
          <w:lang w:val="en-US"/>
        </w:rPr>
        <w:t>dephosphorylation</w:t>
      </w:r>
      <w:proofErr w:type="spellEnd"/>
      <w:r w:rsidRPr="00A71E3B">
        <w:rPr>
          <w:rFonts w:ascii="Book Antiqua" w:hAnsi="Book Antiqua"/>
          <w:lang w:val="en-US"/>
        </w:rPr>
        <w:t xml:space="preserve"> of </w:t>
      </w:r>
      <w:proofErr w:type="spellStart"/>
      <w:r w:rsidRPr="00A71E3B">
        <w:rPr>
          <w:rFonts w:ascii="Book Antiqua" w:hAnsi="Book Antiqua"/>
          <w:lang w:val="en-US"/>
        </w:rPr>
        <w:t>synaptopodin</w:t>
      </w:r>
      <w:proofErr w:type="spellEnd"/>
      <w:r w:rsidRPr="00A71E3B">
        <w:rPr>
          <w:rFonts w:ascii="Book Antiqua" w:hAnsi="Book Antiqua"/>
          <w:lang w:val="en-US"/>
        </w:rPr>
        <w:t xml:space="preserve">, a crucial stabilizer of podocyte actin cytoskeleton, rather than through an immunosuppressive activity such as inhibition of T </w:t>
      </w:r>
      <w:proofErr w:type="gramStart"/>
      <w:r w:rsidRPr="00A71E3B">
        <w:rPr>
          <w:rFonts w:ascii="Book Antiqua" w:hAnsi="Book Antiqua"/>
          <w:lang w:val="en-US"/>
        </w:rPr>
        <w:t>cells</w:t>
      </w:r>
      <w:r w:rsidRPr="00A71E3B">
        <w:rPr>
          <w:rFonts w:ascii="Book Antiqua" w:hAnsi="Book Antiqua"/>
          <w:vertAlign w:val="superscript"/>
          <w:lang w:val="en-US"/>
        </w:rPr>
        <w:t>[</w:t>
      </w:r>
      <w:proofErr w:type="gramEnd"/>
      <w:r w:rsidRPr="00A71E3B">
        <w:rPr>
          <w:rFonts w:ascii="Book Antiqua" w:hAnsi="Book Antiqua"/>
          <w:vertAlign w:val="superscript"/>
          <w:lang w:val="en-US"/>
        </w:rPr>
        <w:t>47,48]</w:t>
      </w:r>
      <w:r w:rsidRPr="00A71E3B">
        <w:rPr>
          <w:rFonts w:ascii="Book Antiqua" w:hAnsi="Book Antiqua"/>
          <w:lang w:val="en-US"/>
        </w:rPr>
        <w:t>. According to these clinical evidence, it was postulated that the anti-</w:t>
      </w:r>
      <w:proofErr w:type="spellStart"/>
      <w:r w:rsidRPr="00A71E3B">
        <w:rPr>
          <w:rFonts w:ascii="Book Antiqua" w:hAnsi="Book Antiqua"/>
          <w:lang w:val="en-US"/>
        </w:rPr>
        <w:t>proteinuric</w:t>
      </w:r>
      <w:proofErr w:type="spellEnd"/>
      <w:r w:rsidRPr="00A71E3B">
        <w:rPr>
          <w:rFonts w:ascii="Book Antiqua" w:hAnsi="Book Antiqua"/>
          <w:lang w:val="en-US"/>
        </w:rPr>
        <w:t xml:space="preserve"> effect had been observed only with high dose </w:t>
      </w:r>
      <w:proofErr w:type="spellStart"/>
      <w:r w:rsidRPr="00A71E3B">
        <w:rPr>
          <w:rFonts w:ascii="Book Antiqua" w:hAnsi="Book Antiqua"/>
          <w:lang w:val="en-US"/>
        </w:rPr>
        <w:t>CyA</w:t>
      </w:r>
      <w:proofErr w:type="spellEnd"/>
      <w:r w:rsidRPr="00A71E3B">
        <w:rPr>
          <w:rFonts w:ascii="Book Antiqua" w:hAnsi="Book Antiqua"/>
          <w:lang w:val="en-US"/>
        </w:rPr>
        <w:t xml:space="preserve"> because the </w:t>
      </w:r>
      <w:proofErr w:type="spellStart"/>
      <w:r w:rsidRPr="00A71E3B">
        <w:rPr>
          <w:rFonts w:ascii="Book Antiqua" w:hAnsi="Book Antiqua"/>
          <w:lang w:val="en-US"/>
        </w:rPr>
        <w:t>hypercholestorelemic</w:t>
      </w:r>
      <w:proofErr w:type="spellEnd"/>
      <w:r w:rsidRPr="00A71E3B">
        <w:rPr>
          <w:rFonts w:ascii="Book Antiqua" w:hAnsi="Book Antiqua"/>
          <w:lang w:val="en-US"/>
        </w:rPr>
        <w:t xml:space="preserve"> state induced by NS limits the </w:t>
      </w:r>
      <w:proofErr w:type="spellStart"/>
      <w:r w:rsidRPr="00A71E3B">
        <w:rPr>
          <w:rFonts w:ascii="Book Antiqua" w:hAnsi="Book Antiqua"/>
          <w:lang w:val="en-US"/>
        </w:rPr>
        <w:t>CyA</w:t>
      </w:r>
      <w:proofErr w:type="spellEnd"/>
      <w:r w:rsidRPr="00A71E3B">
        <w:rPr>
          <w:rFonts w:ascii="Book Antiqua" w:hAnsi="Book Antiqua"/>
          <w:lang w:val="en-US"/>
        </w:rPr>
        <w:t xml:space="preserve"> active </w:t>
      </w:r>
      <w:proofErr w:type="gramStart"/>
      <w:r w:rsidRPr="00A71E3B">
        <w:rPr>
          <w:rFonts w:ascii="Book Antiqua" w:hAnsi="Book Antiqua"/>
          <w:lang w:val="en-US"/>
        </w:rPr>
        <w:t>fraction</w:t>
      </w:r>
      <w:r w:rsidRPr="00A71E3B">
        <w:rPr>
          <w:rFonts w:ascii="Book Antiqua" w:hAnsi="Book Antiqua"/>
          <w:vertAlign w:val="superscript"/>
          <w:lang w:val="en-US"/>
        </w:rPr>
        <w:t>[</w:t>
      </w:r>
      <w:proofErr w:type="gramEnd"/>
      <w:r w:rsidRPr="00A71E3B">
        <w:rPr>
          <w:rFonts w:ascii="Book Antiqua" w:hAnsi="Book Antiqua"/>
          <w:vertAlign w:val="superscript"/>
          <w:lang w:val="en-US"/>
        </w:rPr>
        <w:t>49]</w:t>
      </w:r>
      <w:r w:rsidRPr="00A71E3B">
        <w:rPr>
          <w:rFonts w:ascii="Book Antiqua" w:hAnsi="Book Antiqua"/>
          <w:lang w:val="en-US"/>
        </w:rPr>
        <w:t>.</w:t>
      </w:r>
      <w:r w:rsidRPr="00A71E3B">
        <w:rPr>
          <w:rFonts w:ascii="Book Antiqua" w:hAnsi="Book Antiqua"/>
          <w:lang w:val="en-US"/>
        </w:rPr>
        <w:tab/>
      </w:r>
    </w:p>
    <w:p w:rsidR="00B37BF3" w:rsidRPr="00A71E3B" w:rsidRDefault="00B37BF3" w:rsidP="00DA756C">
      <w:pPr>
        <w:spacing w:line="360" w:lineRule="auto"/>
        <w:ind w:firstLineChars="100" w:firstLine="240"/>
        <w:jc w:val="both"/>
        <w:rPr>
          <w:rFonts w:ascii="Book Antiqua" w:hAnsi="Book Antiqua" w:cs="Arial"/>
          <w:b/>
          <w:i/>
          <w:lang w:val="en-US"/>
        </w:rPr>
      </w:pPr>
      <w:r w:rsidRPr="00A71E3B">
        <w:rPr>
          <w:rFonts w:ascii="Book Antiqua" w:hAnsi="Book Antiqua"/>
          <w:lang w:val="en-US"/>
        </w:rPr>
        <w:t xml:space="preserve">Currently, the option of </w:t>
      </w:r>
      <w:proofErr w:type="spellStart"/>
      <w:r w:rsidRPr="00A71E3B">
        <w:rPr>
          <w:rFonts w:ascii="Book Antiqua" w:hAnsi="Book Antiqua"/>
          <w:lang w:val="en-US"/>
        </w:rPr>
        <w:t>CyA</w:t>
      </w:r>
      <w:proofErr w:type="spellEnd"/>
      <w:r w:rsidRPr="00A71E3B">
        <w:rPr>
          <w:rFonts w:ascii="Book Antiqua" w:hAnsi="Book Antiqua"/>
          <w:lang w:val="en-US"/>
        </w:rPr>
        <w:t xml:space="preserve"> therapy in FSGS is more frequently used in combined-therapy regimens. The long-term safety/efficacy ratio of such a therapy, however, remains to be confirmed by study, which is of particular importance in light of the severe toxicities associated with high dose </w:t>
      </w:r>
      <w:proofErr w:type="spellStart"/>
      <w:r w:rsidRPr="00A71E3B">
        <w:rPr>
          <w:rFonts w:ascii="Book Antiqua" w:hAnsi="Book Antiqua"/>
          <w:lang w:val="en-US"/>
        </w:rPr>
        <w:t>CyA</w:t>
      </w:r>
      <w:proofErr w:type="spellEnd"/>
      <w:r w:rsidRPr="00A71E3B">
        <w:rPr>
          <w:rFonts w:ascii="Book Antiqua" w:hAnsi="Book Antiqua"/>
          <w:lang w:val="en-US"/>
        </w:rPr>
        <w:t>.</w:t>
      </w:r>
    </w:p>
    <w:p w:rsidR="00B37BF3" w:rsidRPr="00A71E3B" w:rsidRDefault="00B37BF3" w:rsidP="00B30536">
      <w:pPr>
        <w:tabs>
          <w:tab w:val="left" w:pos="0"/>
          <w:tab w:val="left" w:pos="1440"/>
        </w:tabs>
        <w:spacing w:line="360" w:lineRule="auto"/>
        <w:jc w:val="both"/>
        <w:rPr>
          <w:rFonts w:ascii="Book Antiqua" w:hAnsi="Book Antiqua" w:cs="Arial"/>
          <w:b/>
          <w:i/>
          <w:lang w:val="en-US"/>
        </w:rPr>
      </w:pPr>
    </w:p>
    <w:p w:rsidR="00B37BF3" w:rsidRPr="00A71E3B" w:rsidRDefault="00B37BF3" w:rsidP="00B30536">
      <w:pPr>
        <w:tabs>
          <w:tab w:val="left" w:pos="0"/>
          <w:tab w:val="left" w:pos="1440"/>
        </w:tabs>
        <w:spacing w:line="360" w:lineRule="auto"/>
        <w:jc w:val="both"/>
        <w:rPr>
          <w:rFonts w:ascii="Book Antiqua" w:hAnsi="Book Antiqua"/>
          <w:lang w:val="en-US"/>
        </w:rPr>
      </w:pPr>
      <w:r w:rsidRPr="00A71E3B">
        <w:rPr>
          <w:rFonts w:ascii="Book Antiqua" w:hAnsi="Book Antiqua" w:cs="Arial"/>
          <w:b/>
          <w:i/>
          <w:lang w:val="en-US"/>
        </w:rPr>
        <w:t xml:space="preserve">Cyclophosphamide and </w:t>
      </w:r>
      <w:r w:rsidRPr="00A71E3B">
        <w:rPr>
          <w:rFonts w:ascii="Book Antiqua" w:hAnsi="Book Antiqua"/>
          <w:b/>
          <w:i/>
          <w:lang w:val="en-US"/>
        </w:rPr>
        <w:t xml:space="preserve">mycophenolate </w:t>
      </w:r>
      <w:proofErr w:type="spellStart"/>
      <w:r w:rsidRPr="00A71E3B">
        <w:rPr>
          <w:rFonts w:ascii="Book Antiqua" w:hAnsi="Book Antiqua"/>
          <w:b/>
          <w:i/>
          <w:lang w:val="en-US"/>
        </w:rPr>
        <w:t>mofetil</w:t>
      </w:r>
      <w:proofErr w:type="spellEnd"/>
    </w:p>
    <w:p w:rsidR="00B37BF3" w:rsidRPr="00A71E3B" w:rsidRDefault="00DA756C" w:rsidP="00B30536">
      <w:pPr>
        <w:spacing w:line="360" w:lineRule="auto"/>
        <w:jc w:val="both"/>
        <w:rPr>
          <w:rFonts w:ascii="Book Antiqua" w:hAnsi="Book Antiqua"/>
          <w:lang w:val="en-US"/>
        </w:rPr>
      </w:pPr>
      <w:r w:rsidRPr="00A71E3B">
        <w:rPr>
          <w:rFonts w:ascii="Book Antiqua" w:hAnsi="Book Antiqua" w:cs="Arial"/>
          <w:lang w:val="en-US"/>
        </w:rPr>
        <w:t>Cyclophosphamide (CYC)</w:t>
      </w:r>
      <w:r w:rsidR="00B37BF3" w:rsidRPr="00A71E3B">
        <w:rPr>
          <w:rFonts w:ascii="Book Antiqua" w:hAnsi="Book Antiqua"/>
          <w:lang w:val="en-US"/>
        </w:rPr>
        <w:t xml:space="preserve"> is an alkalizing agent that inhibits cell DNA duplication, leading to cell death. It is active both on resting and dividing </w:t>
      </w:r>
      <w:proofErr w:type="gramStart"/>
      <w:r w:rsidR="00B37BF3" w:rsidRPr="00A71E3B">
        <w:rPr>
          <w:rFonts w:ascii="Book Antiqua" w:hAnsi="Book Antiqua"/>
          <w:lang w:val="en-US"/>
        </w:rPr>
        <w:t>lymphocytes</w:t>
      </w:r>
      <w:r w:rsidR="00B37BF3" w:rsidRPr="00A71E3B">
        <w:rPr>
          <w:rFonts w:ascii="Book Antiqua" w:hAnsi="Book Antiqua"/>
          <w:vertAlign w:val="superscript"/>
          <w:lang w:val="en-US"/>
        </w:rPr>
        <w:t>[</w:t>
      </w:r>
      <w:proofErr w:type="gramEnd"/>
      <w:r w:rsidR="00B37BF3" w:rsidRPr="00A71E3B">
        <w:rPr>
          <w:rFonts w:ascii="Book Antiqua" w:hAnsi="Book Antiqua"/>
          <w:vertAlign w:val="superscript"/>
          <w:lang w:val="en-US"/>
        </w:rPr>
        <w:t>50]</w:t>
      </w:r>
      <w:r w:rsidR="00B37BF3" w:rsidRPr="00A71E3B">
        <w:rPr>
          <w:rFonts w:ascii="Book Antiqua" w:hAnsi="Book Antiqua"/>
          <w:lang w:val="en-US"/>
        </w:rPr>
        <w:t>. Anecdotal experiences with CYC therapy (2 mg/kg</w:t>
      </w:r>
      <w:r w:rsidRPr="00A71E3B">
        <w:rPr>
          <w:rFonts w:ascii="Book Antiqua" w:hAnsi="Book Antiqua" w:hint="eastAsia"/>
          <w:lang w:val="en-US" w:eastAsia="zh-CN"/>
        </w:rPr>
        <w:t xml:space="preserve"> per </w:t>
      </w:r>
      <w:r w:rsidR="00B37BF3" w:rsidRPr="00A71E3B">
        <w:rPr>
          <w:rFonts w:ascii="Book Antiqua" w:hAnsi="Book Antiqua"/>
          <w:lang w:val="en-US"/>
        </w:rPr>
        <w:t xml:space="preserve">day) reported achievement of partial or complete remission in patients with FSGS </w:t>
      </w:r>
      <w:r w:rsidR="00B37BF3" w:rsidRPr="00A71E3B">
        <w:rPr>
          <w:rFonts w:ascii="Book Antiqua" w:hAnsi="Book Antiqua"/>
          <w:lang w:val="en-US"/>
        </w:rPr>
        <w:lastRenderedPageBreak/>
        <w:t xml:space="preserve">on native kidneys and also in steroid-dependent patients; however, no benefit was found in steroid-resistant </w:t>
      </w:r>
      <w:proofErr w:type="gramStart"/>
      <w:r w:rsidR="00B37BF3" w:rsidRPr="00A71E3B">
        <w:rPr>
          <w:rFonts w:ascii="Book Antiqua" w:hAnsi="Book Antiqua"/>
          <w:lang w:val="en-US"/>
        </w:rPr>
        <w:t>patients</w:t>
      </w:r>
      <w:r w:rsidR="00B37BF3" w:rsidRPr="00A71E3B">
        <w:rPr>
          <w:rFonts w:ascii="Book Antiqua" w:hAnsi="Book Antiqua"/>
          <w:vertAlign w:val="superscript"/>
          <w:lang w:val="en-US"/>
        </w:rPr>
        <w:t>[</w:t>
      </w:r>
      <w:proofErr w:type="gramEnd"/>
      <w:r w:rsidR="00B37BF3" w:rsidRPr="00A71E3B">
        <w:rPr>
          <w:rFonts w:ascii="Book Antiqua" w:hAnsi="Book Antiqua"/>
          <w:vertAlign w:val="superscript"/>
          <w:lang w:val="en-US"/>
        </w:rPr>
        <w:t>51,52]</w:t>
      </w:r>
      <w:r w:rsidR="00B37BF3" w:rsidRPr="00A71E3B">
        <w:rPr>
          <w:rFonts w:ascii="Book Antiqua" w:hAnsi="Book Antiqua"/>
          <w:lang w:val="en-US"/>
        </w:rPr>
        <w:t xml:space="preserve">. </w:t>
      </w:r>
    </w:p>
    <w:p w:rsidR="00B37BF3" w:rsidRPr="00A71E3B" w:rsidRDefault="00B37BF3" w:rsidP="00DA756C">
      <w:pPr>
        <w:spacing w:line="360" w:lineRule="auto"/>
        <w:ind w:firstLineChars="100" w:firstLine="240"/>
        <w:jc w:val="both"/>
        <w:rPr>
          <w:rFonts w:ascii="Book Antiqua" w:hAnsi="Book Antiqua"/>
          <w:lang w:val="en-US"/>
        </w:rPr>
      </w:pPr>
      <w:r w:rsidRPr="00A71E3B">
        <w:rPr>
          <w:rFonts w:ascii="Book Antiqua" w:hAnsi="Book Antiqua"/>
          <w:lang w:val="en-US"/>
        </w:rPr>
        <w:t xml:space="preserve">In FSGS recurrence, Kershaw </w:t>
      </w:r>
      <w:r w:rsidRPr="00A71E3B">
        <w:rPr>
          <w:rFonts w:ascii="Book Antiqua" w:hAnsi="Book Antiqua"/>
          <w:i/>
          <w:lang w:val="en-US"/>
        </w:rPr>
        <w:t>et al</w:t>
      </w:r>
      <w:r w:rsidRPr="00A71E3B">
        <w:rPr>
          <w:rFonts w:ascii="Book Antiqua" w:hAnsi="Book Antiqua"/>
          <w:vertAlign w:val="superscript"/>
          <w:lang w:val="en-US"/>
        </w:rPr>
        <w:t>[53]</w:t>
      </w:r>
      <w:r w:rsidRPr="00A71E3B">
        <w:rPr>
          <w:rFonts w:ascii="Book Antiqua" w:hAnsi="Book Antiqua"/>
          <w:lang w:val="en-US"/>
        </w:rPr>
        <w:t xml:space="preserve"> treated 3 pediatric patients with CYC (1-2 mg/kg</w:t>
      </w:r>
      <w:r w:rsidR="00DA756C" w:rsidRPr="00A71E3B">
        <w:rPr>
          <w:rFonts w:ascii="Book Antiqua" w:hAnsi="Book Antiqua" w:hint="eastAsia"/>
          <w:lang w:val="en-US" w:eastAsia="zh-CN"/>
        </w:rPr>
        <w:t xml:space="preserve"> per </w:t>
      </w:r>
      <w:r w:rsidRPr="00A71E3B">
        <w:rPr>
          <w:rFonts w:ascii="Book Antiqua" w:hAnsi="Book Antiqua"/>
          <w:lang w:val="en-US"/>
        </w:rPr>
        <w:t xml:space="preserve">day, adjusted for white </w:t>
      </w:r>
      <w:r w:rsidR="00DA756C" w:rsidRPr="00A71E3B">
        <w:rPr>
          <w:rFonts w:ascii="Book Antiqua" w:hAnsi="Book Antiqua"/>
          <w:lang w:val="en-US"/>
        </w:rPr>
        <w:t xml:space="preserve">blood cell count) for 8-12 </w:t>
      </w:r>
      <w:proofErr w:type="spellStart"/>
      <w:r w:rsidR="00DA756C" w:rsidRPr="00A71E3B">
        <w:rPr>
          <w:rFonts w:ascii="Book Antiqua" w:hAnsi="Book Antiqua"/>
          <w:lang w:val="en-US"/>
        </w:rPr>
        <w:t>wk</w:t>
      </w:r>
      <w:proofErr w:type="spellEnd"/>
      <w:r w:rsidRPr="00A71E3B">
        <w:rPr>
          <w:rFonts w:ascii="Book Antiqua" w:hAnsi="Book Antiqua"/>
          <w:lang w:val="en-US"/>
        </w:rPr>
        <w:t xml:space="preserve"> and obtained two complete remissions and one partial; the patient with the longest follow-up (125 </w:t>
      </w:r>
      <w:proofErr w:type="spellStart"/>
      <w:r w:rsidRPr="00A71E3B">
        <w:rPr>
          <w:rFonts w:ascii="Book Antiqua" w:hAnsi="Book Antiqua"/>
          <w:lang w:val="en-US"/>
        </w:rPr>
        <w:t>mo</w:t>
      </w:r>
      <w:proofErr w:type="spellEnd"/>
      <w:r w:rsidRPr="00A71E3B">
        <w:rPr>
          <w:rFonts w:ascii="Book Antiqua" w:hAnsi="Book Antiqua"/>
          <w:lang w:val="en-US"/>
        </w:rPr>
        <w:t xml:space="preserve">) experienced two additional relapses, each of which were treated successfully with pulse intravenous steroids. A more recent report described a series of 6 patients with FSGS recurrence all of who were treated with a combination of CYC </w:t>
      </w:r>
      <w:r w:rsidR="00DA756C" w:rsidRPr="00A71E3B">
        <w:rPr>
          <w:rFonts w:ascii="Book Antiqua" w:hAnsi="Book Antiqua"/>
          <w:lang w:val="en-US"/>
        </w:rPr>
        <w:t xml:space="preserve">and PE (10 sessions over 2 </w:t>
      </w:r>
      <w:proofErr w:type="spellStart"/>
      <w:r w:rsidR="00DA756C" w:rsidRPr="00A71E3B">
        <w:rPr>
          <w:rFonts w:ascii="Book Antiqua" w:hAnsi="Book Antiqua"/>
          <w:lang w:val="en-US"/>
        </w:rPr>
        <w:t>wk</w:t>
      </w:r>
      <w:proofErr w:type="spellEnd"/>
      <w:r w:rsidRPr="00A71E3B">
        <w:rPr>
          <w:rFonts w:ascii="Book Antiqua" w:hAnsi="Book Antiqua"/>
          <w:lang w:val="en-US"/>
        </w:rPr>
        <w:t xml:space="preserve">, followed by 1 session per week for 2 </w:t>
      </w:r>
      <w:proofErr w:type="spellStart"/>
      <w:r w:rsidRPr="00A71E3B">
        <w:rPr>
          <w:rFonts w:ascii="Book Antiqua" w:hAnsi="Book Antiqua"/>
          <w:lang w:val="en-US"/>
        </w:rPr>
        <w:t>mo</w:t>
      </w:r>
      <w:proofErr w:type="spellEnd"/>
      <w:r w:rsidRPr="00A71E3B">
        <w:rPr>
          <w:rFonts w:ascii="Book Antiqua" w:hAnsi="Book Antiqua"/>
          <w:lang w:val="en-US"/>
        </w:rPr>
        <w:t>), with complete remission being achieved in 3 of the patients and partial remission in the other 3</w:t>
      </w:r>
      <w:r w:rsidRPr="00A71E3B">
        <w:rPr>
          <w:rFonts w:ascii="Book Antiqua" w:hAnsi="Book Antiqua"/>
          <w:vertAlign w:val="superscript"/>
          <w:lang w:val="en-US"/>
        </w:rPr>
        <w:t>[54]</w:t>
      </w:r>
      <w:r w:rsidRPr="00A71E3B">
        <w:rPr>
          <w:rFonts w:ascii="Book Antiqua" w:hAnsi="Book Antiqua"/>
          <w:lang w:val="en-US"/>
        </w:rPr>
        <w:t>. A second case series described 11 pediatric patients with FSGS recurrence who were treated with a 2-mo course of CYC (2 mg/kg</w:t>
      </w:r>
      <w:r w:rsidR="00DA756C" w:rsidRPr="00A71E3B">
        <w:rPr>
          <w:rFonts w:ascii="Book Antiqua" w:hAnsi="Book Antiqua" w:hint="eastAsia"/>
          <w:lang w:val="en-US" w:eastAsia="zh-CN"/>
        </w:rPr>
        <w:t xml:space="preserve"> per </w:t>
      </w:r>
      <w:r w:rsidRPr="00A71E3B">
        <w:rPr>
          <w:rFonts w:ascii="Book Antiqua" w:hAnsi="Book Antiqua"/>
          <w:lang w:val="en-US"/>
        </w:rPr>
        <w:t xml:space="preserve">day) and PE sessions, with initial remission being achieved in 9/11 and with 7/9 being free of disease at the last follow-up (32 ± 15 </w:t>
      </w:r>
      <w:proofErr w:type="spellStart"/>
      <w:r w:rsidRPr="00A71E3B">
        <w:rPr>
          <w:rFonts w:ascii="Book Antiqua" w:hAnsi="Book Antiqua"/>
          <w:lang w:val="en-US"/>
        </w:rPr>
        <w:t>mo</w:t>
      </w:r>
      <w:proofErr w:type="spellEnd"/>
      <w:r w:rsidRPr="00A71E3B">
        <w:rPr>
          <w:rFonts w:ascii="Book Antiqua" w:hAnsi="Book Antiqua"/>
          <w:lang w:val="en-US"/>
        </w:rPr>
        <w:t>)</w:t>
      </w:r>
      <w:r w:rsidRPr="00A71E3B">
        <w:rPr>
          <w:rFonts w:ascii="Book Antiqua" w:hAnsi="Book Antiqua"/>
          <w:vertAlign w:val="superscript"/>
          <w:lang w:val="en-US"/>
        </w:rPr>
        <w:t>[55]</w:t>
      </w:r>
      <w:r w:rsidRPr="00A71E3B">
        <w:rPr>
          <w:rFonts w:ascii="Book Antiqua" w:hAnsi="Book Antiqua"/>
          <w:lang w:val="en-US"/>
        </w:rPr>
        <w:t>.</w:t>
      </w:r>
    </w:p>
    <w:p w:rsidR="00B37BF3" w:rsidRPr="00A71E3B" w:rsidRDefault="00B37BF3" w:rsidP="00DA756C">
      <w:pPr>
        <w:spacing w:line="360" w:lineRule="auto"/>
        <w:ind w:firstLineChars="100" w:firstLine="240"/>
        <w:jc w:val="both"/>
        <w:rPr>
          <w:rFonts w:ascii="Book Antiqua" w:hAnsi="Book Antiqua"/>
          <w:lang w:val="en-US"/>
        </w:rPr>
      </w:pPr>
      <w:r w:rsidRPr="00A71E3B">
        <w:rPr>
          <w:rFonts w:ascii="Book Antiqua" w:hAnsi="Book Antiqua"/>
          <w:lang w:val="en-US"/>
        </w:rPr>
        <w:t xml:space="preserve">MMF inhibits the inosine monophosphate dehydrogenase-mediated reduction of T and B lymphocyte proliferation. </w:t>
      </w:r>
      <w:proofErr w:type="spellStart"/>
      <w:r w:rsidRPr="00A71E3B">
        <w:rPr>
          <w:rFonts w:ascii="Book Antiqua" w:hAnsi="Book Antiqua"/>
          <w:bCs/>
          <w:lang w:val="en-US"/>
        </w:rPr>
        <w:t>Gbadegesin</w:t>
      </w:r>
      <w:proofErr w:type="spellEnd"/>
      <w:r w:rsidRPr="00A71E3B" w:rsidDel="00B655BD">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56]</w:t>
      </w:r>
      <w:r w:rsidRPr="00A71E3B">
        <w:rPr>
          <w:rFonts w:ascii="Book Antiqua" w:hAnsi="Book Antiqua"/>
          <w:lang w:val="en-US"/>
        </w:rPr>
        <w:t xml:space="preserve"> suggested MMF for treatment of steroid-dependent/resistant FSGS on native kidneys. Subsequently, a randomized controlled trial including 138 patients (both children and adults) with primary FSGS compared </w:t>
      </w:r>
      <w:proofErr w:type="spellStart"/>
      <w:r w:rsidRPr="00A71E3B">
        <w:rPr>
          <w:rFonts w:ascii="Book Antiqua" w:hAnsi="Book Antiqua"/>
          <w:lang w:val="en-US"/>
        </w:rPr>
        <w:t>CyA</w:t>
      </w:r>
      <w:proofErr w:type="spellEnd"/>
      <w:r w:rsidRPr="00A71E3B">
        <w:rPr>
          <w:rFonts w:ascii="Book Antiqua" w:hAnsi="Book Antiqua"/>
          <w:lang w:val="en-US"/>
        </w:rPr>
        <w:t xml:space="preserve"> and MMF plus dexamethasone, but no difference was observed in complete or partia</w:t>
      </w:r>
      <w:r w:rsidR="00DA756C" w:rsidRPr="00A71E3B">
        <w:rPr>
          <w:rFonts w:ascii="Book Antiqua" w:hAnsi="Book Antiqua"/>
          <w:lang w:val="en-US"/>
        </w:rPr>
        <w:t xml:space="preserve">l remission rates after 52 </w:t>
      </w:r>
      <w:proofErr w:type="spellStart"/>
      <w:r w:rsidR="00DA756C" w:rsidRPr="00A71E3B">
        <w:rPr>
          <w:rFonts w:ascii="Book Antiqua" w:hAnsi="Book Antiqua"/>
          <w:lang w:val="en-US"/>
        </w:rPr>
        <w:t>wk</w:t>
      </w:r>
      <w:proofErr w:type="spellEnd"/>
      <w:r w:rsidRPr="00A71E3B">
        <w:rPr>
          <w:rFonts w:ascii="Book Antiqua" w:hAnsi="Book Antiqua"/>
          <w:lang w:val="en-US"/>
        </w:rPr>
        <w:t xml:space="preserve"> of follow-up and both groups showed poor outcome (remission in 46% </w:t>
      </w:r>
      <w:r w:rsidRPr="00A71E3B">
        <w:rPr>
          <w:rFonts w:ascii="Book Antiqua" w:hAnsi="Book Antiqua"/>
          <w:i/>
          <w:lang w:val="en-US"/>
        </w:rPr>
        <w:t>vs</w:t>
      </w:r>
      <w:r w:rsidRPr="00A71E3B">
        <w:rPr>
          <w:rFonts w:ascii="Book Antiqua" w:hAnsi="Book Antiqua"/>
          <w:lang w:val="en-US"/>
        </w:rPr>
        <w:t xml:space="preserve"> 33%, respectively)</w:t>
      </w:r>
      <w:r w:rsidRPr="00A71E3B">
        <w:rPr>
          <w:rFonts w:ascii="Book Antiqua" w:hAnsi="Book Antiqua"/>
          <w:vertAlign w:val="superscript"/>
          <w:lang w:val="en-US"/>
        </w:rPr>
        <w:t>[57]</w:t>
      </w:r>
      <w:r w:rsidRPr="00A71E3B">
        <w:rPr>
          <w:rFonts w:ascii="Book Antiqua" w:hAnsi="Book Antiqua"/>
          <w:lang w:val="en-US"/>
        </w:rPr>
        <w:t xml:space="preserve">. At the present time, as reported by Lau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58]</w:t>
      </w:r>
      <w:r w:rsidRPr="00A71E3B">
        <w:rPr>
          <w:rFonts w:ascii="Book Antiqua" w:hAnsi="Book Antiqua"/>
          <w:lang w:val="en-US"/>
        </w:rPr>
        <w:t>, no randomized controlled trial has yet to demonstrate the efficacy of MMF in association with other therapies or as a single agent in FSGS treatment on native or transplanted kidneys.</w:t>
      </w:r>
    </w:p>
    <w:p w:rsidR="00B37BF3" w:rsidRPr="00A71E3B" w:rsidRDefault="00B37BF3" w:rsidP="00B30536">
      <w:pPr>
        <w:spacing w:line="360" w:lineRule="auto"/>
        <w:jc w:val="both"/>
        <w:rPr>
          <w:rFonts w:ascii="Book Antiqua" w:hAnsi="Book Antiqua"/>
          <w:b/>
          <w:bCs/>
          <w:i/>
          <w:iCs/>
          <w:lang w:val="en-US"/>
        </w:rPr>
      </w:pPr>
    </w:p>
    <w:p w:rsidR="00B37BF3" w:rsidRPr="00A71E3B" w:rsidRDefault="00B37BF3" w:rsidP="00B30536">
      <w:pPr>
        <w:spacing w:line="360" w:lineRule="auto"/>
        <w:jc w:val="both"/>
        <w:rPr>
          <w:rFonts w:ascii="Book Antiqua" w:hAnsi="Book Antiqua"/>
          <w:lang w:val="en-US"/>
        </w:rPr>
      </w:pPr>
      <w:r w:rsidRPr="00A71E3B">
        <w:rPr>
          <w:rFonts w:ascii="Book Antiqua" w:hAnsi="Book Antiqua"/>
          <w:b/>
          <w:bCs/>
          <w:i/>
          <w:iCs/>
          <w:lang w:val="en-US"/>
        </w:rPr>
        <w:t>Renin angiotensin system blockers</w:t>
      </w:r>
    </w:p>
    <w:p w:rsidR="00B37BF3" w:rsidRPr="00A71E3B" w:rsidRDefault="00DA756C" w:rsidP="00B30536">
      <w:pPr>
        <w:spacing w:line="360" w:lineRule="auto"/>
        <w:jc w:val="both"/>
        <w:rPr>
          <w:rFonts w:ascii="Book Antiqua" w:hAnsi="Book Antiqua"/>
          <w:i/>
          <w:iCs/>
          <w:lang w:val="en-US"/>
        </w:rPr>
      </w:pPr>
      <w:r w:rsidRPr="00A71E3B">
        <w:rPr>
          <w:rFonts w:ascii="Book Antiqua" w:hAnsi="Book Antiqua"/>
          <w:bCs/>
          <w:iCs/>
          <w:lang w:val="en-US"/>
        </w:rPr>
        <w:t>Renin angiotensin system (RAS)</w:t>
      </w:r>
      <w:r w:rsidR="00B37BF3" w:rsidRPr="00A71E3B">
        <w:rPr>
          <w:rFonts w:ascii="Book Antiqua" w:hAnsi="Book Antiqua"/>
          <w:lang w:val="en-US"/>
        </w:rPr>
        <w:t xml:space="preserve"> blockers have an important role in blood pressure control, but they also have anti-</w:t>
      </w:r>
      <w:proofErr w:type="spellStart"/>
      <w:r w:rsidR="00B37BF3" w:rsidRPr="00A71E3B">
        <w:rPr>
          <w:rFonts w:ascii="Book Antiqua" w:hAnsi="Book Antiqua"/>
          <w:lang w:val="en-US"/>
        </w:rPr>
        <w:t>proteinuric</w:t>
      </w:r>
      <w:proofErr w:type="spellEnd"/>
      <w:r w:rsidR="00B37BF3" w:rsidRPr="00A71E3B">
        <w:rPr>
          <w:rFonts w:ascii="Book Antiqua" w:hAnsi="Book Antiqua"/>
          <w:lang w:val="en-US"/>
        </w:rPr>
        <w:t xml:space="preserve"> and systemic anti-inflammatory </w:t>
      </w:r>
      <w:proofErr w:type="gramStart"/>
      <w:r w:rsidR="00B37BF3" w:rsidRPr="00A71E3B">
        <w:rPr>
          <w:rFonts w:ascii="Book Antiqua" w:hAnsi="Book Antiqua"/>
          <w:lang w:val="en-US"/>
        </w:rPr>
        <w:t>effects</w:t>
      </w:r>
      <w:r w:rsidR="00B37BF3" w:rsidRPr="00A71E3B">
        <w:rPr>
          <w:rFonts w:ascii="Book Antiqua" w:hAnsi="Book Antiqua"/>
          <w:vertAlign w:val="superscript"/>
          <w:lang w:val="en-US"/>
        </w:rPr>
        <w:t>[</w:t>
      </w:r>
      <w:proofErr w:type="gramEnd"/>
      <w:r w:rsidR="00B37BF3" w:rsidRPr="00A71E3B">
        <w:rPr>
          <w:rFonts w:ascii="Book Antiqua" w:hAnsi="Book Antiqua"/>
          <w:vertAlign w:val="superscript"/>
          <w:lang w:val="en-US"/>
        </w:rPr>
        <w:t>59]</w:t>
      </w:r>
      <w:r w:rsidR="00B37BF3" w:rsidRPr="00A71E3B">
        <w:rPr>
          <w:rFonts w:ascii="Book Antiqua" w:hAnsi="Book Antiqua"/>
          <w:lang w:val="en-US"/>
        </w:rPr>
        <w:t xml:space="preserve">. RAS inhibition represents an important </w:t>
      </w:r>
      <w:r w:rsidR="00B37BF3" w:rsidRPr="00A71E3B">
        <w:rPr>
          <w:rFonts w:ascii="Book Antiqua" w:hAnsi="Book Antiqua"/>
          <w:lang w:val="en-US"/>
        </w:rPr>
        <w:lastRenderedPageBreak/>
        <w:t xml:space="preserve">therapeutic strategy in </w:t>
      </w:r>
      <w:proofErr w:type="spellStart"/>
      <w:r w:rsidR="00B37BF3" w:rsidRPr="00A71E3B">
        <w:rPr>
          <w:rFonts w:ascii="Book Antiqua" w:hAnsi="Book Antiqua"/>
          <w:lang w:val="en-US"/>
        </w:rPr>
        <w:t>proteinuric</w:t>
      </w:r>
      <w:proofErr w:type="spellEnd"/>
      <w:r w:rsidR="00B37BF3" w:rsidRPr="00A71E3B">
        <w:rPr>
          <w:rFonts w:ascii="Book Antiqua" w:hAnsi="Book Antiqua"/>
          <w:lang w:val="en-US"/>
        </w:rPr>
        <w:t xml:space="preserve"> glomerular disease as FSGS, for either recurrent or </w:t>
      </w:r>
      <w:r w:rsidR="00B37BF3" w:rsidRPr="00A71E3B">
        <w:rPr>
          <w:rFonts w:ascii="Book Antiqua" w:hAnsi="Book Antiqua"/>
          <w:i/>
          <w:iCs/>
          <w:lang w:val="en-US"/>
        </w:rPr>
        <w:t xml:space="preserve">de novo </w:t>
      </w:r>
      <w:r w:rsidR="00B37BF3" w:rsidRPr="00A71E3B">
        <w:rPr>
          <w:rFonts w:ascii="Book Antiqua" w:hAnsi="Book Antiqua"/>
          <w:lang w:val="en-US"/>
        </w:rPr>
        <w:t>types</w:t>
      </w:r>
      <w:r w:rsidR="00B37BF3" w:rsidRPr="00A71E3B">
        <w:rPr>
          <w:rFonts w:ascii="Book Antiqua" w:hAnsi="Book Antiqua"/>
          <w:i/>
          <w:iCs/>
          <w:lang w:val="en-US"/>
        </w:rPr>
        <w:t>.</w:t>
      </w:r>
    </w:p>
    <w:p w:rsidR="00B37BF3" w:rsidRPr="00A71E3B" w:rsidRDefault="00B37BF3" w:rsidP="00DA756C">
      <w:pPr>
        <w:spacing w:line="360" w:lineRule="auto"/>
        <w:ind w:firstLineChars="100" w:firstLine="240"/>
        <w:jc w:val="both"/>
        <w:rPr>
          <w:rFonts w:ascii="Book Antiqua" w:hAnsi="Book Antiqua"/>
          <w:lang w:val="en-US"/>
        </w:rPr>
      </w:pPr>
      <w:r w:rsidRPr="00A71E3B">
        <w:rPr>
          <w:rFonts w:ascii="Book Antiqua" w:hAnsi="Book Antiqua"/>
          <w:lang w:val="en-US"/>
        </w:rPr>
        <w:t xml:space="preserve">Despite some reports having suggested RAS blockers as effective therapeutics for this </w:t>
      </w:r>
      <w:proofErr w:type="gramStart"/>
      <w:r w:rsidRPr="00A71E3B">
        <w:rPr>
          <w:rFonts w:ascii="Book Antiqua" w:hAnsi="Book Antiqua"/>
          <w:lang w:val="en-US"/>
        </w:rPr>
        <w:t>disease</w:t>
      </w:r>
      <w:r w:rsidRPr="00A71E3B">
        <w:rPr>
          <w:rFonts w:ascii="Book Antiqua" w:hAnsi="Book Antiqua"/>
          <w:vertAlign w:val="superscript"/>
          <w:lang w:val="en-US"/>
        </w:rPr>
        <w:t>[</w:t>
      </w:r>
      <w:proofErr w:type="gramEnd"/>
      <w:r w:rsidRPr="00A71E3B">
        <w:rPr>
          <w:rFonts w:ascii="Book Antiqua" w:hAnsi="Book Antiqua"/>
          <w:vertAlign w:val="superscript"/>
          <w:lang w:val="en-US"/>
        </w:rPr>
        <w:t>60,61]</w:t>
      </w:r>
      <w:r w:rsidRPr="00A71E3B">
        <w:rPr>
          <w:rFonts w:ascii="Book Antiqua" w:hAnsi="Book Antiqua"/>
          <w:lang w:val="en-US"/>
        </w:rPr>
        <w:t xml:space="preserve">, the association of these drugs with other therapies limits a final judgment on their real effect as a single drug. </w:t>
      </w:r>
      <w:proofErr w:type="spellStart"/>
      <w:r w:rsidRPr="00A71E3B">
        <w:rPr>
          <w:rFonts w:ascii="Book Antiqua" w:hAnsi="Book Antiqua"/>
          <w:lang w:val="en-US"/>
        </w:rPr>
        <w:t>Freiberger</w:t>
      </w:r>
      <w:proofErr w:type="spellEnd"/>
      <w:r w:rsidRPr="00A71E3B">
        <w:rPr>
          <w:rFonts w:ascii="Book Antiqua" w:hAnsi="Book Antiqua"/>
          <w:lang w:val="en-US"/>
        </w:rPr>
        <w:t xml:space="preserve"> </w:t>
      </w:r>
      <w:r w:rsidRPr="00A71E3B">
        <w:rPr>
          <w:rFonts w:ascii="Book Antiqua" w:hAnsi="Book Antiqua"/>
          <w:i/>
          <w:lang w:val="en-US"/>
        </w:rPr>
        <w:t>et al</w:t>
      </w:r>
      <w:r w:rsidRPr="00A71E3B">
        <w:rPr>
          <w:rFonts w:ascii="Book Antiqua" w:hAnsi="Book Antiqua"/>
          <w:vertAlign w:val="superscript"/>
          <w:lang w:val="en-US"/>
        </w:rPr>
        <w:t>[62]</w:t>
      </w:r>
      <w:r w:rsidRPr="00A71E3B">
        <w:rPr>
          <w:rFonts w:ascii="Book Antiqua" w:hAnsi="Book Antiqua"/>
          <w:lang w:val="en-US"/>
        </w:rPr>
        <w:t xml:space="preserve"> reported a favorable outcome after the use of a triple RAS blockage </w:t>
      </w:r>
      <w:r w:rsidR="00DA756C" w:rsidRPr="00A71E3B">
        <w:rPr>
          <w:rFonts w:ascii="Book Antiqua" w:hAnsi="Book Antiqua" w:hint="eastAsia"/>
          <w:lang w:val="en-US" w:eastAsia="zh-CN"/>
        </w:rPr>
        <w:t>[</w:t>
      </w:r>
      <w:r w:rsidRPr="00A71E3B">
        <w:rPr>
          <w:rFonts w:ascii="Book Antiqua" w:hAnsi="Book Antiqua"/>
          <w:lang w:val="en-US"/>
        </w:rPr>
        <w:t>angiotensin-converting enzyme (ACE) inhibitor, angiotensin receptor (blocker) antagonist (ARB), and renin inhibitor</w:t>
      </w:r>
      <w:r w:rsidR="00DA756C" w:rsidRPr="00A71E3B">
        <w:rPr>
          <w:rFonts w:ascii="Book Antiqua" w:hAnsi="Book Antiqua" w:hint="eastAsia"/>
          <w:lang w:val="en-US" w:eastAsia="zh-CN"/>
        </w:rPr>
        <w:t>]</w:t>
      </w:r>
      <w:r w:rsidRPr="00A71E3B">
        <w:rPr>
          <w:rFonts w:ascii="Book Antiqua" w:hAnsi="Book Antiqua"/>
          <w:lang w:val="en-US"/>
        </w:rPr>
        <w:t xml:space="preserve"> in a transplanted patient with FSGS recurrence; since PE and Rituximab</w:t>
      </w:r>
      <w:r w:rsidRPr="00A71E3B">
        <w:rPr>
          <w:rFonts w:ascii="Book Antiqua" w:hAnsi="Book Antiqua"/>
          <w:vertAlign w:val="superscript"/>
          <w:lang w:val="en-US"/>
        </w:rPr>
        <w:t>®</w:t>
      </w:r>
      <w:r w:rsidRPr="00A71E3B">
        <w:rPr>
          <w:rFonts w:ascii="Book Antiqua" w:hAnsi="Book Antiqua"/>
          <w:lang w:val="en-US"/>
        </w:rPr>
        <w:t xml:space="preserve"> treatment produced no apparent benefits in the patient previously, a late response to this treatment may not be excluded “a priori”.</w:t>
      </w:r>
    </w:p>
    <w:p w:rsidR="00B37BF3" w:rsidRPr="00A71E3B" w:rsidRDefault="00B37BF3" w:rsidP="00DA756C">
      <w:pPr>
        <w:spacing w:line="360" w:lineRule="auto"/>
        <w:ind w:firstLineChars="100" w:firstLine="240"/>
        <w:jc w:val="both"/>
        <w:rPr>
          <w:rFonts w:ascii="Book Antiqua" w:hAnsi="Book Antiqua"/>
          <w:b/>
          <w:lang w:val="en-US"/>
        </w:rPr>
      </w:pPr>
      <w:r w:rsidRPr="00A71E3B">
        <w:rPr>
          <w:rFonts w:ascii="Book Antiqua" w:hAnsi="Book Antiqua"/>
          <w:lang w:val="en-US"/>
        </w:rPr>
        <w:t>It is noteworthy that a close monitoring of serum creatinine and potassium levels is essential in all subjects treated with RAS blockers, especially when all these drugs are prescribed together and even more so when renal function is suboptimal.</w:t>
      </w:r>
    </w:p>
    <w:p w:rsidR="00B37BF3" w:rsidRPr="00A71E3B" w:rsidRDefault="00B37BF3" w:rsidP="00B30536">
      <w:pPr>
        <w:spacing w:line="360" w:lineRule="auto"/>
        <w:jc w:val="both"/>
        <w:rPr>
          <w:rFonts w:ascii="Book Antiqua" w:hAnsi="Book Antiqua"/>
          <w:b/>
          <w:lang w:val="en-US"/>
        </w:rPr>
      </w:pPr>
    </w:p>
    <w:p w:rsidR="00B37BF3" w:rsidRPr="00A71E3B" w:rsidRDefault="00B37BF3" w:rsidP="00B30536">
      <w:pPr>
        <w:spacing w:line="360" w:lineRule="auto"/>
        <w:jc w:val="both"/>
        <w:rPr>
          <w:rFonts w:ascii="Book Antiqua" w:hAnsi="Book Antiqua"/>
          <w:lang w:val="en-US"/>
        </w:rPr>
      </w:pPr>
      <w:r w:rsidRPr="00A71E3B">
        <w:rPr>
          <w:rFonts w:ascii="Book Antiqua" w:hAnsi="Book Antiqua"/>
          <w:b/>
          <w:lang w:val="en-US"/>
        </w:rPr>
        <w:t>ANECDOTAL THERAPIES</w:t>
      </w:r>
      <w:r w:rsidRPr="00A71E3B" w:rsidDel="00C32295">
        <w:rPr>
          <w:rFonts w:ascii="Book Antiqua" w:hAnsi="Book Antiqua"/>
          <w:b/>
          <w:lang w:val="en-US"/>
        </w:rPr>
        <w:t xml:space="preserve"> </w:t>
      </w:r>
      <w:r w:rsidRPr="00A71E3B">
        <w:rPr>
          <w:rFonts w:ascii="Book Antiqua" w:hAnsi="Book Antiqua" w:cs="Arial"/>
          <w:lang w:val="en-US"/>
        </w:rPr>
        <w:br/>
      </w:r>
      <w:r w:rsidRPr="00A71E3B">
        <w:rPr>
          <w:rFonts w:ascii="Book Antiqua" w:hAnsi="Book Antiqua"/>
          <w:b/>
          <w:bCs/>
          <w:i/>
          <w:lang w:val="en-US"/>
        </w:rPr>
        <w:t>Galactose</w:t>
      </w:r>
    </w:p>
    <w:p w:rsidR="00B37BF3" w:rsidRPr="00A71E3B" w:rsidRDefault="00B37BF3" w:rsidP="00B30536">
      <w:pPr>
        <w:spacing w:line="360" w:lineRule="auto"/>
        <w:jc w:val="both"/>
        <w:rPr>
          <w:rFonts w:ascii="Book Antiqua" w:hAnsi="Book Antiqua"/>
          <w:lang w:val="en-US"/>
        </w:rPr>
      </w:pPr>
      <w:r w:rsidRPr="00A71E3B">
        <w:rPr>
          <w:rFonts w:ascii="Book Antiqua" w:hAnsi="Book Antiqua"/>
          <w:lang w:val="en-US"/>
        </w:rPr>
        <w:t xml:space="preserve">The potential effect of galactose on glomerular permeability and proteinuria was firstly hypothesized by </w:t>
      </w:r>
      <w:proofErr w:type="spellStart"/>
      <w:r w:rsidRPr="00A71E3B">
        <w:rPr>
          <w:rFonts w:ascii="Book Antiqua" w:hAnsi="Book Antiqua"/>
          <w:lang w:val="en-US"/>
        </w:rPr>
        <w:t>Savin</w:t>
      </w:r>
      <w:proofErr w:type="spellEnd"/>
      <w:r w:rsidRPr="00A71E3B">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63]</w:t>
      </w:r>
      <w:r w:rsidRPr="00A71E3B">
        <w:rPr>
          <w:rFonts w:ascii="Book Antiqua" w:hAnsi="Book Antiqua"/>
          <w:lang w:val="en-US"/>
        </w:rPr>
        <w:t>, stating that sucrose binds with high affinity and inactivates the supposed “permeability factor”, thereby facilitating its plasma clearance.</w:t>
      </w:r>
    </w:p>
    <w:p w:rsidR="00B37BF3" w:rsidRPr="00A71E3B" w:rsidRDefault="00B37BF3" w:rsidP="00DA756C">
      <w:pPr>
        <w:spacing w:line="360" w:lineRule="auto"/>
        <w:ind w:firstLineChars="100" w:firstLine="240"/>
        <w:jc w:val="both"/>
        <w:rPr>
          <w:rFonts w:ascii="Book Antiqua" w:hAnsi="Book Antiqua"/>
          <w:b/>
          <w:bCs/>
          <w:i/>
          <w:lang w:val="en-US"/>
        </w:rPr>
      </w:pPr>
      <w:proofErr w:type="spellStart"/>
      <w:r w:rsidRPr="00A71E3B">
        <w:rPr>
          <w:rFonts w:ascii="Book Antiqua" w:hAnsi="Book Antiqua"/>
          <w:lang w:val="en-US"/>
        </w:rPr>
        <w:t>Jhaveri</w:t>
      </w:r>
      <w:proofErr w:type="spellEnd"/>
      <w:r w:rsidRPr="00A71E3B">
        <w:rPr>
          <w:rFonts w:ascii="Book Antiqua" w:hAnsi="Book Antiqua"/>
          <w:lang w:val="en-US"/>
        </w:rPr>
        <w:t xml:space="preserve"> </w:t>
      </w:r>
      <w:r w:rsidRPr="00A71E3B">
        <w:rPr>
          <w:rFonts w:ascii="Book Antiqua" w:hAnsi="Book Antiqua"/>
          <w:i/>
          <w:lang w:val="en-US"/>
        </w:rPr>
        <w:t>et al</w:t>
      </w:r>
      <w:r w:rsidRPr="00A71E3B">
        <w:rPr>
          <w:rFonts w:ascii="Book Antiqua" w:hAnsi="Book Antiqua"/>
          <w:vertAlign w:val="superscript"/>
          <w:lang w:val="en-US"/>
        </w:rPr>
        <w:t>[64]</w:t>
      </w:r>
      <w:r w:rsidRPr="00A71E3B">
        <w:rPr>
          <w:rFonts w:ascii="Book Antiqua" w:hAnsi="Book Antiqua"/>
          <w:lang w:val="en-US"/>
        </w:rPr>
        <w:t xml:space="preserve"> described a patient with severe recurrent FSGS (massive proteinuria of 37 g/d at day 2 after transplantation) who had been previously treated with PE, intravenous immunoglobulin and Rituximab</w:t>
      </w:r>
      <w:r w:rsidRPr="00A71E3B">
        <w:rPr>
          <w:rFonts w:ascii="Book Antiqua" w:hAnsi="Book Antiqua"/>
          <w:vertAlign w:val="superscript"/>
          <w:lang w:val="en-US"/>
        </w:rPr>
        <w:t>®</w:t>
      </w:r>
      <w:r w:rsidRPr="00A71E3B">
        <w:rPr>
          <w:rFonts w:ascii="Book Antiqua" w:hAnsi="Book Antiqua"/>
          <w:lang w:val="en-US"/>
        </w:rPr>
        <w:t xml:space="preserve">, and achieved complete remission of proteinuria after receipt of a high galactose diet and supplemental oral galactose (0.2 g/kg, two times per day). As for other case series mentioned before, the role played by galactose in disease remission </w:t>
      </w:r>
      <w:r w:rsidRPr="00256FDF">
        <w:rPr>
          <w:rFonts w:ascii="Book Antiqua" w:hAnsi="Book Antiqua"/>
          <w:i/>
          <w:lang w:val="en-US"/>
        </w:rPr>
        <w:t xml:space="preserve">vs </w:t>
      </w:r>
      <w:r w:rsidRPr="00A71E3B">
        <w:rPr>
          <w:rFonts w:ascii="Book Antiqua" w:hAnsi="Book Antiqua"/>
          <w:lang w:val="en-US"/>
        </w:rPr>
        <w:t xml:space="preserve">the role of previous treatment is indistinguishable. More recently, Robson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65]</w:t>
      </w:r>
      <w:r w:rsidRPr="00A71E3B">
        <w:rPr>
          <w:rFonts w:ascii="Book Antiqua" w:hAnsi="Book Antiqua"/>
          <w:lang w:val="en-US"/>
        </w:rPr>
        <w:t xml:space="preserve"> also reported a favorable outcome (1 complete and 1 partial response) in 2 patients with FSGS recurrence treated with high galactose diet. </w:t>
      </w:r>
      <w:proofErr w:type="spellStart"/>
      <w:r w:rsidRPr="00A71E3B">
        <w:rPr>
          <w:rFonts w:ascii="Book Antiqua" w:hAnsi="Book Antiqua"/>
          <w:lang w:val="en-US"/>
        </w:rPr>
        <w:t>Sgambat</w:t>
      </w:r>
      <w:proofErr w:type="spellEnd"/>
      <w:r w:rsidRPr="00A71E3B">
        <w:rPr>
          <w:rFonts w:ascii="Book Antiqua" w:hAnsi="Book Antiqua"/>
          <w:lang w:val="en-US"/>
        </w:rPr>
        <w:t xml:space="preserve"> </w:t>
      </w:r>
      <w:r w:rsidRPr="00A71E3B">
        <w:rPr>
          <w:rFonts w:ascii="Book Antiqua" w:hAnsi="Book Antiqua"/>
          <w:i/>
          <w:lang w:val="en-US"/>
        </w:rPr>
        <w:t>et al</w:t>
      </w:r>
      <w:r w:rsidRPr="00A71E3B">
        <w:rPr>
          <w:rFonts w:ascii="Book Antiqua" w:hAnsi="Book Antiqua"/>
          <w:vertAlign w:val="superscript"/>
          <w:lang w:val="en-US"/>
        </w:rPr>
        <w:t>[66]</w:t>
      </w:r>
      <w:r w:rsidRPr="00A71E3B">
        <w:rPr>
          <w:rFonts w:ascii="Book Antiqua" w:hAnsi="Book Antiqua"/>
          <w:lang w:val="en-US"/>
        </w:rPr>
        <w:t xml:space="preserve"> reported in a recent case series a reduction in permeability factor activity </w:t>
      </w:r>
      <w:r w:rsidRPr="00A71E3B">
        <w:rPr>
          <w:rFonts w:ascii="Book Antiqua" w:hAnsi="Book Antiqua"/>
          <w:lang w:val="en-US"/>
        </w:rPr>
        <w:lastRenderedPageBreak/>
        <w:t>in 7 pediatric patients with steroid-resistant NS (2/7 with recurrent FSGS) treated with high galactose diet (0.2 g/kg, twice daily), without any significant improvement in proteinuria values.</w:t>
      </w:r>
    </w:p>
    <w:p w:rsidR="00B37BF3" w:rsidRPr="00A71E3B" w:rsidRDefault="00B37BF3" w:rsidP="00B30536">
      <w:pPr>
        <w:spacing w:line="360" w:lineRule="auto"/>
        <w:jc w:val="both"/>
        <w:rPr>
          <w:rFonts w:ascii="Book Antiqua" w:hAnsi="Book Antiqua"/>
          <w:b/>
          <w:bCs/>
          <w:i/>
          <w:lang w:val="en-US"/>
        </w:rPr>
      </w:pPr>
    </w:p>
    <w:p w:rsidR="00B37BF3" w:rsidRPr="00A71E3B" w:rsidRDefault="00B37BF3" w:rsidP="00B30536">
      <w:pPr>
        <w:spacing w:line="360" w:lineRule="auto"/>
        <w:jc w:val="both"/>
        <w:rPr>
          <w:rFonts w:ascii="Book Antiqua" w:hAnsi="Book Antiqua"/>
          <w:lang w:val="en-US"/>
        </w:rPr>
      </w:pPr>
      <w:r w:rsidRPr="00A71E3B">
        <w:rPr>
          <w:rFonts w:ascii="Book Antiqua" w:hAnsi="Book Antiqua"/>
          <w:b/>
          <w:bCs/>
          <w:i/>
          <w:lang w:val="en-US"/>
        </w:rPr>
        <w:t>Anti-tumor necrosis factor-alpha agents</w:t>
      </w:r>
    </w:p>
    <w:p w:rsidR="00B37BF3" w:rsidRPr="00A71E3B" w:rsidRDefault="00B37BF3" w:rsidP="00B30536">
      <w:pPr>
        <w:spacing w:line="360" w:lineRule="auto"/>
        <w:jc w:val="both"/>
        <w:rPr>
          <w:rFonts w:ascii="Book Antiqua" w:hAnsi="Book Antiqua"/>
          <w:lang w:val="en-US"/>
        </w:rPr>
      </w:pPr>
      <w:r w:rsidRPr="00A71E3B">
        <w:rPr>
          <w:rFonts w:ascii="Book Antiqua" w:hAnsi="Book Antiqua"/>
          <w:lang w:val="en-US"/>
        </w:rPr>
        <w:t xml:space="preserve">The </w:t>
      </w:r>
      <w:r w:rsidR="00DA756C" w:rsidRPr="00A71E3B">
        <w:rPr>
          <w:rFonts w:ascii="Book Antiqua" w:hAnsi="Book Antiqua"/>
          <w:bCs/>
          <w:lang w:val="en-US"/>
        </w:rPr>
        <w:t>tumor necrosis factor-alpha (TNF-</w:t>
      </w:r>
      <w:r w:rsidR="00DA756C" w:rsidRPr="00A71E3B">
        <w:rPr>
          <w:rFonts w:ascii="Book Antiqua" w:hAnsi="Book Antiqua" w:hint="eastAsia"/>
          <w:bCs/>
          <w:lang w:val="en-US" w:eastAsia="zh-CN"/>
        </w:rPr>
        <w:t>)</w:t>
      </w:r>
      <w:r w:rsidR="00DA756C" w:rsidRPr="00A71E3B">
        <w:rPr>
          <w:rFonts w:ascii="Book Antiqua" w:hAnsi="Book Antiqua" w:hint="eastAsia"/>
          <w:lang w:val="en-US" w:eastAsia="zh-CN"/>
        </w:rPr>
        <w:t xml:space="preserve"> </w:t>
      </w:r>
      <w:r w:rsidRPr="00A71E3B">
        <w:rPr>
          <w:rFonts w:ascii="Book Antiqua" w:hAnsi="Book Antiqua"/>
          <w:lang w:val="en-US"/>
        </w:rPr>
        <w:t>signaling pathway is involved in the development of both NS and FSGS, as evidenced by elevated levels of TNF-</w:t>
      </w:r>
      <w:r w:rsidR="00DA756C" w:rsidRPr="00A71E3B">
        <w:rPr>
          <w:rFonts w:ascii="Book Antiqua" w:hAnsi="Book Antiqua"/>
          <w:bCs/>
          <w:lang w:val="en-US"/>
        </w:rPr>
        <w:t></w:t>
      </w:r>
      <w:r w:rsidR="00DA756C" w:rsidRPr="00A71E3B">
        <w:rPr>
          <w:rFonts w:ascii="Book Antiqua" w:hAnsi="Book Antiqua" w:hint="eastAsia"/>
          <w:lang w:val="en-US" w:eastAsia="zh-CN"/>
        </w:rPr>
        <w:t xml:space="preserve"> </w:t>
      </w:r>
      <w:r w:rsidRPr="00A71E3B">
        <w:rPr>
          <w:rFonts w:ascii="Book Antiqua" w:hAnsi="Book Antiqua"/>
          <w:lang w:val="en-US"/>
        </w:rPr>
        <w:t xml:space="preserve">detected in plasma and urine obtained from patients with </w:t>
      </w:r>
      <w:proofErr w:type="gramStart"/>
      <w:r w:rsidRPr="00A71E3B">
        <w:rPr>
          <w:rFonts w:ascii="Book Antiqua" w:hAnsi="Book Antiqua"/>
          <w:lang w:val="en-US"/>
        </w:rPr>
        <w:t>FSGS</w:t>
      </w:r>
      <w:r w:rsidRPr="00A71E3B">
        <w:rPr>
          <w:rFonts w:ascii="Book Antiqua" w:hAnsi="Book Antiqua"/>
          <w:vertAlign w:val="superscript"/>
          <w:lang w:val="en-US"/>
        </w:rPr>
        <w:t>[</w:t>
      </w:r>
      <w:proofErr w:type="gramEnd"/>
      <w:r w:rsidRPr="00A71E3B">
        <w:rPr>
          <w:rFonts w:ascii="Book Antiqua" w:hAnsi="Book Antiqua"/>
          <w:vertAlign w:val="superscript"/>
          <w:lang w:val="en-US"/>
        </w:rPr>
        <w:t>67]</w:t>
      </w:r>
      <w:r w:rsidRPr="00A71E3B">
        <w:rPr>
          <w:rFonts w:ascii="Book Antiqua" w:hAnsi="Book Antiqua"/>
          <w:lang w:val="en-US"/>
        </w:rPr>
        <w:t xml:space="preserve"> and increased glomerular permeability to TNF-</w:t>
      </w:r>
      <w:r w:rsidR="00DA756C" w:rsidRPr="00A71E3B">
        <w:rPr>
          <w:rFonts w:ascii="Book Antiqua" w:hAnsi="Book Antiqua"/>
          <w:bCs/>
          <w:lang w:val="en-US"/>
        </w:rPr>
        <w:t></w:t>
      </w:r>
      <w:r w:rsidR="00DA756C" w:rsidRPr="00A71E3B">
        <w:rPr>
          <w:rFonts w:ascii="Book Antiqua" w:hAnsi="Book Antiqua" w:hint="eastAsia"/>
          <w:bCs/>
          <w:lang w:val="en-US" w:eastAsia="zh-CN"/>
        </w:rPr>
        <w:t xml:space="preserve"> </w:t>
      </w:r>
      <w:r w:rsidRPr="00A71E3B">
        <w:rPr>
          <w:rFonts w:ascii="Book Antiqua" w:hAnsi="Book Antiqua"/>
          <w:lang w:val="en-US"/>
        </w:rPr>
        <w:t xml:space="preserve">observed </w:t>
      </w:r>
      <w:r w:rsidRPr="00A71E3B">
        <w:rPr>
          <w:rFonts w:ascii="Book Antiqua" w:hAnsi="Book Antiqua"/>
          <w:i/>
          <w:lang w:val="en-US"/>
        </w:rPr>
        <w:t>in vitro</w:t>
      </w:r>
      <w:r w:rsidRPr="00A71E3B">
        <w:rPr>
          <w:rFonts w:ascii="Book Antiqua" w:hAnsi="Book Antiqua"/>
          <w:vertAlign w:val="superscript"/>
          <w:lang w:val="en-US"/>
        </w:rPr>
        <w:t>[68]</w:t>
      </w:r>
      <w:r w:rsidRPr="00A71E3B">
        <w:rPr>
          <w:rFonts w:ascii="Book Antiqua" w:hAnsi="Book Antiqua"/>
          <w:lang w:val="en-US"/>
        </w:rPr>
        <w:t xml:space="preserve">. </w:t>
      </w:r>
    </w:p>
    <w:p w:rsidR="00B37BF3" w:rsidRPr="00A71E3B" w:rsidRDefault="00B37BF3" w:rsidP="00DA756C">
      <w:pPr>
        <w:spacing w:line="360" w:lineRule="auto"/>
        <w:ind w:firstLineChars="100" w:firstLine="240"/>
        <w:jc w:val="both"/>
        <w:rPr>
          <w:rFonts w:ascii="Book Antiqua" w:hAnsi="Book Antiqua"/>
          <w:lang w:val="en-US"/>
        </w:rPr>
      </w:pPr>
      <w:r w:rsidRPr="00A71E3B">
        <w:rPr>
          <w:rFonts w:ascii="Book Antiqua" w:hAnsi="Book Antiqua"/>
          <w:lang w:val="en-US"/>
        </w:rPr>
        <w:t>At the present time, very few cases of FSGS have been treated with anti-TNF-</w:t>
      </w:r>
      <w:r w:rsidR="00DA756C" w:rsidRPr="00A71E3B">
        <w:rPr>
          <w:rFonts w:ascii="Book Antiqua" w:hAnsi="Book Antiqua"/>
          <w:bCs/>
          <w:lang w:val="en-US"/>
        </w:rPr>
        <w:t></w:t>
      </w:r>
      <w:r w:rsidR="00DA756C" w:rsidRPr="00A71E3B">
        <w:rPr>
          <w:rFonts w:ascii="Book Antiqua" w:hAnsi="Book Antiqua" w:hint="eastAsia"/>
          <w:bCs/>
          <w:lang w:val="en-US" w:eastAsia="zh-CN"/>
        </w:rPr>
        <w:t xml:space="preserve"> </w:t>
      </w:r>
      <w:r w:rsidRPr="00A71E3B">
        <w:rPr>
          <w:rFonts w:ascii="Book Antiqua" w:hAnsi="Book Antiqua"/>
          <w:lang w:val="en-US"/>
        </w:rPr>
        <w:t xml:space="preserve">agents. Leroy </w:t>
      </w:r>
      <w:r w:rsidRPr="00A71E3B">
        <w:rPr>
          <w:rFonts w:ascii="Book Antiqua" w:hAnsi="Book Antiqua"/>
          <w:i/>
          <w:lang w:val="en-US"/>
        </w:rPr>
        <w:t>et al</w:t>
      </w:r>
      <w:r w:rsidRPr="00A71E3B">
        <w:rPr>
          <w:rFonts w:ascii="Book Antiqua" w:hAnsi="Book Antiqua"/>
          <w:vertAlign w:val="superscript"/>
          <w:lang w:val="en-US"/>
        </w:rPr>
        <w:t>[69]</w:t>
      </w:r>
      <w:r w:rsidRPr="00A71E3B">
        <w:rPr>
          <w:rFonts w:ascii="Book Antiqua" w:hAnsi="Book Antiqua"/>
          <w:lang w:val="en-US"/>
        </w:rPr>
        <w:t xml:space="preserve"> reported a favorable outcome (complete remission) for a 15-year-old patient with recurrent FSGS that was presumably resistant to other treatments (increased immunosuppressant dose, PE, intravenous immunoglobulin, high dose steroids, </w:t>
      </w:r>
      <w:proofErr w:type="spellStart"/>
      <w:r w:rsidRPr="00A71E3B">
        <w:rPr>
          <w:rFonts w:ascii="Book Antiqua" w:hAnsi="Book Antiqua"/>
          <w:lang w:val="en-US"/>
        </w:rPr>
        <w:t>CyA</w:t>
      </w:r>
      <w:proofErr w:type="spellEnd"/>
      <w:r w:rsidRPr="00A71E3B">
        <w:rPr>
          <w:rFonts w:ascii="Book Antiqua" w:hAnsi="Book Antiqua"/>
          <w:lang w:val="en-US"/>
        </w:rPr>
        <w:t>, and CYC) after administration of an anti-TNF</w:t>
      </w:r>
      <w:r w:rsidR="002F61DF" w:rsidRPr="00A71E3B">
        <w:rPr>
          <w:rFonts w:ascii="Book Antiqua" w:hAnsi="Book Antiqua" w:hint="eastAsia"/>
          <w:lang w:val="en-US" w:eastAsia="zh-CN"/>
        </w:rPr>
        <w:t>-</w:t>
      </w:r>
      <w:r w:rsidR="002F61DF" w:rsidRPr="00A71E3B">
        <w:rPr>
          <w:rFonts w:ascii="Book Antiqua" w:hAnsi="Book Antiqua"/>
          <w:bCs/>
          <w:lang w:val="en-US"/>
        </w:rPr>
        <w:t></w:t>
      </w:r>
      <w:r w:rsidRPr="00A71E3B">
        <w:rPr>
          <w:rFonts w:ascii="Book Antiqua" w:hAnsi="Book Antiqua"/>
          <w:lang w:val="en-US"/>
        </w:rPr>
        <w:t xml:space="preserve"> blocker (firstly infliximab, then </w:t>
      </w:r>
      <w:proofErr w:type="spellStart"/>
      <w:r w:rsidRPr="00A71E3B">
        <w:rPr>
          <w:rFonts w:ascii="Book Antiqua" w:hAnsi="Book Antiqua"/>
          <w:lang w:val="en-US"/>
        </w:rPr>
        <w:t>etanercept</w:t>
      </w:r>
      <w:proofErr w:type="spellEnd"/>
      <w:r w:rsidRPr="00A71E3B">
        <w:rPr>
          <w:rFonts w:ascii="Book Antiqua" w:hAnsi="Book Antiqua"/>
          <w:lang w:val="en-US"/>
        </w:rPr>
        <w:t xml:space="preserve">). </w:t>
      </w:r>
      <w:proofErr w:type="spellStart"/>
      <w:r w:rsidRPr="00A71E3B">
        <w:rPr>
          <w:rFonts w:ascii="Book Antiqua" w:hAnsi="Book Antiqua"/>
          <w:lang w:val="en-US"/>
        </w:rPr>
        <w:t>Bitzan</w:t>
      </w:r>
      <w:proofErr w:type="spellEnd"/>
      <w:r w:rsidRPr="00A71E3B">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70]</w:t>
      </w:r>
      <w:r w:rsidRPr="00A71E3B">
        <w:rPr>
          <w:rFonts w:ascii="Book Antiqua" w:hAnsi="Book Antiqua"/>
          <w:lang w:val="en-US"/>
        </w:rPr>
        <w:t xml:space="preserve"> showed that plasmapheresis effluent or fresh plasma (obtained from a child with recurrent FSGS and from two children with primary FSGS) caused cytoskeleton disturbance on podocyte culture. In detail, the plasma from the patient with FSGS recurrence activated </w:t>
      </w:r>
      <w:r w:rsidRPr="00A71E3B">
        <w:rPr>
          <w:rFonts w:ascii="Book Antiqua" w:hAnsi="Book Antiqua"/>
          <w:lang w:val="en-US"/>
        </w:rPr>
        <w:t xml:space="preserve">3 integrin and dispersed focal adhesion complexes, and this effect was reversed by pre-incubation with antibodies against </w:t>
      </w:r>
      <w:r w:rsidRPr="00A71E3B">
        <w:rPr>
          <w:rFonts w:ascii="Book Antiqua" w:hAnsi="Book Antiqua" w:cs="Arial"/>
        </w:rPr>
        <w:t>TNF-</w:t>
      </w:r>
      <w:r w:rsidR="00A71E3B" w:rsidRPr="00DA756C">
        <w:rPr>
          <w:rFonts w:ascii="Book Antiqua" w:hAnsi="Book Antiqua"/>
          <w:bCs/>
          <w:lang w:val="en-US"/>
        </w:rPr>
        <w:t></w:t>
      </w:r>
      <w:r w:rsidRPr="00A71E3B">
        <w:rPr>
          <w:rFonts w:ascii="Book Antiqua" w:hAnsi="Book Antiqua" w:cs="Arial"/>
        </w:rPr>
        <w:t xml:space="preserve"> or either of the two TNF-</w:t>
      </w:r>
      <w:r w:rsidR="00A71E3B" w:rsidRPr="00DA756C">
        <w:rPr>
          <w:rFonts w:ascii="Book Antiqua" w:hAnsi="Book Antiqua"/>
          <w:bCs/>
          <w:lang w:val="en-US"/>
        </w:rPr>
        <w:t></w:t>
      </w:r>
      <w:r w:rsidRPr="00A71E3B">
        <w:rPr>
          <w:rFonts w:ascii="Book Antiqua" w:hAnsi="Book Antiqua" w:cs="Arial"/>
        </w:rPr>
        <w:t xml:space="preserve"> receptors. </w:t>
      </w:r>
      <w:r w:rsidRPr="00A71E3B">
        <w:rPr>
          <w:rFonts w:ascii="Book Antiqua" w:hAnsi="Book Antiqua"/>
          <w:lang w:val="en-US"/>
        </w:rPr>
        <w:t xml:space="preserve">Following this study’s observation, the patient who was plasma resistant was treated firstly with </w:t>
      </w:r>
      <w:proofErr w:type="spellStart"/>
      <w:r w:rsidRPr="00A71E3B">
        <w:rPr>
          <w:rFonts w:ascii="Book Antiqua" w:hAnsi="Book Antiqua"/>
          <w:lang w:val="en-US"/>
        </w:rPr>
        <w:t>Etanercept</w:t>
      </w:r>
      <w:proofErr w:type="spellEnd"/>
      <w:r w:rsidRPr="00A71E3B">
        <w:rPr>
          <w:rFonts w:ascii="Book Antiqua" w:hAnsi="Book Antiqua"/>
          <w:lang w:val="en-US"/>
        </w:rPr>
        <w:t xml:space="preserve"> and then with Infliximab, which ultimately led to partial remission of the disease.</w:t>
      </w:r>
    </w:p>
    <w:p w:rsidR="00B37BF3" w:rsidRPr="00A71E3B" w:rsidRDefault="00B37BF3" w:rsidP="00B30536">
      <w:pPr>
        <w:spacing w:line="360" w:lineRule="auto"/>
        <w:jc w:val="both"/>
        <w:rPr>
          <w:rFonts w:ascii="Book Antiqua" w:hAnsi="Book Antiqua"/>
          <w:b/>
          <w:lang w:val="en-US"/>
        </w:rPr>
      </w:pPr>
    </w:p>
    <w:p w:rsidR="00B37BF3" w:rsidRPr="00A71E3B" w:rsidRDefault="00B37BF3" w:rsidP="00B30536">
      <w:pPr>
        <w:spacing w:line="360" w:lineRule="auto"/>
        <w:jc w:val="both"/>
        <w:rPr>
          <w:rFonts w:ascii="Book Antiqua" w:hAnsi="Book Antiqua"/>
          <w:lang w:val="en-US"/>
        </w:rPr>
      </w:pPr>
      <w:r w:rsidRPr="00A71E3B">
        <w:rPr>
          <w:rFonts w:ascii="Book Antiqua" w:hAnsi="Book Antiqua"/>
          <w:b/>
          <w:lang w:val="en-US"/>
        </w:rPr>
        <w:t xml:space="preserve">NOVEL THERAPEUTIC OPTIONS </w:t>
      </w:r>
      <w:r w:rsidRPr="00A71E3B">
        <w:rPr>
          <w:rFonts w:ascii="Book Antiqua" w:hAnsi="Book Antiqua" w:cs="Arial"/>
          <w:lang w:val="en-US"/>
        </w:rPr>
        <w:br/>
      </w:r>
      <w:r w:rsidRPr="00A71E3B">
        <w:rPr>
          <w:rFonts w:ascii="Book Antiqua" w:hAnsi="Book Antiqua"/>
          <w:b/>
          <w:bCs/>
          <w:i/>
          <w:lang w:val="en-US"/>
        </w:rPr>
        <w:t>Rituximab</w:t>
      </w:r>
      <w:r w:rsidRPr="00A71E3B">
        <w:rPr>
          <w:rFonts w:ascii="Book Antiqua" w:hAnsi="Book Antiqua"/>
          <w:b/>
          <w:bCs/>
          <w:i/>
          <w:vertAlign w:val="superscript"/>
          <w:lang w:val="en-US"/>
        </w:rPr>
        <w:t>®</w:t>
      </w:r>
    </w:p>
    <w:p w:rsidR="00B37BF3" w:rsidRPr="00A71E3B" w:rsidRDefault="00B37BF3" w:rsidP="00B30536">
      <w:pPr>
        <w:spacing w:line="360" w:lineRule="auto"/>
        <w:jc w:val="both"/>
        <w:rPr>
          <w:rFonts w:ascii="Book Antiqua" w:hAnsi="Book Antiqua"/>
          <w:lang w:val="en-US"/>
        </w:rPr>
      </w:pPr>
      <w:r w:rsidRPr="00A71E3B">
        <w:rPr>
          <w:rFonts w:ascii="Book Antiqua" w:hAnsi="Book Antiqua"/>
          <w:lang w:val="en-US"/>
        </w:rPr>
        <w:t>Rituximab</w:t>
      </w:r>
      <w:r w:rsidRPr="00A71E3B">
        <w:rPr>
          <w:rFonts w:ascii="Book Antiqua" w:hAnsi="Book Antiqua"/>
          <w:vertAlign w:val="superscript"/>
          <w:lang w:val="en-US"/>
        </w:rPr>
        <w:t>®</w:t>
      </w:r>
      <w:r w:rsidRPr="00A71E3B">
        <w:rPr>
          <w:rFonts w:ascii="Book Antiqua" w:hAnsi="Book Antiqua"/>
          <w:lang w:val="en-US"/>
        </w:rPr>
        <w:t xml:space="preserve"> is a chimeric monoclonal antibody that recognizes CD20 antigen on B lymphocytes. This agent has several unlabeled applications in the field of kidney transplantation; it has been successfully applied to reduce anti-donor ABO or HLA antibodies</w:t>
      </w:r>
      <w:r w:rsidRPr="00A71E3B">
        <w:rPr>
          <w:rFonts w:ascii="Book Antiqua" w:hAnsi="Book Antiqua"/>
          <w:vertAlign w:val="superscript"/>
          <w:lang w:val="en-US"/>
        </w:rPr>
        <w:t>[71]</w:t>
      </w:r>
      <w:r w:rsidRPr="00A71E3B">
        <w:rPr>
          <w:rFonts w:ascii="Book Antiqua" w:hAnsi="Book Antiqua"/>
          <w:lang w:val="en-US"/>
        </w:rPr>
        <w:t xml:space="preserve"> and to treat acute humoral rejection of the graft</w:t>
      </w:r>
      <w:r w:rsidRPr="00A71E3B">
        <w:rPr>
          <w:rFonts w:ascii="Book Antiqua" w:hAnsi="Book Antiqua"/>
          <w:vertAlign w:val="superscript"/>
          <w:lang w:val="en-US"/>
        </w:rPr>
        <w:t>[72]</w:t>
      </w:r>
      <w:r w:rsidRPr="00A71E3B">
        <w:rPr>
          <w:rFonts w:ascii="Book Antiqua" w:hAnsi="Book Antiqua"/>
          <w:lang w:val="en-US"/>
        </w:rPr>
        <w:t xml:space="preserve">, </w:t>
      </w:r>
      <w:r w:rsidRPr="00A71E3B">
        <w:rPr>
          <w:rFonts w:ascii="Book Antiqua" w:hAnsi="Book Antiqua"/>
          <w:lang w:val="en-US"/>
        </w:rPr>
        <w:lastRenderedPageBreak/>
        <w:t>post-transplant lymphoproliferative diseases</w:t>
      </w:r>
      <w:r w:rsidRPr="00A71E3B">
        <w:rPr>
          <w:rFonts w:ascii="Book Antiqua" w:hAnsi="Book Antiqua"/>
          <w:vertAlign w:val="superscript"/>
          <w:lang w:val="en-US"/>
        </w:rPr>
        <w:t>[73]</w:t>
      </w:r>
      <w:r w:rsidRPr="00A71E3B">
        <w:rPr>
          <w:rFonts w:ascii="Book Antiqua" w:hAnsi="Book Antiqua"/>
          <w:lang w:val="en-US"/>
        </w:rPr>
        <w:t>, and also some recurrent/</w:t>
      </w:r>
      <w:r w:rsidRPr="00A71E3B">
        <w:rPr>
          <w:rFonts w:ascii="Book Antiqua" w:hAnsi="Book Antiqua"/>
          <w:i/>
          <w:iCs/>
          <w:lang w:val="en-US"/>
        </w:rPr>
        <w:t>de novo</w:t>
      </w:r>
      <w:r w:rsidRPr="00A71E3B">
        <w:rPr>
          <w:rFonts w:ascii="Book Antiqua" w:hAnsi="Book Antiqua"/>
          <w:lang w:val="en-US"/>
        </w:rPr>
        <w:t xml:space="preserve"> glomerulonephritis.</w:t>
      </w:r>
    </w:p>
    <w:p w:rsidR="00B37BF3" w:rsidRPr="00A71E3B" w:rsidRDefault="00B37BF3" w:rsidP="00A71E3B">
      <w:pPr>
        <w:spacing w:line="360" w:lineRule="auto"/>
        <w:ind w:firstLineChars="100" w:firstLine="240"/>
        <w:jc w:val="both"/>
        <w:rPr>
          <w:rFonts w:ascii="Book Antiqua" w:hAnsi="Book Antiqua"/>
          <w:lang w:val="en-US"/>
        </w:rPr>
      </w:pPr>
      <w:r w:rsidRPr="00A71E3B">
        <w:rPr>
          <w:rFonts w:ascii="Book Antiqua" w:hAnsi="Book Antiqua"/>
          <w:lang w:val="en-US"/>
        </w:rPr>
        <w:t>Rituximab</w:t>
      </w:r>
      <w:r w:rsidRPr="00A71E3B">
        <w:rPr>
          <w:rFonts w:ascii="Book Antiqua" w:hAnsi="Book Antiqua"/>
          <w:vertAlign w:val="superscript"/>
          <w:lang w:val="en-US"/>
        </w:rPr>
        <w:t>®</w:t>
      </w:r>
      <w:r w:rsidRPr="00A71E3B">
        <w:rPr>
          <w:rFonts w:ascii="Book Antiqua" w:hAnsi="Book Antiqua"/>
          <w:lang w:val="en-US"/>
        </w:rPr>
        <w:t xml:space="preserve"> treatment also has a long history of interest in its potential as a therapeutic option for idiopathic NS before and after transplantation. However, after the initial reports about its favorable use in FSGS recurrence were published in 2006 and 2007</w:t>
      </w:r>
      <w:r w:rsidRPr="00A71E3B">
        <w:rPr>
          <w:rFonts w:ascii="Book Antiqua" w:hAnsi="Book Antiqua"/>
          <w:vertAlign w:val="superscript"/>
          <w:lang w:val="en-US"/>
        </w:rPr>
        <w:t>[28,74,75]</w:t>
      </w:r>
      <w:r w:rsidRPr="00A71E3B">
        <w:rPr>
          <w:rFonts w:ascii="Book Antiqua" w:hAnsi="Book Antiqua"/>
          <w:lang w:val="en-US"/>
        </w:rPr>
        <w:t>, conflicting results were reported by other studies in the literature. Currently, Rituximab</w:t>
      </w:r>
      <w:r w:rsidRPr="00A71E3B">
        <w:rPr>
          <w:rFonts w:ascii="Book Antiqua" w:hAnsi="Book Antiqua"/>
          <w:vertAlign w:val="superscript"/>
          <w:lang w:val="en-US"/>
        </w:rPr>
        <w:t>®</w:t>
      </w:r>
      <w:r w:rsidRPr="00A71E3B">
        <w:rPr>
          <w:rFonts w:ascii="Book Antiqua" w:hAnsi="Book Antiqua"/>
          <w:lang w:val="en-US"/>
        </w:rPr>
        <w:t xml:space="preserve"> may be adopted as a preventive therapeutic approach to reduce FSGS recurrence rate, or as a treatment of FSGS recurrence.</w:t>
      </w:r>
    </w:p>
    <w:p w:rsidR="00B37BF3" w:rsidRPr="00A71E3B" w:rsidRDefault="00B37BF3" w:rsidP="00A71E3B">
      <w:pPr>
        <w:suppressAutoHyphens w:val="0"/>
        <w:autoSpaceDE w:val="0"/>
        <w:spacing w:line="360" w:lineRule="auto"/>
        <w:ind w:firstLineChars="100" w:firstLine="240"/>
        <w:jc w:val="both"/>
        <w:rPr>
          <w:rFonts w:ascii="Book Antiqua" w:hAnsi="Book Antiqua"/>
          <w:lang w:val="en-US"/>
        </w:rPr>
      </w:pPr>
      <w:r w:rsidRPr="00A71E3B">
        <w:rPr>
          <w:rFonts w:ascii="Book Antiqua" w:hAnsi="Book Antiqua"/>
          <w:lang w:val="en-US"/>
        </w:rPr>
        <w:t>The use of Rituximab</w:t>
      </w:r>
      <w:r w:rsidRPr="00A71E3B">
        <w:rPr>
          <w:rFonts w:ascii="Book Antiqua" w:hAnsi="Book Antiqua"/>
          <w:vertAlign w:val="superscript"/>
          <w:lang w:val="en-US"/>
        </w:rPr>
        <w:t>®</w:t>
      </w:r>
      <w:r w:rsidRPr="00A71E3B">
        <w:rPr>
          <w:rFonts w:ascii="Book Antiqua" w:hAnsi="Book Antiqua"/>
          <w:lang w:val="en-US"/>
        </w:rPr>
        <w:t xml:space="preserve"> as a prevention strategy derives</w:t>
      </w:r>
      <w:r w:rsidR="00A71E3B">
        <w:rPr>
          <w:rFonts w:ascii="Book Antiqua" w:hAnsi="Book Antiqua"/>
          <w:lang w:val="en-US"/>
        </w:rPr>
        <w:t xml:space="preserve"> from two retrospective </w:t>
      </w:r>
      <w:proofErr w:type="gramStart"/>
      <w:r w:rsidR="00A71E3B">
        <w:rPr>
          <w:rFonts w:ascii="Book Antiqua" w:hAnsi="Book Antiqua"/>
          <w:lang w:val="en-US"/>
        </w:rPr>
        <w:t>studies</w:t>
      </w:r>
      <w:r w:rsidRPr="00A71E3B">
        <w:rPr>
          <w:rFonts w:ascii="Book Antiqua" w:hAnsi="Book Antiqua"/>
          <w:vertAlign w:val="superscript"/>
          <w:lang w:val="en-US"/>
        </w:rPr>
        <w:t>[</w:t>
      </w:r>
      <w:proofErr w:type="gramEnd"/>
      <w:r w:rsidRPr="00A71E3B">
        <w:rPr>
          <w:rFonts w:ascii="Book Antiqua" w:hAnsi="Book Antiqua"/>
          <w:vertAlign w:val="superscript"/>
          <w:lang w:val="en-US"/>
        </w:rPr>
        <w:t>21,76]</w:t>
      </w:r>
      <w:r w:rsidRPr="00A71E3B">
        <w:rPr>
          <w:rFonts w:ascii="Book Antiqua" w:hAnsi="Book Antiqua"/>
          <w:lang w:val="en-US"/>
        </w:rPr>
        <w:t xml:space="preserve">. In the first, </w:t>
      </w:r>
      <w:proofErr w:type="spellStart"/>
      <w:r w:rsidRPr="00A71E3B">
        <w:rPr>
          <w:rFonts w:ascii="Book Antiqua" w:hAnsi="Book Antiqua"/>
          <w:lang w:val="en-US"/>
        </w:rPr>
        <w:t>Fornoni</w:t>
      </w:r>
      <w:proofErr w:type="spellEnd"/>
      <w:r w:rsidRPr="00A71E3B">
        <w:rPr>
          <w:rFonts w:ascii="Book Antiqua" w:hAnsi="Book Antiqua"/>
          <w:lang w:val="en-US"/>
        </w:rPr>
        <w:t xml:space="preserve"> </w:t>
      </w:r>
      <w:r w:rsidR="00211724">
        <w:rPr>
          <w:rFonts w:ascii="Book Antiqua" w:hAnsi="Book Antiqua" w:hint="eastAsia"/>
          <w:i/>
          <w:lang w:val="en-US" w:eastAsia="zh-CN"/>
        </w:rPr>
        <w:t>et al</w:t>
      </w:r>
      <w:r w:rsidRPr="00A71E3B">
        <w:rPr>
          <w:rFonts w:ascii="Book Antiqua" w:hAnsi="Book Antiqua"/>
          <w:vertAlign w:val="superscript"/>
          <w:lang w:val="en-US"/>
        </w:rPr>
        <w:t>[21]</w:t>
      </w:r>
      <w:r w:rsidRPr="00A71E3B">
        <w:rPr>
          <w:rFonts w:ascii="Book Antiqua" w:hAnsi="Book Antiqua"/>
          <w:lang w:val="en-US"/>
        </w:rPr>
        <w:t xml:space="preserve"> investigated 27 kidney transplanted patients at high risk for FSGS recurrence and showed that use of Rituximab</w:t>
      </w:r>
      <w:r w:rsidRPr="00A71E3B">
        <w:rPr>
          <w:rFonts w:ascii="Book Antiqua" w:hAnsi="Book Antiqua"/>
          <w:vertAlign w:val="superscript"/>
          <w:lang w:val="en-US"/>
        </w:rPr>
        <w:t>®</w:t>
      </w:r>
      <w:r w:rsidRPr="00A71E3B">
        <w:rPr>
          <w:rFonts w:ascii="Book Antiqua" w:hAnsi="Book Antiqua"/>
          <w:lang w:val="en-US"/>
        </w:rPr>
        <w:t xml:space="preserve"> in the perioperative period (375 mg/m</w:t>
      </w:r>
      <w:r w:rsidRPr="00A71E3B">
        <w:rPr>
          <w:rFonts w:ascii="Book Antiqua" w:hAnsi="Book Antiqua"/>
          <w:vertAlign w:val="superscript"/>
          <w:lang w:val="en-US"/>
        </w:rPr>
        <w:t>2</w:t>
      </w:r>
      <w:r w:rsidRPr="00A71E3B">
        <w:rPr>
          <w:rFonts w:ascii="Book Antiqua" w:hAnsi="Book Antiqua"/>
          <w:lang w:val="en-US"/>
        </w:rPr>
        <w:t xml:space="preserve"> within 24 h after the kidney transplantation) was associated with a lower incidence of post-transplant proteinuria and with stabilization of GFR at the 12 </w:t>
      </w:r>
      <w:proofErr w:type="spellStart"/>
      <w:r w:rsidRPr="00A71E3B">
        <w:rPr>
          <w:rFonts w:ascii="Book Antiqua" w:hAnsi="Book Antiqua"/>
          <w:lang w:val="en-US"/>
        </w:rPr>
        <w:t>mo</w:t>
      </w:r>
      <w:proofErr w:type="spellEnd"/>
      <w:r w:rsidRPr="00A71E3B">
        <w:rPr>
          <w:rFonts w:ascii="Book Antiqua" w:hAnsi="Book Antiqua"/>
          <w:lang w:val="en-US"/>
        </w:rPr>
        <w:t xml:space="preserve"> follow-up. This study also demonstrated for the first time that Rituximab</w:t>
      </w:r>
      <w:r w:rsidRPr="00E978C4">
        <w:rPr>
          <w:rFonts w:ascii="Book Antiqua" w:hAnsi="Book Antiqua"/>
          <w:vertAlign w:val="superscript"/>
          <w:lang w:val="en-US"/>
        </w:rPr>
        <w:t>®</w:t>
      </w:r>
      <w:r w:rsidRPr="00A71E3B">
        <w:rPr>
          <w:rFonts w:ascii="Book Antiqua" w:hAnsi="Book Antiqua"/>
          <w:lang w:val="en-US"/>
        </w:rPr>
        <w:t xml:space="preserve"> operates in a B cell-independent manner; sera obtained from FSGS recurrent patients caused a down-regulation of SMLPD-3b, a protein involved in regulation of podocyte cytoskeleton, and this phenomenon was prevented by pre-treatment with Rituximab</w:t>
      </w:r>
      <w:r w:rsidRPr="00E978C4">
        <w:rPr>
          <w:rFonts w:ascii="Book Antiqua" w:hAnsi="Book Antiqua"/>
          <w:vertAlign w:val="superscript"/>
          <w:lang w:val="en-US"/>
        </w:rPr>
        <w:t>®</w:t>
      </w:r>
      <w:r w:rsidRPr="00A71E3B">
        <w:rPr>
          <w:rFonts w:ascii="Book Antiqua" w:hAnsi="Book Antiqua"/>
          <w:lang w:val="en-US"/>
        </w:rPr>
        <w:t xml:space="preserve"> through direct binding.</w:t>
      </w:r>
    </w:p>
    <w:p w:rsidR="00B37BF3" w:rsidRPr="00A71E3B" w:rsidRDefault="00B37BF3" w:rsidP="00E978C4">
      <w:pPr>
        <w:spacing w:line="360" w:lineRule="auto"/>
        <w:ind w:firstLineChars="100" w:firstLine="240"/>
        <w:jc w:val="both"/>
        <w:rPr>
          <w:rFonts w:ascii="Book Antiqua" w:hAnsi="Book Antiqua"/>
          <w:lang w:val="en-US"/>
        </w:rPr>
      </w:pPr>
      <w:proofErr w:type="spellStart"/>
      <w:r w:rsidRPr="00A71E3B">
        <w:rPr>
          <w:rFonts w:ascii="Book Antiqua" w:hAnsi="Book Antiqua"/>
          <w:lang w:val="en-US"/>
        </w:rPr>
        <w:t>Audard</w:t>
      </w:r>
      <w:proofErr w:type="spellEnd"/>
      <w:r w:rsidRPr="00A71E3B">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76]</w:t>
      </w:r>
      <w:r w:rsidRPr="00A71E3B">
        <w:rPr>
          <w:rFonts w:ascii="Book Antiqua" w:hAnsi="Book Antiqua"/>
          <w:lang w:val="en-US"/>
        </w:rPr>
        <w:t xml:space="preserve"> observed the absence of a clinical FSGS recurrence (not biopsy proven) in 4 patients who received Rituximab</w:t>
      </w:r>
      <w:r w:rsidRPr="00E978C4">
        <w:rPr>
          <w:rFonts w:ascii="Book Antiqua" w:hAnsi="Book Antiqua"/>
          <w:vertAlign w:val="superscript"/>
          <w:lang w:val="en-US"/>
        </w:rPr>
        <w:t>®</w:t>
      </w:r>
      <w:r w:rsidRPr="00A71E3B">
        <w:rPr>
          <w:rFonts w:ascii="Book Antiqua" w:hAnsi="Book Antiqua"/>
          <w:lang w:val="en-US"/>
        </w:rPr>
        <w:t xml:space="preserve"> (375 mg/m</w:t>
      </w:r>
      <w:r w:rsidRPr="00A71E3B">
        <w:rPr>
          <w:rFonts w:ascii="Book Antiqua" w:hAnsi="Book Antiqua"/>
          <w:vertAlign w:val="superscript"/>
          <w:lang w:val="en-US"/>
        </w:rPr>
        <w:t>2</w:t>
      </w:r>
      <w:r w:rsidRPr="00A71E3B">
        <w:rPr>
          <w:rFonts w:ascii="Book Antiqua" w:hAnsi="Book Antiqua"/>
          <w:lang w:val="en-US"/>
        </w:rPr>
        <w:t xml:space="preserve">) in their induction protocol for a second kidney transplant (first kidney lost due to a recurrent disease). Nevertheless, the short follow-up (12-54 </w:t>
      </w:r>
      <w:proofErr w:type="spellStart"/>
      <w:r w:rsidRPr="00A71E3B">
        <w:rPr>
          <w:rFonts w:ascii="Book Antiqua" w:hAnsi="Book Antiqua"/>
          <w:lang w:val="en-US"/>
        </w:rPr>
        <w:t>mo</w:t>
      </w:r>
      <w:proofErr w:type="spellEnd"/>
      <w:r w:rsidRPr="00A71E3B">
        <w:rPr>
          <w:rFonts w:ascii="Book Antiqua" w:hAnsi="Book Antiqua"/>
          <w:lang w:val="en-US"/>
        </w:rPr>
        <w:t>), the difference in Rituximab</w:t>
      </w:r>
      <w:r w:rsidRPr="00E978C4">
        <w:rPr>
          <w:rFonts w:ascii="Book Antiqua" w:hAnsi="Book Antiqua"/>
          <w:vertAlign w:val="superscript"/>
          <w:lang w:val="en-US"/>
        </w:rPr>
        <w:t>®</w:t>
      </w:r>
      <w:r w:rsidRPr="00A71E3B">
        <w:rPr>
          <w:rFonts w:ascii="Book Antiqua" w:hAnsi="Book Antiqua"/>
          <w:lang w:val="en-US"/>
        </w:rPr>
        <w:t xml:space="preserve"> schedule (a single administration in 2/4 patients and 2 doses in the other 2 patients), and PE adoption in 2/4 patients partially limit the significance of this uncontrolled study.</w:t>
      </w:r>
    </w:p>
    <w:p w:rsidR="00B37BF3" w:rsidRPr="00A71E3B" w:rsidRDefault="00B37BF3" w:rsidP="00E978C4">
      <w:pPr>
        <w:spacing w:line="360" w:lineRule="auto"/>
        <w:ind w:firstLineChars="100" w:firstLine="240"/>
        <w:jc w:val="both"/>
        <w:rPr>
          <w:rFonts w:ascii="Book Antiqua" w:hAnsi="Book Antiqua"/>
          <w:bCs/>
          <w:lang w:val="en-US"/>
        </w:rPr>
      </w:pPr>
      <w:r w:rsidRPr="00A71E3B">
        <w:rPr>
          <w:rFonts w:ascii="Book Antiqua" w:hAnsi="Book Antiqua"/>
          <w:lang w:val="en-US"/>
        </w:rPr>
        <w:t>To date, Rituximab</w:t>
      </w:r>
      <w:r w:rsidRPr="00E978C4">
        <w:rPr>
          <w:rFonts w:ascii="Book Antiqua" w:hAnsi="Book Antiqua"/>
          <w:vertAlign w:val="superscript"/>
          <w:lang w:val="en-US"/>
        </w:rPr>
        <w:t>®</w:t>
      </w:r>
      <w:r w:rsidRPr="00A71E3B">
        <w:rPr>
          <w:rFonts w:ascii="Book Antiqua" w:hAnsi="Book Antiqua"/>
          <w:lang w:val="en-US"/>
        </w:rPr>
        <w:t xml:space="preserve"> has been widely used, alone and in combination protocols, as a treatment for recurrent FSGS in cases of incomplete remission, PE dependence, or as a first-line therapy in specific patient subsets. Despite successful results having been </w:t>
      </w:r>
      <w:proofErr w:type="gramStart"/>
      <w:r w:rsidRPr="00A71E3B">
        <w:rPr>
          <w:rFonts w:ascii="Book Antiqua" w:hAnsi="Book Antiqua"/>
          <w:lang w:val="en-US"/>
        </w:rPr>
        <w:t>obtained</w:t>
      </w:r>
      <w:r w:rsidRPr="00A71E3B">
        <w:rPr>
          <w:rFonts w:ascii="Book Antiqua" w:hAnsi="Book Antiqua"/>
          <w:vertAlign w:val="superscript"/>
          <w:lang w:val="en-US"/>
        </w:rPr>
        <w:t>[</w:t>
      </w:r>
      <w:proofErr w:type="gramEnd"/>
      <w:r w:rsidRPr="00A71E3B">
        <w:rPr>
          <w:rFonts w:ascii="Book Antiqua" w:hAnsi="Book Antiqua"/>
          <w:vertAlign w:val="superscript"/>
          <w:lang w:val="en-US"/>
        </w:rPr>
        <w:t>77-86]</w:t>
      </w:r>
      <w:r w:rsidRPr="00A71E3B">
        <w:rPr>
          <w:rFonts w:ascii="Book Antiqua" w:hAnsi="Book Antiqua"/>
          <w:lang w:val="en-US"/>
        </w:rPr>
        <w:t>, other studies have shown a transient or even absent response to Rituximab</w:t>
      </w:r>
      <w:r w:rsidRPr="00E978C4">
        <w:rPr>
          <w:rFonts w:ascii="Book Antiqua" w:hAnsi="Book Antiqua"/>
          <w:vertAlign w:val="superscript"/>
          <w:lang w:val="en-US"/>
        </w:rPr>
        <w:t>®</w:t>
      </w:r>
      <w:r w:rsidR="00E978C4">
        <w:rPr>
          <w:rFonts w:ascii="Book Antiqua" w:hAnsi="Book Antiqua"/>
          <w:vertAlign w:val="superscript"/>
          <w:lang w:val="en-US"/>
        </w:rPr>
        <w:t>[62,</w:t>
      </w:r>
      <w:r w:rsidRPr="00A71E3B">
        <w:rPr>
          <w:rFonts w:ascii="Book Antiqua" w:hAnsi="Book Antiqua"/>
          <w:vertAlign w:val="superscript"/>
          <w:lang w:val="en-US"/>
        </w:rPr>
        <w:t>87-94]</w:t>
      </w:r>
      <w:r w:rsidRPr="00A71E3B">
        <w:rPr>
          <w:rFonts w:ascii="Book Antiqua" w:hAnsi="Book Antiqua"/>
          <w:b/>
          <w:bCs/>
          <w:lang w:val="en-US"/>
        </w:rPr>
        <w:t xml:space="preserve"> </w:t>
      </w:r>
      <w:r w:rsidRPr="00A71E3B">
        <w:rPr>
          <w:rFonts w:ascii="Book Antiqua" w:hAnsi="Book Antiqua"/>
          <w:bCs/>
          <w:lang w:val="en-US"/>
        </w:rPr>
        <w:t>(Table 1).</w:t>
      </w:r>
    </w:p>
    <w:p w:rsidR="00B37BF3" w:rsidRPr="00A71E3B" w:rsidRDefault="00B37BF3" w:rsidP="00B30536">
      <w:pPr>
        <w:spacing w:line="360" w:lineRule="auto"/>
        <w:jc w:val="both"/>
        <w:rPr>
          <w:rFonts w:ascii="Book Antiqua" w:hAnsi="Book Antiqua"/>
          <w:b/>
          <w:bCs/>
          <w:i/>
          <w:lang w:val="en-US"/>
        </w:rPr>
      </w:pPr>
    </w:p>
    <w:p w:rsidR="00B37BF3" w:rsidRPr="00A71E3B" w:rsidRDefault="00B37BF3" w:rsidP="00B30536">
      <w:pPr>
        <w:spacing w:line="360" w:lineRule="auto"/>
        <w:jc w:val="both"/>
        <w:rPr>
          <w:rFonts w:ascii="Book Antiqua" w:hAnsi="Book Antiqua"/>
          <w:lang w:val="en-US"/>
        </w:rPr>
      </w:pPr>
      <w:proofErr w:type="spellStart"/>
      <w:r w:rsidRPr="00A71E3B">
        <w:rPr>
          <w:rFonts w:ascii="Book Antiqua" w:hAnsi="Book Antiqua"/>
          <w:b/>
          <w:bCs/>
          <w:i/>
          <w:lang w:val="en-US"/>
        </w:rPr>
        <w:t>Abatacept</w:t>
      </w:r>
      <w:proofErr w:type="spellEnd"/>
    </w:p>
    <w:p w:rsidR="00B37BF3" w:rsidRPr="00A71E3B" w:rsidRDefault="00B37BF3" w:rsidP="00B30536">
      <w:pPr>
        <w:spacing w:line="360" w:lineRule="auto"/>
        <w:jc w:val="both"/>
        <w:rPr>
          <w:rFonts w:ascii="Book Antiqua" w:hAnsi="Book Antiqua"/>
          <w:lang w:val="en-US"/>
        </w:rPr>
      </w:pPr>
      <w:proofErr w:type="spellStart"/>
      <w:r w:rsidRPr="00A71E3B">
        <w:rPr>
          <w:rFonts w:ascii="Book Antiqua" w:hAnsi="Book Antiqua"/>
          <w:lang w:val="en-US"/>
        </w:rPr>
        <w:t>Abatacept</w:t>
      </w:r>
      <w:proofErr w:type="spellEnd"/>
      <w:r w:rsidRPr="00A71E3B">
        <w:rPr>
          <w:rFonts w:ascii="Book Antiqua" w:hAnsi="Book Antiqua"/>
          <w:lang w:val="en-US"/>
        </w:rPr>
        <w:t xml:space="preserve"> is a biologic agent, specifically the CTLA4-Ig recombinant fusion protein derived from the extracellular portion of CTLA4-Ig and genetically fixated to the high and constant portion of the IgG1 immunoglobulin. Its effect is exerted by interfering with lymphocyte co-stimulation</w:t>
      </w:r>
      <w:r w:rsidRPr="00A71E3B">
        <w:rPr>
          <w:rFonts w:ascii="Book Antiqua" w:hAnsi="Book Antiqua"/>
          <w:vertAlign w:val="superscript"/>
          <w:lang w:val="en-US"/>
        </w:rPr>
        <w:t>[95,96]</w:t>
      </w:r>
      <w:r w:rsidRPr="00A71E3B">
        <w:rPr>
          <w:rFonts w:ascii="Book Antiqua" w:hAnsi="Book Antiqua"/>
          <w:lang w:val="en-US"/>
        </w:rPr>
        <w:t xml:space="preserve"> upon binding to the APC protein ligands B71 (CD80) or B72 (CD86) and displacing their T cell counterpart or CD28</w:t>
      </w:r>
      <w:r w:rsidRPr="00A71E3B">
        <w:rPr>
          <w:rFonts w:ascii="Book Antiqua" w:hAnsi="Book Antiqua"/>
          <w:vertAlign w:val="superscript"/>
          <w:lang w:val="en-US"/>
        </w:rPr>
        <w:t>[97]</w:t>
      </w:r>
      <w:r w:rsidRPr="00A71E3B">
        <w:rPr>
          <w:rFonts w:ascii="Book Antiqua" w:hAnsi="Book Antiqua"/>
          <w:lang w:val="en-US"/>
        </w:rPr>
        <w:t xml:space="preserve">. In some experimental models of organ transplantation, the systemic administration of CTLA4-Ig effectively dampened the immune response, preventing experimental acute and chronic rejection and resulting in prolonged graft survival and </w:t>
      </w:r>
      <w:proofErr w:type="gramStart"/>
      <w:r w:rsidRPr="00A71E3B">
        <w:rPr>
          <w:rFonts w:ascii="Book Antiqua" w:hAnsi="Book Antiqua"/>
          <w:lang w:val="en-US"/>
        </w:rPr>
        <w:t>tolerance</w:t>
      </w:r>
      <w:r w:rsidRPr="00A71E3B">
        <w:rPr>
          <w:rFonts w:ascii="Book Antiqua" w:hAnsi="Book Antiqua"/>
          <w:vertAlign w:val="superscript"/>
          <w:lang w:val="en-US"/>
        </w:rPr>
        <w:t>[</w:t>
      </w:r>
      <w:proofErr w:type="gramEnd"/>
      <w:r w:rsidRPr="00A71E3B">
        <w:rPr>
          <w:rFonts w:ascii="Book Antiqua" w:hAnsi="Book Antiqua"/>
          <w:vertAlign w:val="superscript"/>
          <w:lang w:val="en-US"/>
        </w:rPr>
        <w:t>98-100]</w:t>
      </w:r>
      <w:r w:rsidRPr="00A71E3B">
        <w:rPr>
          <w:rFonts w:ascii="Book Antiqua" w:hAnsi="Book Antiqua"/>
          <w:lang w:val="en-US"/>
        </w:rPr>
        <w:t>. On the basis of these findings, different biological T cell co-stimulation blockers became the subject of clinical trials. A high affinity variant of CTLA4-Ig, named LEA29Y (</w:t>
      </w:r>
      <w:proofErr w:type="spellStart"/>
      <w:r w:rsidRPr="00A71E3B">
        <w:rPr>
          <w:rFonts w:ascii="Book Antiqua" w:hAnsi="Book Antiqua"/>
          <w:lang w:val="en-US"/>
        </w:rPr>
        <w:t>belatacept</w:t>
      </w:r>
      <w:proofErr w:type="spellEnd"/>
      <w:r w:rsidRPr="00A71E3B">
        <w:rPr>
          <w:rFonts w:ascii="Book Antiqua" w:hAnsi="Book Antiqua"/>
          <w:lang w:val="en-US"/>
        </w:rPr>
        <w:t xml:space="preserve">, </w:t>
      </w:r>
      <w:proofErr w:type="spellStart"/>
      <w:r w:rsidRPr="00A71E3B">
        <w:rPr>
          <w:rFonts w:ascii="Book Antiqua" w:hAnsi="Book Antiqua"/>
          <w:lang w:val="en-US"/>
        </w:rPr>
        <w:t>Nulojix</w:t>
      </w:r>
      <w:proofErr w:type="spellEnd"/>
      <w:r w:rsidRPr="00A71E3B">
        <w:rPr>
          <w:rFonts w:ascii="Book Antiqua" w:hAnsi="Book Antiqua"/>
          <w:vertAlign w:val="superscript"/>
          <w:lang w:val="en-US"/>
        </w:rPr>
        <w:t>®</w:t>
      </w:r>
      <w:r w:rsidRPr="00A71E3B">
        <w:rPr>
          <w:rFonts w:ascii="Book Antiqua" w:hAnsi="Book Antiqua"/>
          <w:lang w:val="en-US"/>
        </w:rPr>
        <w:t xml:space="preserve">; Bristol-Myers Squibb Pharma, Uxbridge, United Kingdom), has been developed and was awarded approval by the Federal Drug Administration (FDA) in 2011 for prophylactic use for organ rejection in adult kidney </w:t>
      </w:r>
      <w:proofErr w:type="gramStart"/>
      <w:r w:rsidRPr="00A71E3B">
        <w:rPr>
          <w:rFonts w:ascii="Book Antiqua" w:hAnsi="Book Antiqua"/>
          <w:lang w:val="en-US"/>
        </w:rPr>
        <w:t>recipients</w:t>
      </w:r>
      <w:r w:rsidRPr="00A71E3B">
        <w:rPr>
          <w:rFonts w:ascii="Book Antiqua" w:hAnsi="Book Antiqua"/>
          <w:vertAlign w:val="superscript"/>
          <w:lang w:val="en-US"/>
        </w:rPr>
        <w:t>[</w:t>
      </w:r>
      <w:proofErr w:type="gramEnd"/>
      <w:r w:rsidRPr="00A71E3B">
        <w:rPr>
          <w:rFonts w:ascii="Book Antiqua" w:hAnsi="Book Antiqua"/>
          <w:vertAlign w:val="superscript"/>
          <w:lang w:val="en-US"/>
        </w:rPr>
        <w:t>101]</w:t>
      </w:r>
      <w:r w:rsidRPr="00A71E3B">
        <w:rPr>
          <w:rFonts w:ascii="Book Antiqua" w:hAnsi="Book Antiqua"/>
          <w:lang w:val="en-US"/>
        </w:rPr>
        <w:t>.</w:t>
      </w:r>
    </w:p>
    <w:p w:rsidR="00B37BF3" w:rsidRPr="00A71E3B" w:rsidRDefault="00B37BF3" w:rsidP="00D63E96">
      <w:pPr>
        <w:spacing w:line="360" w:lineRule="auto"/>
        <w:ind w:firstLineChars="100" w:firstLine="240"/>
        <w:jc w:val="both"/>
        <w:rPr>
          <w:rFonts w:ascii="Book Antiqua" w:hAnsi="Book Antiqua"/>
          <w:lang w:val="en-US"/>
        </w:rPr>
      </w:pPr>
      <w:proofErr w:type="spellStart"/>
      <w:r w:rsidRPr="00A71E3B">
        <w:rPr>
          <w:rFonts w:ascii="Book Antiqua" w:hAnsi="Book Antiqua"/>
          <w:lang w:val="en-US"/>
        </w:rPr>
        <w:t>Abatacept</w:t>
      </w:r>
      <w:proofErr w:type="spellEnd"/>
      <w:r w:rsidRPr="00A71E3B">
        <w:rPr>
          <w:rFonts w:ascii="Book Antiqua" w:hAnsi="Book Antiqua"/>
          <w:lang w:val="en-US"/>
        </w:rPr>
        <w:t xml:space="preserve"> was approved by the FDA in 2005 for the treatment of rheumatoid arthritis and active juvenile idiopathic </w:t>
      </w:r>
      <w:proofErr w:type="gramStart"/>
      <w:r w:rsidRPr="00A71E3B">
        <w:rPr>
          <w:rFonts w:ascii="Book Antiqua" w:hAnsi="Book Antiqua"/>
          <w:lang w:val="en-US"/>
        </w:rPr>
        <w:t>arthritis</w:t>
      </w:r>
      <w:r w:rsidRPr="00A71E3B">
        <w:rPr>
          <w:rFonts w:ascii="Book Antiqua" w:hAnsi="Book Antiqua"/>
          <w:vertAlign w:val="superscript"/>
          <w:lang w:val="en-US"/>
        </w:rPr>
        <w:t>[</w:t>
      </w:r>
      <w:proofErr w:type="gramEnd"/>
      <w:r w:rsidRPr="00A71E3B">
        <w:rPr>
          <w:rFonts w:ascii="Book Antiqua" w:hAnsi="Book Antiqua"/>
          <w:vertAlign w:val="superscript"/>
          <w:lang w:val="en-US"/>
        </w:rPr>
        <w:t>102]</w:t>
      </w:r>
      <w:r w:rsidRPr="00A71E3B">
        <w:rPr>
          <w:rFonts w:ascii="Book Antiqua" w:hAnsi="Book Antiqua"/>
          <w:lang w:val="en-US"/>
        </w:rPr>
        <w:t xml:space="preserve">, and quite recently has been proposed as a new treatment strategy for FSGS recurrence. Yu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103]</w:t>
      </w:r>
      <w:r w:rsidRPr="00A71E3B">
        <w:rPr>
          <w:rFonts w:ascii="Book Antiqua" w:hAnsi="Book Antiqua"/>
          <w:lang w:val="en-US"/>
        </w:rPr>
        <w:t xml:space="preserve"> reported a positive outcome in 4 patients (2 children) affected by early and Rituximab</w:t>
      </w:r>
      <w:r w:rsidRPr="00D63E96">
        <w:rPr>
          <w:rFonts w:ascii="Book Antiqua" w:hAnsi="Book Antiqua"/>
          <w:vertAlign w:val="superscript"/>
          <w:lang w:val="en-US"/>
        </w:rPr>
        <w:t>®</w:t>
      </w:r>
      <w:r w:rsidRPr="00A71E3B">
        <w:rPr>
          <w:rFonts w:ascii="Book Antiqua" w:hAnsi="Book Antiqua"/>
          <w:lang w:val="en-US"/>
        </w:rPr>
        <w:t xml:space="preserve">-resistant FSGS recurrence and in 1 patient with glucocorticoid-resistant primary FSGS on native kidneys. All these patients received </w:t>
      </w:r>
      <w:proofErr w:type="spellStart"/>
      <w:r w:rsidRPr="00A71E3B">
        <w:rPr>
          <w:rFonts w:ascii="Book Antiqua" w:hAnsi="Book Antiqua"/>
          <w:lang w:val="en-US"/>
        </w:rPr>
        <w:t>abatacept</w:t>
      </w:r>
      <w:proofErr w:type="spellEnd"/>
      <w:r w:rsidRPr="00A71E3B">
        <w:rPr>
          <w:rFonts w:ascii="Book Antiqua" w:hAnsi="Book Antiqua"/>
          <w:lang w:val="en-US"/>
        </w:rPr>
        <w:t xml:space="preserve">, at a dose between 250 mg/d and 500 mg/d, the most commonly used dose for rheumatoid arthritis treatment. Before using </w:t>
      </w:r>
      <w:proofErr w:type="spellStart"/>
      <w:r w:rsidRPr="00A71E3B">
        <w:rPr>
          <w:rFonts w:ascii="Book Antiqua" w:hAnsi="Book Antiqua"/>
          <w:lang w:val="en-US"/>
        </w:rPr>
        <w:t>abatacept</w:t>
      </w:r>
      <w:proofErr w:type="spellEnd"/>
      <w:r w:rsidRPr="00A71E3B">
        <w:rPr>
          <w:rFonts w:ascii="Book Antiqua" w:hAnsi="Book Antiqua"/>
          <w:lang w:val="en-US"/>
        </w:rPr>
        <w:t xml:space="preserve">, PE sessions were also performed in all 4 patients with FSGS recurrence, while the patient with primary disease on native kidneys received an immunosuppressive treatment composed of prednisone and </w:t>
      </w:r>
      <w:proofErr w:type="spellStart"/>
      <w:r w:rsidRPr="00A71E3B">
        <w:rPr>
          <w:rFonts w:ascii="Book Antiqua" w:hAnsi="Book Antiqua"/>
          <w:lang w:val="en-US"/>
        </w:rPr>
        <w:t>CyA</w:t>
      </w:r>
      <w:proofErr w:type="spellEnd"/>
      <w:r w:rsidRPr="00A71E3B">
        <w:rPr>
          <w:rFonts w:ascii="Book Antiqua" w:hAnsi="Book Antiqua"/>
          <w:lang w:val="en-US"/>
        </w:rPr>
        <w:t xml:space="preserve">, with tacrolimus applied as a second line therapy. All patients achieved and maintained a significant proteinuria regression after 10-48 </w:t>
      </w:r>
      <w:proofErr w:type="spellStart"/>
      <w:proofErr w:type="gramStart"/>
      <w:r w:rsidRPr="00A71E3B">
        <w:rPr>
          <w:rFonts w:ascii="Book Antiqua" w:hAnsi="Book Antiqua"/>
          <w:lang w:val="en-US"/>
        </w:rPr>
        <w:t>mo</w:t>
      </w:r>
      <w:proofErr w:type="spellEnd"/>
      <w:proofErr w:type="gramEnd"/>
      <w:r w:rsidRPr="00A71E3B">
        <w:rPr>
          <w:rFonts w:ascii="Book Antiqua" w:hAnsi="Book Antiqua"/>
          <w:lang w:val="en-US"/>
        </w:rPr>
        <w:t xml:space="preserve"> of follow-up. The authors suggested that this response was directly correlated with the B71-positive immuno-stained podocytes found in the kidney-biopsy </w:t>
      </w:r>
      <w:r w:rsidRPr="00A71E3B">
        <w:rPr>
          <w:rFonts w:ascii="Book Antiqua" w:hAnsi="Book Antiqua"/>
          <w:lang w:val="en-US"/>
        </w:rPr>
        <w:lastRenderedPageBreak/>
        <w:t xml:space="preserve">specimens, because B71 may be expressed on the podocyte surface in some </w:t>
      </w:r>
      <w:proofErr w:type="spellStart"/>
      <w:r w:rsidRPr="00A71E3B">
        <w:rPr>
          <w:rFonts w:ascii="Book Antiqua" w:hAnsi="Book Antiqua"/>
          <w:lang w:val="en-US"/>
        </w:rPr>
        <w:t>proteinuric</w:t>
      </w:r>
      <w:proofErr w:type="spellEnd"/>
      <w:r w:rsidRPr="00A71E3B">
        <w:rPr>
          <w:rFonts w:ascii="Book Antiqua" w:hAnsi="Book Antiqua"/>
          <w:lang w:val="en-US"/>
        </w:rPr>
        <w:t xml:space="preserve"> conditions such as FSGS, thereby altering cytoskeleton organization, a condition that is known to be abrogated by </w:t>
      </w:r>
      <w:proofErr w:type="spellStart"/>
      <w:r w:rsidRPr="00A71E3B">
        <w:rPr>
          <w:rFonts w:ascii="Book Antiqua" w:hAnsi="Book Antiqua"/>
          <w:lang w:val="en-US"/>
        </w:rPr>
        <w:t>abatacept</w:t>
      </w:r>
      <w:proofErr w:type="spellEnd"/>
      <w:r w:rsidRPr="00A71E3B">
        <w:rPr>
          <w:rFonts w:ascii="Book Antiqua" w:hAnsi="Book Antiqua"/>
          <w:lang w:val="en-US"/>
        </w:rPr>
        <w:t>.</w:t>
      </w:r>
    </w:p>
    <w:p w:rsidR="00B37BF3" w:rsidRPr="00A71E3B" w:rsidRDefault="00B37BF3" w:rsidP="00D63E96">
      <w:pPr>
        <w:spacing w:line="360" w:lineRule="auto"/>
        <w:ind w:firstLineChars="100" w:firstLine="240"/>
        <w:jc w:val="both"/>
        <w:rPr>
          <w:rFonts w:ascii="Book Antiqua" w:hAnsi="Book Antiqua"/>
          <w:b/>
          <w:bCs/>
          <w:lang w:val="en-US"/>
        </w:rPr>
      </w:pPr>
      <w:r w:rsidRPr="00A71E3B">
        <w:rPr>
          <w:rFonts w:ascii="Book Antiqua" w:hAnsi="Book Antiqua"/>
          <w:lang w:val="en-US"/>
        </w:rPr>
        <w:t>Nevertheless, other studies of patients with FSGS recurrence have shown a slight/absent response after treatment with CTLA4-</w:t>
      </w:r>
      <w:proofErr w:type="gramStart"/>
      <w:r w:rsidRPr="00A71E3B">
        <w:rPr>
          <w:rFonts w:ascii="Book Antiqua" w:hAnsi="Book Antiqua"/>
          <w:lang w:val="en-US"/>
        </w:rPr>
        <w:t>Ig</w:t>
      </w:r>
      <w:r w:rsidRPr="00A71E3B">
        <w:rPr>
          <w:rFonts w:ascii="Book Antiqua" w:hAnsi="Book Antiqua"/>
          <w:vertAlign w:val="superscript"/>
          <w:lang w:val="en-US"/>
        </w:rPr>
        <w:t>[</w:t>
      </w:r>
      <w:proofErr w:type="gramEnd"/>
      <w:r w:rsidRPr="00A71E3B">
        <w:rPr>
          <w:rFonts w:ascii="Book Antiqua" w:hAnsi="Book Antiqua"/>
          <w:vertAlign w:val="superscript"/>
          <w:lang w:val="en-US"/>
        </w:rPr>
        <w:t>104-107]</w:t>
      </w:r>
      <w:r w:rsidRPr="00A71E3B">
        <w:rPr>
          <w:rFonts w:ascii="Book Antiqua" w:hAnsi="Book Antiqua"/>
          <w:lang w:val="en-US"/>
        </w:rPr>
        <w:t xml:space="preserve">, despite the fact that in some of these cases </w:t>
      </w:r>
      <w:proofErr w:type="spellStart"/>
      <w:r w:rsidRPr="00A71E3B">
        <w:rPr>
          <w:rFonts w:ascii="Book Antiqua" w:hAnsi="Book Antiqua"/>
          <w:lang w:val="en-US"/>
        </w:rPr>
        <w:t>belatacept</w:t>
      </w:r>
      <w:proofErr w:type="spellEnd"/>
      <w:r w:rsidRPr="00A71E3B">
        <w:rPr>
          <w:rFonts w:ascii="Book Antiqua" w:hAnsi="Book Antiqua"/>
          <w:lang w:val="en-US"/>
        </w:rPr>
        <w:t xml:space="preserve"> (able to bind B71 with an higher affinity than </w:t>
      </w:r>
      <w:proofErr w:type="spellStart"/>
      <w:r w:rsidRPr="00A71E3B">
        <w:rPr>
          <w:rFonts w:ascii="Book Antiqua" w:hAnsi="Book Antiqua"/>
          <w:lang w:val="en-US"/>
        </w:rPr>
        <w:t>abatacept</w:t>
      </w:r>
      <w:proofErr w:type="spellEnd"/>
      <w:r w:rsidRPr="00A71E3B">
        <w:rPr>
          <w:rFonts w:ascii="Book Antiqua" w:hAnsi="Book Antiqua"/>
          <w:lang w:val="en-US"/>
        </w:rPr>
        <w:t xml:space="preserve">) was adopted. </w:t>
      </w:r>
    </w:p>
    <w:p w:rsidR="00B37BF3" w:rsidRPr="00A71E3B" w:rsidRDefault="00B37BF3" w:rsidP="00B30536">
      <w:pPr>
        <w:spacing w:line="360" w:lineRule="auto"/>
        <w:jc w:val="both"/>
        <w:rPr>
          <w:rFonts w:ascii="Book Antiqua" w:hAnsi="Book Antiqua"/>
          <w:b/>
          <w:bCs/>
          <w:lang w:val="en-US"/>
        </w:rPr>
      </w:pPr>
    </w:p>
    <w:p w:rsidR="00B37BF3" w:rsidRPr="00A71E3B" w:rsidRDefault="00B37BF3" w:rsidP="00B30536">
      <w:pPr>
        <w:spacing w:line="360" w:lineRule="auto"/>
        <w:jc w:val="both"/>
        <w:rPr>
          <w:rFonts w:ascii="Book Antiqua" w:hAnsi="Book Antiqua"/>
          <w:i/>
          <w:lang w:val="en-US"/>
        </w:rPr>
      </w:pPr>
      <w:r w:rsidRPr="00A71E3B">
        <w:rPr>
          <w:rFonts w:ascii="Book Antiqua" w:hAnsi="Book Antiqua"/>
          <w:b/>
          <w:bCs/>
          <w:i/>
          <w:lang w:val="en-US"/>
        </w:rPr>
        <w:t>Human allogeneic bone marrow mesenchymal stem cells</w:t>
      </w:r>
    </w:p>
    <w:p w:rsidR="00B37BF3" w:rsidRPr="00A71E3B" w:rsidRDefault="00B37BF3" w:rsidP="00B30536">
      <w:pPr>
        <w:spacing w:line="360" w:lineRule="auto"/>
        <w:jc w:val="both"/>
        <w:rPr>
          <w:rFonts w:ascii="Book Antiqua" w:hAnsi="Book Antiqua"/>
          <w:lang w:val="en-US"/>
        </w:rPr>
      </w:pPr>
      <w:r w:rsidRPr="00A71E3B">
        <w:rPr>
          <w:rFonts w:ascii="Book Antiqua" w:hAnsi="Book Antiqua"/>
          <w:lang w:val="en-US"/>
        </w:rPr>
        <w:t>The use of</w:t>
      </w:r>
      <w:r w:rsidR="00D63E96" w:rsidRPr="00D63E96">
        <w:rPr>
          <w:rFonts w:ascii="Book Antiqua" w:hAnsi="Book Antiqua"/>
          <w:b/>
          <w:bCs/>
          <w:i/>
          <w:lang w:val="en-US"/>
        </w:rPr>
        <w:t xml:space="preserve"> </w:t>
      </w:r>
      <w:r w:rsidR="00D63E96" w:rsidRPr="00D63E96">
        <w:rPr>
          <w:rFonts w:ascii="Book Antiqua" w:hAnsi="Book Antiqua"/>
          <w:bCs/>
          <w:lang w:val="en-US"/>
        </w:rPr>
        <w:t>bone marrow mesenchymal stem cells (BM-MSCs)</w:t>
      </w:r>
      <w:r w:rsidRPr="00A71E3B">
        <w:rPr>
          <w:rFonts w:ascii="Book Antiqua" w:hAnsi="Book Antiqua"/>
          <w:lang w:val="en-US"/>
        </w:rPr>
        <w:t xml:space="preserve"> has been reported to reduce kidney injury in different experimental models of kidney </w:t>
      </w:r>
      <w:proofErr w:type="gramStart"/>
      <w:r w:rsidRPr="00A71E3B">
        <w:rPr>
          <w:rFonts w:ascii="Book Antiqua" w:hAnsi="Book Antiqua"/>
          <w:lang w:val="en-US"/>
        </w:rPr>
        <w:t>disease</w:t>
      </w:r>
      <w:r w:rsidRPr="00A71E3B">
        <w:rPr>
          <w:rFonts w:ascii="Book Antiqua" w:hAnsi="Book Antiqua"/>
          <w:vertAlign w:val="superscript"/>
          <w:lang w:val="en-US"/>
        </w:rPr>
        <w:t>[</w:t>
      </w:r>
      <w:proofErr w:type="gramEnd"/>
      <w:r w:rsidRPr="00A71E3B">
        <w:rPr>
          <w:rFonts w:ascii="Book Antiqua" w:hAnsi="Book Antiqua"/>
          <w:vertAlign w:val="superscript"/>
          <w:lang w:val="en-US"/>
        </w:rPr>
        <w:t>108-111]</w:t>
      </w:r>
      <w:r w:rsidRPr="00A71E3B">
        <w:rPr>
          <w:rFonts w:ascii="Book Antiqua" w:hAnsi="Book Antiqua"/>
          <w:lang w:val="en-US"/>
        </w:rPr>
        <w:t xml:space="preserve">. Ma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111]</w:t>
      </w:r>
      <w:r w:rsidRPr="00A71E3B">
        <w:rPr>
          <w:rFonts w:ascii="Book Antiqua" w:hAnsi="Book Antiqua"/>
          <w:lang w:val="en-US"/>
        </w:rPr>
        <w:t xml:space="preserve"> showed in a well-established murine model of FSGS (</w:t>
      </w:r>
      <w:proofErr w:type="spellStart"/>
      <w:r w:rsidRPr="00A71E3B">
        <w:rPr>
          <w:rFonts w:ascii="Book Antiqua" w:hAnsi="Book Antiqua"/>
          <w:lang w:val="en-US"/>
        </w:rPr>
        <w:t>adriamycin</w:t>
      </w:r>
      <w:proofErr w:type="spellEnd"/>
      <w:r w:rsidRPr="00A71E3B">
        <w:rPr>
          <w:rFonts w:ascii="Book Antiqua" w:hAnsi="Book Antiqua"/>
          <w:lang w:val="en-US"/>
        </w:rPr>
        <w:t xml:space="preserve"> nephropathy) that  human umbilical mesenchymal stem cells (</w:t>
      </w:r>
      <w:proofErr w:type="spellStart"/>
      <w:r w:rsidRPr="00A71E3B">
        <w:rPr>
          <w:rFonts w:ascii="Book Antiqua" w:hAnsi="Book Antiqua"/>
          <w:lang w:val="en-US"/>
        </w:rPr>
        <w:t>HuMSCs</w:t>
      </w:r>
      <w:proofErr w:type="spellEnd"/>
      <w:r w:rsidRPr="00A71E3B">
        <w:rPr>
          <w:rFonts w:ascii="Book Antiqua" w:hAnsi="Book Antiqua"/>
          <w:lang w:val="en-US"/>
        </w:rPr>
        <w:t xml:space="preserve">) may improve kidney fibrosis and modulate the inflammatory response. Recently, BM-MSCs have been demonstrated as effective treatment for a wide range of immuno-mediated </w:t>
      </w:r>
      <w:proofErr w:type="gramStart"/>
      <w:r w:rsidRPr="00A71E3B">
        <w:rPr>
          <w:rFonts w:ascii="Book Antiqua" w:hAnsi="Book Antiqua"/>
          <w:lang w:val="en-US"/>
        </w:rPr>
        <w:t>diseases</w:t>
      </w:r>
      <w:r w:rsidRPr="00A71E3B">
        <w:rPr>
          <w:rFonts w:ascii="Book Antiqua" w:hAnsi="Book Antiqua"/>
          <w:vertAlign w:val="superscript"/>
          <w:lang w:val="en-US"/>
        </w:rPr>
        <w:t>[</w:t>
      </w:r>
      <w:proofErr w:type="gramEnd"/>
      <w:r w:rsidRPr="00A71E3B">
        <w:rPr>
          <w:rFonts w:ascii="Book Antiqua" w:hAnsi="Book Antiqua"/>
          <w:vertAlign w:val="superscript"/>
          <w:lang w:val="en-US"/>
        </w:rPr>
        <w:t>112-114]</w:t>
      </w:r>
      <w:r w:rsidRPr="00A71E3B">
        <w:rPr>
          <w:rFonts w:ascii="Book Antiqua" w:hAnsi="Book Antiqua"/>
          <w:lang w:val="en-US"/>
        </w:rPr>
        <w:t>.</w:t>
      </w:r>
    </w:p>
    <w:p w:rsidR="00B37BF3" w:rsidRPr="00A71E3B" w:rsidRDefault="00B37BF3" w:rsidP="002F2987">
      <w:pPr>
        <w:spacing w:line="360" w:lineRule="auto"/>
        <w:ind w:firstLineChars="100" w:firstLine="240"/>
        <w:jc w:val="both"/>
        <w:rPr>
          <w:rFonts w:ascii="Book Antiqua" w:hAnsi="Book Antiqua"/>
          <w:b/>
          <w:bCs/>
          <w:lang w:val="en-US"/>
        </w:rPr>
      </w:pPr>
      <w:proofErr w:type="spellStart"/>
      <w:r w:rsidRPr="00A71E3B">
        <w:rPr>
          <w:rFonts w:ascii="Book Antiqua" w:hAnsi="Book Antiqua"/>
          <w:lang w:val="en-US"/>
        </w:rPr>
        <w:t>Belingheri</w:t>
      </w:r>
      <w:proofErr w:type="spellEnd"/>
      <w:r w:rsidRPr="00A71E3B">
        <w:rPr>
          <w:rFonts w:ascii="Book Antiqua" w:hAnsi="Book Antiqua"/>
          <w:lang w:val="en-US"/>
        </w:rPr>
        <w:t xml:space="preserve"> </w:t>
      </w:r>
      <w:r w:rsidRPr="00A71E3B">
        <w:rPr>
          <w:rFonts w:ascii="Book Antiqua" w:hAnsi="Book Antiqua"/>
          <w:i/>
          <w:lang w:val="en-US"/>
        </w:rPr>
        <w:t>et al</w:t>
      </w:r>
      <w:r w:rsidRPr="00A71E3B">
        <w:rPr>
          <w:rFonts w:ascii="Book Antiqua" w:hAnsi="Book Antiqua"/>
          <w:vertAlign w:val="superscript"/>
          <w:lang w:val="en-US"/>
        </w:rPr>
        <w:t>[115]</w:t>
      </w:r>
      <w:r w:rsidRPr="00A71E3B">
        <w:rPr>
          <w:rFonts w:ascii="Book Antiqua" w:hAnsi="Book Antiqua"/>
          <w:lang w:val="en-US"/>
        </w:rPr>
        <w:t xml:space="preserve"> reported successful application of their innovative approach with BM-MSCs in a 13-year-old kidney transplanted patient who had developed an immediate biopsy proven FSGS recurrence after renal transplantation and who was non-responsive to PE and Rituximab</w:t>
      </w:r>
      <w:r w:rsidRPr="002F2987">
        <w:rPr>
          <w:rFonts w:ascii="Book Antiqua" w:hAnsi="Book Antiqua"/>
          <w:vertAlign w:val="superscript"/>
          <w:lang w:val="en-US"/>
        </w:rPr>
        <w:t>®</w:t>
      </w:r>
      <w:r w:rsidRPr="00A71E3B">
        <w:rPr>
          <w:rFonts w:ascii="Book Antiqua" w:hAnsi="Book Antiqua"/>
          <w:lang w:val="en-US"/>
        </w:rPr>
        <w:t xml:space="preserve"> (2 doses). The patient had received allogeneic BM-MSCs infusions (6 doses, according to the most commonly adopted protocol for treatment of graft </w:t>
      </w:r>
      <w:r w:rsidR="00256FDF" w:rsidRPr="00256FDF">
        <w:rPr>
          <w:rFonts w:ascii="Book Antiqua" w:hAnsi="Book Antiqua"/>
          <w:i/>
          <w:lang w:val="en-US"/>
        </w:rPr>
        <w:t>vs</w:t>
      </w:r>
      <w:r w:rsidRPr="00A71E3B">
        <w:rPr>
          <w:rFonts w:ascii="Book Antiqua" w:hAnsi="Book Antiqua"/>
          <w:lang w:val="en-US"/>
        </w:rPr>
        <w:t xml:space="preserve"> host disease) at months 7, 10 and 14 after transplantation and at month 5 after Rituximab</w:t>
      </w:r>
      <w:r w:rsidRPr="002F2987">
        <w:rPr>
          <w:rFonts w:ascii="Book Antiqua" w:hAnsi="Book Antiqua"/>
          <w:vertAlign w:val="superscript"/>
          <w:lang w:val="en-US"/>
        </w:rPr>
        <w:t>®</w:t>
      </w:r>
      <w:r w:rsidRPr="00A71E3B">
        <w:rPr>
          <w:rFonts w:ascii="Book Antiqua" w:hAnsi="Book Antiqua"/>
          <w:lang w:val="en-US"/>
        </w:rPr>
        <w:t xml:space="preserve"> administration. Remission of proteinuria was achieved after three BM-MSCs infusions, and at the last follow-up (22 </w:t>
      </w:r>
      <w:proofErr w:type="spellStart"/>
      <w:r w:rsidRPr="00A71E3B">
        <w:rPr>
          <w:rFonts w:ascii="Book Antiqua" w:hAnsi="Book Antiqua"/>
          <w:lang w:val="en-US"/>
        </w:rPr>
        <w:t>mo</w:t>
      </w:r>
      <w:proofErr w:type="spellEnd"/>
      <w:r w:rsidRPr="00A71E3B">
        <w:rPr>
          <w:rFonts w:ascii="Book Antiqua" w:hAnsi="Book Antiqua"/>
          <w:lang w:val="en-US"/>
        </w:rPr>
        <w:t>) both renal function and proteinuria values were stable. The treatment appeared as well tolerated, and no adverse events were noted.</w:t>
      </w:r>
    </w:p>
    <w:p w:rsidR="00B37BF3" w:rsidRPr="00A71E3B" w:rsidRDefault="00B37BF3" w:rsidP="00B30536">
      <w:pPr>
        <w:spacing w:line="360" w:lineRule="auto"/>
        <w:jc w:val="both"/>
        <w:rPr>
          <w:rFonts w:ascii="Book Antiqua" w:hAnsi="Book Antiqua"/>
          <w:b/>
          <w:bCs/>
          <w:lang w:val="en-US"/>
        </w:rPr>
      </w:pPr>
    </w:p>
    <w:p w:rsidR="00B37BF3" w:rsidRPr="00A71E3B" w:rsidRDefault="00B37BF3" w:rsidP="00B30536">
      <w:pPr>
        <w:spacing w:line="360" w:lineRule="auto"/>
        <w:jc w:val="both"/>
        <w:rPr>
          <w:rFonts w:ascii="Book Antiqua" w:hAnsi="Book Antiqua"/>
          <w:lang w:val="en-US"/>
        </w:rPr>
      </w:pPr>
      <w:r w:rsidRPr="00A71E3B">
        <w:rPr>
          <w:rFonts w:ascii="Book Antiqua" w:hAnsi="Book Antiqua"/>
          <w:b/>
          <w:bCs/>
          <w:lang w:val="en-US"/>
        </w:rPr>
        <w:t>DISCUSSION</w:t>
      </w:r>
    </w:p>
    <w:p w:rsidR="00B37BF3" w:rsidRPr="00A71E3B" w:rsidRDefault="00B37BF3" w:rsidP="00B30536">
      <w:pPr>
        <w:spacing w:line="360" w:lineRule="auto"/>
        <w:jc w:val="both"/>
        <w:rPr>
          <w:rFonts w:ascii="Book Antiqua" w:hAnsi="Book Antiqua"/>
          <w:lang w:val="en-US"/>
        </w:rPr>
      </w:pPr>
      <w:r w:rsidRPr="00A71E3B">
        <w:rPr>
          <w:rFonts w:ascii="Book Antiqua" w:hAnsi="Book Antiqua"/>
          <w:lang w:val="en-US"/>
        </w:rPr>
        <w:t xml:space="preserve">In the field of glomerulonephritis, primary FSGS portends one of the most unpredictable and variable outcomes, carrying one of the highest recurrence rates for transplanted kidneys (from 30% to 50% in patients with a history of </w:t>
      </w:r>
      <w:r w:rsidRPr="00A71E3B">
        <w:rPr>
          <w:rFonts w:ascii="Book Antiqua" w:hAnsi="Book Antiqua"/>
          <w:lang w:val="en-US"/>
        </w:rPr>
        <w:lastRenderedPageBreak/>
        <w:t>primary FSGS on native kidneys)</w:t>
      </w:r>
      <w:r w:rsidRPr="00A71E3B">
        <w:rPr>
          <w:rFonts w:ascii="Book Antiqua" w:hAnsi="Book Antiqua"/>
          <w:vertAlign w:val="superscript"/>
          <w:lang w:val="en-US"/>
        </w:rPr>
        <w:t>[4-6]</w:t>
      </w:r>
      <w:r w:rsidRPr="00A71E3B">
        <w:rPr>
          <w:rFonts w:ascii="Book Antiqua" w:hAnsi="Book Antiqua"/>
          <w:lang w:val="en-US"/>
        </w:rPr>
        <w:t xml:space="preserve">. FSGS recurrence also remains a “clinical drama”, with almost 50% of allografts lost at 5 years and having a hazard ratio of 2.03 compared to other kinds of recurrent </w:t>
      </w:r>
      <w:proofErr w:type="gramStart"/>
      <w:r w:rsidRPr="00A71E3B">
        <w:rPr>
          <w:rFonts w:ascii="Book Antiqua" w:hAnsi="Book Antiqua"/>
          <w:lang w:val="en-US"/>
        </w:rPr>
        <w:t>glomerulonephritis</w:t>
      </w:r>
      <w:r w:rsidRPr="00A71E3B">
        <w:rPr>
          <w:rFonts w:ascii="Book Antiqua" w:hAnsi="Book Antiqua"/>
          <w:vertAlign w:val="superscript"/>
          <w:lang w:val="en-US"/>
        </w:rPr>
        <w:t>[</w:t>
      </w:r>
      <w:proofErr w:type="gramEnd"/>
      <w:r w:rsidRPr="00A71E3B">
        <w:rPr>
          <w:rFonts w:ascii="Book Antiqua" w:hAnsi="Book Antiqua"/>
          <w:vertAlign w:val="superscript"/>
          <w:lang w:val="en-US"/>
        </w:rPr>
        <w:t>8]</w:t>
      </w:r>
      <w:r w:rsidRPr="00A71E3B">
        <w:rPr>
          <w:rFonts w:ascii="Book Antiqua" w:hAnsi="Book Antiqua"/>
          <w:lang w:val="en-US"/>
        </w:rPr>
        <w:t xml:space="preserve">. Despite the proposal of multiple therapeutic approaches over time, none has yet emerged as the </w:t>
      </w:r>
      <w:proofErr w:type="spellStart"/>
      <w:r w:rsidRPr="00A71E3B">
        <w:rPr>
          <w:rFonts w:ascii="Book Antiqua" w:hAnsi="Book Antiqua"/>
          <w:lang w:val="en-US"/>
        </w:rPr>
        <w:t>resolutive</w:t>
      </w:r>
      <w:proofErr w:type="spellEnd"/>
      <w:r w:rsidRPr="00A71E3B">
        <w:rPr>
          <w:rFonts w:ascii="Book Antiqua" w:hAnsi="Book Antiqua"/>
          <w:lang w:val="en-US"/>
        </w:rPr>
        <w:t xml:space="preserve"> option, either for the recurrent or </w:t>
      </w:r>
      <w:r w:rsidRPr="00A71E3B">
        <w:rPr>
          <w:rFonts w:ascii="Book Antiqua" w:hAnsi="Book Antiqua"/>
          <w:i/>
          <w:iCs/>
          <w:lang w:val="en-US"/>
        </w:rPr>
        <w:t>de novo</w:t>
      </w:r>
      <w:r w:rsidRPr="00A71E3B">
        <w:rPr>
          <w:rFonts w:ascii="Book Antiqua" w:hAnsi="Book Antiqua"/>
          <w:lang w:val="en-US"/>
        </w:rPr>
        <w:t xml:space="preserve"> types of FSGS; yet, none has been disproven or ruled out and each has several aspects that still need to be studied.</w:t>
      </w:r>
    </w:p>
    <w:p w:rsidR="00B37BF3" w:rsidRPr="00A71E3B" w:rsidRDefault="00B37BF3" w:rsidP="002F2987">
      <w:pPr>
        <w:spacing w:line="360" w:lineRule="auto"/>
        <w:ind w:firstLineChars="100" w:firstLine="240"/>
        <w:jc w:val="both"/>
        <w:rPr>
          <w:rFonts w:ascii="Book Antiqua" w:hAnsi="Book Antiqua"/>
          <w:lang w:val="en-US"/>
        </w:rPr>
      </w:pPr>
      <w:r w:rsidRPr="00A71E3B">
        <w:rPr>
          <w:rFonts w:ascii="Book Antiqua" w:hAnsi="Book Antiqua"/>
          <w:lang w:val="en-US"/>
        </w:rPr>
        <w:t xml:space="preserve">Indeed, PE is still widely applied as FSGS recurrence treatment and as a pre-emptive strategy, despite the absence of controlled trials. Nevertheless, a course of PE treatment is widely used and recommended, titrated according to the clinical/histological response as proposed by </w:t>
      </w:r>
      <w:proofErr w:type="spellStart"/>
      <w:proofErr w:type="gramStart"/>
      <w:r w:rsidRPr="00A71E3B">
        <w:rPr>
          <w:rFonts w:ascii="Book Antiqua" w:hAnsi="Book Antiqua"/>
          <w:lang w:val="en-US"/>
        </w:rPr>
        <w:t>Ponticelli</w:t>
      </w:r>
      <w:proofErr w:type="spellEnd"/>
      <w:r w:rsidRPr="00A71E3B">
        <w:rPr>
          <w:rFonts w:ascii="Book Antiqua" w:hAnsi="Book Antiqua"/>
          <w:vertAlign w:val="superscript"/>
          <w:lang w:val="en-US"/>
        </w:rPr>
        <w:t>[</w:t>
      </w:r>
      <w:proofErr w:type="gramEnd"/>
      <w:r w:rsidRPr="00A71E3B">
        <w:rPr>
          <w:rFonts w:ascii="Book Antiqua" w:hAnsi="Book Antiqua"/>
          <w:vertAlign w:val="superscript"/>
          <w:lang w:val="en-US"/>
        </w:rPr>
        <w:t>4]</w:t>
      </w:r>
      <w:r w:rsidRPr="00A71E3B">
        <w:rPr>
          <w:rFonts w:ascii="Book Antiqua" w:hAnsi="Book Antiqua"/>
          <w:lang w:val="en-US"/>
        </w:rPr>
        <w:t>, even if it remains difficult to determine when to start and when to stop and which schedule of PE sessions is best. Interpretation of the literature data for PE is difficult, partially due to the existence of publication bias, in which positive outcomes of some cases may lead to an overestimation of treatment efficacy. In addition, the reports on PE often describe studies in which the therapy is applied as part of a combination regimen that includes other disease-modifying treatments (</w:t>
      </w:r>
      <w:r w:rsidRPr="00A71E3B">
        <w:rPr>
          <w:rFonts w:ascii="Book Antiqua" w:hAnsi="Book Antiqua"/>
          <w:i/>
          <w:lang w:val="en-US"/>
        </w:rPr>
        <w:t>i.e.</w:t>
      </w:r>
      <w:r w:rsidR="002F2987">
        <w:rPr>
          <w:rFonts w:ascii="Book Antiqua" w:hAnsi="Book Antiqua" w:hint="eastAsia"/>
          <w:i/>
          <w:lang w:val="en-US" w:eastAsia="zh-CN"/>
        </w:rPr>
        <w:t>,</w:t>
      </w:r>
      <w:r w:rsidRPr="00A71E3B">
        <w:rPr>
          <w:rFonts w:ascii="Book Antiqua" w:hAnsi="Book Antiqua"/>
          <w:lang w:val="en-US"/>
        </w:rPr>
        <w:t xml:space="preserve"> corticosteroids, Rituximab</w:t>
      </w:r>
      <w:r w:rsidRPr="002F2987">
        <w:rPr>
          <w:rFonts w:ascii="Book Antiqua" w:hAnsi="Book Antiqua"/>
          <w:vertAlign w:val="superscript"/>
          <w:lang w:val="en-US"/>
        </w:rPr>
        <w:t>®</w:t>
      </w:r>
      <w:r w:rsidRPr="00A71E3B">
        <w:rPr>
          <w:rFonts w:ascii="Book Antiqua" w:hAnsi="Book Antiqua"/>
          <w:lang w:val="en-US"/>
        </w:rPr>
        <w:t xml:space="preserve">, </w:t>
      </w:r>
      <w:proofErr w:type="spellStart"/>
      <w:r w:rsidRPr="00A71E3B">
        <w:rPr>
          <w:rFonts w:ascii="Book Antiqua" w:hAnsi="Book Antiqua"/>
          <w:lang w:val="en-US"/>
        </w:rPr>
        <w:t>CyA</w:t>
      </w:r>
      <w:proofErr w:type="spellEnd"/>
      <w:r w:rsidRPr="00A71E3B">
        <w:rPr>
          <w:rFonts w:ascii="Book Antiqua" w:hAnsi="Book Antiqua"/>
          <w:lang w:val="en-US"/>
        </w:rPr>
        <w:t>), complicating the interpretation of results. Besides, few prospective studies are available and none of them used a control group study design.</w:t>
      </w:r>
    </w:p>
    <w:p w:rsidR="00B37BF3" w:rsidRPr="00A71E3B" w:rsidRDefault="00B37BF3" w:rsidP="002F2987">
      <w:pPr>
        <w:spacing w:line="360" w:lineRule="auto"/>
        <w:ind w:firstLineChars="100" w:firstLine="240"/>
        <w:jc w:val="both"/>
        <w:rPr>
          <w:rFonts w:ascii="Book Antiqua" w:hAnsi="Book Antiqua"/>
          <w:lang w:val="en-US"/>
        </w:rPr>
      </w:pPr>
      <w:r w:rsidRPr="00A71E3B">
        <w:rPr>
          <w:rFonts w:ascii="Book Antiqua" w:hAnsi="Book Antiqua"/>
          <w:lang w:val="en-US"/>
        </w:rPr>
        <w:t xml:space="preserve">On the other hand, application of high dose </w:t>
      </w:r>
      <w:proofErr w:type="spellStart"/>
      <w:r w:rsidRPr="00A71E3B">
        <w:rPr>
          <w:rFonts w:ascii="Book Antiqua" w:hAnsi="Book Antiqua"/>
          <w:lang w:val="en-US"/>
        </w:rPr>
        <w:t>CyA</w:t>
      </w:r>
      <w:proofErr w:type="spellEnd"/>
      <w:r w:rsidRPr="00A71E3B">
        <w:rPr>
          <w:rFonts w:ascii="Book Antiqua" w:hAnsi="Book Antiqua"/>
          <w:lang w:val="en-US"/>
        </w:rPr>
        <w:t xml:space="preserve"> must be carefully considered on the basis of drug-related toxicities, especially nephrotoxicity. Most of the </w:t>
      </w:r>
      <w:proofErr w:type="spellStart"/>
      <w:r w:rsidRPr="00A71E3B">
        <w:rPr>
          <w:rFonts w:ascii="Book Antiqua" w:hAnsi="Book Antiqua"/>
          <w:lang w:val="en-US"/>
        </w:rPr>
        <w:t>CyA</w:t>
      </w:r>
      <w:proofErr w:type="spellEnd"/>
      <w:r w:rsidRPr="00A71E3B">
        <w:rPr>
          <w:rFonts w:ascii="Book Antiqua" w:hAnsi="Book Antiqua"/>
          <w:lang w:val="en-US"/>
        </w:rPr>
        <w:t xml:space="preserve"> studies have thus far only included pediatric patients or living-related donors, two populations that are more prone to tolerating high dose </w:t>
      </w:r>
      <w:proofErr w:type="spellStart"/>
      <w:r w:rsidRPr="00A71E3B">
        <w:rPr>
          <w:rFonts w:ascii="Book Antiqua" w:hAnsi="Book Antiqua"/>
          <w:lang w:val="en-US"/>
        </w:rPr>
        <w:t>CyA</w:t>
      </w:r>
      <w:proofErr w:type="spellEnd"/>
      <w:r w:rsidRPr="00A71E3B">
        <w:rPr>
          <w:rFonts w:ascii="Book Antiqua" w:hAnsi="Book Antiqua"/>
          <w:lang w:val="en-US"/>
        </w:rPr>
        <w:t xml:space="preserve">. To the contrary, when patients are adult recipients of a kidney from a deceased marginal donor, nephrotoxicity from high dose </w:t>
      </w:r>
      <w:proofErr w:type="spellStart"/>
      <w:r w:rsidRPr="00A71E3B">
        <w:rPr>
          <w:rFonts w:ascii="Book Antiqua" w:hAnsi="Book Antiqua"/>
          <w:lang w:val="en-US"/>
        </w:rPr>
        <w:t>CyA</w:t>
      </w:r>
      <w:proofErr w:type="spellEnd"/>
      <w:r w:rsidRPr="00A71E3B">
        <w:rPr>
          <w:rFonts w:ascii="Book Antiqua" w:hAnsi="Book Antiqua"/>
          <w:lang w:val="en-US"/>
        </w:rPr>
        <w:t xml:space="preserve"> could be a problematic issue. The previous reported considerations for PE regarding its frequent association with other treatments capable of strengthening its effect are also applicable to </w:t>
      </w:r>
      <w:proofErr w:type="spellStart"/>
      <w:r w:rsidRPr="00A71E3B">
        <w:rPr>
          <w:rFonts w:ascii="Book Antiqua" w:hAnsi="Book Antiqua"/>
          <w:lang w:val="en-US"/>
        </w:rPr>
        <w:t>CyA</w:t>
      </w:r>
      <w:proofErr w:type="spellEnd"/>
      <w:r w:rsidRPr="00A71E3B">
        <w:rPr>
          <w:rFonts w:ascii="Book Antiqua" w:hAnsi="Book Antiqua"/>
          <w:lang w:val="en-US"/>
        </w:rPr>
        <w:t xml:space="preserve"> (see the study by </w:t>
      </w:r>
      <w:proofErr w:type="spellStart"/>
      <w:r w:rsidRPr="00A71E3B">
        <w:rPr>
          <w:rFonts w:ascii="Book Antiqua" w:hAnsi="Book Antiqua"/>
          <w:lang w:val="en-US"/>
        </w:rPr>
        <w:t>Canaud</w:t>
      </w:r>
      <w:proofErr w:type="spellEnd"/>
      <w:r w:rsidRPr="00A71E3B">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33]</w:t>
      </w:r>
      <w:r w:rsidRPr="00A71E3B">
        <w:rPr>
          <w:rFonts w:ascii="Book Antiqua" w:hAnsi="Book Antiqua"/>
          <w:lang w:val="en-US"/>
        </w:rPr>
        <w:t xml:space="preserve"> for an example).</w:t>
      </w:r>
    </w:p>
    <w:p w:rsidR="00B37BF3" w:rsidRPr="00A71E3B" w:rsidRDefault="00B37BF3" w:rsidP="002F2987">
      <w:pPr>
        <w:spacing w:line="360" w:lineRule="auto"/>
        <w:ind w:firstLineChars="100" w:firstLine="240"/>
        <w:jc w:val="both"/>
        <w:rPr>
          <w:rFonts w:ascii="Book Antiqua" w:hAnsi="Book Antiqua"/>
          <w:lang w:val="en-US"/>
        </w:rPr>
      </w:pPr>
      <w:r w:rsidRPr="00A71E3B">
        <w:rPr>
          <w:rFonts w:ascii="Book Antiqua" w:hAnsi="Book Antiqua"/>
          <w:lang w:val="en-US"/>
        </w:rPr>
        <w:t xml:space="preserve">The paucity of data on CYC/MMF adoption for treatment of recurrent FGSS represents another limitation to using the collective literature to draw </w:t>
      </w:r>
      <w:r w:rsidRPr="00A71E3B">
        <w:rPr>
          <w:rFonts w:ascii="Book Antiqua" w:hAnsi="Book Antiqua"/>
          <w:lang w:val="en-US"/>
        </w:rPr>
        <w:lastRenderedPageBreak/>
        <w:t>conclusions about their utility in clinical practice. On the other hand, Rituximab</w:t>
      </w:r>
      <w:r w:rsidRPr="002F2987">
        <w:rPr>
          <w:rFonts w:ascii="Book Antiqua" w:hAnsi="Book Antiqua"/>
          <w:vertAlign w:val="superscript"/>
          <w:lang w:val="en-US"/>
        </w:rPr>
        <w:t>®</w:t>
      </w:r>
      <w:r w:rsidRPr="00A71E3B">
        <w:rPr>
          <w:rFonts w:ascii="Book Antiqua" w:hAnsi="Book Antiqua"/>
          <w:lang w:val="en-US"/>
        </w:rPr>
        <w:t xml:space="preserve"> is one of the most interesting agents proposed to date for treatment of FSGS recurrence; but, again, several limitations lie in the related literature, including the use of a surrogate end-point of disease activity (</w:t>
      </w:r>
      <w:r w:rsidRPr="00A71E3B">
        <w:rPr>
          <w:rFonts w:ascii="Book Antiqua" w:hAnsi="Book Antiqua"/>
          <w:i/>
          <w:lang w:val="en-US"/>
        </w:rPr>
        <w:t>i.e</w:t>
      </w:r>
      <w:r w:rsidRPr="00A71E3B">
        <w:rPr>
          <w:rFonts w:ascii="Book Antiqua" w:hAnsi="Book Antiqua"/>
          <w:lang w:val="en-US"/>
        </w:rPr>
        <w:t>.</w:t>
      </w:r>
      <w:r w:rsidR="002F2987">
        <w:rPr>
          <w:rFonts w:ascii="Book Antiqua" w:hAnsi="Book Antiqua" w:hint="eastAsia"/>
          <w:lang w:val="en-US" w:eastAsia="zh-CN"/>
        </w:rPr>
        <w:t>,</w:t>
      </w:r>
      <w:r w:rsidRPr="00A71E3B">
        <w:rPr>
          <w:rFonts w:ascii="Book Antiqua" w:hAnsi="Book Antiqua"/>
          <w:lang w:val="en-US"/>
        </w:rPr>
        <w:t xml:space="preserve"> clinical/not histological definition of recurrent FSGS in the study by </w:t>
      </w:r>
      <w:proofErr w:type="spellStart"/>
      <w:r w:rsidRPr="00A71E3B">
        <w:rPr>
          <w:rFonts w:ascii="Book Antiqua" w:hAnsi="Book Antiqua"/>
          <w:lang w:val="en-US"/>
        </w:rPr>
        <w:t>Fornoni</w:t>
      </w:r>
      <w:proofErr w:type="spellEnd"/>
      <w:r w:rsidRPr="00A71E3B">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21]</w:t>
      </w:r>
      <w:r w:rsidRPr="00A71E3B">
        <w:rPr>
          <w:rFonts w:ascii="Book Antiqua" w:hAnsi="Book Antiqua"/>
          <w:lang w:val="en-US"/>
        </w:rPr>
        <w:t>), short follow-up</w:t>
      </w:r>
      <w:r w:rsidRPr="00A71E3B">
        <w:rPr>
          <w:rFonts w:ascii="Book Antiqua" w:hAnsi="Book Antiqua"/>
          <w:vertAlign w:val="superscript"/>
          <w:lang w:val="en-US"/>
        </w:rPr>
        <w:t>[76,77]</w:t>
      </w:r>
      <w:r w:rsidRPr="00A71E3B">
        <w:rPr>
          <w:rFonts w:ascii="Book Antiqua" w:hAnsi="Book Antiqua"/>
          <w:lang w:val="en-US"/>
        </w:rPr>
        <w:t>, and evidence of absence of positive effects</w:t>
      </w:r>
      <w:r w:rsidRPr="00A71E3B">
        <w:rPr>
          <w:rFonts w:ascii="Book Antiqua" w:hAnsi="Book Antiqua"/>
          <w:vertAlign w:val="superscript"/>
          <w:lang w:val="en-US"/>
        </w:rPr>
        <w:t>[</w:t>
      </w:r>
      <w:r w:rsidR="002F2987">
        <w:rPr>
          <w:rFonts w:ascii="Book Antiqua" w:hAnsi="Book Antiqua"/>
          <w:vertAlign w:val="superscript"/>
          <w:lang w:val="en-US"/>
        </w:rPr>
        <w:t>62,</w:t>
      </w:r>
      <w:r w:rsidRPr="00A71E3B">
        <w:rPr>
          <w:rFonts w:ascii="Book Antiqua" w:hAnsi="Book Antiqua"/>
          <w:vertAlign w:val="superscript"/>
          <w:lang w:val="en-US"/>
        </w:rPr>
        <w:t>87-94]</w:t>
      </w:r>
      <w:r w:rsidRPr="00A71E3B">
        <w:rPr>
          <w:rFonts w:ascii="Book Antiqua" w:hAnsi="Book Antiqua"/>
          <w:lang w:val="en-US"/>
        </w:rPr>
        <w:t>. Furthermore, the Rituximab</w:t>
      </w:r>
      <w:r w:rsidRPr="002F2987">
        <w:rPr>
          <w:rFonts w:ascii="Book Antiqua" w:hAnsi="Book Antiqua"/>
          <w:vertAlign w:val="superscript"/>
          <w:lang w:val="en-US"/>
        </w:rPr>
        <w:t>®</w:t>
      </w:r>
      <w:r w:rsidRPr="00A71E3B">
        <w:rPr>
          <w:rFonts w:ascii="Book Antiqua" w:hAnsi="Book Antiqua"/>
          <w:lang w:val="en-US"/>
        </w:rPr>
        <w:t xml:space="preserve"> dose is another matter of debate, and the question remains: should the classic scheme borrowed from hematologic protocols (4 doses of 375 mg/m</w:t>
      </w:r>
      <w:r w:rsidRPr="00A71E3B">
        <w:rPr>
          <w:rFonts w:ascii="Book Antiqua" w:hAnsi="Book Antiqua"/>
          <w:vertAlign w:val="superscript"/>
          <w:lang w:val="en-US"/>
        </w:rPr>
        <w:t xml:space="preserve">2 </w:t>
      </w:r>
      <w:r w:rsidRPr="00A71E3B">
        <w:rPr>
          <w:rFonts w:ascii="Book Antiqua" w:hAnsi="Book Antiqua"/>
          <w:lang w:val="en-US"/>
        </w:rPr>
        <w:t>each) or a shorter regimen (titrated to the minimal level necessary to obtain B cell depletion) be adopted? Another first line question involves when the infusion should be performed: as a pre-emptive therapy soon after surgery, in cases at high risk of recurrence, or at the time of recurrence? Although, Rituximab</w:t>
      </w:r>
      <w:r w:rsidRPr="002F2987">
        <w:rPr>
          <w:rFonts w:ascii="Book Antiqua" w:hAnsi="Book Antiqua"/>
          <w:vertAlign w:val="superscript"/>
          <w:lang w:val="en-US"/>
        </w:rPr>
        <w:t>®</w:t>
      </w:r>
      <w:r w:rsidRPr="00A71E3B">
        <w:rPr>
          <w:rFonts w:ascii="Book Antiqua" w:hAnsi="Book Antiqua"/>
          <w:lang w:val="en-US"/>
        </w:rPr>
        <w:t xml:space="preserve"> portends some serious side effects, increasing the risk of opportunistic infections in transplanted patients during the entire time of its blockage of the immune response. Araya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116]</w:t>
      </w:r>
      <w:r w:rsidRPr="00A71E3B">
        <w:rPr>
          <w:rFonts w:ascii="Book Antiqua" w:hAnsi="Book Antiqua"/>
          <w:lang w:val="en-US"/>
        </w:rPr>
        <w:t xml:space="preserve"> reported side effects in about 10% of cases (1 case each of neutropenia, severe anaphylactic reaction, BK virus nephropathy, and severe sepsis). Kumar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117]</w:t>
      </w:r>
      <w:r w:rsidRPr="00A71E3B">
        <w:rPr>
          <w:rFonts w:ascii="Book Antiqua" w:hAnsi="Book Antiqua"/>
          <w:lang w:val="en-US"/>
        </w:rPr>
        <w:t xml:space="preserve"> observed a significant rate of severe complications (3/8 patients), ranging from Rituximab</w:t>
      </w:r>
      <w:r w:rsidRPr="002F2987">
        <w:rPr>
          <w:rFonts w:ascii="Book Antiqua" w:hAnsi="Book Antiqua"/>
          <w:vertAlign w:val="superscript"/>
          <w:lang w:val="en-US"/>
        </w:rPr>
        <w:t>®</w:t>
      </w:r>
      <w:r w:rsidRPr="00A71E3B">
        <w:rPr>
          <w:rFonts w:ascii="Book Antiqua" w:hAnsi="Book Antiqua"/>
          <w:lang w:val="en-US"/>
        </w:rPr>
        <w:t>-associated lung injury, acute tubular necrosis, and central nervous system malignancy.</w:t>
      </w:r>
    </w:p>
    <w:p w:rsidR="00B37BF3" w:rsidRPr="00A71E3B" w:rsidRDefault="00B37BF3" w:rsidP="002F2987">
      <w:pPr>
        <w:spacing w:line="360" w:lineRule="auto"/>
        <w:ind w:firstLineChars="100" w:firstLine="240"/>
        <w:jc w:val="both"/>
        <w:rPr>
          <w:rFonts w:ascii="Book Antiqua" w:hAnsi="Book Antiqua"/>
          <w:lang w:val="en-US"/>
        </w:rPr>
      </w:pPr>
      <w:r w:rsidRPr="00A71E3B">
        <w:rPr>
          <w:rFonts w:ascii="Book Antiqua" w:hAnsi="Book Antiqua"/>
          <w:lang w:val="en-US"/>
        </w:rPr>
        <w:t>The ACEs or ARBs should be considered as adjuvant therapy, especially when other therapies have failed or are not applicable. However, their use may be contraindicated by low GFR and risk of hyperkalemia.</w:t>
      </w:r>
    </w:p>
    <w:p w:rsidR="00B37BF3" w:rsidRPr="00A71E3B" w:rsidRDefault="00B37BF3" w:rsidP="002F2987">
      <w:pPr>
        <w:spacing w:line="360" w:lineRule="auto"/>
        <w:ind w:firstLineChars="100" w:firstLine="240"/>
        <w:jc w:val="both"/>
        <w:rPr>
          <w:rFonts w:ascii="Book Antiqua" w:hAnsi="Book Antiqua"/>
          <w:lang w:val="en-US"/>
        </w:rPr>
      </w:pPr>
      <w:r w:rsidRPr="00A71E3B">
        <w:rPr>
          <w:rFonts w:ascii="Book Antiqua" w:hAnsi="Book Antiqua"/>
          <w:lang w:val="en-US"/>
        </w:rPr>
        <w:t>Considering the so-called “anecdotal therapies” (galactose, anti-TNF-</w:t>
      </w:r>
      <w:r w:rsidR="002F2987">
        <w:rPr>
          <w:rFonts w:ascii="Book Antiqua" w:hAnsi="Book Antiqua"/>
          <w:lang w:val="en-US"/>
        </w:rPr>
        <w:t></w:t>
      </w:r>
      <w:r w:rsidRPr="00A71E3B">
        <w:rPr>
          <w:rFonts w:ascii="Book Antiqua" w:hAnsi="Book Antiqua"/>
          <w:lang w:val="en-US"/>
        </w:rPr>
        <w:t xml:space="preserve"> agents), their place in the armamentarium for FSGS treatment in renal transplant is very small in current times, but they could be considered for use in rare conditions as a salvage therapy. Considering the more innovative treatments, BM-MSCs represent a promising </w:t>
      </w:r>
      <w:proofErr w:type="gramStart"/>
      <w:r w:rsidRPr="00A71E3B">
        <w:rPr>
          <w:rFonts w:ascii="Book Antiqua" w:hAnsi="Book Antiqua"/>
          <w:lang w:val="en-US"/>
        </w:rPr>
        <w:t>treatment</w:t>
      </w:r>
      <w:r w:rsidRPr="00A71E3B">
        <w:rPr>
          <w:rFonts w:ascii="Book Antiqua" w:hAnsi="Book Antiqua"/>
          <w:vertAlign w:val="superscript"/>
          <w:lang w:val="en-US"/>
        </w:rPr>
        <w:t>[</w:t>
      </w:r>
      <w:proofErr w:type="gramEnd"/>
      <w:r w:rsidRPr="00A71E3B">
        <w:rPr>
          <w:rFonts w:ascii="Book Antiqua" w:hAnsi="Book Antiqua"/>
          <w:vertAlign w:val="superscript"/>
          <w:lang w:val="en-US"/>
        </w:rPr>
        <w:t>115]</w:t>
      </w:r>
      <w:r w:rsidRPr="00A71E3B">
        <w:rPr>
          <w:rFonts w:ascii="Book Antiqua" w:hAnsi="Book Antiqua"/>
          <w:lang w:val="en-US"/>
        </w:rPr>
        <w:t>. Nevertheless, the results reported in the literature to date need to be evaluated on the basis of the possible influence of previous treatments received by the patients, especially considering a delayed effect of Rituximab</w:t>
      </w:r>
      <w:r w:rsidRPr="002F2987">
        <w:rPr>
          <w:rFonts w:ascii="Book Antiqua" w:hAnsi="Book Antiqua"/>
          <w:vertAlign w:val="superscript"/>
          <w:lang w:val="en-US"/>
        </w:rPr>
        <w:t>®</w:t>
      </w:r>
      <w:r w:rsidRPr="00A71E3B">
        <w:rPr>
          <w:rFonts w:ascii="Book Antiqua" w:hAnsi="Book Antiqua"/>
          <w:lang w:val="en-US"/>
        </w:rPr>
        <w:t xml:space="preserve"> administration, and the natural evolution of the disease, which is often unpredictable. </w:t>
      </w:r>
    </w:p>
    <w:p w:rsidR="00B37BF3" w:rsidRPr="00A71E3B" w:rsidRDefault="00B37BF3" w:rsidP="002F2987">
      <w:pPr>
        <w:suppressAutoHyphens w:val="0"/>
        <w:autoSpaceDE w:val="0"/>
        <w:autoSpaceDN w:val="0"/>
        <w:adjustRightInd w:val="0"/>
        <w:spacing w:line="360" w:lineRule="auto"/>
        <w:ind w:firstLineChars="100" w:firstLine="240"/>
        <w:jc w:val="both"/>
        <w:rPr>
          <w:rFonts w:ascii="Book Antiqua" w:hAnsi="Book Antiqua"/>
          <w:lang w:val="en-US"/>
        </w:rPr>
      </w:pPr>
      <w:r w:rsidRPr="00A71E3B">
        <w:rPr>
          <w:rFonts w:ascii="Book Antiqua" w:hAnsi="Book Antiqua"/>
          <w:lang w:val="en-US"/>
        </w:rPr>
        <w:lastRenderedPageBreak/>
        <w:t xml:space="preserve">On the other hand, safety of BM-MSCs remains an open question. On the basis of literature data, auto- and </w:t>
      </w:r>
      <w:proofErr w:type="spellStart"/>
      <w:r w:rsidRPr="00A71E3B">
        <w:rPr>
          <w:rFonts w:ascii="Book Antiqua" w:hAnsi="Book Antiqua"/>
          <w:lang w:val="en-US"/>
        </w:rPr>
        <w:t>allo</w:t>
      </w:r>
      <w:proofErr w:type="spellEnd"/>
      <w:r w:rsidRPr="00A71E3B">
        <w:rPr>
          <w:rFonts w:ascii="Book Antiqua" w:hAnsi="Book Antiqua"/>
          <w:lang w:val="en-US"/>
        </w:rPr>
        <w:t xml:space="preserve">-MSCs may interfere with the immune response in a non-defined and unpredictable manner. For example, </w:t>
      </w:r>
      <w:proofErr w:type="spellStart"/>
      <w:r w:rsidRPr="00A71E3B">
        <w:rPr>
          <w:rFonts w:ascii="Book Antiqua" w:hAnsi="Book Antiqua"/>
          <w:lang w:val="en-US"/>
        </w:rPr>
        <w:t>Reinders</w:t>
      </w:r>
      <w:proofErr w:type="spellEnd"/>
      <w:r w:rsidRPr="00A71E3B">
        <w:rPr>
          <w:rFonts w:ascii="Book Antiqua" w:hAnsi="Book Antiqua"/>
          <w:lang w:val="en-US"/>
        </w:rPr>
        <w:t xml:space="preserve"> </w:t>
      </w:r>
      <w:r w:rsidRPr="00A71E3B">
        <w:rPr>
          <w:rFonts w:ascii="Book Antiqua" w:hAnsi="Book Antiqua"/>
          <w:i/>
          <w:lang w:val="en-US"/>
        </w:rPr>
        <w:t xml:space="preserve">et </w:t>
      </w:r>
      <w:proofErr w:type="gramStart"/>
      <w:r w:rsidRPr="00A71E3B">
        <w:rPr>
          <w:rFonts w:ascii="Book Antiqua" w:hAnsi="Book Antiqua"/>
          <w:i/>
          <w:lang w:val="en-US"/>
        </w:rPr>
        <w:t>al</w:t>
      </w:r>
      <w:r w:rsidRPr="00A71E3B">
        <w:rPr>
          <w:rFonts w:ascii="Book Antiqua" w:hAnsi="Book Antiqua"/>
          <w:vertAlign w:val="superscript"/>
          <w:lang w:val="en-US"/>
        </w:rPr>
        <w:t>[</w:t>
      </w:r>
      <w:proofErr w:type="gramEnd"/>
      <w:r w:rsidRPr="00A71E3B">
        <w:rPr>
          <w:rFonts w:ascii="Book Antiqua" w:hAnsi="Book Antiqua"/>
          <w:vertAlign w:val="superscript"/>
          <w:lang w:val="en-US"/>
        </w:rPr>
        <w:t>118]</w:t>
      </w:r>
      <w:r w:rsidRPr="00A71E3B">
        <w:rPr>
          <w:rFonts w:ascii="Book Antiqua" w:hAnsi="Book Antiqua"/>
          <w:lang w:val="en-US"/>
        </w:rPr>
        <w:t xml:space="preserve"> found auto-MSCs infusion for the treatment of acute rejection to be associated with opportunistic viral infection in 3/6 patients. </w:t>
      </w:r>
      <w:proofErr w:type="spellStart"/>
      <w:r w:rsidRPr="00A71E3B">
        <w:rPr>
          <w:rFonts w:ascii="Book Antiqua" w:hAnsi="Book Antiqua"/>
          <w:lang w:val="en-US"/>
        </w:rPr>
        <w:t>Allo</w:t>
      </w:r>
      <w:proofErr w:type="spellEnd"/>
      <w:r w:rsidRPr="00A71E3B">
        <w:rPr>
          <w:rFonts w:ascii="Book Antiqua" w:hAnsi="Book Antiqua"/>
          <w:lang w:val="en-US"/>
        </w:rPr>
        <w:t xml:space="preserve">-MSCs may also induce the production of anti-donor antibodies, as observed in some animal </w:t>
      </w:r>
      <w:proofErr w:type="gramStart"/>
      <w:r w:rsidRPr="00A71E3B">
        <w:rPr>
          <w:rFonts w:ascii="Book Antiqua" w:hAnsi="Book Antiqua"/>
          <w:lang w:val="en-US"/>
        </w:rPr>
        <w:t>models</w:t>
      </w:r>
      <w:r w:rsidRPr="00A71E3B">
        <w:rPr>
          <w:rFonts w:ascii="Book Antiqua" w:hAnsi="Book Antiqua"/>
          <w:vertAlign w:val="superscript"/>
          <w:lang w:val="en-US"/>
        </w:rPr>
        <w:t>[</w:t>
      </w:r>
      <w:proofErr w:type="gramEnd"/>
      <w:r w:rsidRPr="00A71E3B">
        <w:rPr>
          <w:rFonts w:ascii="Book Antiqua" w:hAnsi="Book Antiqua"/>
          <w:vertAlign w:val="superscript"/>
          <w:lang w:val="en-US"/>
        </w:rPr>
        <w:t>119]</w:t>
      </w:r>
      <w:r w:rsidRPr="00A71E3B">
        <w:rPr>
          <w:rFonts w:ascii="Book Antiqua" w:hAnsi="Book Antiqua"/>
          <w:lang w:val="en-US"/>
        </w:rPr>
        <w:t xml:space="preserve">. Nevertheless, a strong limitation to the adoption of cell therapies is the unknown </w:t>
      </w:r>
      <w:proofErr w:type="spellStart"/>
      <w:r w:rsidRPr="00A71E3B">
        <w:rPr>
          <w:rFonts w:ascii="Book Antiqua" w:hAnsi="Book Antiqua"/>
          <w:lang w:val="en-US"/>
        </w:rPr>
        <w:t>proneoplastic</w:t>
      </w:r>
      <w:proofErr w:type="spellEnd"/>
      <w:r w:rsidRPr="00A71E3B">
        <w:rPr>
          <w:rFonts w:ascii="Book Antiqua" w:hAnsi="Book Antiqua"/>
          <w:lang w:val="en-US"/>
        </w:rPr>
        <w:t xml:space="preserve"> effect, secondary to a direct (but also indirect) MSCs </w:t>
      </w:r>
      <w:proofErr w:type="gramStart"/>
      <w:r w:rsidRPr="00A71E3B">
        <w:rPr>
          <w:rFonts w:ascii="Book Antiqua" w:hAnsi="Book Antiqua"/>
          <w:lang w:val="en-US"/>
        </w:rPr>
        <w:t>dedifferentiation</w:t>
      </w:r>
      <w:r w:rsidRPr="00A71E3B">
        <w:rPr>
          <w:rFonts w:ascii="Book Antiqua" w:hAnsi="Book Antiqua"/>
          <w:vertAlign w:val="superscript"/>
          <w:lang w:val="en-US"/>
        </w:rPr>
        <w:t>[</w:t>
      </w:r>
      <w:proofErr w:type="gramEnd"/>
      <w:r w:rsidRPr="00A71E3B">
        <w:rPr>
          <w:rFonts w:ascii="Book Antiqua" w:hAnsi="Book Antiqua"/>
          <w:vertAlign w:val="superscript"/>
          <w:lang w:val="en-US"/>
        </w:rPr>
        <w:t>120,121]</w:t>
      </w:r>
      <w:r w:rsidRPr="00A71E3B">
        <w:rPr>
          <w:rFonts w:ascii="Book Antiqua" w:hAnsi="Book Antiqua"/>
          <w:lang w:val="en-US"/>
        </w:rPr>
        <w:t>.</w:t>
      </w:r>
    </w:p>
    <w:p w:rsidR="00B37BF3" w:rsidRPr="00A71E3B" w:rsidRDefault="00B37BF3" w:rsidP="002F2987">
      <w:pPr>
        <w:suppressAutoHyphens w:val="0"/>
        <w:autoSpaceDE w:val="0"/>
        <w:autoSpaceDN w:val="0"/>
        <w:adjustRightInd w:val="0"/>
        <w:spacing w:line="360" w:lineRule="auto"/>
        <w:ind w:firstLineChars="100" w:firstLine="240"/>
        <w:jc w:val="both"/>
        <w:rPr>
          <w:rFonts w:ascii="Book Antiqua" w:hAnsi="Book Antiqua"/>
          <w:lang w:val="en-US" w:eastAsia="it-IT"/>
        </w:rPr>
      </w:pPr>
      <w:r w:rsidRPr="00A71E3B">
        <w:rPr>
          <w:rFonts w:ascii="Book Antiqua" w:hAnsi="Book Antiqua"/>
          <w:lang w:val="en-US"/>
        </w:rPr>
        <w:t xml:space="preserve">A possible way to reduce or abrogate the risk deriving from MSCs infusion is to promote podocyte regeneration. In some experimental models, native parietal epithelial cells (PECs) have been shown to have the potential to migrate to the glomerular tuft after kidney injury, acquiring a phenotype and a morphologic appearance similar to a differentiated podocyte and thereby mitigating the </w:t>
      </w:r>
      <w:proofErr w:type="gramStart"/>
      <w:r w:rsidRPr="00A71E3B">
        <w:rPr>
          <w:rFonts w:ascii="Book Antiqua" w:hAnsi="Book Antiqua"/>
          <w:lang w:val="en-US"/>
        </w:rPr>
        <w:t>damage</w:t>
      </w:r>
      <w:r w:rsidRPr="00A71E3B">
        <w:rPr>
          <w:rFonts w:ascii="Book Antiqua" w:hAnsi="Book Antiqua"/>
          <w:vertAlign w:val="superscript"/>
          <w:lang w:val="en-US"/>
        </w:rPr>
        <w:t>[</w:t>
      </w:r>
      <w:proofErr w:type="gramEnd"/>
      <w:r w:rsidRPr="00A71E3B">
        <w:rPr>
          <w:rFonts w:ascii="Book Antiqua" w:hAnsi="Book Antiqua"/>
          <w:vertAlign w:val="superscript"/>
          <w:lang w:val="en-US"/>
        </w:rPr>
        <w:t>122,123]</w:t>
      </w:r>
      <w:r w:rsidRPr="00A71E3B">
        <w:rPr>
          <w:rFonts w:ascii="Book Antiqua" w:hAnsi="Book Antiqua"/>
          <w:lang w:val="en-US"/>
        </w:rPr>
        <w:t xml:space="preserve">. </w:t>
      </w:r>
      <w:r w:rsidRPr="00A71E3B">
        <w:rPr>
          <w:rFonts w:ascii="Book Antiqua" w:hAnsi="Book Antiqua" w:cs="ITC Franklin Gothic Std Book"/>
          <w:lang w:val="en-US"/>
        </w:rPr>
        <w:t xml:space="preserve">On the other hand, PECs have also been associated with glomerular injury and </w:t>
      </w:r>
      <w:proofErr w:type="gramStart"/>
      <w:r w:rsidRPr="00A71E3B">
        <w:rPr>
          <w:rFonts w:ascii="Book Antiqua" w:hAnsi="Book Antiqua" w:cs="ITC Franklin Gothic Std Book"/>
          <w:lang w:val="en-US"/>
        </w:rPr>
        <w:t>sclerosis</w:t>
      </w:r>
      <w:r w:rsidRPr="00A71E3B">
        <w:rPr>
          <w:rFonts w:ascii="Book Antiqua" w:hAnsi="Book Antiqua"/>
          <w:vertAlign w:val="superscript"/>
          <w:lang w:val="en-US"/>
        </w:rPr>
        <w:t>[</w:t>
      </w:r>
      <w:proofErr w:type="gramEnd"/>
      <w:r w:rsidRPr="00A71E3B">
        <w:rPr>
          <w:rFonts w:ascii="Book Antiqua" w:hAnsi="Book Antiqua"/>
          <w:vertAlign w:val="superscript"/>
          <w:lang w:val="en-US"/>
        </w:rPr>
        <w:t>124]</w:t>
      </w:r>
      <w:r w:rsidRPr="00A71E3B">
        <w:rPr>
          <w:rFonts w:ascii="Book Antiqua" w:hAnsi="Book Antiqua" w:cs="ITC Franklin Gothic Std Book"/>
          <w:lang w:val="en-US"/>
        </w:rPr>
        <w:t>, so a definitive consideration about their role and potential therapeutic applications is far from being defined.</w:t>
      </w:r>
    </w:p>
    <w:p w:rsidR="00B37BF3" w:rsidRPr="00A71E3B" w:rsidRDefault="00B37BF3" w:rsidP="002F2987">
      <w:pPr>
        <w:spacing w:line="360" w:lineRule="auto"/>
        <w:ind w:firstLineChars="100" w:firstLine="240"/>
        <w:jc w:val="both"/>
        <w:rPr>
          <w:rFonts w:ascii="Book Antiqua" w:hAnsi="Book Antiqua"/>
          <w:lang w:val="en-US"/>
        </w:rPr>
      </w:pPr>
      <w:r w:rsidRPr="00A71E3B">
        <w:rPr>
          <w:rFonts w:ascii="Book Antiqua" w:hAnsi="Book Antiqua"/>
          <w:lang w:val="en-US"/>
        </w:rPr>
        <w:t>The therapeutic role of co-stimulatory molecule blockades is emerging for some glomerulonephritis on native kidneys (</w:t>
      </w:r>
      <w:r w:rsidRPr="00A71E3B">
        <w:rPr>
          <w:rFonts w:ascii="Book Antiqua" w:hAnsi="Book Antiqua"/>
          <w:i/>
          <w:lang w:val="en-US"/>
        </w:rPr>
        <w:t>e.g</w:t>
      </w:r>
      <w:r w:rsidRPr="00A71E3B">
        <w:rPr>
          <w:rFonts w:ascii="Book Antiqua" w:hAnsi="Book Antiqua"/>
          <w:lang w:val="en-US"/>
        </w:rPr>
        <w:t>.</w:t>
      </w:r>
      <w:r w:rsidR="002F2987">
        <w:rPr>
          <w:rFonts w:ascii="Book Antiqua" w:hAnsi="Book Antiqua" w:hint="eastAsia"/>
          <w:lang w:val="en-US" w:eastAsia="zh-CN"/>
        </w:rPr>
        <w:t>,</w:t>
      </w:r>
      <w:r w:rsidRPr="00A71E3B">
        <w:rPr>
          <w:rFonts w:ascii="Book Antiqua" w:hAnsi="Book Antiqua"/>
          <w:lang w:val="en-US"/>
        </w:rPr>
        <w:t xml:space="preserve"> lupus nephritis)</w:t>
      </w:r>
      <w:r w:rsidRPr="00A71E3B">
        <w:rPr>
          <w:rFonts w:ascii="Book Antiqua" w:hAnsi="Book Antiqua"/>
          <w:vertAlign w:val="superscript"/>
          <w:lang w:val="en-US"/>
        </w:rPr>
        <w:t>[125]</w:t>
      </w:r>
      <w:r w:rsidRPr="00A71E3B">
        <w:rPr>
          <w:rFonts w:ascii="Book Antiqua" w:hAnsi="Book Antiqua"/>
          <w:lang w:val="en-US"/>
        </w:rPr>
        <w:t xml:space="preserve">. Recently, </w:t>
      </w:r>
      <w:proofErr w:type="spellStart"/>
      <w:r w:rsidRPr="00A71E3B">
        <w:rPr>
          <w:rFonts w:ascii="Book Antiqua" w:hAnsi="Book Antiqua"/>
          <w:lang w:val="en-US"/>
        </w:rPr>
        <w:t>abatacept</w:t>
      </w:r>
      <w:proofErr w:type="spellEnd"/>
      <w:r w:rsidRPr="00A71E3B">
        <w:rPr>
          <w:rFonts w:ascii="Book Antiqua" w:hAnsi="Book Antiqua"/>
          <w:lang w:val="en-US"/>
        </w:rPr>
        <w:t xml:space="preserve"> was associated with interesting results in proteinuria reduction in a small case series of FSGS recurrent </w:t>
      </w:r>
      <w:proofErr w:type="gramStart"/>
      <w:r w:rsidRPr="00A71E3B">
        <w:rPr>
          <w:rFonts w:ascii="Book Antiqua" w:hAnsi="Book Antiqua"/>
          <w:lang w:val="en-US"/>
        </w:rPr>
        <w:t>patients</w:t>
      </w:r>
      <w:r w:rsidRPr="00A71E3B">
        <w:rPr>
          <w:rFonts w:ascii="Book Antiqua" w:hAnsi="Book Antiqua"/>
          <w:vertAlign w:val="superscript"/>
          <w:lang w:val="en-US"/>
        </w:rPr>
        <w:t>[</w:t>
      </w:r>
      <w:proofErr w:type="gramEnd"/>
      <w:r w:rsidRPr="00A71E3B">
        <w:rPr>
          <w:rFonts w:ascii="Book Antiqua" w:hAnsi="Book Antiqua"/>
          <w:vertAlign w:val="superscript"/>
          <w:lang w:val="en-US"/>
        </w:rPr>
        <w:t>103]</w:t>
      </w:r>
      <w:r w:rsidRPr="00A71E3B">
        <w:rPr>
          <w:rFonts w:ascii="Book Antiqua" w:hAnsi="Book Antiqua"/>
          <w:lang w:val="en-US"/>
        </w:rPr>
        <w:t xml:space="preserve">. Nevertheless, a limitation related to the histological findings reported is intrinsically linked with the efficacy, because all positive results were obtained only in patients with positive B71 staining on renal biopsy and the negative outcomes were reported for patients without this staining pattern on renal </w:t>
      </w:r>
      <w:proofErr w:type="gramStart"/>
      <w:r w:rsidRPr="00A71E3B">
        <w:rPr>
          <w:rFonts w:ascii="Book Antiqua" w:hAnsi="Book Antiqua"/>
          <w:lang w:val="en-US"/>
        </w:rPr>
        <w:t>specimens</w:t>
      </w:r>
      <w:r w:rsidRPr="00A71E3B">
        <w:rPr>
          <w:rFonts w:ascii="Book Antiqua" w:hAnsi="Book Antiqua"/>
          <w:vertAlign w:val="superscript"/>
          <w:lang w:val="en-US"/>
        </w:rPr>
        <w:t>[</w:t>
      </w:r>
      <w:proofErr w:type="gramEnd"/>
      <w:r w:rsidRPr="00A71E3B">
        <w:rPr>
          <w:rFonts w:ascii="Book Antiqua" w:hAnsi="Book Antiqua"/>
          <w:vertAlign w:val="superscript"/>
          <w:lang w:val="en-US"/>
        </w:rPr>
        <w:t>101]</w:t>
      </w:r>
      <w:r w:rsidRPr="00A71E3B">
        <w:rPr>
          <w:rFonts w:ascii="Book Antiqua" w:hAnsi="Book Antiqua"/>
          <w:lang w:val="en-US"/>
        </w:rPr>
        <w:t xml:space="preserve">. In addition, the absence of response after </w:t>
      </w:r>
      <w:proofErr w:type="spellStart"/>
      <w:r w:rsidRPr="00A71E3B">
        <w:rPr>
          <w:rFonts w:ascii="Book Antiqua" w:hAnsi="Book Antiqua"/>
          <w:lang w:val="en-US"/>
        </w:rPr>
        <w:t>belatacept</w:t>
      </w:r>
      <w:proofErr w:type="spellEnd"/>
      <w:r w:rsidRPr="00A71E3B">
        <w:rPr>
          <w:rFonts w:ascii="Book Antiqua" w:hAnsi="Book Antiqua"/>
          <w:lang w:val="en-US"/>
        </w:rPr>
        <w:t xml:space="preserve"> </w:t>
      </w:r>
      <w:proofErr w:type="gramStart"/>
      <w:r w:rsidRPr="00A71E3B">
        <w:rPr>
          <w:rFonts w:ascii="Book Antiqua" w:hAnsi="Book Antiqua"/>
          <w:lang w:val="en-US"/>
        </w:rPr>
        <w:t>use</w:t>
      </w:r>
      <w:r w:rsidRPr="00A71E3B">
        <w:rPr>
          <w:rFonts w:ascii="Book Antiqua" w:hAnsi="Book Antiqua"/>
          <w:vertAlign w:val="superscript"/>
          <w:lang w:val="en-US"/>
        </w:rPr>
        <w:t>[</w:t>
      </w:r>
      <w:proofErr w:type="gramEnd"/>
      <w:r w:rsidRPr="00A71E3B">
        <w:rPr>
          <w:rFonts w:ascii="Book Antiqua" w:hAnsi="Book Antiqua"/>
          <w:vertAlign w:val="superscript"/>
          <w:lang w:val="en-US"/>
        </w:rPr>
        <w:t>99,100,102]</w:t>
      </w:r>
      <w:r w:rsidRPr="00A71E3B">
        <w:rPr>
          <w:rFonts w:ascii="Book Antiqua" w:hAnsi="Book Antiqua"/>
          <w:lang w:val="en-US"/>
        </w:rPr>
        <w:t xml:space="preserve"> (</w:t>
      </w:r>
      <w:proofErr w:type="spellStart"/>
      <w:r w:rsidRPr="00A71E3B">
        <w:rPr>
          <w:rFonts w:ascii="Book Antiqua" w:hAnsi="Book Antiqua"/>
          <w:lang w:val="en-US"/>
        </w:rPr>
        <w:t>abatacept’s</w:t>
      </w:r>
      <w:proofErr w:type="spellEnd"/>
      <w:r w:rsidRPr="00A71E3B">
        <w:rPr>
          <w:rFonts w:ascii="Book Antiqua" w:hAnsi="Book Antiqua"/>
          <w:lang w:val="en-US"/>
        </w:rPr>
        <w:t xml:space="preserve"> “twin drug” with a higher affinity to the B71 receptor) remains an open issue.</w:t>
      </w:r>
    </w:p>
    <w:p w:rsidR="00B37BF3" w:rsidRPr="00A71E3B" w:rsidRDefault="00B37BF3" w:rsidP="00B30536">
      <w:pPr>
        <w:spacing w:line="360" w:lineRule="auto"/>
        <w:jc w:val="both"/>
        <w:rPr>
          <w:rFonts w:ascii="Book Antiqua" w:hAnsi="Book Antiqua"/>
          <w:lang w:val="en-US"/>
        </w:rPr>
      </w:pPr>
      <w:r w:rsidRPr="00A71E3B">
        <w:rPr>
          <w:rFonts w:ascii="Book Antiqua" w:hAnsi="Book Antiqua"/>
          <w:lang w:val="en-US"/>
        </w:rPr>
        <w:t xml:space="preserve">In conclusion, no treatment guideline can be proposed at this time to address FSGS in renal transplantation. In our opinion, waiting for improvement in podocyte biology knowledge and taking the perspective that therapeutic protocols should be tailored to the single patient will help to optimize the </w:t>
      </w:r>
      <w:r w:rsidRPr="00A71E3B">
        <w:rPr>
          <w:rFonts w:ascii="Book Antiqua" w:hAnsi="Book Antiqua"/>
          <w:lang w:val="en-US"/>
        </w:rPr>
        <w:lastRenderedPageBreak/>
        <w:t>risk/benefit balance. Protocol biopsy is a useful strategy chosen during the difficult decision-making process involved in cases possibly needing interruption of on-going targeted therapies (maybe with the only exception of RAS blockers). We suggest, as a first line option, the use of Rituximab</w:t>
      </w:r>
      <w:r w:rsidRPr="002F2987">
        <w:rPr>
          <w:rFonts w:ascii="Book Antiqua" w:hAnsi="Book Antiqua"/>
          <w:vertAlign w:val="superscript"/>
          <w:lang w:val="en-US"/>
        </w:rPr>
        <w:t>®</w:t>
      </w:r>
      <w:r w:rsidRPr="00A71E3B">
        <w:rPr>
          <w:rFonts w:ascii="Book Antiqua" w:hAnsi="Book Antiqua"/>
          <w:lang w:val="en-US"/>
        </w:rPr>
        <w:t xml:space="preserve"> at a single dose of 375 mg/m</w:t>
      </w:r>
      <w:r w:rsidRPr="00A71E3B">
        <w:rPr>
          <w:rFonts w:ascii="Book Antiqua" w:hAnsi="Book Antiqua"/>
          <w:vertAlign w:val="superscript"/>
          <w:lang w:val="en-US"/>
        </w:rPr>
        <w:t>2</w:t>
      </w:r>
      <w:r w:rsidRPr="00A71E3B">
        <w:rPr>
          <w:rFonts w:ascii="Book Antiqua" w:hAnsi="Book Antiqua"/>
          <w:lang w:val="en-US"/>
        </w:rPr>
        <w:t xml:space="preserve"> (also for induction protocols in patients at high risk of recurrence) with a close monitoring of CD20</w:t>
      </w:r>
      <w:r w:rsidRPr="008259F2">
        <w:rPr>
          <w:rFonts w:ascii="Book Antiqua" w:hAnsi="Book Antiqua"/>
          <w:vertAlign w:val="superscript"/>
          <w:lang w:val="en-US"/>
        </w:rPr>
        <w:t>+</w:t>
      </w:r>
      <w:r w:rsidRPr="00A71E3B">
        <w:rPr>
          <w:rFonts w:ascii="Book Antiqua" w:hAnsi="Book Antiqua"/>
          <w:lang w:val="en-US"/>
        </w:rPr>
        <w:t xml:space="preserve"> count, that will be applied in combination with steroids and a PE course. The initial schedule could be 5-10 sessions on alternating days, followed by tapering</w:t>
      </w:r>
      <w:r w:rsidR="002F2987">
        <w:rPr>
          <w:rFonts w:ascii="Book Antiqua" w:hAnsi="Book Antiqua"/>
          <w:lang w:val="en-US"/>
        </w:rPr>
        <w:t xml:space="preserve"> to a 1/</w:t>
      </w:r>
      <w:proofErr w:type="spellStart"/>
      <w:r w:rsidR="002F2987">
        <w:rPr>
          <w:rFonts w:ascii="Book Antiqua" w:hAnsi="Book Antiqua"/>
          <w:lang w:val="en-US"/>
        </w:rPr>
        <w:t>w</w:t>
      </w:r>
      <w:r w:rsidRPr="00A71E3B">
        <w:rPr>
          <w:rFonts w:ascii="Book Antiqua" w:hAnsi="Book Antiqua"/>
          <w:lang w:val="en-US"/>
        </w:rPr>
        <w:t>k</w:t>
      </w:r>
      <w:proofErr w:type="spellEnd"/>
      <w:r w:rsidRPr="00A71E3B">
        <w:rPr>
          <w:rFonts w:ascii="Book Antiqua" w:hAnsi="Book Antiqua"/>
          <w:lang w:val="en-US"/>
        </w:rPr>
        <w:t xml:space="preserve"> or less schedule according to the patient’s clinical response. The crucial issue is determining the right time to stop PE after proteinuria disappearance. </w:t>
      </w:r>
    </w:p>
    <w:p w:rsidR="00B37BF3" w:rsidRPr="00A71E3B" w:rsidRDefault="00B37BF3" w:rsidP="002F2987">
      <w:pPr>
        <w:spacing w:line="360" w:lineRule="auto"/>
        <w:ind w:firstLineChars="100" w:firstLine="240"/>
        <w:jc w:val="both"/>
        <w:rPr>
          <w:rFonts w:ascii="Book Antiqua" w:hAnsi="Book Antiqua"/>
          <w:b/>
          <w:bCs/>
          <w:lang w:val="en-US"/>
        </w:rPr>
      </w:pPr>
      <w:r w:rsidRPr="00A71E3B">
        <w:rPr>
          <w:rFonts w:ascii="Book Antiqua" w:hAnsi="Book Antiqua"/>
          <w:lang w:val="en-US"/>
        </w:rPr>
        <w:t>Therapy for FSGS in renal transplantation remains an unmet clinical need. Randomized-controlled clinical trials are highly important to resolve this issue and necessary to elucidate the correct approach and the real potentiality of the more recently proposed drugs.</w:t>
      </w:r>
    </w:p>
    <w:p w:rsidR="00B37BF3" w:rsidRPr="00A71E3B" w:rsidRDefault="00B37BF3" w:rsidP="00B30536">
      <w:pPr>
        <w:tabs>
          <w:tab w:val="left" w:pos="0"/>
          <w:tab w:val="left" w:pos="1440"/>
        </w:tabs>
        <w:spacing w:line="360" w:lineRule="auto"/>
        <w:jc w:val="both"/>
        <w:rPr>
          <w:rFonts w:ascii="Book Antiqua" w:hAnsi="Book Antiqua"/>
          <w:b/>
          <w:bCs/>
          <w:lang w:val="en-US"/>
        </w:rPr>
      </w:pPr>
    </w:p>
    <w:p w:rsidR="00B37BF3" w:rsidRPr="00D01C8E" w:rsidRDefault="00B37BF3" w:rsidP="00D01C8E">
      <w:pPr>
        <w:spacing w:line="360" w:lineRule="auto"/>
        <w:jc w:val="both"/>
        <w:rPr>
          <w:rFonts w:ascii="Book Antiqua" w:hAnsi="Book Antiqua"/>
          <w:b/>
          <w:bCs/>
          <w:lang w:val="en-US" w:eastAsia="zh-CN"/>
        </w:rPr>
      </w:pPr>
      <w:r w:rsidRPr="00A71E3B">
        <w:rPr>
          <w:rFonts w:ascii="Book Antiqua" w:hAnsi="Book Antiqua"/>
          <w:b/>
          <w:bCs/>
          <w:lang w:val="en-US"/>
        </w:rPr>
        <w:br w:type="page"/>
      </w:r>
      <w:r w:rsidRPr="00D01C8E">
        <w:rPr>
          <w:rFonts w:ascii="Book Antiqua" w:hAnsi="Book Antiqua"/>
          <w:b/>
          <w:bCs/>
          <w:lang w:val="en-US"/>
        </w:rPr>
        <w:lastRenderedPageBreak/>
        <w:t>REFERENCES</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 </w:t>
      </w:r>
      <w:proofErr w:type="spellStart"/>
      <w:r w:rsidRPr="00D01C8E">
        <w:rPr>
          <w:rFonts w:ascii="Book Antiqua" w:eastAsia="宋体" w:hAnsi="Book Antiqua" w:cs="宋体"/>
          <w:b/>
          <w:bCs/>
          <w:lang w:val="en-US" w:eastAsia="zh-CN"/>
        </w:rPr>
        <w:t>D'Agati</w:t>
      </w:r>
      <w:proofErr w:type="spellEnd"/>
      <w:r w:rsidRPr="00D01C8E">
        <w:rPr>
          <w:rFonts w:ascii="Book Antiqua" w:eastAsia="宋体" w:hAnsi="Book Antiqua" w:cs="宋体"/>
          <w:b/>
          <w:bCs/>
          <w:lang w:val="en-US" w:eastAsia="zh-CN"/>
        </w:rPr>
        <w:t xml:space="preserve"> VD</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Kaskel</w:t>
      </w:r>
      <w:proofErr w:type="spellEnd"/>
      <w:r w:rsidRPr="00D01C8E">
        <w:rPr>
          <w:rFonts w:ascii="Book Antiqua" w:eastAsia="宋体" w:hAnsi="Book Antiqua" w:cs="宋体"/>
          <w:lang w:val="en-US" w:eastAsia="zh-CN"/>
        </w:rPr>
        <w:t xml:space="preserve"> FJ, Falk RJ. </w:t>
      </w:r>
      <w:proofErr w:type="gramStart"/>
      <w:r w:rsidRPr="00D01C8E">
        <w:rPr>
          <w:rFonts w:ascii="Book Antiqua" w:eastAsia="宋体" w:hAnsi="Book Antiqua" w:cs="宋体"/>
          <w:lang w:val="en-US" w:eastAsia="zh-CN"/>
        </w:rPr>
        <w:t>Focal segmental glomerulosclerosis.</w:t>
      </w:r>
      <w:proofErr w:type="gram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 xml:space="preserve">N </w:t>
      </w:r>
      <w:proofErr w:type="spellStart"/>
      <w:r w:rsidRPr="00D01C8E">
        <w:rPr>
          <w:rFonts w:ascii="Book Antiqua" w:eastAsia="宋体" w:hAnsi="Book Antiqua" w:cs="宋体"/>
          <w:i/>
          <w:iCs/>
          <w:lang w:val="en-US" w:eastAsia="zh-CN"/>
        </w:rPr>
        <w:t>Engl</w:t>
      </w:r>
      <w:proofErr w:type="spellEnd"/>
      <w:r w:rsidRPr="00D01C8E">
        <w:rPr>
          <w:rFonts w:ascii="Book Antiqua" w:eastAsia="宋体" w:hAnsi="Book Antiqua" w:cs="宋体"/>
          <w:i/>
          <w:iCs/>
          <w:lang w:val="en-US" w:eastAsia="zh-CN"/>
        </w:rPr>
        <w:t xml:space="preserve"> J Med</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365</w:t>
      </w:r>
      <w:r w:rsidRPr="00D01C8E">
        <w:rPr>
          <w:rFonts w:ascii="Book Antiqua" w:eastAsia="宋体" w:hAnsi="Book Antiqua" w:cs="宋体"/>
          <w:lang w:val="en-US" w:eastAsia="zh-CN"/>
        </w:rPr>
        <w:t>: 2398-2411 [PMID: 22187987 DOI: 10.1056/NEJMra1106556]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2 </w:t>
      </w:r>
      <w:proofErr w:type="spellStart"/>
      <w:r w:rsidRPr="00D01C8E">
        <w:rPr>
          <w:rFonts w:ascii="Book Antiqua" w:eastAsia="宋体" w:hAnsi="Book Antiqua" w:cs="宋体"/>
          <w:b/>
          <w:bCs/>
          <w:lang w:val="en-US" w:eastAsia="zh-CN"/>
        </w:rPr>
        <w:t>Matas</w:t>
      </w:r>
      <w:proofErr w:type="spellEnd"/>
      <w:r w:rsidRPr="00D01C8E">
        <w:rPr>
          <w:rFonts w:ascii="Book Antiqua" w:eastAsia="宋体" w:hAnsi="Book Antiqua" w:cs="宋体"/>
          <w:b/>
          <w:bCs/>
          <w:lang w:val="en-US" w:eastAsia="zh-CN"/>
        </w:rPr>
        <w:t xml:space="preserve"> AJ</w:t>
      </w:r>
      <w:r w:rsidRPr="00D01C8E">
        <w:rPr>
          <w:rFonts w:ascii="Book Antiqua" w:eastAsia="宋体" w:hAnsi="Book Antiqua" w:cs="宋体"/>
          <w:lang w:val="en-US" w:eastAsia="zh-CN"/>
        </w:rPr>
        <w:t xml:space="preserve">, Smith JM, </w:t>
      </w:r>
      <w:proofErr w:type="spellStart"/>
      <w:r w:rsidRPr="00D01C8E">
        <w:rPr>
          <w:rFonts w:ascii="Book Antiqua" w:eastAsia="宋体" w:hAnsi="Book Antiqua" w:cs="宋体"/>
          <w:lang w:val="en-US" w:eastAsia="zh-CN"/>
        </w:rPr>
        <w:t>Skeans</w:t>
      </w:r>
      <w:proofErr w:type="spellEnd"/>
      <w:r w:rsidRPr="00D01C8E">
        <w:rPr>
          <w:rFonts w:ascii="Book Antiqua" w:eastAsia="宋体" w:hAnsi="Book Antiqua" w:cs="宋体"/>
          <w:lang w:val="en-US" w:eastAsia="zh-CN"/>
        </w:rPr>
        <w:t xml:space="preserve"> MA, Thompson B, Gustafson SK, Schnitzler MA, Stewart DE, </w:t>
      </w:r>
      <w:proofErr w:type="spellStart"/>
      <w:r w:rsidRPr="00D01C8E">
        <w:rPr>
          <w:rFonts w:ascii="Book Antiqua" w:eastAsia="宋体" w:hAnsi="Book Antiqua" w:cs="宋体"/>
          <w:lang w:val="en-US" w:eastAsia="zh-CN"/>
        </w:rPr>
        <w:t>Cherikh</w:t>
      </w:r>
      <w:proofErr w:type="spellEnd"/>
      <w:r w:rsidRPr="00D01C8E">
        <w:rPr>
          <w:rFonts w:ascii="Book Antiqua" w:eastAsia="宋体" w:hAnsi="Book Antiqua" w:cs="宋体"/>
          <w:lang w:val="en-US" w:eastAsia="zh-CN"/>
        </w:rPr>
        <w:t xml:space="preserve"> WS, </w:t>
      </w:r>
      <w:proofErr w:type="spellStart"/>
      <w:r w:rsidRPr="00D01C8E">
        <w:rPr>
          <w:rFonts w:ascii="Book Antiqua" w:eastAsia="宋体" w:hAnsi="Book Antiqua" w:cs="宋体"/>
          <w:lang w:val="en-US" w:eastAsia="zh-CN"/>
        </w:rPr>
        <w:t>Wainright</w:t>
      </w:r>
      <w:proofErr w:type="spellEnd"/>
      <w:r w:rsidRPr="00D01C8E">
        <w:rPr>
          <w:rFonts w:ascii="Book Antiqua" w:eastAsia="宋体" w:hAnsi="Book Antiqua" w:cs="宋体"/>
          <w:lang w:val="en-US" w:eastAsia="zh-CN"/>
        </w:rPr>
        <w:t xml:space="preserve"> JL, Snyder JJ, </w:t>
      </w:r>
      <w:proofErr w:type="spellStart"/>
      <w:r w:rsidRPr="00D01C8E">
        <w:rPr>
          <w:rFonts w:ascii="Book Antiqua" w:eastAsia="宋体" w:hAnsi="Book Antiqua" w:cs="宋体"/>
          <w:lang w:val="en-US" w:eastAsia="zh-CN"/>
        </w:rPr>
        <w:t>Israni</w:t>
      </w:r>
      <w:proofErr w:type="spellEnd"/>
      <w:r w:rsidRPr="00D01C8E">
        <w:rPr>
          <w:rFonts w:ascii="Book Antiqua" w:eastAsia="宋体" w:hAnsi="Book Antiqua" w:cs="宋体"/>
          <w:lang w:val="en-US" w:eastAsia="zh-CN"/>
        </w:rPr>
        <w:t xml:space="preserve"> AK, </w:t>
      </w:r>
      <w:proofErr w:type="spellStart"/>
      <w:r w:rsidRPr="00D01C8E">
        <w:rPr>
          <w:rFonts w:ascii="Book Antiqua" w:eastAsia="宋体" w:hAnsi="Book Antiqua" w:cs="宋体"/>
          <w:lang w:val="en-US" w:eastAsia="zh-CN"/>
        </w:rPr>
        <w:t>Kasiske</w:t>
      </w:r>
      <w:proofErr w:type="spellEnd"/>
      <w:r w:rsidRPr="00D01C8E">
        <w:rPr>
          <w:rFonts w:ascii="Book Antiqua" w:eastAsia="宋体" w:hAnsi="Book Antiqua" w:cs="宋体"/>
          <w:lang w:val="en-US" w:eastAsia="zh-CN"/>
        </w:rPr>
        <w:t xml:space="preserve"> BL. OPTN/SRTR 2012 Annual Data Report: kidney. </w:t>
      </w:r>
      <w:r w:rsidRPr="00D01C8E">
        <w:rPr>
          <w:rFonts w:ascii="Book Antiqua" w:eastAsia="宋体" w:hAnsi="Book Antiqua" w:cs="宋体"/>
          <w:i/>
          <w:iCs/>
          <w:lang w:val="en-US" w:eastAsia="zh-CN"/>
        </w:rPr>
        <w:t>Am J Transplant</w:t>
      </w:r>
      <w:r w:rsidRPr="00D01C8E">
        <w:rPr>
          <w:rFonts w:ascii="Book Antiqua" w:eastAsia="宋体" w:hAnsi="Book Antiqua" w:cs="宋体"/>
          <w:lang w:val="en-US" w:eastAsia="zh-CN"/>
        </w:rPr>
        <w:t xml:space="preserve"> 2014; </w:t>
      </w:r>
      <w:r w:rsidRPr="00D01C8E">
        <w:rPr>
          <w:rFonts w:ascii="Book Antiqua" w:eastAsia="宋体" w:hAnsi="Book Antiqua" w:cs="宋体"/>
          <w:b/>
          <w:bCs/>
          <w:lang w:val="en-US" w:eastAsia="zh-CN"/>
        </w:rPr>
        <w:t xml:space="preserve">14 </w:t>
      </w:r>
      <w:proofErr w:type="spellStart"/>
      <w:r w:rsidRPr="00D01C8E">
        <w:rPr>
          <w:rFonts w:ascii="Book Antiqua" w:eastAsia="宋体" w:hAnsi="Book Antiqua" w:cs="宋体"/>
          <w:b/>
          <w:bCs/>
          <w:lang w:val="en-US" w:eastAsia="zh-CN"/>
        </w:rPr>
        <w:t>Suppl</w:t>
      </w:r>
      <w:proofErr w:type="spellEnd"/>
      <w:r w:rsidRPr="00D01C8E">
        <w:rPr>
          <w:rFonts w:ascii="Book Antiqua" w:eastAsia="宋体" w:hAnsi="Book Antiqua" w:cs="宋体"/>
          <w:b/>
          <w:bCs/>
          <w:lang w:val="en-US" w:eastAsia="zh-CN"/>
        </w:rPr>
        <w:t xml:space="preserve"> 1</w:t>
      </w:r>
      <w:r w:rsidRPr="00D01C8E">
        <w:rPr>
          <w:rFonts w:ascii="Book Antiqua" w:eastAsia="宋体" w:hAnsi="Book Antiqua" w:cs="宋体"/>
          <w:lang w:val="en-US" w:eastAsia="zh-CN"/>
        </w:rPr>
        <w:t>: 11-44 [PMID: 24373166 DOI: 10.1111/ajt.12579]</w:t>
      </w:r>
    </w:p>
    <w:p w:rsidR="00D01C8E" w:rsidRPr="00D01C8E" w:rsidRDefault="00B6681C" w:rsidP="00D01C8E">
      <w:pPr>
        <w:suppressAutoHyphens w:val="0"/>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 </w:t>
      </w:r>
      <w:r w:rsidR="00D01C8E" w:rsidRPr="00D01C8E">
        <w:rPr>
          <w:rFonts w:ascii="Book Antiqua" w:eastAsia="宋体" w:hAnsi="Book Antiqua" w:cs="宋体"/>
          <w:lang w:val="en-US" w:eastAsia="zh-CN"/>
        </w:rPr>
        <w:t>ERA-EDTA Registry: ERA-EDTA Registry Annual Report 2012. Academic Medical Center, Department of Medical Informatics, A</w:t>
      </w:r>
      <w:r>
        <w:rPr>
          <w:rFonts w:ascii="Book Antiqua" w:eastAsia="宋体" w:hAnsi="Book Antiqua" w:cs="宋体"/>
          <w:lang w:val="en-US" w:eastAsia="zh-CN"/>
        </w:rPr>
        <w:t>msterdam, The Netherlands, 2014</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4 </w:t>
      </w:r>
      <w:proofErr w:type="spellStart"/>
      <w:r w:rsidRPr="00D01C8E">
        <w:rPr>
          <w:rFonts w:ascii="Book Antiqua" w:eastAsia="宋体" w:hAnsi="Book Antiqua" w:cs="宋体"/>
          <w:b/>
          <w:bCs/>
          <w:lang w:val="en-US" w:eastAsia="zh-CN"/>
        </w:rPr>
        <w:t>Ponticelli</w:t>
      </w:r>
      <w:proofErr w:type="spellEnd"/>
      <w:r w:rsidRPr="00D01C8E">
        <w:rPr>
          <w:rFonts w:ascii="Book Antiqua" w:eastAsia="宋体" w:hAnsi="Book Antiqua" w:cs="宋体"/>
          <w:b/>
          <w:bCs/>
          <w:lang w:val="en-US" w:eastAsia="zh-CN"/>
        </w:rPr>
        <w:t xml:space="preserve"> C</w:t>
      </w:r>
      <w:r w:rsidRPr="00D01C8E">
        <w:rPr>
          <w:rFonts w:ascii="Book Antiqua" w:eastAsia="宋体" w:hAnsi="Book Antiqua" w:cs="宋体"/>
          <w:lang w:val="en-US" w:eastAsia="zh-CN"/>
        </w:rPr>
        <w:t>. Recurrence of focal segmental glomerular sclerosis (FSGS) after renal transplantation.</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i/>
          <w:iCs/>
          <w:lang w:val="en-US" w:eastAsia="zh-CN"/>
        </w:rPr>
        <w:t xml:space="preserve"> Dial Transplant</w:t>
      </w:r>
      <w:r w:rsidRPr="00D01C8E">
        <w:rPr>
          <w:rFonts w:ascii="Book Antiqua" w:eastAsia="宋体" w:hAnsi="Book Antiqua" w:cs="宋体"/>
          <w:lang w:val="en-US" w:eastAsia="zh-CN"/>
        </w:rPr>
        <w:t xml:space="preserve"> 2010; </w:t>
      </w:r>
      <w:r w:rsidRPr="00D01C8E">
        <w:rPr>
          <w:rFonts w:ascii="Book Antiqua" w:eastAsia="宋体" w:hAnsi="Book Antiqua" w:cs="宋体"/>
          <w:b/>
          <w:bCs/>
          <w:lang w:val="en-US" w:eastAsia="zh-CN"/>
        </w:rPr>
        <w:t>25</w:t>
      </w:r>
      <w:r w:rsidRPr="00D01C8E">
        <w:rPr>
          <w:rFonts w:ascii="Book Antiqua" w:eastAsia="宋体" w:hAnsi="Book Antiqua" w:cs="宋体"/>
          <w:lang w:val="en-US" w:eastAsia="zh-CN"/>
        </w:rPr>
        <w:t>: 25-31 [PMID: 19875378 DOI: 10.1093/</w:t>
      </w:r>
      <w:proofErr w:type="spellStart"/>
      <w:r w:rsidRPr="00D01C8E">
        <w:rPr>
          <w:rFonts w:ascii="Book Antiqua" w:eastAsia="宋体" w:hAnsi="Book Antiqua" w:cs="宋体"/>
          <w:lang w:val="en-US" w:eastAsia="zh-CN"/>
        </w:rPr>
        <w:t>ndt</w:t>
      </w:r>
      <w:proofErr w:type="spellEnd"/>
      <w:r w:rsidRPr="00D01C8E">
        <w:rPr>
          <w:rFonts w:ascii="Book Antiqua" w:eastAsia="宋体" w:hAnsi="Book Antiqua" w:cs="宋体"/>
          <w:lang w:val="en-US" w:eastAsia="zh-CN"/>
        </w:rPr>
        <w:t>/gfp538]</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5 </w:t>
      </w:r>
      <w:proofErr w:type="spellStart"/>
      <w:r w:rsidRPr="00D01C8E">
        <w:rPr>
          <w:rFonts w:ascii="Book Antiqua" w:eastAsia="宋体" w:hAnsi="Book Antiqua" w:cs="宋体"/>
          <w:b/>
          <w:bCs/>
          <w:lang w:val="en-US" w:eastAsia="zh-CN"/>
        </w:rPr>
        <w:t>Hariharan</w:t>
      </w:r>
      <w:proofErr w:type="spellEnd"/>
      <w:r w:rsidRPr="00D01C8E">
        <w:rPr>
          <w:rFonts w:ascii="Book Antiqua" w:eastAsia="宋体" w:hAnsi="Book Antiqua" w:cs="宋体"/>
          <w:b/>
          <w:bCs/>
          <w:lang w:val="en-US" w:eastAsia="zh-CN"/>
        </w:rPr>
        <w:t xml:space="preserve"> S</w:t>
      </w:r>
      <w:r w:rsidRPr="00D01C8E">
        <w:rPr>
          <w:rFonts w:ascii="Book Antiqua" w:eastAsia="宋体" w:hAnsi="Book Antiqua" w:cs="宋体"/>
          <w:lang w:val="en-US" w:eastAsia="zh-CN"/>
        </w:rPr>
        <w:t xml:space="preserve">, Adams MB, Brennan DC, Davis CL, First MR, Johnson CP, </w:t>
      </w:r>
      <w:proofErr w:type="spellStart"/>
      <w:r w:rsidRPr="00D01C8E">
        <w:rPr>
          <w:rFonts w:ascii="Book Antiqua" w:eastAsia="宋体" w:hAnsi="Book Antiqua" w:cs="宋体"/>
          <w:lang w:val="en-US" w:eastAsia="zh-CN"/>
        </w:rPr>
        <w:t>Ouseph</w:t>
      </w:r>
      <w:proofErr w:type="spellEnd"/>
      <w:r w:rsidRPr="00D01C8E">
        <w:rPr>
          <w:rFonts w:ascii="Book Antiqua" w:eastAsia="宋体" w:hAnsi="Book Antiqua" w:cs="宋体"/>
          <w:lang w:val="en-US" w:eastAsia="zh-CN"/>
        </w:rPr>
        <w:t xml:space="preserve"> R, </w:t>
      </w:r>
      <w:proofErr w:type="spellStart"/>
      <w:r w:rsidRPr="00D01C8E">
        <w:rPr>
          <w:rFonts w:ascii="Book Antiqua" w:eastAsia="宋体" w:hAnsi="Book Antiqua" w:cs="宋体"/>
          <w:lang w:val="en-US" w:eastAsia="zh-CN"/>
        </w:rPr>
        <w:t>Peddi</w:t>
      </w:r>
      <w:proofErr w:type="spellEnd"/>
      <w:r w:rsidRPr="00D01C8E">
        <w:rPr>
          <w:rFonts w:ascii="Book Antiqua" w:eastAsia="宋体" w:hAnsi="Book Antiqua" w:cs="宋体"/>
          <w:lang w:val="en-US" w:eastAsia="zh-CN"/>
        </w:rPr>
        <w:t xml:space="preserve"> VR, </w:t>
      </w:r>
      <w:proofErr w:type="spellStart"/>
      <w:r w:rsidRPr="00D01C8E">
        <w:rPr>
          <w:rFonts w:ascii="Book Antiqua" w:eastAsia="宋体" w:hAnsi="Book Antiqua" w:cs="宋体"/>
          <w:lang w:val="en-US" w:eastAsia="zh-CN"/>
        </w:rPr>
        <w:t>Pelz</w:t>
      </w:r>
      <w:proofErr w:type="spellEnd"/>
      <w:r w:rsidRPr="00D01C8E">
        <w:rPr>
          <w:rFonts w:ascii="Book Antiqua" w:eastAsia="宋体" w:hAnsi="Book Antiqua" w:cs="宋体"/>
          <w:lang w:val="en-US" w:eastAsia="zh-CN"/>
        </w:rPr>
        <w:t xml:space="preserve"> CJ, </w:t>
      </w:r>
      <w:proofErr w:type="spellStart"/>
      <w:r w:rsidRPr="00D01C8E">
        <w:rPr>
          <w:rFonts w:ascii="Book Antiqua" w:eastAsia="宋体" w:hAnsi="Book Antiqua" w:cs="宋体"/>
          <w:lang w:val="en-US" w:eastAsia="zh-CN"/>
        </w:rPr>
        <w:t>Roza</w:t>
      </w:r>
      <w:proofErr w:type="spellEnd"/>
      <w:r w:rsidRPr="00D01C8E">
        <w:rPr>
          <w:rFonts w:ascii="Book Antiqua" w:eastAsia="宋体" w:hAnsi="Book Antiqua" w:cs="宋体"/>
          <w:lang w:val="en-US" w:eastAsia="zh-CN"/>
        </w:rPr>
        <w:t xml:space="preserve"> AM, </w:t>
      </w:r>
      <w:proofErr w:type="spellStart"/>
      <w:r w:rsidRPr="00D01C8E">
        <w:rPr>
          <w:rFonts w:ascii="Book Antiqua" w:eastAsia="宋体" w:hAnsi="Book Antiqua" w:cs="宋体"/>
          <w:lang w:val="en-US" w:eastAsia="zh-CN"/>
        </w:rPr>
        <w:t>Vincenti</w:t>
      </w:r>
      <w:proofErr w:type="spellEnd"/>
      <w:r w:rsidRPr="00D01C8E">
        <w:rPr>
          <w:rFonts w:ascii="Book Antiqua" w:eastAsia="宋体" w:hAnsi="Book Antiqua" w:cs="宋体"/>
          <w:lang w:val="en-US" w:eastAsia="zh-CN"/>
        </w:rPr>
        <w:t xml:space="preserve"> F, George V. Recurrent and de novo glomerular disease after renal transplantation: a report from Renal Allograft Disease Registry (RADR). </w:t>
      </w:r>
      <w:r w:rsidRPr="00D01C8E">
        <w:rPr>
          <w:rFonts w:ascii="Book Antiqua" w:eastAsia="宋体" w:hAnsi="Book Antiqua" w:cs="宋体"/>
          <w:i/>
          <w:iCs/>
          <w:lang w:val="en-US" w:eastAsia="zh-CN"/>
        </w:rPr>
        <w:t>Transplantation</w:t>
      </w:r>
      <w:r w:rsidRPr="00D01C8E">
        <w:rPr>
          <w:rFonts w:ascii="Book Antiqua" w:eastAsia="宋体" w:hAnsi="Book Antiqua" w:cs="宋体"/>
          <w:lang w:val="en-US" w:eastAsia="zh-CN"/>
        </w:rPr>
        <w:t xml:space="preserve"> 1999; </w:t>
      </w:r>
      <w:r w:rsidRPr="00D01C8E">
        <w:rPr>
          <w:rFonts w:ascii="Book Antiqua" w:eastAsia="宋体" w:hAnsi="Book Antiqua" w:cs="宋体"/>
          <w:b/>
          <w:bCs/>
          <w:lang w:val="en-US" w:eastAsia="zh-CN"/>
        </w:rPr>
        <w:t>68</w:t>
      </w:r>
      <w:r w:rsidRPr="00D01C8E">
        <w:rPr>
          <w:rFonts w:ascii="Book Antiqua" w:eastAsia="宋体" w:hAnsi="Book Antiqua" w:cs="宋体"/>
          <w:lang w:val="en-US" w:eastAsia="zh-CN"/>
        </w:rPr>
        <w:t>: 635-641 [PMID: 10507481]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6 </w:t>
      </w:r>
      <w:proofErr w:type="spellStart"/>
      <w:r w:rsidRPr="00D01C8E">
        <w:rPr>
          <w:rFonts w:ascii="Book Antiqua" w:eastAsia="宋体" w:hAnsi="Book Antiqua" w:cs="宋体"/>
          <w:b/>
          <w:bCs/>
          <w:lang w:val="en-US" w:eastAsia="zh-CN"/>
        </w:rPr>
        <w:t>Hubsch</w:t>
      </w:r>
      <w:proofErr w:type="spellEnd"/>
      <w:r w:rsidRPr="00D01C8E">
        <w:rPr>
          <w:rFonts w:ascii="Book Antiqua" w:eastAsia="宋体" w:hAnsi="Book Antiqua" w:cs="宋体"/>
          <w:b/>
          <w:bCs/>
          <w:lang w:val="en-US" w:eastAsia="zh-CN"/>
        </w:rPr>
        <w:t xml:space="preserve"> H</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Montané</w:t>
      </w:r>
      <w:proofErr w:type="spellEnd"/>
      <w:r w:rsidRPr="00D01C8E">
        <w:rPr>
          <w:rFonts w:ascii="Book Antiqua" w:eastAsia="宋体" w:hAnsi="Book Antiqua" w:cs="宋体"/>
          <w:lang w:val="en-US" w:eastAsia="zh-CN"/>
        </w:rPr>
        <w:t xml:space="preserve"> B, </w:t>
      </w:r>
      <w:proofErr w:type="spellStart"/>
      <w:r w:rsidRPr="00D01C8E">
        <w:rPr>
          <w:rFonts w:ascii="Book Antiqua" w:eastAsia="宋体" w:hAnsi="Book Antiqua" w:cs="宋体"/>
          <w:lang w:val="en-US" w:eastAsia="zh-CN"/>
        </w:rPr>
        <w:t>Abitbol</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Chandar</w:t>
      </w:r>
      <w:proofErr w:type="spellEnd"/>
      <w:r w:rsidRPr="00D01C8E">
        <w:rPr>
          <w:rFonts w:ascii="Book Antiqua" w:eastAsia="宋体" w:hAnsi="Book Antiqua" w:cs="宋体"/>
          <w:lang w:val="en-US" w:eastAsia="zh-CN"/>
        </w:rPr>
        <w:t xml:space="preserve"> J, </w:t>
      </w:r>
      <w:proofErr w:type="spellStart"/>
      <w:r w:rsidRPr="00D01C8E">
        <w:rPr>
          <w:rFonts w:ascii="Book Antiqua" w:eastAsia="宋体" w:hAnsi="Book Antiqua" w:cs="宋体"/>
          <w:lang w:val="en-US" w:eastAsia="zh-CN"/>
        </w:rPr>
        <w:t>Shariatmadar</w:t>
      </w:r>
      <w:proofErr w:type="spellEnd"/>
      <w:r w:rsidRPr="00D01C8E">
        <w:rPr>
          <w:rFonts w:ascii="Book Antiqua" w:eastAsia="宋体" w:hAnsi="Book Antiqua" w:cs="宋体"/>
          <w:lang w:val="en-US" w:eastAsia="zh-CN"/>
        </w:rPr>
        <w:t xml:space="preserve"> S, </w:t>
      </w:r>
      <w:proofErr w:type="spellStart"/>
      <w:r w:rsidRPr="00D01C8E">
        <w:rPr>
          <w:rFonts w:ascii="Book Antiqua" w:eastAsia="宋体" w:hAnsi="Book Antiqua" w:cs="宋体"/>
          <w:lang w:val="en-US" w:eastAsia="zh-CN"/>
        </w:rPr>
        <w:t>Ciancio</w:t>
      </w:r>
      <w:proofErr w:type="spellEnd"/>
      <w:r w:rsidRPr="00D01C8E">
        <w:rPr>
          <w:rFonts w:ascii="Book Antiqua" w:eastAsia="宋体" w:hAnsi="Book Antiqua" w:cs="宋体"/>
          <w:lang w:val="en-US" w:eastAsia="zh-CN"/>
        </w:rPr>
        <w:t xml:space="preserve"> G, Burke G, Miller J, Strauss J, </w:t>
      </w:r>
      <w:proofErr w:type="spellStart"/>
      <w:r w:rsidRPr="00D01C8E">
        <w:rPr>
          <w:rFonts w:ascii="Book Antiqua" w:eastAsia="宋体" w:hAnsi="Book Antiqua" w:cs="宋体"/>
          <w:lang w:val="en-US" w:eastAsia="zh-CN"/>
        </w:rPr>
        <w:t>Zilleruelo</w:t>
      </w:r>
      <w:proofErr w:type="spellEnd"/>
      <w:r w:rsidRPr="00D01C8E">
        <w:rPr>
          <w:rFonts w:ascii="Book Antiqua" w:eastAsia="宋体" w:hAnsi="Book Antiqua" w:cs="宋体"/>
          <w:lang w:val="en-US" w:eastAsia="zh-CN"/>
        </w:rPr>
        <w:t xml:space="preserve"> G. Recurrent focal glomerulosclerosis in pediatric renal allografts: the Miami experience.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2005; </w:t>
      </w:r>
      <w:r w:rsidRPr="00D01C8E">
        <w:rPr>
          <w:rFonts w:ascii="Book Antiqua" w:eastAsia="宋体" w:hAnsi="Book Antiqua" w:cs="宋体"/>
          <w:b/>
          <w:bCs/>
          <w:lang w:val="en-US" w:eastAsia="zh-CN"/>
        </w:rPr>
        <w:t>20</w:t>
      </w:r>
      <w:r w:rsidRPr="00D01C8E">
        <w:rPr>
          <w:rFonts w:ascii="Book Antiqua" w:eastAsia="宋体" w:hAnsi="Book Antiqua" w:cs="宋体"/>
          <w:lang w:val="en-US" w:eastAsia="zh-CN"/>
        </w:rPr>
        <w:t>: 210-216 [PMID: 15605284]</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7 </w:t>
      </w:r>
      <w:r w:rsidRPr="00D01C8E">
        <w:rPr>
          <w:rFonts w:ascii="Book Antiqua" w:eastAsia="宋体" w:hAnsi="Book Antiqua" w:cs="宋体"/>
          <w:b/>
          <w:bCs/>
          <w:lang w:val="en-US" w:eastAsia="zh-CN"/>
        </w:rPr>
        <w:t>Newstead CG</w:t>
      </w:r>
      <w:r w:rsidRPr="00D01C8E">
        <w:rPr>
          <w:rFonts w:ascii="Book Antiqua" w:eastAsia="宋体" w:hAnsi="Book Antiqua" w:cs="宋体"/>
          <w:lang w:val="en-US" w:eastAsia="zh-CN"/>
        </w:rPr>
        <w:t>.</w:t>
      </w:r>
      <w:proofErr w:type="gramEnd"/>
      <w:r w:rsidRPr="00D01C8E">
        <w:rPr>
          <w:rFonts w:ascii="Book Antiqua" w:eastAsia="宋体" w:hAnsi="Book Antiqua" w:cs="宋体"/>
          <w:lang w:val="en-US" w:eastAsia="zh-CN"/>
        </w:rPr>
        <w:t xml:space="preserve"> </w:t>
      </w:r>
      <w:proofErr w:type="gramStart"/>
      <w:r w:rsidRPr="00D01C8E">
        <w:rPr>
          <w:rFonts w:ascii="Book Antiqua" w:eastAsia="宋体" w:hAnsi="Book Antiqua" w:cs="宋体"/>
          <w:lang w:val="en-US" w:eastAsia="zh-CN"/>
        </w:rPr>
        <w:t>Recurrent disease in renal transplants.</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i/>
          <w:iCs/>
          <w:lang w:val="en-US" w:eastAsia="zh-CN"/>
        </w:rPr>
        <w:t xml:space="preserve"> Dial Transplant</w:t>
      </w:r>
      <w:r w:rsidRPr="00D01C8E">
        <w:rPr>
          <w:rFonts w:ascii="Book Antiqua" w:eastAsia="宋体" w:hAnsi="Book Antiqua" w:cs="宋体"/>
          <w:lang w:val="en-US" w:eastAsia="zh-CN"/>
        </w:rPr>
        <w:t xml:space="preserve"> 2003; </w:t>
      </w:r>
      <w:r w:rsidRPr="00D01C8E">
        <w:rPr>
          <w:rFonts w:ascii="Book Antiqua" w:eastAsia="宋体" w:hAnsi="Book Antiqua" w:cs="宋体"/>
          <w:b/>
          <w:bCs/>
          <w:lang w:val="en-US" w:eastAsia="zh-CN"/>
        </w:rPr>
        <w:t xml:space="preserve">18 </w:t>
      </w:r>
      <w:proofErr w:type="spellStart"/>
      <w:r w:rsidRPr="00D01C8E">
        <w:rPr>
          <w:rFonts w:ascii="Book Antiqua" w:eastAsia="宋体" w:hAnsi="Book Antiqua" w:cs="宋体"/>
          <w:bCs/>
          <w:lang w:val="en-US" w:eastAsia="zh-CN"/>
        </w:rPr>
        <w:t>Suppl</w:t>
      </w:r>
      <w:proofErr w:type="spellEnd"/>
      <w:r w:rsidRPr="00D01C8E">
        <w:rPr>
          <w:rFonts w:ascii="Book Antiqua" w:eastAsia="宋体" w:hAnsi="Book Antiqua" w:cs="宋体"/>
          <w:bCs/>
          <w:lang w:val="en-US" w:eastAsia="zh-CN"/>
        </w:rPr>
        <w:t xml:space="preserve"> 6</w:t>
      </w:r>
      <w:r w:rsidRPr="00D01C8E">
        <w:rPr>
          <w:rFonts w:ascii="Book Antiqua" w:eastAsia="宋体" w:hAnsi="Book Antiqua" w:cs="宋体"/>
          <w:lang w:val="en-US" w:eastAsia="zh-CN"/>
        </w:rPr>
        <w:t>: vi68-vi74 [PMID: 12953046]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8 </w:t>
      </w:r>
      <w:r w:rsidRPr="00D01C8E">
        <w:rPr>
          <w:rFonts w:ascii="Book Antiqua" w:eastAsia="宋体" w:hAnsi="Book Antiqua" w:cs="宋体"/>
          <w:b/>
          <w:bCs/>
          <w:lang w:val="en-US" w:eastAsia="zh-CN"/>
        </w:rPr>
        <w:t>Briganti EM</w:t>
      </w:r>
      <w:r w:rsidRPr="00D01C8E">
        <w:rPr>
          <w:rFonts w:ascii="Book Antiqua" w:eastAsia="宋体" w:hAnsi="Book Antiqua" w:cs="宋体"/>
          <w:lang w:val="en-US" w:eastAsia="zh-CN"/>
        </w:rPr>
        <w:t xml:space="preserve">, Russ GR, McNeil JJ, Atkins RC, Chadban SJ. </w:t>
      </w:r>
      <w:proofErr w:type="gramStart"/>
      <w:r w:rsidRPr="00D01C8E">
        <w:rPr>
          <w:rFonts w:ascii="Book Antiqua" w:eastAsia="宋体" w:hAnsi="Book Antiqua" w:cs="宋体"/>
          <w:lang w:val="en-US" w:eastAsia="zh-CN"/>
        </w:rPr>
        <w:t>Risk of renal allograft loss from recurrent glomerulonephritis.</w:t>
      </w:r>
      <w:proofErr w:type="gram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 xml:space="preserve">N </w:t>
      </w:r>
      <w:proofErr w:type="spellStart"/>
      <w:r w:rsidRPr="00D01C8E">
        <w:rPr>
          <w:rFonts w:ascii="Book Antiqua" w:eastAsia="宋体" w:hAnsi="Book Antiqua" w:cs="宋体"/>
          <w:i/>
          <w:iCs/>
          <w:lang w:val="en-US" w:eastAsia="zh-CN"/>
        </w:rPr>
        <w:t>Engl</w:t>
      </w:r>
      <w:proofErr w:type="spellEnd"/>
      <w:r w:rsidRPr="00D01C8E">
        <w:rPr>
          <w:rFonts w:ascii="Book Antiqua" w:eastAsia="宋体" w:hAnsi="Book Antiqua" w:cs="宋体"/>
          <w:i/>
          <w:iCs/>
          <w:lang w:val="en-US" w:eastAsia="zh-CN"/>
        </w:rPr>
        <w:t xml:space="preserve"> J Med</w:t>
      </w:r>
      <w:r w:rsidRPr="00D01C8E">
        <w:rPr>
          <w:rFonts w:ascii="Book Antiqua" w:eastAsia="宋体" w:hAnsi="Book Antiqua" w:cs="宋体"/>
          <w:lang w:val="en-US" w:eastAsia="zh-CN"/>
        </w:rPr>
        <w:t xml:space="preserve"> 2002; </w:t>
      </w:r>
      <w:r w:rsidRPr="00D01C8E">
        <w:rPr>
          <w:rFonts w:ascii="Book Antiqua" w:eastAsia="宋体" w:hAnsi="Book Antiqua" w:cs="宋体"/>
          <w:b/>
          <w:bCs/>
          <w:lang w:val="en-US" w:eastAsia="zh-CN"/>
        </w:rPr>
        <w:t>347</w:t>
      </w:r>
      <w:r w:rsidRPr="00D01C8E">
        <w:rPr>
          <w:rFonts w:ascii="Book Antiqua" w:eastAsia="宋体" w:hAnsi="Book Antiqua" w:cs="宋体"/>
          <w:lang w:val="en-US" w:eastAsia="zh-CN"/>
        </w:rPr>
        <w:t>: 103-109 [PMID: 12110738]</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9 </w:t>
      </w:r>
      <w:proofErr w:type="spellStart"/>
      <w:r w:rsidRPr="00D01C8E">
        <w:rPr>
          <w:rFonts w:ascii="Book Antiqua" w:eastAsia="宋体" w:hAnsi="Book Antiqua" w:cs="宋体"/>
          <w:b/>
          <w:bCs/>
          <w:lang w:val="en-US" w:eastAsia="zh-CN"/>
        </w:rPr>
        <w:t>Ponticelli</w:t>
      </w:r>
      <w:proofErr w:type="spellEnd"/>
      <w:r w:rsidRPr="00D01C8E">
        <w:rPr>
          <w:rFonts w:ascii="Book Antiqua" w:eastAsia="宋体" w:hAnsi="Book Antiqua" w:cs="宋体"/>
          <w:b/>
          <w:bCs/>
          <w:lang w:val="en-US" w:eastAsia="zh-CN"/>
        </w:rPr>
        <w:t xml:space="preserve"> C</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Glassock</w:t>
      </w:r>
      <w:proofErr w:type="spellEnd"/>
      <w:r w:rsidRPr="00D01C8E">
        <w:rPr>
          <w:rFonts w:ascii="Book Antiqua" w:eastAsia="宋体" w:hAnsi="Book Antiqua" w:cs="宋体"/>
          <w:lang w:val="en-US" w:eastAsia="zh-CN"/>
        </w:rPr>
        <w:t xml:space="preserve"> RJ. </w:t>
      </w:r>
      <w:proofErr w:type="spellStart"/>
      <w:proofErr w:type="gramStart"/>
      <w:r w:rsidRPr="00D01C8E">
        <w:rPr>
          <w:rFonts w:ascii="Book Antiqua" w:eastAsia="宋体" w:hAnsi="Book Antiqua" w:cs="宋体"/>
          <w:lang w:val="en-US" w:eastAsia="zh-CN"/>
        </w:rPr>
        <w:t>Posttransplant</w:t>
      </w:r>
      <w:proofErr w:type="spellEnd"/>
      <w:r w:rsidRPr="00D01C8E">
        <w:rPr>
          <w:rFonts w:ascii="Book Antiqua" w:eastAsia="宋体" w:hAnsi="Book Antiqua" w:cs="宋体"/>
          <w:lang w:val="en-US" w:eastAsia="zh-CN"/>
        </w:rPr>
        <w:t xml:space="preserve"> recurrence of primary glomerulonephritis.</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Clin</w:t>
      </w:r>
      <w:proofErr w:type="spellEnd"/>
      <w:r w:rsidRPr="00D01C8E">
        <w:rPr>
          <w:rFonts w:ascii="Book Antiqua" w:eastAsia="宋体" w:hAnsi="Book Antiqua" w:cs="宋体"/>
          <w:i/>
          <w:iCs/>
          <w:lang w:val="en-US" w:eastAsia="zh-CN"/>
        </w:rPr>
        <w:t xml:space="preserve"> J Am </w:t>
      </w:r>
      <w:proofErr w:type="spellStart"/>
      <w:r w:rsidRPr="00D01C8E">
        <w:rPr>
          <w:rFonts w:ascii="Book Antiqua" w:eastAsia="宋体" w:hAnsi="Book Antiqua" w:cs="宋体"/>
          <w:i/>
          <w:iCs/>
          <w:lang w:val="en-US" w:eastAsia="zh-CN"/>
        </w:rPr>
        <w:t>Soc</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2010; </w:t>
      </w:r>
      <w:r w:rsidRPr="00D01C8E">
        <w:rPr>
          <w:rFonts w:ascii="Book Antiqua" w:eastAsia="宋体" w:hAnsi="Book Antiqua" w:cs="宋体"/>
          <w:b/>
          <w:bCs/>
          <w:lang w:val="en-US" w:eastAsia="zh-CN"/>
        </w:rPr>
        <w:t>5</w:t>
      </w:r>
      <w:r w:rsidRPr="00D01C8E">
        <w:rPr>
          <w:rFonts w:ascii="Book Antiqua" w:eastAsia="宋体" w:hAnsi="Book Antiqua" w:cs="宋体"/>
          <w:lang w:val="en-US" w:eastAsia="zh-CN"/>
        </w:rPr>
        <w:t>: 2363-2372 [PMID: 21030574 DOI: 10.2215/CJN.06720810]</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lastRenderedPageBreak/>
        <w:t xml:space="preserve">10 </w:t>
      </w:r>
      <w:proofErr w:type="spellStart"/>
      <w:r w:rsidRPr="00D01C8E">
        <w:rPr>
          <w:rFonts w:ascii="Book Antiqua" w:eastAsia="宋体" w:hAnsi="Book Antiqua" w:cs="宋体"/>
          <w:b/>
          <w:bCs/>
          <w:lang w:val="en-US" w:eastAsia="zh-CN"/>
        </w:rPr>
        <w:t>Vinai</w:t>
      </w:r>
      <w:proofErr w:type="spellEnd"/>
      <w:r w:rsidRPr="00D01C8E">
        <w:rPr>
          <w:rFonts w:ascii="Book Antiqua" w:eastAsia="宋体" w:hAnsi="Book Antiqua" w:cs="宋体"/>
          <w:b/>
          <w:bCs/>
          <w:lang w:val="en-US" w:eastAsia="zh-CN"/>
        </w:rPr>
        <w:t xml:space="preserve"> M</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Waber</w:t>
      </w:r>
      <w:proofErr w:type="spellEnd"/>
      <w:r w:rsidRPr="00D01C8E">
        <w:rPr>
          <w:rFonts w:ascii="Book Antiqua" w:eastAsia="宋体" w:hAnsi="Book Antiqua" w:cs="宋体"/>
          <w:lang w:val="en-US" w:eastAsia="zh-CN"/>
        </w:rPr>
        <w:t xml:space="preserve"> P, </w:t>
      </w:r>
      <w:proofErr w:type="spellStart"/>
      <w:r w:rsidRPr="00D01C8E">
        <w:rPr>
          <w:rFonts w:ascii="Book Antiqua" w:eastAsia="宋体" w:hAnsi="Book Antiqua" w:cs="宋体"/>
          <w:lang w:val="en-US" w:eastAsia="zh-CN"/>
        </w:rPr>
        <w:t>Seikaly</w:t>
      </w:r>
      <w:proofErr w:type="spellEnd"/>
      <w:r w:rsidRPr="00D01C8E">
        <w:rPr>
          <w:rFonts w:ascii="Book Antiqua" w:eastAsia="宋体" w:hAnsi="Book Antiqua" w:cs="宋体"/>
          <w:lang w:val="en-US" w:eastAsia="zh-CN"/>
        </w:rPr>
        <w:t xml:space="preserve"> MG. Recurrence of focal segmental glomerulosclerosis in renal allograft: an in-depth review.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Transplant</w:t>
      </w:r>
      <w:r w:rsidRPr="00D01C8E">
        <w:rPr>
          <w:rFonts w:ascii="Book Antiqua" w:eastAsia="宋体" w:hAnsi="Book Antiqua" w:cs="宋体"/>
          <w:lang w:val="en-US" w:eastAsia="zh-CN"/>
        </w:rPr>
        <w:t xml:space="preserve"> 2010; </w:t>
      </w:r>
      <w:r w:rsidRPr="00D01C8E">
        <w:rPr>
          <w:rFonts w:ascii="Book Antiqua" w:eastAsia="宋体" w:hAnsi="Book Antiqua" w:cs="宋体"/>
          <w:b/>
          <w:bCs/>
          <w:lang w:val="en-US" w:eastAsia="zh-CN"/>
        </w:rPr>
        <w:t>14</w:t>
      </w:r>
      <w:r w:rsidRPr="00D01C8E">
        <w:rPr>
          <w:rFonts w:ascii="Book Antiqua" w:eastAsia="宋体" w:hAnsi="Book Antiqua" w:cs="宋体"/>
          <w:lang w:val="en-US" w:eastAsia="zh-CN"/>
        </w:rPr>
        <w:t>: 314-325 [PMID: 20519016 DOI: 10.1111/j.1399-3046.2009.01261.x]</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11 </w:t>
      </w:r>
      <w:r w:rsidRPr="00D01C8E">
        <w:rPr>
          <w:rFonts w:ascii="Book Antiqua" w:eastAsia="宋体" w:hAnsi="Book Antiqua" w:cs="宋体"/>
          <w:b/>
          <w:bCs/>
          <w:lang w:val="en-US" w:eastAsia="zh-CN"/>
        </w:rPr>
        <w:t>Sharma M</w:t>
      </w:r>
      <w:r w:rsidRPr="00D01C8E">
        <w:rPr>
          <w:rFonts w:ascii="Book Antiqua" w:eastAsia="宋体" w:hAnsi="Book Antiqua" w:cs="宋体"/>
          <w:lang w:val="en-US" w:eastAsia="zh-CN"/>
        </w:rPr>
        <w:t xml:space="preserve">, Sharma R, McCarthy ET, </w:t>
      </w:r>
      <w:proofErr w:type="spellStart"/>
      <w:r w:rsidRPr="00D01C8E">
        <w:rPr>
          <w:rFonts w:ascii="Book Antiqua" w:eastAsia="宋体" w:hAnsi="Book Antiqua" w:cs="宋体"/>
          <w:lang w:val="en-US" w:eastAsia="zh-CN"/>
        </w:rPr>
        <w:t>Savin</w:t>
      </w:r>
      <w:proofErr w:type="spellEnd"/>
      <w:r w:rsidRPr="00D01C8E">
        <w:rPr>
          <w:rFonts w:ascii="Book Antiqua" w:eastAsia="宋体" w:hAnsi="Book Antiqua" w:cs="宋体"/>
          <w:lang w:val="en-US" w:eastAsia="zh-CN"/>
        </w:rPr>
        <w:t xml:space="preserve"> VJ. </w:t>
      </w:r>
      <w:r w:rsidR="00B6681C">
        <w:rPr>
          <w:rFonts w:ascii="Book Antiqua" w:eastAsia="宋体" w:hAnsi="Book Antiqua" w:cs="宋体"/>
          <w:lang w:val="en-US" w:eastAsia="zh-CN"/>
        </w:rPr>
        <w:t>“</w:t>
      </w:r>
      <w:r w:rsidRPr="00D01C8E">
        <w:rPr>
          <w:rFonts w:ascii="Book Antiqua" w:eastAsia="宋体" w:hAnsi="Book Antiqua" w:cs="宋体"/>
          <w:lang w:val="en-US" w:eastAsia="zh-CN"/>
        </w:rPr>
        <w:t>The FSGS factor</w:t>
      </w:r>
      <w:r w:rsidR="00B6681C">
        <w:rPr>
          <w:rFonts w:ascii="Book Antiqua" w:eastAsia="宋体" w:hAnsi="Book Antiqua" w:cs="宋体"/>
          <w:lang w:val="en-US" w:eastAsia="zh-CN"/>
        </w:rPr>
        <w:t>”</w:t>
      </w:r>
      <w:r w:rsidRPr="00D01C8E">
        <w:rPr>
          <w:rFonts w:ascii="Book Antiqua" w:eastAsia="宋体" w:hAnsi="Book Antiqua" w:cs="宋体"/>
          <w:lang w:val="en-US" w:eastAsia="zh-CN"/>
        </w:rPr>
        <w:t xml:space="preserve">: enrichment and in vivo effect of activity from focal segmental glomerulosclerosis plasma. </w:t>
      </w:r>
      <w:r w:rsidRPr="00D01C8E">
        <w:rPr>
          <w:rFonts w:ascii="Book Antiqua" w:eastAsia="宋体" w:hAnsi="Book Antiqua" w:cs="宋体"/>
          <w:i/>
          <w:iCs/>
          <w:lang w:val="en-US" w:eastAsia="zh-CN"/>
        </w:rPr>
        <w:t xml:space="preserve">J Am </w:t>
      </w:r>
      <w:proofErr w:type="spellStart"/>
      <w:r w:rsidRPr="00D01C8E">
        <w:rPr>
          <w:rFonts w:ascii="Book Antiqua" w:eastAsia="宋体" w:hAnsi="Book Antiqua" w:cs="宋体"/>
          <w:i/>
          <w:iCs/>
          <w:lang w:val="en-US" w:eastAsia="zh-CN"/>
        </w:rPr>
        <w:t>Soc</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1999; </w:t>
      </w:r>
      <w:r w:rsidRPr="00D01C8E">
        <w:rPr>
          <w:rFonts w:ascii="Book Antiqua" w:eastAsia="宋体" w:hAnsi="Book Antiqua" w:cs="宋体"/>
          <w:b/>
          <w:bCs/>
          <w:lang w:val="en-US" w:eastAsia="zh-CN"/>
        </w:rPr>
        <w:t>10</w:t>
      </w:r>
      <w:r w:rsidRPr="00D01C8E">
        <w:rPr>
          <w:rFonts w:ascii="Book Antiqua" w:eastAsia="宋体" w:hAnsi="Book Antiqua" w:cs="宋体"/>
          <w:lang w:val="en-US" w:eastAsia="zh-CN"/>
        </w:rPr>
        <w:t>: 552-561 [PMID: 10073606]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12 </w:t>
      </w:r>
      <w:r w:rsidRPr="00D01C8E">
        <w:rPr>
          <w:rFonts w:ascii="Book Antiqua" w:eastAsia="宋体" w:hAnsi="Book Antiqua" w:cs="宋体"/>
          <w:b/>
          <w:bCs/>
          <w:lang w:val="en-US" w:eastAsia="zh-CN"/>
        </w:rPr>
        <w:t xml:space="preserve">Le </w:t>
      </w:r>
      <w:proofErr w:type="spellStart"/>
      <w:r w:rsidRPr="00D01C8E">
        <w:rPr>
          <w:rFonts w:ascii="Book Antiqua" w:eastAsia="宋体" w:hAnsi="Book Antiqua" w:cs="宋体"/>
          <w:b/>
          <w:bCs/>
          <w:lang w:val="en-US" w:eastAsia="zh-CN"/>
        </w:rPr>
        <w:t>Berre</w:t>
      </w:r>
      <w:proofErr w:type="spellEnd"/>
      <w:r w:rsidRPr="00D01C8E">
        <w:rPr>
          <w:rFonts w:ascii="Book Antiqua" w:eastAsia="宋体" w:hAnsi="Book Antiqua" w:cs="宋体"/>
          <w:b/>
          <w:bCs/>
          <w:lang w:val="en-US" w:eastAsia="zh-CN"/>
        </w:rPr>
        <w:t xml:space="preserve"> L</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Godfrin</w:t>
      </w:r>
      <w:proofErr w:type="spellEnd"/>
      <w:r w:rsidRPr="00D01C8E">
        <w:rPr>
          <w:rFonts w:ascii="Book Antiqua" w:eastAsia="宋体" w:hAnsi="Book Antiqua" w:cs="宋体"/>
          <w:lang w:val="en-US" w:eastAsia="zh-CN"/>
        </w:rPr>
        <w:t xml:space="preserve"> Y, </w:t>
      </w:r>
      <w:proofErr w:type="spellStart"/>
      <w:r w:rsidRPr="00D01C8E">
        <w:rPr>
          <w:rFonts w:ascii="Book Antiqua" w:eastAsia="宋体" w:hAnsi="Book Antiqua" w:cs="宋体"/>
          <w:lang w:val="en-US" w:eastAsia="zh-CN"/>
        </w:rPr>
        <w:t>Günther</w:t>
      </w:r>
      <w:proofErr w:type="spellEnd"/>
      <w:r w:rsidRPr="00D01C8E">
        <w:rPr>
          <w:rFonts w:ascii="Book Antiqua" w:eastAsia="宋体" w:hAnsi="Book Antiqua" w:cs="宋体"/>
          <w:lang w:val="en-US" w:eastAsia="zh-CN"/>
        </w:rPr>
        <w:t xml:space="preserve"> E, </w:t>
      </w:r>
      <w:proofErr w:type="spellStart"/>
      <w:r w:rsidRPr="00D01C8E">
        <w:rPr>
          <w:rFonts w:ascii="Book Antiqua" w:eastAsia="宋体" w:hAnsi="Book Antiqua" w:cs="宋体"/>
          <w:lang w:val="en-US" w:eastAsia="zh-CN"/>
        </w:rPr>
        <w:t>Buzelin</w:t>
      </w:r>
      <w:proofErr w:type="spellEnd"/>
      <w:r w:rsidRPr="00D01C8E">
        <w:rPr>
          <w:rFonts w:ascii="Book Antiqua" w:eastAsia="宋体" w:hAnsi="Book Antiqua" w:cs="宋体"/>
          <w:lang w:val="en-US" w:eastAsia="zh-CN"/>
        </w:rPr>
        <w:t xml:space="preserve"> F, </w:t>
      </w:r>
      <w:proofErr w:type="spellStart"/>
      <w:r w:rsidRPr="00D01C8E">
        <w:rPr>
          <w:rFonts w:ascii="Book Antiqua" w:eastAsia="宋体" w:hAnsi="Book Antiqua" w:cs="宋体"/>
          <w:lang w:val="en-US" w:eastAsia="zh-CN"/>
        </w:rPr>
        <w:t>Perretto</w:t>
      </w:r>
      <w:proofErr w:type="spellEnd"/>
      <w:r w:rsidRPr="00D01C8E">
        <w:rPr>
          <w:rFonts w:ascii="Book Antiqua" w:eastAsia="宋体" w:hAnsi="Book Antiqua" w:cs="宋体"/>
          <w:lang w:val="en-US" w:eastAsia="zh-CN"/>
        </w:rPr>
        <w:t xml:space="preserve"> S, Smit H, </w:t>
      </w:r>
      <w:proofErr w:type="spellStart"/>
      <w:r w:rsidRPr="00D01C8E">
        <w:rPr>
          <w:rFonts w:ascii="Book Antiqua" w:eastAsia="宋体" w:hAnsi="Book Antiqua" w:cs="宋体"/>
          <w:lang w:val="en-US" w:eastAsia="zh-CN"/>
        </w:rPr>
        <w:t>Kerjaschki</w:t>
      </w:r>
      <w:proofErr w:type="spellEnd"/>
      <w:r w:rsidRPr="00D01C8E">
        <w:rPr>
          <w:rFonts w:ascii="Book Antiqua" w:eastAsia="宋体" w:hAnsi="Book Antiqua" w:cs="宋体"/>
          <w:lang w:val="en-US" w:eastAsia="zh-CN"/>
        </w:rPr>
        <w:t xml:space="preserve"> D, </w:t>
      </w:r>
      <w:proofErr w:type="spellStart"/>
      <w:r w:rsidRPr="00D01C8E">
        <w:rPr>
          <w:rFonts w:ascii="Book Antiqua" w:eastAsia="宋体" w:hAnsi="Book Antiqua" w:cs="宋体"/>
          <w:lang w:val="en-US" w:eastAsia="zh-CN"/>
        </w:rPr>
        <w:t>Usal</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Cuturi</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Soulillou</w:t>
      </w:r>
      <w:proofErr w:type="spellEnd"/>
      <w:r w:rsidRPr="00D01C8E">
        <w:rPr>
          <w:rFonts w:ascii="Book Antiqua" w:eastAsia="宋体" w:hAnsi="Book Antiqua" w:cs="宋体"/>
          <w:lang w:val="en-US" w:eastAsia="zh-CN"/>
        </w:rPr>
        <w:t xml:space="preserve"> JP, </w:t>
      </w:r>
      <w:proofErr w:type="spellStart"/>
      <w:r w:rsidRPr="00D01C8E">
        <w:rPr>
          <w:rFonts w:ascii="Book Antiqua" w:eastAsia="宋体" w:hAnsi="Book Antiqua" w:cs="宋体"/>
          <w:lang w:val="en-US" w:eastAsia="zh-CN"/>
        </w:rPr>
        <w:t>Dantal</w:t>
      </w:r>
      <w:proofErr w:type="spellEnd"/>
      <w:r w:rsidRPr="00D01C8E">
        <w:rPr>
          <w:rFonts w:ascii="Book Antiqua" w:eastAsia="宋体" w:hAnsi="Book Antiqua" w:cs="宋体"/>
          <w:lang w:val="en-US" w:eastAsia="zh-CN"/>
        </w:rPr>
        <w:t xml:space="preserve"> J. </w:t>
      </w:r>
      <w:proofErr w:type="spellStart"/>
      <w:r w:rsidRPr="00D01C8E">
        <w:rPr>
          <w:rFonts w:ascii="Book Antiqua" w:eastAsia="宋体" w:hAnsi="Book Antiqua" w:cs="宋体"/>
          <w:lang w:val="en-US" w:eastAsia="zh-CN"/>
        </w:rPr>
        <w:t>Extrarenal</w:t>
      </w:r>
      <w:proofErr w:type="spellEnd"/>
      <w:r w:rsidRPr="00D01C8E">
        <w:rPr>
          <w:rFonts w:ascii="Book Antiqua" w:eastAsia="宋体" w:hAnsi="Book Antiqua" w:cs="宋体"/>
          <w:lang w:val="en-US" w:eastAsia="zh-CN"/>
        </w:rPr>
        <w:t xml:space="preserve"> effects on the pathogenesis and relapse of idiopathic nephrotic syndrome in Buffalo/</w:t>
      </w:r>
      <w:proofErr w:type="spellStart"/>
      <w:r w:rsidRPr="00D01C8E">
        <w:rPr>
          <w:rFonts w:ascii="Book Antiqua" w:eastAsia="宋体" w:hAnsi="Book Antiqua" w:cs="宋体"/>
          <w:lang w:val="en-US" w:eastAsia="zh-CN"/>
        </w:rPr>
        <w:t>Mna</w:t>
      </w:r>
      <w:proofErr w:type="spellEnd"/>
      <w:r w:rsidRPr="00D01C8E">
        <w:rPr>
          <w:rFonts w:ascii="Book Antiqua" w:eastAsia="宋体" w:hAnsi="Book Antiqua" w:cs="宋体"/>
          <w:lang w:val="en-US" w:eastAsia="zh-CN"/>
        </w:rPr>
        <w:t xml:space="preserve"> rats. </w:t>
      </w:r>
      <w:r w:rsidRPr="00D01C8E">
        <w:rPr>
          <w:rFonts w:ascii="Book Antiqua" w:eastAsia="宋体" w:hAnsi="Book Antiqua" w:cs="宋体"/>
          <w:i/>
          <w:iCs/>
          <w:lang w:val="en-US" w:eastAsia="zh-CN"/>
        </w:rPr>
        <w:t xml:space="preserve">J </w:t>
      </w:r>
      <w:proofErr w:type="spellStart"/>
      <w:r w:rsidRPr="00D01C8E">
        <w:rPr>
          <w:rFonts w:ascii="Book Antiqua" w:eastAsia="宋体" w:hAnsi="Book Antiqua" w:cs="宋体"/>
          <w:i/>
          <w:iCs/>
          <w:lang w:val="en-US" w:eastAsia="zh-CN"/>
        </w:rPr>
        <w:t>Clin</w:t>
      </w:r>
      <w:proofErr w:type="spellEnd"/>
      <w:r w:rsidRPr="00D01C8E">
        <w:rPr>
          <w:rFonts w:ascii="Book Antiqua" w:eastAsia="宋体" w:hAnsi="Book Antiqua" w:cs="宋体"/>
          <w:i/>
          <w:iCs/>
          <w:lang w:val="en-US" w:eastAsia="zh-CN"/>
        </w:rPr>
        <w:t xml:space="preserve"> Invest</w:t>
      </w:r>
      <w:r w:rsidRPr="00D01C8E">
        <w:rPr>
          <w:rFonts w:ascii="Book Antiqua" w:eastAsia="宋体" w:hAnsi="Book Antiqua" w:cs="宋体"/>
          <w:lang w:val="en-US" w:eastAsia="zh-CN"/>
        </w:rPr>
        <w:t xml:space="preserve"> 2002; </w:t>
      </w:r>
      <w:r w:rsidRPr="00D01C8E">
        <w:rPr>
          <w:rFonts w:ascii="Book Antiqua" w:eastAsia="宋体" w:hAnsi="Book Antiqua" w:cs="宋体"/>
          <w:b/>
          <w:bCs/>
          <w:lang w:val="en-US" w:eastAsia="zh-CN"/>
        </w:rPr>
        <w:t>109</w:t>
      </w:r>
      <w:r w:rsidRPr="00D01C8E">
        <w:rPr>
          <w:rFonts w:ascii="Book Antiqua" w:eastAsia="宋体" w:hAnsi="Book Antiqua" w:cs="宋体"/>
          <w:lang w:val="en-US" w:eastAsia="zh-CN"/>
        </w:rPr>
        <w:t>: 491-498 [PMID: 11854321]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13 </w:t>
      </w:r>
      <w:r w:rsidRPr="00D01C8E">
        <w:rPr>
          <w:rFonts w:ascii="Book Antiqua" w:eastAsia="宋体" w:hAnsi="Book Antiqua" w:cs="宋体"/>
          <w:b/>
          <w:bCs/>
          <w:lang w:val="en-US" w:eastAsia="zh-CN"/>
        </w:rPr>
        <w:t>Gallon L</w:t>
      </w:r>
      <w:r w:rsidRPr="00D01C8E">
        <w:rPr>
          <w:rFonts w:ascii="Book Antiqua" w:eastAsia="宋体" w:hAnsi="Book Antiqua" w:cs="宋体"/>
          <w:lang w:val="en-US" w:eastAsia="zh-CN"/>
        </w:rPr>
        <w:t xml:space="preserve">, Leventhal J, </w:t>
      </w:r>
      <w:proofErr w:type="spellStart"/>
      <w:r w:rsidRPr="00D01C8E">
        <w:rPr>
          <w:rFonts w:ascii="Book Antiqua" w:eastAsia="宋体" w:hAnsi="Book Antiqua" w:cs="宋体"/>
          <w:lang w:val="en-US" w:eastAsia="zh-CN"/>
        </w:rPr>
        <w:t>Skaro</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Kanwar</w:t>
      </w:r>
      <w:proofErr w:type="spellEnd"/>
      <w:r w:rsidRPr="00D01C8E">
        <w:rPr>
          <w:rFonts w:ascii="Book Antiqua" w:eastAsia="宋体" w:hAnsi="Book Antiqua" w:cs="宋体"/>
          <w:lang w:val="en-US" w:eastAsia="zh-CN"/>
        </w:rPr>
        <w:t xml:space="preserve"> Y, Alvarado A. Resolution of recurrent focal segmental glomerulosclerosis after </w:t>
      </w:r>
      <w:proofErr w:type="spellStart"/>
      <w:r w:rsidRPr="00D01C8E">
        <w:rPr>
          <w:rFonts w:ascii="Book Antiqua" w:eastAsia="宋体" w:hAnsi="Book Antiqua" w:cs="宋体"/>
          <w:lang w:val="en-US" w:eastAsia="zh-CN"/>
        </w:rPr>
        <w:t>retransplantation</w:t>
      </w:r>
      <w:proofErr w:type="spell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 xml:space="preserve">N </w:t>
      </w:r>
      <w:proofErr w:type="spellStart"/>
      <w:r w:rsidRPr="00D01C8E">
        <w:rPr>
          <w:rFonts w:ascii="Book Antiqua" w:eastAsia="宋体" w:hAnsi="Book Antiqua" w:cs="宋体"/>
          <w:i/>
          <w:iCs/>
          <w:lang w:val="en-US" w:eastAsia="zh-CN"/>
        </w:rPr>
        <w:t>Engl</w:t>
      </w:r>
      <w:proofErr w:type="spellEnd"/>
      <w:r w:rsidRPr="00D01C8E">
        <w:rPr>
          <w:rFonts w:ascii="Book Antiqua" w:eastAsia="宋体" w:hAnsi="Book Antiqua" w:cs="宋体"/>
          <w:i/>
          <w:iCs/>
          <w:lang w:val="en-US" w:eastAsia="zh-CN"/>
        </w:rPr>
        <w:t xml:space="preserve"> J Med</w:t>
      </w:r>
      <w:r w:rsidRPr="00D01C8E">
        <w:rPr>
          <w:rFonts w:ascii="Book Antiqua" w:eastAsia="宋体" w:hAnsi="Book Antiqua" w:cs="宋体"/>
          <w:lang w:val="en-US" w:eastAsia="zh-CN"/>
        </w:rPr>
        <w:t xml:space="preserve"> 2012; </w:t>
      </w:r>
      <w:r w:rsidRPr="00D01C8E">
        <w:rPr>
          <w:rFonts w:ascii="Book Antiqua" w:eastAsia="宋体" w:hAnsi="Book Antiqua" w:cs="宋体"/>
          <w:b/>
          <w:bCs/>
          <w:lang w:val="en-US" w:eastAsia="zh-CN"/>
        </w:rPr>
        <w:t>366</w:t>
      </w:r>
      <w:r w:rsidRPr="00D01C8E">
        <w:rPr>
          <w:rFonts w:ascii="Book Antiqua" w:eastAsia="宋体" w:hAnsi="Book Antiqua" w:cs="宋体"/>
          <w:lang w:val="en-US" w:eastAsia="zh-CN"/>
        </w:rPr>
        <w:t>: 1648-1649 [PMID: 22533598 DOI: 10.1056/NEJMc1202500]</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14 </w:t>
      </w:r>
      <w:r w:rsidRPr="00D01C8E">
        <w:rPr>
          <w:rFonts w:ascii="Book Antiqua" w:eastAsia="宋体" w:hAnsi="Book Antiqua" w:cs="宋体"/>
          <w:b/>
          <w:bCs/>
          <w:lang w:val="en-US" w:eastAsia="zh-CN"/>
        </w:rPr>
        <w:t>Wei C</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Möller</w:t>
      </w:r>
      <w:proofErr w:type="spellEnd"/>
      <w:r w:rsidRPr="00D01C8E">
        <w:rPr>
          <w:rFonts w:ascii="Book Antiqua" w:eastAsia="宋体" w:hAnsi="Book Antiqua" w:cs="宋体"/>
          <w:lang w:val="en-US" w:eastAsia="zh-CN"/>
        </w:rPr>
        <w:t xml:space="preserve"> CC, </w:t>
      </w:r>
      <w:proofErr w:type="spellStart"/>
      <w:r w:rsidRPr="00D01C8E">
        <w:rPr>
          <w:rFonts w:ascii="Book Antiqua" w:eastAsia="宋体" w:hAnsi="Book Antiqua" w:cs="宋体"/>
          <w:lang w:val="en-US" w:eastAsia="zh-CN"/>
        </w:rPr>
        <w:t>Altintas</w:t>
      </w:r>
      <w:proofErr w:type="spellEnd"/>
      <w:r w:rsidRPr="00D01C8E">
        <w:rPr>
          <w:rFonts w:ascii="Book Antiqua" w:eastAsia="宋体" w:hAnsi="Book Antiqua" w:cs="宋体"/>
          <w:lang w:val="en-US" w:eastAsia="zh-CN"/>
        </w:rPr>
        <w:t xml:space="preserve"> MM, Li J, Schwarz K, </w:t>
      </w:r>
      <w:proofErr w:type="spellStart"/>
      <w:r w:rsidRPr="00D01C8E">
        <w:rPr>
          <w:rFonts w:ascii="Book Antiqua" w:eastAsia="宋体" w:hAnsi="Book Antiqua" w:cs="宋体"/>
          <w:lang w:val="en-US" w:eastAsia="zh-CN"/>
        </w:rPr>
        <w:t>Zacchigna</w:t>
      </w:r>
      <w:proofErr w:type="spellEnd"/>
      <w:r w:rsidRPr="00D01C8E">
        <w:rPr>
          <w:rFonts w:ascii="Book Antiqua" w:eastAsia="宋体" w:hAnsi="Book Antiqua" w:cs="宋体"/>
          <w:lang w:val="en-US" w:eastAsia="zh-CN"/>
        </w:rPr>
        <w:t xml:space="preserve"> S, </w:t>
      </w:r>
      <w:proofErr w:type="spellStart"/>
      <w:r w:rsidRPr="00D01C8E">
        <w:rPr>
          <w:rFonts w:ascii="Book Antiqua" w:eastAsia="宋体" w:hAnsi="Book Antiqua" w:cs="宋体"/>
          <w:lang w:val="en-US" w:eastAsia="zh-CN"/>
        </w:rPr>
        <w:t>Xie</w:t>
      </w:r>
      <w:proofErr w:type="spellEnd"/>
      <w:r w:rsidRPr="00D01C8E">
        <w:rPr>
          <w:rFonts w:ascii="Book Antiqua" w:eastAsia="宋体" w:hAnsi="Book Antiqua" w:cs="宋体"/>
          <w:lang w:val="en-US" w:eastAsia="zh-CN"/>
        </w:rPr>
        <w:t xml:space="preserve"> L, </w:t>
      </w:r>
      <w:proofErr w:type="spellStart"/>
      <w:r w:rsidRPr="00D01C8E">
        <w:rPr>
          <w:rFonts w:ascii="Book Antiqua" w:eastAsia="宋体" w:hAnsi="Book Antiqua" w:cs="宋体"/>
          <w:lang w:val="en-US" w:eastAsia="zh-CN"/>
        </w:rPr>
        <w:t>Henger</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Schmid</w:t>
      </w:r>
      <w:proofErr w:type="spellEnd"/>
      <w:r w:rsidRPr="00D01C8E">
        <w:rPr>
          <w:rFonts w:ascii="Book Antiqua" w:eastAsia="宋体" w:hAnsi="Book Antiqua" w:cs="宋体"/>
          <w:lang w:val="en-US" w:eastAsia="zh-CN"/>
        </w:rPr>
        <w:t xml:space="preserve"> H, </w:t>
      </w:r>
      <w:proofErr w:type="spellStart"/>
      <w:r w:rsidRPr="00D01C8E">
        <w:rPr>
          <w:rFonts w:ascii="Book Antiqua" w:eastAsia="宋体" w:hAnsi="Book Antiqua" w:cs="宋体"/>
          <w:lang w:val="en-US" w:eastAsia="zh-CN"/>
        </w:rPr>
        <w:t>Rastaldi</w:t>
      </w:r>
      <w:proofErr w:type="spellEnd"/>
      <w:r w:rsidRPr="00D01C8E">
        <w:rPr>
          <w:rFonts w:ascii="Book Antiqua" w:eastAsia="宋体" w:hAnsi="Book Antiqua" w:cs="宋体"/>
          <w:lang w:val="en-US" w:eastAsia="zh-CN"/>
        </w:rPr>
        <w:t xml:space="preserve"> MP, Cowan P, </w:t>
      </w:r>
      <w:proofErr w:type="spellStart"/>
      <w:r w:rsidRPr="00D01C8E">
        <w:rPr>
          <w:rFonts w:ascii="Book Antiqua" w:eastAsia="宋体" w:hAnsi="Book Antiqua" w:cs="宋体"/>
          <w:lang w:val="en-US" w:eastAsia="zh-CN"/>
        </w:rPr>
        <w:t>Kretzler</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Parrilla</w:t>
      </w:r>
      <w:proofErr w:type="spellEnd"/>
      <w:r w:rsidRPr="00D01C8E">
        <w:rPr>
          <w:rFonts w:ascii="Book Antiqua" w:eastAsia="宋体" w:hAnsi="Book Antiqua" w:cs="宋体"/>
          <w:lang w:val="en-US" w:eastAsia="zh-CN"/>
        </w:rPr>
        <w:t xml:space="preserve"> R, </w:t>
      </w:r>
      <w:proofErr w:type="spellStart"/>
      <w:r w:rsidRPr="00D01C8E">
        <w:rPr>
          <w:rFonts w:ascii="Book Antiqua" w:eastAsia="宋体" w:hAnsi="Book Antiqua" w:cs="宋体"/>
          <w:lang w:val="en-US" w:eastAsia="zh-CN"/>
        </w:rPr>
        <w:t>Bendayan</w:t>
      </w:r>
      <w:proofErr w:type="spellEnd"/>
      <w:r w:rsidRPr="00D01C8E">
        <w:rPr>
          <w:rFonts w:ascii="Book Antiqua" w:eastAsia="宋体" w:hAnsi="Book Antiqua" w:cs="宋体"/>
          <w:lang w:val="en-US" w:eastAsia="zh-CN"/>
        </w:rPr>
        <w:t xml:space="preserve"> M, Gupta V, Nikolic B, </w:t>
      </w:r>
      <w:proofErr w:type="spellStart"/>
      <w:r w:rsidRPr="00D01C8E">
        <w:rPr>
          <w:rFonts w:ascii="Book Antiqua" w:eastAsia="宋体" w:hAnsi="Book Antiqua" w:cs="宋体"/>
          <w:lang w:val="en-US" w:eastAsia="zh-CN"/>
        </w:rPr>
        <w:t>Kalluri</w:t>
      </w:r>
      <w:proofErr w:type="spellEnd"/>
      <w:r w:rsidRPr="00D01C8E">
        <w:rPr>
          <w:rFonts w:ascii="Book Antiqua" w:eastAsia="宋体" w:hAnsi="Book Antiqua" w:cs="宋体"/>
          <w:lang w:val="en-US" w:eastAsia="zh-CN"/>
        </w:rPr>
        <w:t xml:space="preserve"> R, </w:t>
      </w:r>
      <w:proofErr w:type="spellStart"/>
      <w:r w:rsidRPr="00D01C8E">
        <w:rPr>
          <w:rFonts w:ascii="Book Antiqua" w:eastAsia="宋体" w:hAnsi="Book Antiqua" w:cs="宋体"/>
          <w:lang w:val="en-US" w:eastAsia="zh-CN"/>
        </w:rPr>
        <w:t>Carmeliet</w:t>
      </w:r>
      <w:proofErr w:type="spellEnd"/>
      <w:r w:rsidRPr="00D01C8E">
        <w:rPr>
          <w:rFonts w:ascii="Book Antiqua" w:eastAsia="宋体" w:hAnsi="Book Antiqua" w:cs="宋体"/>
          <w:lang w:val="en-US" w:eastAsia="zh-CN"/>
        </w:rPr>
        <w:t xml:space="preserve"> P, </w:t>
      </w:r>
      <w:proofErr w:type="spellStart"/>
      <w:r w:rsidRPr="00D01C8E">
        <w:rPr>
          <w:rFonts w:ascii="Book Antiqua" w:eastAsia="宋体" w:hAnsi="Book Antiqua" w:cs="宋体"/>
          <w:lang w:val="en-US" w:eastAsia="zh-CN"/>
        </w:rPr>
        <w:t>Mundel</w:t>
      </w:r>
      <w:proofErr w:type="spellEnd"/>
      <w:r w:rsidRPr="00D01C8E">
        <w:rPr>
          <w:rFonts w:ascii="Book Antiqua" w:eastAsia="宋体" w:hAnsi="Book Antiqua" w:cs="宋体"/>
          <w:lang w:val="en-US" w:eastAsia="zh-CN"/>
        </w:rPr>
        <w:t xml:space="preserve"> P, </w:t>
      </w:r>
      <w:proofErr w:type="spellStart"/>
      <w:r w:rsidRPr="00D01C8E">
        <w:rPr>
          <w:rFonts w:ascii="Book Antiqua" w:eastAsia="宋体" w:hAnsi="Book Antiqua" w:cs="宋体"/>
          <w:lang w:val="en-US" w:eastAsia="zh-CN"/>
        </w:rPr>
        <w:t>Reiser</w:t>
      </w:r>
      <w:proofErr w:type="spellEnd"/>
      <w:r w:rsidRPr="00D01C8E">
        <w:rPr>
          <w:rFonts w:ascii="Book Antiqua" w:eastAsia="宋体" w:hAnsi="Book Antiqua" w:cs="宋体"/>
          <w:lang w:val="en-US" w:eastAsia="zh-CN"/>
        </w:rPr>
        <w:t xml:space="preserve"> J. Modification of kidney barrier function by the </w:t>
      </w:r>
      <w:proofErr w:type="spellStart"/>
      <w:r w:rsidRPr="00D01C8E">
        <w:rPr>
          <w:rFonts w:ascii="Book Antiqua" w:eastAsia="宋体" w:hAnsi="Book Antiqua" w:cs="宋体"/>
          <w:lang w:val="en-US" w:eastAsia="zh-CN"/>
        </w:rPr>
        <w:t>urokinase</w:t>
      </w:r>
      <w:proofErr w:type="spellEnd"/>
      <w:r w:rsidRPr="00D01C8E">
        <w:rPr>
          <w:rFonts w:ascii="Book Antiqua" w:eastAsia="宋体" w:hAnsi="Book Antiqua" w:cs="宋体"/>
          <w:lang w:val="en-US" w:eastAsia="zh-CN"/>
        </w:rPr>
        <w:t xml:space="preserve"> receptor. </w:t>
      </w:r>
      <w:r w:rsidRPr="00D01C8E">
        <w:rPr>
          <w:rFonts w:ascii="Book Antiqua" w:eastAsia="宋体" w:hAnsi="Book Antiqua" w:cs="宋体"/>
          <w:i/>
          <w:iCs/>
          <w:lang w:val="en-US" w:eastAsia="zh-CN"/>
        </w:rPr>
        <w:t>Nat Med</w:t>
      </w:r>
      <w:r w:rsidRPr="00D01C8E">
        <w:rPr>
          <w:rFonts w:ascii="Book Antiqua" w:eastAsia="宋体" w:hAnsi="Book Antiqua" w:cs="宋体"/>
          <w:lang w:val="en-US" w:eastAsia="zh-CN"/>
        </w:rPr>
        <w:t xml:space="preserve"> 2008; </w:t>
      </w:r>
      <w:r w:rsidRPr="00D01C8E">
        <w:rPr>
          <w:rFonts w:ascii="Book Antiqua" w:eastAsia="宋体" w:hAnsi="Book Antiqua" w:cs="宋体"/>
          <w:b/>
          <w:bCs/>
          <w:lang w:val="en-US" w:eastAsia="zh-CN"/>
        </w:rPr>
        <w:t>14</w:t>
      </w:r>
      <w:r w:rsidRPr="00D01C8E">
        <w:rPr>
          <w:rFonts w:ascii="Book Antiqua" w:eastAsia="宋体" w:hAnsi="Book Antiqua" w:cs="宋体"/>
          <w:lang w:val="en-US" w:eastAsia="zh-CN"/>
        </w:rPr>
        <w:t>: 55-63 [PMID: 18084301]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15 </w:t>
      </w:r>
      <w:r w:rsidRPr="00D01C8E">
        <w:rPr>
          <w:rFonts w:ascii="Book Antiqua" w:eastAsia="宋体" w:hAnsi="Book Antiqua" w:cs="宋体"/>
          <w:b/>
          <w:bCs/>
          <w:lang w:val="en-US" w:eastAsia="zh-CN"/>
        </w:rPr>
        <w:t>Wei C</w:t>
      </w:r>
      <w:r w:rsidRPr="00D01C8E">
        <w:rPr>
          <w:rFonts w:ascii="Book Antiqua" w:eastAsia="宋体" w:hAnsi="Book Antiqua" w:cs="宋体"/>
          <w:lang w:val="en-US" w:eastAsia="zh-CN"/>
        </w:rPr>
        <w:t xml:space="preserve">, El Hindi S, Li J, </w:t>
      </w:r>
      <w:proofErr w:type="spellStart"/>
      <w:r w:rsidRPr="00D01C8E">
        <w:rPr>
          <w:rFonts w:ascii="Book Antiqua" w:eastAsia="宋体" w:hAnsi="Book Antiqua" w:cs="宋体"/>
          <w:lang w:val="en-US" w:eastAsia="zh-CN"/>
        </w:rPr>
        <w:t>Fornoni</w:t>
      </w:r>
      <w:proofErr w:type="spellEnd"/>
      <w:r w:rsidRPr="00D01C8E">
        <w:rPr>
          <w:rFonts w:ascii="Book Antiqua" w:eastAsia="宋体" w:hAnsi="Book Antiqua" w:cs="宋体"/>
          <w:lang w:val="en-US" w:eastAsia="zh-CN"/>
        </w:rPr>
        <w:t xml:space="preserve"> A, Goes N, </w:t>
      </w:r>
      <w:proofErr w:type="spellStart"/>
      <w:r w:rsidRPr="00D01C8E">
        <w:rPr>
          <w:rFonts w:ascii="Book Antiqua" w:eastAsia="宋体" w:hAnsi="Book Antiqua" w:cs="宋体"/>
          <w:lang w:val="en-US" w:eastAsia="zh-CN"/>
        </w:rPr>
        <w:t>Sageshima</w:t>
      </w:r>
      <w:proofErr w:type="spellEnd"/>
      <w:r w:rsidRPr="00D01C8E">
        <w:rPr>
          <w:rFonts w:ascii="Book Antiqua" w:eastAsia="宋体" w:hAnsi="Book Antiqua" w:cs="宋体"/>
          <w:lang w:val="en-US" w:eastAsia="zh-CN"/>
        </w:rPr>
        <w:t xml:space="preserve"> J, </w:t>
      </w:r>
      <w:proofErr w:type="spellStart"/>
      <w:r w:rsidRPr="00D01C8E">
        <w:rPr>
          <w:rFonts w:ascii="Book Antiqua" w:eastAsia="宋体" w:hAnsi="Book Antiqua" w:cs="宋体"/>
          <w:lang w:val="en-US" w:eastAsia="zh-CN"/>
        </w:rPr>
        <w:t>Maiguel</w:t>
      </w:r>
      <w:proofErr w:type="spellEnd"/>
      <w:r w:rsidRPr="00D01C8E">
        <w:rPr>
          <w:rFonts w:ascii="Book Antiqua" w:eastAsia="宋体" w:hAnsi="Book Antiqua" w:cs="宋体"/>
          <w:lang w:val="en-US" w:eastAsia="zh-CN"/>
        </w:rPr>
        <w:t xml:space="preserve"> D, </w:t>
      </w:r>
      <w:proofErr w:type="spellStart"/>
      <w:r w:rsidRPr="00D01C8E">
        <w:rPr>
          <w:rFonts w:ascii="Book Antiqua" w:eastAsia="宋体" w:hAnsi="Book Antiqua" w:cs="宋体"/>
          <w:lang w:val="en-US" w:eastAsia="zh-CN"/>
        </w:rPr>
        <w:t>Karumanchi</w:t>
      </w:r>
      <w:proofErr w:type="spellEnd"/>
      <w:r w:rsidRPr="00D01C8E">
        <w:rPr>
          <w:rFonts w:ascii="Book Antiqua" w:eastAsia="宋体" w:hAnsi="Book Antiqua" w:cs="宋体"/>
          <w:lang w:val="en-US" w:eastAsia="zh-CN"/>
        </w:rPr>
        <w:t xml:space="preserve"> SA, Yap HK, </w:t>
      </w:r>
      <w:proofErr w:type="spellStart"/>
      <w:r w:rsidRPr="00D01C8E">
        <w:rPr>
          <w:rFonts w:ascii="Book Antiqua" w:eastAsia="宋体" w:hAnsi="Book Antiqua" w:cs="宋体"/>
          <w:lang w:val="en-US" w:eastAsia="zh-CN"/>
        </w:rPr>
        <w:t>Saleem</w:t>
      </w:r>
      <w:proofErr w:type="spellEnd"/>
      <w:r w:rsidRPr="00D01C8E">
        <w:rPr>
          <w:rFonts w:ascii="Book Antiqua" w:eastAsia="宋体" w:hAnsi="Book Antiqua" w:cs="宋体"/>
          <w:lang w:val="en-US" w:eastAsia="zh-CN"/>
        </w:rPr>
        <w:t xml:space="preserve"> M, Zhang Q, Nikolic B, Chaudhuri A, </w:t>
      </w:r>
      <w:proofErr w:type="spellStart"/>
      <w:r w:rsidRPr="00D01C8E">
        <w:rPr>
          <w:rFonts w:ascii="Book Antiqua" w:eastAsia="宋体" w:hAnsi="Book Antiqua" w:cs="宋体"/>
          <w:lang w:val="en-US" w:eastAsia="zh-CN"/>
        </w:rPr>
        <w:t>Daftarian</w:t>
      </w:r>
      <w:proofErr w:type="spellEnd"/>
      <w:r w:rsidRPr="00D01C8E">
        <w:rPr>
          <w:rFonts w:ascii="Book Antiqua" w:eastAsia="宋体" w:hAnsi="Book Antiqua" w:cs="宋体"/>
          <w:lang w:val="en-US" w:eastAsia="zh-CN"/>
        </w:rPr>
        <w:t xml:space="preserve"> P, </w:t>
      </w:r>
      <w:proofErr w:type="spellStart"/>
      <w:r w:rsidRPr="00D01C8E">
        <w:rPr>
          <w:rFonts w:ascii="Book Antiqua" w:eastAsia="宋体" w:hAnsi="Book Antiqua" w:cs="宋体"/>
          <w:lang w:val="en-US" w:eastAsia="zh-CN"/>
        </w:rPr>
        <w:t>Salido</w:t>
      </w:r>
      <w:proofErr w:type="spellEnd"/>
      <w:r w:rsidRPr="00D01C8E">
        <w:rPr>
          <w:rFonts w:ascii="Book Antiqua" w:eastAsia="宋体" w:hAnsi="Book Antiqua" w:cs="宋体"/>
          <w:lang w:val="en-US" w:eastAsia="zh-CN"/>
        </w:rPr>
        <w:t xml:space="preserve"> E, Torres A, </w:t>
      </w:r>
      <w:proofErr w:type="spellStart"/>
      <w:r w:rsidRPr="00D01C8E">
        <w:rPr>
          <w:rFonts w:ascii="Book Antiqua" w:eastAsia="宋体" w:hAnsi="Book Antiqua" w:cs="宋体"/>
          <w:lang w:val="en-US" w:eastAsia="zh-CN"/>
        </w:rPr>
        <w:t>Salifu</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Sarwal</w:t>
      </w:r>
      <w:proofErr w:type="spellEnd"/>
      <w:r w:rsidRPr="00D01C8E">
        <w:rPr>
          <w:rFonts w:ascii="Book Antiqua" w:eastAsia="宋体" w:hAnsi="Book Antiqua" w:cs="宋体"/>
          <w:lang w:val="en-US" w:eastAsia="zh-CN"/>
        </w:rPr>
        <w:t xml:space="preserve"> MM, Schaefer F, </w:t>
      </w:r>
      <w:proofErr w:type="spellStart"/>
      <w:r w:rsidRPr="00D01C8E">
        <w:rPr>
          <w:rFonts w:ascii="Book Antiqua" w:eastAsia="宋体" w:hAnsi="Book Antiqua" w:cs="宋体"/>
          <w:lang w:val="en-US" w:eastAsia="zh-CN"/>
        </w:rPr>
        <w:t>Morath</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Schwenger</w:t>
      </w:r>
      <w:proofErr w:type="spellEnd"/>
      <w:r w:rsidRPr="00D01C8E">
        <w:rPr>
          <w:rFonts w:ascii="Book Antiqua" w:eastAsia="宋体" w:hAnsi="Book Antiqua" w:cs="宋体"/>
          <w:lang w:val="en-US" w:eastAsia="zh-CN"/>
        </w:rPr>
        <w:t xml:space="preserve"> V, </w:t>
      </w:r>
      <w:proofErr w:type="spellStart"/>
      <w:r w:rsidRPr="00D01C8E">
        <w:rPr>
          <w:rFonts w:ascii="Book Antiqua" w:eastAsia="宋体" w:hAnsi="Book Antiqua" w:cs="宋体"/>
          <w:lang w:val="en-US" w:eastAsia="zh-CN"/>
        </w:rPr>
        <w:t>Zeier</w:t>
      </w:r>
      <w:proofErr w:type="spellEnd"/>
      <w:r w:rsidRPr="00D01C8E">
        <w:rPr>
          <w:rFonts w:ascii="Book Antiqua" w:eastAsia="宋体" w:hAnsi="Book Antiqua" w:cs="宋体"/>
          <w:lang w:val="en-US" w:eastAsia="zh-CN"/>
        </w:rPr>
        <w:t xml:space="preserve"> M, Gupta V, Roth D, </w:t>
      </w:r>
      <w:proofErr w:type="spellStart"/>
      <w:r w:rsidRPr="00D01C8E">
        <w:rPr>
          <w:rFonts w:ascii="Book Antiqua" w:eastAsia="宋体" w:hAnsi="Book Antiqua" w:cs="宋体"/>
          <w:lang w:val="en-US" w:eastAsia="zh-CN"/>
        </w:rPr>
        <w:t>Rastaldi</w:t>
      </w:r>
      <w:proofErr w:type="spellEnd"/>
      <w:r w:rsidRPr="00D01C8E">
        <w:rPr>
          <w:rFonts w:ascii="Book Antiqua" w:eastAsia="宋体" w:hAnsi="Book Antiqua" w:cs="宋体"/>
          <w:lang w:val="en-US" w:eastAsia="zh-CN"/>
        </w:rPr>
        <w:t xml:space="preserve"> MP, Burke G, Ruiz P, </w:t>
      </w:r>
      <w:proofErr w:type="spellStart"/>
      <w:r w:rsidRPr="00D01C8E">
        <w:rPr>
          <w:rFonts w:ascii="Book Antiqua" w:eastAsia="宋体" w:hAnsi="Book Antiqua" w:cs="宋体"/>
          <w:lang w:val="en-US" w:eastAsia="zh-CN"/>
        </w:rPr>
        <w:t>Reiser</w:t>
      </w:r>
      <w:proofErr w:type="spellEnd"/>
      <w:r w:rsidRPr="00D01C8E">
        <w:rPr>
          <w:rFonts w:ascii="Book Antiqua" w:eastAsia="宋体" w:hAnsi="Book Antiqua" w:cs="宋体"/>
          <w:lang w:val="en-US" w:eastAsia="zh-CN"/>
        </w:rPr>
        <w:t xml:space="preserve"> J. Circulating </w:t>
      </w:r>
      <w:proofErr w:type="spellStart"/>
      <w:r w:rsidRPr="00D01C8E">
        <w:rPr>
          <w:rFonts w:ascii="Book Antiqua" w:eastAsia="宋体" w:hAnsi="Book Antiqua" w:cs="宋体"/>
          <w:lang w:val="en-US" w:eastAsia="zh-CN"/>
        </w:rPr>
        <w:t>urokinase</w:t>
      </w:r>
      <w:proofErr w:type="spellEnd"/>
      <w:r w:rsidRPr="00D01C8E">
        <w:rPr>
          <w:rFonts w:ascii="Book Antiqua" w:eastAsia="宋体" w:hAnsi="Book Antiqua" w:cs="宋体"/>
          <w:lang w:val="en-US" w:eastAsia="zh-CN"/>
        </w:rPr>
        <w:t xml:space="preserve"> receptor as a cause of focal segmental glomerulosclerosis. </w:t>
      </w:r>
      <w:r w:rsidRPr="00D01C8E">
        <w:rPr>
          <w:rFonts w:ascii="Book Antiqua" w:eastAsia="宋体" w:hAnsi="Book Antiqua" w:cs="宋体"/>
          <w:i/>
          <w:iCs/>
          <w:lang w:val="en-US" w:eastAsia="zh-CN"/>
        </w:rPr>
        <w:t>Nat Med</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17</w:t>
      </w:r>
      <w:r w:rsidRPr="00D01C8E">
        <w:rPr>
          <w:rFonts w:ascii="Book Antiqua" w:eastAsia="宋体" w:hAnsi="Book Antiqua" w:cs="宋体"/>
          <w:lang w:val="en-US" w:eastAsia="zh-CN"/>
        </w:rPr>
        <w:t>: 952-960 [PMID: 21804539 DOI: 10.1038/nm.2411]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16 </w:t>
      </w:r>
      <w:proofErr w:type="spellStart"/>
      <w:r w:rsidRPr="00D01C8E">
        <w:rPr>
          <w:rFonts w:ascii="Book Antiqua" w:eastAsia="宋体" w:hAnsi="Book Antiqua" w:cs="宋体"/>
          <w:b/>
          <w:bCs/>
          <w:lang w:val="en-US" w:eastAsia="zh-CN"/>
        </w:rPr>
        <w:t>Thunø</w:t>
      </w:r>
      <w:proofErr w:type="spellEnd"/>
      <w:r w:rsidRPr="00D01C8E">
        <w:rPr>
          <w:rFonts w:ascii="Book Antiqua" w:eastAsia="宋体" w:hAnsi="Book Antiqua" w:cs="宋体"/>
          <w:b/>
          <w:bCs/>
          <w:lang w:val="en-US" w:eastAsia="zh-CN"/>
        </w:rPr>
        <w:t xml:space="preserve"> M</w:t>
      </w:r>
      <w:r w:rsidRPr="00D01C8E">
        <w:rPr>
          <w:rFonts w:ascii="Book Antiqua" w:eastAsia="宋体" w:hAnsi="Book Antiqua" w:cs="宋体"/>
          <w:lang w:val="en-US" w:eastAsia="zh-CN"/>
        </w:rPr>
        <w:t xml:space="preserve">, Macho B, Eugen-Olsen J. </w:t>
      </w:r>
      <w:proofErr w:type="spellStart"/>
      <w:r w:rsidRPr="00D01C8E">
        <w:rPr>
          <w:rFonts w:ascii="Book Antiqua" w:eastAsia="宋体" w:hAnsi="Book Antiqua" w:cs="宋体"/>
          <w:lang w:val="en-US" w:eastAsia="zh-CN"/>
        </w:rPr>
        <w:t>suPAR</w:t>
      </w:r>
      <w:proofErr w:type="spellEnd"/>
      <w:r w:rsidRPr="00D01C8E">
        <w:rPr>
          <w:rFonts w:ascii="Book Antiqua" w:eastAsia="宋体" w:hAnsi="Book Antiqua" w:cs="宋体"/>
          <w:lang w:val="en-US" w:eastAsia="zh-CN"/>
        </w:rPr>
        <w:t xml:space="preserve">: the molecular crystal ball. </w:t>
      </w:r>
      <w:r w:rsidRPr="00D01C8E">
        <w:rPr>
          <w:rFonts w:ascii="Book Antiqua" w:eastAsia="宋体" w:hAnsi="Book Antiqua" w:cs="宋体"/>
          <w:i/>
          <w:iCs/>
          <w:lang w:val="en-US" w:eastAsia="zh-CN"/>
        </w:rPr>
        <w:t>Dis Markers</w:t>
      </w:r>
      <w:r w:rsidRPr="00D01C8E">
        <w:rPr>
          <w:rFonts w:ascii="Book Antiqua" w:eastAsia="宋体" w:hAnsi="Book Antiqua" w:cs="宋体"/>
          <w:lang w:val="en-US" w:eastAsia="zh-CN"/>
        </w:rPr>
        <w:t xml:space="preserve"> 2009; </w:t>
      </w:r>
      <w:r w:rsidRPr="00D01C8E">
        <w:rPr>
          <w:rFonts w:ascii="Book Antiqua" w:eastAsia="宋体" w:hAnsi="Book Antiqua" w:cs="宋体"/>
          <w:b/>
          <w:bCs/>
          <w:lang w:val="en-US" w:eastAsia="zh-CN"/>
        </w:rPr>
        <w:t>27</w:t>
      </w:r>
      <w:r w:rsidRPr="00D01C8E">
        <w:rPr>
          <w:rFonts w:ascii="Book Antiqua" w:eastAsia="宋体" w:hAnsi="Book Antiqua" w:cs="宋体"/>
          <w:lang w:val="en-US" w:eastAsia="zh-CN"/>
        </w:rPr>
        <w:t>: 157-172 [PMID: 19893210 DOI: 10.3233/DMA-2009-0657]</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17 </w:t>
      </w:r>
      <w:r w:rsidRPr="00D01C8E">
        <w:rPr>
          <w:rFonts w:ascii="Book Antiqua" w:eastAsia="宋体" w:hAnsi="Book Antiqua" w:cs="宋体"/>
          <w:b/>
          <w:bCs/>
          <w:lang w:val="en-US" w:eastAsia="zh-CN"/>
        </w:rPr>
        <w:t>Maas RJ</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Wetzels</w:t>
      </w:r>
      <w:proofErr w:type="spellEnd"/>
      <w:r w:rsidRPr="00D01C8E">
        <w:rPr>
          <w:rFonts w:ascii="Book Antiqua" w:eastAsia="宋体" w:hAnsi="Book Antiqua" w:cs="宋体"/>
          <w:lang w:val="en-US" w:eastAsia="zh-CN"/>
        </w:rPr>
        <w:t xml:space="preserve"> JF, </w:t>
      </w:r>
      <w:proofErr w:type="spellStart"/>
      <w:r w:rsidRPr="00D01C8E">
        <w:rPr>
          <w:rFonts w:ascii="Book Antiqua" w:eastAsia="宋体" w:hAnsi="Book Antiqua" w:cs="宋体"/>
          <w:lang w:val="en-US" w:eastAsia="zh-CN"/>
        </w:rPr>
        <w:t>Deegens</w:t>
      </w:r>
      <w:proofErr w:type="spellEnd"/>
      <w:r w:rsidRPr="00D01C8E">
        <w:rPr>
          <w:rFonts w:ascii="Book Antiqua" w:eastAsia="宋体" w:hAnsi="Book Antiqua" w:cs="宋体"/>
          <w:lang w:val="en-US" w:eastAsia="zh-CN"/>
        </w:rPr>
        <w:t xml:space="preserve"> JK.</w:t>
      </w:r>
      <w:proofErr w:type="gramEnd"/>
      <w:r w:rsidRPr="00D01C8E">
        <w:rPr>
          <w:rFonts w:ascii="Book Antiqua" w:eastAsia="宋体" w:hAnsi="Book Antiqua" w:cs="宋体"/>
          <w:lang w:val="en-US" w:eastAsia="zh-CN"/>
        </w:rPr>
        <w:t xml:space="preserve"> </w:t>
      </w:r>
      <w:proofErr w:type="gramStart"/>
      <w:r w:rsidRPr="00D01C8E">
        <w:rPr>
          <w:rFonts w:ascii="Book Antiqua" w:eastAsia="宋体" w:hAnsi="Book Antiqua" w:cs="宋体"/>
          <w:lang w:val="en-US" w:eastAsia="zh-CN"/>
        </w:rPr>
        <w:t xml:space="preserve">Serum-soluble </w:t>
      </w:r>
      <w:proofErr w:type="spellStart"/>
      <w:r w:rsidRPr="00D01C8E">
        <w:rPr>
          <w:rFonts w:ascii="Book Antiqua" w:eastAsia="宋体" w:hAnsi="Book Antiqua" w:cs="宋体"/>
          <w:lang w:val="en-US" w:eastAsia="zh-CN"/>
        </w:rPr>
        <w:t>urokinase</w:t>
      </w:r>
      <w:proofErr w:type="spellEnd"/>
      <w:r w:rsidRPr="00D01C8E">
        <w:rPr>
          <w:rFonts w:ascii="Book Antiqua" w:eastAsia="宋体" w:hAnsi="Book Antiqua" w:cs="宋体"/>
          <w:lang w:val="en-US" w:eastAsia="zh-CN"/>
        </w:rPr>
        <w:t xml:space="preserve"> receptor concentration in primary FSGS.</w:t>
      </w:r>
      <w:proofErr w:type="gram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 xml:space="preserve">Kidney </w:t>
      </w:r>
      <w:proofErr w:type="spellStart"/>
      <w:r w:rsidRPr="00D01C8E">
        <w:rPr>
          <w:rFonts w:ascii="Book Antiqua" w:eastAsia="宋体" w:hAnsi="Book Antiqua" w:cs="宋体"/>
          <w:i/>
          <w:iCs/>
          <w:lang w:val="en-US" w:eastAsia="zh-CN"/>
        </w:rPr>
        <w:t>Int</w:t>
      </w:r>
      <w:proofErr w:type="spellEnd"/>
      <w:r w:rsidRPr="00D01C8E">
        <w:rPr>
          <w:rFonts w:ascii="Book Antiqua" w:eastAsia="宋体" w:hAnsi="Book Antiqua" w:cs="宋体"/>
          <w:lang w:val="en-US" w:eastAsia="zh-CN"/>
        </w:rPr>
        <w:t xml:space="preserve"> 2012; </w:t>
      </w:r>
      <w:r w:rsidRPr="00D01C8E">
        <w:rPr>
          <w:rFonts w:ascii="Book Antiqua" w:eastAsia="宋体" w:hAnsi="Book Antiqua" w:cs="宋体"/>
          <w:b/>
          <w:bCs/>
          <w:lang w:val="en-US" w:eastAsia="zh-CN"/>
        </w:rPr>
        <w:t>81</w:t>
      </w:r>
      <w:r w:rsidRPr="00D01C8E">
        <w:rPr>
          <w:rFonts w:ascii="Book Antiqua" w:eastAsia="宋体" w:hAnsi="Book Antiqua" w:cs="宋体"/>
          <w:lang w:val="en-US" w:eastAsia="zh-CN"/>
        </w:rPr>
        <w:t>: 1043-1044 [PMID: 22543906 DOI: 10.1038/ki.2012.32]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lastRenderedPageBreak/>
        <w:t xml:space="preserve">18 </w:t>
      </w:r>
      <w:proofErr w:type="gramStart"/>
      <w:r w:rsidRPr="00D01C8E">
        <w:rPr>
          <w:rFonts w:ascii="Book Antiqua" w:eastAsia="宋体" w:hAnsi="Book Antiqua" w:cs="宋体"/>
          <w:b/>
          <w:bCs/>
          <w:lang w:val="en-US" w:eastAsia="zh-CN"/>
        </w:rPr>
        <w:t>Bock</w:t>
      </w:r>
      <w:proofErr w:type="gramEnd"/>
      <w:r w:rsidRPr="00D01C8E">
        <w:rPr>
          <w:rFonts w:ascii="Book Antiqua" w:eastAsia="宋体" w:hAnsi="Book Antiqua" w:cs="宋体"/>
          <w:b/>
          <w:bCs/>
          <w:lang w:val="en-US" w:eastAsia="zh-CN"/>
        </w:rPr>
        <w:t xml:space="preserve"> ME</w:t>
      </w:r>
      <w:r w:rsidRPr="00D01C8E">
        <w:rPr>
          <w:rFonts w:ascii="Book Antiqua" w:eastAsia="宋体" w:hAnsi="Book Antiqua" w:cs="宋体"/>
          <w:lang w:val="en-US" w:eastAsia="zh-CN"/>
        </w:rPr>
        <w:t xml:space="preserve">, Price HE, Gallon L, </w:t>
      </w:r>
      <w:proofErr w:type="spellStart"/>
      <w:r w:rsidRPr="00D01C8E">
        <w:rPr>
          <w:rFonts w:ascii="Book Antiqua" w:eastAsia="宋体" w:hAnsi="Book Antiqua" w:cs="宋体"/>
          <w:lang w:val="en-US" w:eastAsia="zh-CN"/>
        </w:rPr>
        <w:t>Langman</w:t>
      </w:r>
      <w:proofErr w:type="spellEnd"/>
      <w:r w:rsidRPr="00D01C8E">
        <w:rPr>
          <w:rFonts w:ascii="Book Antiqua" w:eastAsia="宋体" w:hAnsi="Book Antiqua" w:cs="宋体"/>
          <w:lang w:val="en-US" w:eastAsia="zh-CN"/>
        </w:rPr>
        <w:t xml:space="preserve"> CB. Serum soluble </w:t>
      </w:r>
      <w:proofErr w:type="spellStart"/>
      <w:r w:rsidRPr="00D01C8E">
        <w:rPr>
          <w:rFonts w:ascii="Book Antiqua" w:eastAsia="宋体" w:hAnsi="Book Antiqua" w:cs="宋体"/>
          <w:lang w:val="en-US" w:eastAsia="zh-CN"/>
        </w:rPr>
        <w:t>urokinase</w:t>
      </w:r>
      <w:proofErr w:type="spellEnd"/>
      <w:r w:rsidRPr="00D01C8E">
        <w:rPr>
          <w:rFonts w:ascii="Book Antiqua" w:eastAsia="宋体" w:hAnsi="Book Antiqua" w:cs="宋体"/>
          <w:lang w:val="en-US" w:eastAsia="zh-CN"/>
        </w:rPr>
        <w:t xml:space="preserve">-type plasminogen activator receptor levels and idiopathic FSGS in children: a single-center report. </w:t>
      </w:r>
      <w:proofErr w:type="spellStart"/>
      <w:r w:rsidRPr="00D01C8E">
        <w:rPr>
          <w:rFonts w:ascii="Book Antiqua" w:eastAsia="宋体" w:hAnsi="Book Antiqua" w:cs="宋体"/>
          <w:i/>
          <w:iCs/>
          <w:lang w:val="en-US" w:eastAsia="zh-CN"/>
        </w:rPr>
        <w:t>Clin</w:t>
      </w:r>
      <w:proofErr w:type="spellEnd"/>
      <w:r w:rsidRPr="00D01C8E">
        <w:rPr>
          <w:rFonts w:ascii="Book Antiqua" w:eastAsia="宋体" w:hAnsi="Book Antiqua" w:cs="宋体"/>
          <w:i/>
          <w:iCs/>
          <w:lang w:val="en-US" w:eastAsia="zh-CN"/>
        </w:rPr>
        <w:t xml:space="preserve"> J Am </w:t>
      </w:r>
      <w:proofErr w:type="spellStart"/>
      <w:r w:rsidRPr="00D01C8E">
        <w:rPr>
          <w:rFonts w:ascii="Book Antiqua" w:eastAsia="宋体" w:hAnsi="Book Antiqua" w:cs="宋体"/>
          <w:i/>
          <w:iCs/>
          <w:lang w:val="en-US" w:eastAsia="zh-CN"/>
        </w:rPr>
        <w:t>Soc</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8</w:t>
      </w:r>
      <w:r w:rsidRPr="00D01C8E">
        <w:rPr>
          <w:rFonts w:ascii="Book Antiqua" w:eastAsia="宋体" w:hAnsi="Book Antiqua" w:cs="宋体"/>
          <w:lang w:val="en-US" w:eastAsia="zh-CN"/>
        </w:rPr>
        <w:t>: 1304-1311 [PMID: 23620441 DOI: 10.2215/CJN.07680712]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19 </w:t>
      </w:r>
      <w:r w:rsidRPr="00D01C8E">
        <w:rPr>
          <w:rFonts w:ascii="Book Antiqua" w:eastAsia="宋体" w:hAnsi="Book Antiqua" w:cs="宋体"/>
          <w:b/>
          <w:bCs/>
          <w:lang w:val="en-US" w:eastAsia="zh-CN"/>
        </w:rPr>
        <w:t>McCarthy ET</w:t>
      </w:r>
      <w:r w:rsidRPr="00D01C8E">
        <w:rPr>
          <w:rFonts w:ascii="Book Antiqua" w:eastAsia="宋体" w:hAnsi="Book Antiqua" w:cs="宋体"/>
          <w:lang w:val="en-US" w:eastAsia="zh-CN"/>
        </w:rPr>
        <w:t xml:space="preserve">, Sharma M, </w:t>
      </w:r>
      <w:proofErr w:type="spellStart"/>
      <w:r w:rsidRPr="00D01C8E">
        <w:rPr>
          <w:rFonts w:ascii="Book Antiqua" w:eastAsia="宋体" w:hAnsi="Book Antiqua" w:cs="宋体"/>
          <w:lang w:val="en-US" w:eastAsia="zh-CN"/>
        </w:rPr>
        <w:t>Savin</w:t>
      </w:r>
      <w:proofErr w:type="spellEnd"/>
      <w:r w:rsidRPr="00D01C8E">
        <w:rPr>
          <w:rFonts w:ascii="Book Antiqua" w:eastAsia="宋体" w:hAnsi="Book Antiqua" w:cs="宋体"/>
          <w:lang w:val="en-US" w:eastAsia="zh-CN"/>
        </w:rPr>
        <w:t xml:space="preserve"> VJ. Circulating permeability factors in idiopathic nephrotic syndrome and focal segmental glomerulosclerosis. </w:t>
      </w:r>
      <w:proofErr w:type="spellStart"/>
      <w:r w:rsidRPr="00D01C8E">
        <w:rPr>
          <w:rFonts w:ascii="Book Antiqua" w:eastAsia="宋体" w:hAnsi="Book Antiqua" w:cs="宋体"/>
          <w:i/>
          <w:iCs/>
          <w:lang w:val="en-US" w:eastAsia="zh-CN"/>
        </w:rPr>
        <w:t>Clin</w:t>
      </w:r>
      <w:proofErr w:type="spellEnd"/>
      <w:r w:rsidRPr="00D01C8E">
        <w:rPr>
          <w:rFonts w:ascii="Book Antiqua" w:eastAsia="宋体" w:hAnsi="Book Antiqua" w:cs="宋体"/>
          <w:i/>
          <w:iCs/>
          <w:lang w:val="en-US" w:eastAsia="zh-CN"/>
        </w:rPr>
        <w:t xml:space="preserve"> J Am </w:t>
      </w:r>
      <w:proofErr w:type="spellStart"/>
      <w:r w:rsidRPr="00D01C8E">
        <w:rPr>
          <w:rFonts w:ascii="Book Antiqua" w:eastAsia="宋体" w:hAnsi="Book Antiqua" w:cs="宋体"/>
          <w:i/>
          <w:iCs/>
          <w:lang w:val="en-US" w:eastAsia="zh-CN"/>
        </w:rPr>
        <w:t>Soc</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2010; </w:t>
      </w:r>
      <w:r w:rsidRPr="00D01C8E">
        <w:rPr>
          <w:rFonts w:ascii="Book Antiqua" w:eastAsia="宋体" w:hAnsi="Book Antiqua" w:cs="宋体"/>
          <w:b/>
          <w:bCs/>
          <w:lang w:val="en-US" w:eastAsia="zh-CN"/>
        </w:rPr>
        <w:t>5</w:t>
      </w:r>
      <w:r w:rsidRPr="00D01C8E">
        <w:rPr>
          <w:rFonts w:ascii="Book Antiqua" w:eastAsia="宋体" w:hAnsi="Book Antiqua" w:cs="宋体"/>
          <w:lang w:val="en-US" w:eastAsia="zh-CN"/>
        </w:rPr>
        <w:t>: 2115-2121 [PMID: 20966123 DOI: 10.2215/CJN.03800609]</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20 </w:t>
      </w:r>
      <w:proofErr w:type="spellStart"/>
      <w:r w:rsidRPr="00D01C8E">
        <w:rPr>
          <w:rFonts w:ascii="Book Antiqua" w:eastAsia="宋体" w:hAnsi="Book Antiqua" w:cs="宋体"/>
          <w:b/>
          <w:bCs/>
          <w:lang w:val="en-US" w:eastAsia="zh-CN"/>
        </w:rPr>
        <w:t>Delville</w:t>
      </w:r>
      <w:proofErr w:type="spellEnd"/>
      <w:r w:rsidRPr="00D01C8E">
        <w:rPr>
          <w:rFonts w:ascii="Book Antiqua" w:eastAsia="宋体" w:hAnsi="Book Antiqua" w:cs="宋体"/>
          <w:b/>
          <w:bCs/>
          <w:lang w:val="en-US" w:eastAsia="zh-CN"/>
        </w:rPr>
        <w:t xml:space="preserve"> M</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Sigdel</w:t>
      </w:r>
      <w:proofErr w:type="spellEnd"/>
      <w:r w:rsidRPr="00D01C8E">
        <w:rPr>
          <w:rFonts w:ascii="Book Antiqua" w:eastAsia="宋体" w:hAnsi="Book Antiqua" w:cs="宋体"/>
          <w:lang w:val="en-US" w:eastAsia="zh-CN"/>
        </w:rPr>
        <w:t xml:space="preserve"> TK, Wei C, Li J, Hsieh SC, </w:t>
      </w:r>
      <w:proofErr w:type="spellStart"/>
      <w:r w:rsidRPr="00D01C8E">
        <w:rPr>
          <w:rFonts w:ascii="Book Antiqua" w:eastAsia="宋体" w:hAnsi="Book Antiqua" w:cs="宋体"/>
          <w:lang w:val="en-US" w:eastAsia="zh-CN"/>
        </w:rPr>
        <w:t>Fornoni</w:t>
      </w:r>
      <w:proofErr w:type="spellEnd"/>
      <w:r w:rsidRPr="00D01C8E">
        <w:rPr>
          <w:rFonts w:ascii="Book Antiqua" w:eastAsia="宋体" w:hAnsi="Book Antiqua" w:cs="宋体"/>
          <w:lang w:val="en-US" w:eastAsia="zh-CN"/>
        </w:rPr>
        <w:t xml:space="preserve"> A, Burke GW, </w:t>
      </w:r>
      <w:proofErr w:type="spellStart"/>
      <w:r w:rsidRPr="00D01C8E">
        <w:rPr>
          <w:rFonts w:ascii="Book Antiqua" w:eastAsia="宋体" w:hAnsi="Book Antiqua" w:cs="宋体"/>
          <w:lang w:val="en-US" w:eastAsia="zh-CN"/>
        </w:rPr>
        <w:t>Bruneval</w:t>
      </w:r>
      <w:proofErr w:type="spellEnd"/>
      <w:r w:rsidRPr="00D01C8E">
        <w:rPr>
          <w:rFonts w:ascii="Book Antiqua" w:eastAsia="宋体" w:hAnsi="Book Antiqua" w:cs="宋体"/>
          <w:lang w:val="en-US" w:eastAsia="zh-CN"/>
        </w:rPr>
        <w:t xml:space="preserve"> P, </w:t>
      </w:r>
      <w:proofErr w:type="spellStart"/>
      <w:r w:rsidRPr="00D01C8E">
        <w:rPr>
          <w:rFonts w:ascii="Book Antiqua" w:eastAsia="宋体" w:hAnsi="Book Antiqua" w:cs="宋体"/>
          <w:lang w:val="en-US" w:eastAsia="zh-CN"/>
        </w:rPr>
        <w:t>Naesens</w:t>
      </w:r>
      <w:proofErr w:type="spellEnd"/>
      <w:r w:rsidRPr="00D01C8E">
        <w:rPr>
          <w:rFonts w:ascii="Book Antiqua" w:eastAsia="宋体" w:hAnsi="Book Antiqua" w:cs="宋体"/>
          <w:lang w:val="en-US" w:eastAsia="zh-CN"/>
        </w:rPr>
        <w:t xml:space="preserve"> M, Jackson A, </w:t>
      </w:r>
      <w:proofErr w:type="spellStart"/>
      <w:r w:rsidRPr="00D01C8E">
        <w:rPr>
          <w:rFonts w:ascii="Book Antiqua" w:eastAsia="宋体" w:hAnsi="Book Antiqua" w:cs="宋体"/>
          <w:lang w:val="en-US" w:eastAsia="zh-CN"/>
        </w:rPr>
        <w:t>Alachkar</w:t>
      </w:r>
      <w:proofErr w:type="spellEnd"/>
      <w:r w:rsidRPr="00D01C8E">
        <w:rPr>
          <w:rFonts w:ascii="Book Antiqua" w:eastAsia="宋体" w:hAnsi="Book Antiqua" w:cs="宋体"/>
          <w:lang w:val="en-US" w:eastAsia="zh-CN"/>
        </w:rPr>
        <w:t xml:space="preserve"> N, </w:t>
      </w:r>
      <w:proofErr w:type="spellStart"/>
      <w:r w:rsidRPr="00D01C8E">
        <w:rPr>
          <w:rFonts w:ascii="Book Antiqua" w:eastAsia="宋体" w:hAnsi="Book Antiqua" w:cs="宋体"/>
          <w:lang w:val="en-US" w:eastAsia="zh-CN"/>
        </w:rPr>
        <w:t>Canaud</w:t>
      </w:r>
      <w:proofErr w:type="spellEnd"/>
      <w:r w:rsidRPr="00D01C8E">
        <w:rPr>
          <w:rFonts w:ascii="Book Antiqua" w:eastAsia="宋体" w:hAnsi="Book Antiqua" w:cs="宋体"/>
          <w:lang w:val="en-US" w:eastAsia="zh-CN"/>
        </w:rPr>
        <w:t xml:space="preserve"> G, Legendre C, </w:t>
      </w:r>
      <w:proofErr w:type="spellStart"/>
      <w:r w:rsidRPr="00D01C8E">
        <w:rPr>
          <w:rFonts w:ascii="Book Antiqua" w:eastAsia="宋体" w:hAnsi="Book Antiqua" w:cs="宋体"/>
          <w:lang w:val="en-US" w:eastAsia="zh-CN"/>
        </w:rPr>
        <w:t>Anglicheau</w:t>
      </w:r>
      <w:proofErr w:type="spellEnd"/>
      <w:r w:rsidRPr="00D01C8E">
        <w:rPr>
          <w:rFonts w:ascii="Book Antiqua" w:eastAsia="宋体" w:hAnsi="Book Antiqua" w:cs="宋体"/>
          <w:lang w:val="en-US" w:eastAsia="zh-CN"/>
        </w:rPr>
        <w:t xml:space="preserve"> D, </w:t>
      </w:r>
      <w:proofErr w:type="spellStart"/>
      <w:r w:rsidRPr="00D01C8E">
        <w:rPr>
          <w:rFonts w:ascii="Book Antiqua" w:eastAsia="宋体" w:hAnsi="Book Antiqua" w:cs="宋体"/>
          <w:lang w:val="en-US" w:eastAsia="zh-CN"/>
        </w:rPr>
        <w:t>Reiser</w:t>
      </w:r>
      <w:proofErr w:type="spellEnd"/>
      <w:r w:rsidRPr="00D01C8E">
        <w:rPr>
          <w:rFonts w:ascii="Book Antiqua" w:eastAsia="宋体" w:hAnsi="Book Antiqua" w:cs="宋体"/>
          <w:lang w:val="en-US" w:eastAsia="zh-CN"/>
        </w:rPr>
        <w:t xml:space="preserve"> J, </w:t>
      </w:r>
      <w:proofErr w:type="spellStart"/>
      <w:r w:rsidRPr="00D01C8E">
        <w:rPr>
          <w:rFonts w:ascii="Book Antiqua" w:eastAsia="宋体" w:hAnsi="Book Antiqua" w:cs="宋体"/>
          <w:lang w:val="en-US" w:eastAsia="zh-CN"/>
        </w:rPr>
        <w:t>Sarwal</w:t>
      </w:r>
      <w:proofErr w:type="spellEnd"/>
      <w:r w:rsidRPr="00D01C8E">
        <w:rPr>
          <w:rFonts w:ascii="Book Antiqua" w:eastAsia="宋体" w:hAnsi="Book Antiqua" w:cs="宋体"/>
          <w:lang w:val="en-US" w:eastAsia="zh-CN"/>
        </w:rPr>
        <w:t xml:space="preserve"> MM. </w:t>
      </w:r>
      <w:proofErr w:type="gramStart"/>
      <w:r w:rsidRPr="00D01C8E">
        <w:rPr>
          <w:rFonts w:ascii="Book Antiqua" w:eastAsia="宋体" w:hAnsi="Book Antiqua" w:cs="宋体"/>
          <w:lang w:val="en-US" w:eastAsia="zh-CN"/>
        </w:rPr>
        <w:t xml:space="preserve">A circulating antibody panel for </w:t>
      </w:r>
      <w:proofErr w:type="spellStart"/>
      <w:r w:rsidRPr="00D01C8E">
        <w:rPr>
          <w:rFonts w:ascii="Book Antiqua" w:eastAsia="宋体" w:hAnsi="Book Antiqua" w:cs="宋体"/>
          <w:lang w:val="en-US" w:eastAsia="zh-CN"/>
        </w:rPr>
        <w:t>pretransplant</w:t>
      </w:r>
      <w:proofErr w:type="spellEnd"/>
      <w:r w:rsidRPr="00D01C8E">
        <w:rPr>
          <w:rFonts w:ascii="Book Antiqua" w:eastAsia="宋体" w:hAnsi="Book Antiqua" w:cs="宋体"/>
          <w:lang w:val="en-US" w:eastAsia="zh-CN"/>
        </w:rPr>
        <w:t xml:space="preserve"> prediction of FSGS recurrence after kidney transplantation.</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Sci</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Transl</w:t>
      </w:r>
      <w:proofErr w:type="spellEnd"/>
      <w:r w:rsidRPr="00D01C8E">
        <w:rPr>
          <w:rFonts w:ascii="Book Antiqua" w:eastAsia="宋体" w:hAnsi="Book Antiqua" w:cs="宋体"/>
          <w:i/>
          <w:iCs/>
          <w:lang w:val="en-US" w:eastAsia="zh-CN"/>
        </w:rPr>
        <w:t xml:space="preserve"> Med</w:t>
      </w:r>
      <w:r w:rsidRPr="00D01C8E">
        <w:rPr>
          <w:rFonts w:ascii="Book Antiqua" w:eastAsia="宋体" w:hAnsi="Book Antiqua" w:cs="宋体"/>
          <w:lang w:val="en-US" w:eastAsia="zh-CN"/>
        </w:rPr>
        <w:t xml:space="preserve"> 2014; </w:t>
      </w:r>
      <w:r w:rsidRPr="00D01C8E">
        <w:rPr>
          <w:rFonts w:ascii="Book Antiqua" w:eastAsia="宋体" w:hAnsi="Book Antiqua" w:cs="宋体"/>
          <w:b/>
          <w:bCs/>
          <w:lang w:val="en-US" w:eastAsia="zh-CN"/>
        </w:rPr>
        <w:t>6</w:t>
      </w:r>
      <w:r w:rsidRPr="00D01C8E">
        <w:rPr>
          <w:rFonts w:ascii="Book Antiqua" w:eastAsia="宋体" w:hAnsi="Book Antiqua" w:cs="宋体"/>
          <w:lang w:val="en-US" w:eastAsia="zh-CN"/>
        </w:rPr>
        <w:t>: 256ra136 [PMID: 25273097 DOI: 10.1126/scitranslmed.3008538]</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21 </w:t>
      </w:r>
      <w:proofErr w:type="spellStart"/>
      <w:r w:rsidRPr="00D01C8E">
        <w:rPr>
          <w:rFonts w:ascii="Book Antiqua" w:eastAsia="宋体" w:hAnsi="Book Antiqua" w:cs="宋体"/>
          <w:b/>
          <w:bCs/>
          <w:lang w:val="en-US" w:eastAsia="zh-CN"/>
        </w:rPr>
        <w:t>Fornoni</w:t>
      </w:r>
      <w:proofErr w:type="spellEnd"/>
      <w:r w:rsidRPr="00D01C8E">
        <w:rPr>
          <w:rFonts w:ascii="Book Antiqua" w:eastAsia="宋体" w:hAnsi="Book Antiqua" w:cs="宋体"/>
          <w:b/>
          <w:bCs/>
          <w:lang w:val="en-US" w:eastAsia="zh-CN"/>
        </w:rPr>
        <w:t xml:space="preserve"> A</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Sageshima</w:t>
      </w:r>
      <w:proofErr w:type="spellEnd"/>
      <w:r w:rsidRPr="00D01C8E">
        <w:rPr>
          <w:rFonts w:ascii="Book Antiqua" w:eastAsia="宋体" w:hAnsi="Book Antiqua" w:cs="宋体"/>
          <w:lang w:val="en-US" w:eastAsia="zh-CN"/>
        </w:rPr>
        <w:t xml:space="preserve"> J, Wei C, </w:t>
      </w:r>
      <w:proofErr w:type="spellStart"/>
      <w:r w:rsidRPr="00D01C8E">
        <w:rPr>
          <w:rFonts w:ascii="Book Antiqua" w:eastAsia="宋体" w:hAnsi="Book Antiqua" w:cs="宋体"/>
          <w:lang w:val="en-US" w:eastAsia="zh-CN"/>
        </w:rPr>
        <w:t>Merscher</w:t>
      </w:r>
      <w:proofErr w:type="spellEnd"/>
      <w:r w:rsidRPr="00D01C8E">
        <w:rPr>
          <w:rFonts w:ascii="Book Antiqua" w:eastAsia="宋体" w:hAnsi="Book Antiqua" w:cs="宋体"/>
          <w:lang w:val="en-US" w:eastAsia="zh-CN"/>
        </w:rPr>
        <w:t xml:space="preserve">-Gomez S, </w:t>
      </w:r>
      <w:proofErr w:type="spellStart"/>
      <w:r w:rsidRPr="00D01C8E">
        <w:rPr>
          <w:rFonts w:ascii="Book Antiqua" w:eastAsia="宋体" w:hAnsi="Book Antiqua" w:cs="宋体"/>
          <w:lang w:val="en-US" w:eastAsia="zh-CN"/>
        </w:rPr>
        <w:t>Aguillon</w:t>
      </w:r>
      <w:proofErr w:type="spellEnd"/>
      <w:r w:rsidRPr="00D01C8E">
        <w:rPr>
          <w:rFonts w:ascii="Book Antiqua" w:eastAsia="宋体" w:hAnsi="Book Antiqua" w:cs="宋体"/>
          <w:lang w:val="en-US" w:eastAsia="zh-CN"/>
        </w:rPr>
        <w:t xml:space="preserve">-Prada R, Jauregui AN, Li J, </w:t>
      </w:r>
      <w:proofErr w:type="spellStart"/>
      <w:r w:rsidRPr="00D01C8E">
        <w:rPr>
          <w:rFonts w:ascii="Book Antiqua" w:eastAsia="宋体" w:hAnsi="Book Antiqua" w:cs="宋体"/>
          <w:lang w:val="en-US" w:eastAsia="zh-CN"/>
        </w:rPr>
        <w:t>Mattiazzi</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Ciancio</w:t>
      </w:r>
      <w:proofErr w:type="spellEnd"/>
      <w:r w:rsidRPr="00D01C8E">
        <w:rPr>
          <w:rFonts w:ascii="Book Antiqua" w:eastAsia="宋体" w:hAnsi="Book Antiqua" w:cs="宋体"/>
          <w:lang w:val="en-US" w:eastAsia="zh-CN"/>
        </w:rPr>
        <w:t xml:space="preserve"> G, Chen L, </w:t>
      </w:r>
      <w:proofErr w:type="spellStart"/>
      <w:r w:rsidRPr="00D01C8E">
        <w:rPr>
          <w:rFonts w:ascii="Book Antiqua" w:eastAsia="宋体" w:hAnsi="Book Antiqua" w:cs="宋体"/>
          <w:lang w:val="en-US" w:eastAsia="zh-CN"/>
        </w:rPr>
        <w:t>Zilleruelo</w:t>
      </w:r>
      <w:proofErr w:type="spellEnd"/>
      <w:r w:rsidRPr="00D01C8E">
        <w:rPr>
          <w:rFonts w:ascii="Book Antiqua" w:eastAsia="宋体" w:hAnsi="Book Antiqua" w:cs="宋体"/>
          <w:lang w:val="en-US" w:eastAsia="zh-CN"/>
        </w:rPr>
        <w:t xml:space="preserve"> G, </w:t>
      </w:r>
      <w:proofErr w:type="spellStart"/>
      <w:r w:rsidRPr="00D01C8E">
        <w:rPr>
          <w:rFonts w:ascii="Book Antiqua" w:eastAsia="宋体" w:hAnsi="Book Antiqua" w:cs="宋体"/>
          <w:lang w:val="en-US" w:eastAsia="zh-CN"/>
        </w:rPr>
        <w:t>Abitbol</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Chandar</w:t>
      </w:r>
      <w:proofErr w:type="spellEnd"/>
      <w:r w:rsidRPr="00D01C8E">
        <w:rPr>
          <w:rFonts w:ascii="Book Antiqua" w:eastAsia="宋体" w:hAnsi="Book Antiqua" w:cs="宋体"/>
          <w:lang w:val="en-US" w:eastAsia="zh-CN"/>
        </w:rPr>
        <w:t xml:space="preserve"> J, </w:t>
      </w:r>
      <w:proofErr w:type="spellStart"/>
      <w:r w:rsidRPr="00D01C8E">
        <w:rPr>
          <w:rFonts w:ascii="Book Antiqua" w:eastAsia="宋体" w:hAnsi="Book Antiqua" w:cs="宋体"/>
          <w:lang w:val="en-US" w:eastAsia="zh-CN"/>
        </w:rPr>
        <w:t>Seeherunvong</w:t>
      </w:r>
      <w:proofErr w:type="spellEnd"/>
      <w:r w:rsidRPr="00D01C8E">
        <w:rPr>
          <w:rFonts w:ascii="Book Antiqua" w:eastAsia="宋体" w:hAnsi="Book Antiqua" w:cs="宋体"/>
          <w:lang w:val="en-US" w:eastAsia="zh-CN"/>
        </w:rPr>
        <w:t xml:space="preserve"> W, </w:t>
      </w:r>
      <w:proofErr w:type="spellStart"/>
      <w:r w:rsidRPr="00D01C8E">
        <w:rPr>
          <w:rFonts w:ascii="Book Antiqua" w:eastAsia="宋体" w:hAnsi="Book Antiqua" w:cs="宋体"/>
          <w:lang w:val="en-US" w:eastAsia="zh-CN"/>
        </w:rPr>
        <w:t>Ricordi</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Ikehata</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Rastaldi</w:t>
      </w:r>
      <w:proofErr w:type="spellEnd"/>
      <w:r w:rsidRPr="00D01C8E">
        <w:rPr>
          <w:rFonts w:ascii="Book Antiqua" w:eastAsia="宋体" w:hAnsi="Book Antiqua" w:cs="宋体"/>
          <w:lang w:val="en-US" w:eastAsia="zh-CN"/>
        </w:rPr>
        <w:t xml:space="preserve"> MP, </w:t>
      </w:r>
      <w:proofErr w:type="spellStart"/>
      <w:r w:rsidRPr="00D01C8E">
        <w:rPr>
          <w:rFonts w:ascii="Book Antiqua" w:eastAsia="宋体" w:hAnsi="Book Antiqua" w:cs="宋体"/>
          <w:lang w:val="en-US" w:eastAsia="zh-CN"/>
        </w:rPr>
        <w:t>Reiser</w:t>
      </w:r>
      <w:proofErr w:type="spellEnd"/>
      <w:r w:rsidRPr="00D01C8E">
        <w:rPr>
          <w:rFonts w:ascii="Book Antiqua" w:eastAsia="宋体" w:hAnsi="Book Antiqua" w:cs="宋体"/>
          <w:lang w:val="en-US" w:eastAsia="zh-CN"/>
        </w:rPr>
        <w:t xml:space="preserve"> J, Burke GW. Rituximab targets podocytes in recurrent focal segmental glomerulosclerosis. </w:t>
      </w:r>
      <w:proofErr w:type="spellStart"/>
      <w:r w:rsidRPr="00D01C8E">
        <w:rPr>
          <w:rFonts w:ascii="Book Antiqua" w:eastAsia="宋体" w:hAnsi="Book Antiqua" w:cs="宋体"/>
          <w:i/>
          <w:iCs/>
          <w:lang w:val="en-US" w:eastAsia="zh-CN"/>
        </w:rPr>
        <w:t>Sci</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Transl</w:t>
      </w:r>
      <w:proofErr w:type="spellEnd"/>
      <w:r w:rsidRPr="00D01C8E">
        <w:rPr>
          <w:rFonts w:ascii="Book Antiqua" w:eastAsia="宋体" w:hAnsi="Book Antiqua" w:cs="宋体"/>
          <w:i/>
          <w:iCs/>
          <w:lang w:val="en-US" w:eastAsia="zh-CN"/>
        </w:rPr>
        <w:t xml:space="preserve"> Med</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3</w:t>
      </w:r>
      <w:r w:rsidRPr="00D01C8E">
        <w:rPr>
          <w:rFonts w:ascii="Book Antiqua" w:eastAsia="宋体" w:hAnsi="Book Antiqua" w:cs="宋体"/>
          <w:lang w:val="en-US" w:eastAsia="zh-CN"/>
        </w:rPr>
        <w:t>: 85ra46 [PMID: 21632984 DOI: 10.1126/scitranslmed.3002231]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22 </w:t>
      </w:r>
      <w:proofErr w:type="spellStart"/>
      <w:r w:rsidRPr="00D01C8E">
        <w:rPr>
          <w:rFonts w:ascii="Book Antiqua" w:eastAsia="宋体" w:hAnsi="Book Antiqua" w:cs="宋体"/>
          <w:b/>
          <w:bCs/>
          <w:lang w:val="en-US" w:eastAsia="zh-CN"/>
        </w:rPr>
        <w:t>Reiser</w:t>
      </w:r>
      <w:proofErr w:type="spellEnd"/>
      <w:r w:rsidRPr="00D01C8E">
        <w:rPr>
          <w:rFonts w:ascii="Book Antiqua" w:eastAsia="宋体" w:hAnsi="Book Antiqua" w:cs="宋体"/>
          <w:b/>
          <w:bCs/>
          <w:lang w:val="en-US" w:eastAsia="zh-CN"/>
        </w:rPr>
        <w:t xml:space="preserve"> J</w:t>
      </w:r>
      <w:r w:rsidRPr="00D01C8E">
        <w:rPr>
          <w:rFonts w:ascii="Book Antiqua" w:eastAsia="宋体" w:hAnsi="Book Antiqua" w:cs="宋体"/>
          <w:lang w:val="en-US" w:eastAsia="zh-CN"/>
        </w:rPr>
        <w:t xml:space="preserve">, von </w:t>
      </w:r>
      <w:proofErr w:type="spellStart"/>
      <w:r w:rsidRPr="00D01C8E">
        <w:rPr>
          <w:rFonts w:ascii="Book Antiqua" w:eastAsia="宋体" w:hAnsi="Book Antiqua" w:cs="宋体"/>
          <w:lang w:val="en-US" w:eastAsia="zh-CN"/>
        </w:rPr>
        <w:t>Gersdorff</w:t>
      </w:r>
      <w:proofErr w:type="spellEnd"/>
      <w:r w:rsidRPr="00D01C8E">
        <w:rPr>
          <w:rFonts w:ascii="Book Antiqua" w:eastAsia="宋体" w:hAnsi="Book Antiqua" w:cs="宋体"/>
          <w:lang w:val="en-US" w:eastAsia="zh-CN"/>
        </w:rPr>
        <w:t xml:space="preserve"> G, Loos M, Oh J, Asanuma K, </w:t>
      </w:r>
      <w:proofErr w:type="spellStart"/>
      <w:r w:rsidRPr="00D01C8E">
        <w:rPr>
          <w:rFonts w:ascii="Book Antiqua" w:eastAsia="宋体" w:hAnsi="Book Antiqua" w:cs="宋体"/>
          <w:lang w:val="en-US" w:eastAsia="zh-CN"/>
        </w:rPr>
        <w:t>Giardino</w:t>
      </w:r>
      <w:proofErr w:type="spellEnd"/>
      <w:r w:rsidRPr="00D01C8E">
        <w:rPr>
          <w:rFonts w:ascii="Book Antiqua" w:eastAsia="宋体" w:hAnsi="Book Antiqua" w:cs="宋体"/>
          <w:lang w:val="en-US" w:eastAsia="zh-CN"/>
        </w:rPr>
        <w:t xml:space="preserve"> L, </w:t>
      </w:r>
      <w:proofErr w:type="spellStart"/>
      <w:r w:rsidRPr="00D01C8E">
        <w:rPr>
          <w:rFonts w:ascii="Book Antiqua" w:eastAsia="宋体" w:hAnsi="Book Antiqua" w:cs="宋体"/>
          <w:lang w:val="en-US" w:eastAsia="zh-CN"/>
        </w:rPr>
        <w:t>Rastaldi</w:t>
      </w:r>
      <w:proofErr w:type="spellEnd"/>
      <w:r w:rsidRPr="00D01C8E">
        <w:rPr>
          <w:rFonts w:ascii="Book Antiqua" w:eastAsia="宋体" w:hAnsi="Book Antiqua" w:cs="宋体"/>
          <w:lang w:val="en-US" w:eastAsia="zh-CN"/>
        </w:rPr>
        <w:t xml:space="preserve"> MP, </w:t>
      </w:r>
      <w:proofErr w:type="spellStart"/>
      <w:r w:rsidRPr="00D01C8E">
        <w:rPr>
          <w:rFonts w:ascii="Book Antiqua" w:eastAsia="宋体" w:hAnsi="Book Antiqua" w:cs="宋体"/>
          <w:lang w:val="en-US" w:eastAsia="zh-CN"/>
        </w:rPr>
        <w:t>Calvaresi</w:t>
      </w:r>
      <w:proofErr w:type="spellEnd"/>
      <w:r w:rsidRPr="00D01C8E">
        <w:rPr>
          <w:rFonts w:ascii="Book Antiqua" w:eastAsia="宋体" w:hAnsi="Book Antiqua" w:cs="宋体"/>
          <w:lang w:val="en-US" w:eastAsia="zh-CN"/>
        </w:rPr>
        <w:t xml:space="preserve"> N, Watanabe H, Schwarz K, </w:t>
      </w:r>
      <w:proofErr w:type="spellStart"/>
      <w:r w:rsidRPr="00D01C8E">
        <w:rPr>
          <w:rFonts w:ascii="Book Antiqua" w:eastAsia="宋体" w:hAnsi="Book Antiqua" w:cs="宋体"/>
          <w:lang w:val="en-US" w:eastAsia="zh-CN"/>
        </w:rPr>
        <w:t>Faul</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Kretzler</w:t>
      </w:r>
      <w:proofErr w:type="spellEnd"/>
      <w:r w:rsidRPr="00D01C8E">
        <w:rPr>
          <w:rFonts w:ascii="Book Antiqua" w:eastAsia="宋体" w:hAnsi="Book Antiqua" w:cs="宋体"/>
          <w:lang w:val="en-US" w:eastAsia="zh-CN"/>
        </w:rPr>
        <w:t xml:space="preserve"> M, Davidson A, Sugimoto H, </w:t>
      </w:r>
      <w:proofErr w:type="spellStart"/>
      <w:r w:rsidRPr="00D01C8E">
        <w:rPr>
          <w:rFonts w:ascii="Book Antiqua" w:eastAsia="宋体" w:hAnsi="Book Antiqua" w:cs="宋体"/>
          <w:lang w:val="en-US" w:eastAsia="zh-CN"/>
        </w:rPr>
        <w:t>Kalluri</w:t>
      </w:r>
      <w:proofErr w:type="spellEnd"/>
      <w:r w:rsidRPr="00D01C8E">
        <w:rPr>
          <w:rFonts w:ascii="Book Antiqua" w:eastAsia="宋体" w:hAnsi="Book Antiqua" w:cs="宋体"/>
          <w:lang w:val="en-US" w:eastAsia="zh-CN"/>
        </w:rPr>
        <w:t xml:space="preserve"> R, Sharpe AH, </w:t>
      </w:r>
      <w:proofErr w:type="spellStart"/>
      <w:r w:rsidRPr="00D01C8E">
        <w:rPr>
          <w:rFonts w:ascii="Book Antiqua" w:eastAsia="宋体" w:hAnsi="Book Antiqua" w:cs="宋体"/>
          <w:lang w:val="en-US" w:eastAsia="zh-CN"/>
        </w:rPr>
        <w:t>Kreidberg</w:t>
      </w:r>
      <w:proofErr w:type="spellEnd"/>
      <w:r w:rsidRPr="00D01C8E">
        <w:rPr>
          <w:rFonts w:ascii="Book Antiqua" w:eastAsia="宋体" w:hAnsi="Book Antiqua" w:cs="宋体"/>
          <w:lang w:val="en-US" w:eastAsia="zh-CN"/>
        </w:rPr>
        <w:t xml:space="preserve"> JA, </w:t>
      </w:r>
      <w:proofErr w:type="spellStart"/>
      <w:r w:rsidRPr="00D01C8E">
        <w:rPr>
          <w:rFonts w:ascii="Book Antiqua" w:eastAsia="宋体" w:hAnsi="Book Antiqua" w:cs="宋体"/>
          <w:lang w:val="en-US" w:eastAsia="zh-CN"/>
        </w:rPr>
        <w:t>Mundel</w:t>
      </w:r>
      <w:proofErr w:type="spellEnd"/>
      <w:r w:rsidRPr="00D01C8E">
        <w:rPr>
          <w:rFonts w:ascii="Book Antiqua" w:eastAsia="宋体" w:hAnsi="Book Antiqua" w:cs="宋体"/>
          <w:lang w:val="en-US" w:eastAsia="zh-CN"/>
        </w:rPr>
        <w:t xml:space="preserve"> P. Induction of B7-1 in podocytes is associated with nephrotic syndrome. </w:t>
      </w:r>
      <w:r w:rsidRPr="00D01C8E">
        <w:rPr>
          <w:rFonts w:ascii="Book Antiqua" w:eastAsia="宋体" w:hAnsi="Book Antiqua" w:cs="宋体"/>
          <w:i/>
          <w:iCs/>
          <w:lang w:val="en-US" w:eastAsia="zh-CN"/>
        </w:rPr>
        <w:t xml:space="preserve">J </w:t>
      </w:r>
      <w:proofErr w:type="spellStart"/>
      <w:r w:rsidRPr="00D01C8E">
        <w:rPr>
          <w:rFonts w:ascii="Book Antiqua" w:eastAsia="宋体" w:hAnsi="Book Antiqua" w:cs="宋体"/>
          <w:i/>
          <w:iCs/>
          <w:lang w:val="en-US" w:eastAsia="zh-CN"/>
        </w:rPr>
        <w:t>Clin</w:t>
      </w:r>
      <w:proofErr w:type="spellEnd"/>
      <w:r w:rsidRPr="00D01C8E">
        <w:rPr>
          <w:rFonts w:ascii="Book Antiqua" w:eastAsia="宋体" w:hAnsi="Book Antiqua" w:cs="宋体"/>
          <w:i/>
          <w:iCs/>
          <w:lang w:val="en-US" w:eastAsia="zh-CN"/>
        </w:rPr>
        <w:t xml:space="preserve"> Invest</w:t>
      </w:r>
      <w:r w:rsidRPr="00D01C8E">
        <w:rPr>
          <w:rFonts w:ascii="Book Antiqua" w:eastAsia="宋体" w:hAnsi="Book Antiqua" w:cs="宋体"/>
          <w:lang w:val="en-US" w:eastAsia="zh-CN"/>
        </w:rPr>
        <w:t xml:space="preserve"> 2004; </w:t>
      </w:r>
      <w:r w:rsidRPr="00D01C8E">
        <w:rPr>
          <w:rFonts w:ascii="Book Antiqua" w:eastAsia="宋体" w:hAnsi="Book Antiqua" w:cs="宋体"/>
          <w:b/>
          <w:bCs/>
          <w:lang w:val="en-US" w:eastAsia="zh-CN"/>
        </w:rPr>
        <w:t>113</w:t>
      </w:r>
      <w:r w:rsidRPr="00D01C8E">
        <w:rPr>
          <w:rFonts w:ascii="Book Antiqua" w:eastAsia="宋体" w:hAnsi="Book Antiqua" w:cs="宋体"/>
          <w:lang w:val="en-US" w:eastAsia="zh-CN"/>
        </w:rPr>
        <w:t>: 1390-1397 [PMID: 15146236]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23 </w:t>
      </w:r>
      <w:r w:rsidRPr="00D01C8E">
        <w:rPr>
          <w:rFonts w:ascii="Book Antiqua" w:eastAsia="宋体" w:hAnsi="Book Antiqua" w:cs="宋体"/>
          <w:b/>
          <w:bCs/>
          <w:lang w:val="en-US" w:eastAsia="zh-CN"/>
        </w:rPr>
        <w:t>Freedman BI</w:t>
      </w:r>
      <w:r w:rsidRPr="00D01C8E">
        <w:rPr>
          <w:rFonts w:ascii="Book Antiqua" w:eastAsia="宋体" w:hAnsi="Book Antiqua" w:cs="宋体"/>
          <w:lang w:val="en-US" w:eastAsia="zh-CN"/>
        </w:rPr>
        <w:t xml:space="preserve">, Julian BA, </w:t>
      </w:r>
      <w:proofErr w:type="spellStart"/>
      <w:r w:rsidRPr="00D01C8E">
        <w:rPr>
          <w:rFonts w:ascii="Book Antiqua" w:eastAsia="宋体" w:hAnsi="Book Antiqua" w:cs="宋体"/>
          <w:lang w:val="en-US" w:eastAsia="zh-CN"/>
        </w:rPr>
        <w:t>Pastan</w:t>
      </w:r>
      <w:proofErr w:type="spellEnd"/>
      <w:r w:rsidRPr="00D01C8E">
        <w:rPr>
          <w:rFonts w:ascii="Book Antiqua" w:eastAsia="宋体" w:hAnsi="Book Antiqua" w:cs="宋体"/>
          <w:lang w:val="en-US" w:eastAsia="zh-CN"/>
        </w:rPr>
        <w:t xml:space="preserve"> SO, </w:t>
      </w:r>
      <w:proofErr w:type="spellStart"/>
      <w:r w:rsidRPr="00D01C8E">
        <w:rPr>
          <w:rFonts w:ascii="Book Antiqua" w:eastAsia="宋体" w:hAnsi="Book Antiqua" w:cs="宋体"/>
          <w:lang w:val="en-US" w:eastAsia="zh-CN"/>
        </w:rPr>
        <w:t>Israni</w:t>
      </w:r>
      <w:proofErr w:type="spellEnd"/>
      <w:r w:rsidRPr="00D01C8E">
        <w:rPr>
          <w:rFonts w:ascii="Book Antiqua" w:eastAsia="宋体" w:hAnsi="Book Antiqua" w:cs="宋体"/>
          <w:lang w:val="en-US" w:eastAsia="zh-CN"/>
        </w:rPr>
        <w:t xml:space="preserve"> AK, </w:t>
      </w:r>
      <w:proofErr w:type="spellStart"/>
      <w:r w:rsidRPr="00D01C8E">
        <w:rPr>
          <w:rFonts w:ascii="Book Antiqua" w:eastAsia="宋体" w:hAnsi="Book Antiqua" w:cs="宋体"/>
          <w:lang w:val="en-US" w:eastAsia="zh-CN"/>
        </w:rPr>
        <w:t>Schladt</w:t>
      </w:r>
      <w:proofErr w:type="spellEnd"/>
      <w:r w:rsidRPr="00D01C8E">
        <w:rPr>
          <w:rFonts w:ascii="Book Antiqua" w:eastAsia="宋体" w:hAnsi="Book Antiqua" w:cs="宋体"/>
          <w:lang w:val="en-US" w:eastAsia="zh-CN"/>
        </w:rPr>
        <w:t xml:space="preserve"> D, </w:t>
      </w:r>
      <w:proofErr w:type="spellStart"/>
      <w:r w:rsidRPr="00D01C8E">
        <w:rPr>
          <w:rFonts w:ascii="Book Antiqua" w:eastAsia="宋体" w:hAnsi="Book Antiqua" w:cs="宋体"/>
          <w:lang w:val="en-US" w:eastAsia="zh-CN"/>
        </w:rPr>
        <w:t>Gautreaux</w:t>
      </w:r>
      <w:proofErr w:type="spellEnd"/>
      <w:r w:rsidRPr="00D01C8E">
        <w:rPr>
          <w:rFonts w:ascii="Book Antiqua" w:eastAsia="宋体" w:hAnsi="Book Antiqua" w:cs="宋体"/>
          <w:lang w:val="en-US" w:eastAsia="zh-CN"/>
        </w:rPr>
        <w:t xml:space="preserve"> MD, </w:t>
      </w:r>
      <w:proofErr w:type="spellStart"/>
      <w:r w:rsidRPr="00D01C8E">
        <w:rPr>
          <w:rFonts w:ascii="Book Antiqua" w:eastAsia="宋体" w:hAnsi="Book Antiqua" w:cs="宋体"/>
          <w:lang w:val="en-US" w:eastAsia="zh-CN"/>
        </w:rPr>
        <w:t>Hauptfeld</w:t>
      </w:r>
      <w:proofErr w:type="spellEnd"/>
      <w:r w:rsidRPr="00D01C8E">
        <w:rPr>
          <w:rFonts w:ascii="Book Antiqua" w:eastAsia="宋体" w:hAnsi="Book Antiqua" w:cs="宋体"/>
          <w:lang w:val="en-US" w:eastAsia="zh-CN"/>
        </w:rPr>
        <w:t xml:space="preserve"> V, Bray RA, Gebel HM, Kirk AD, Gaston RS, Rogers J, </w:t>
      </w:r>
      <w:proofErr w:type="spellStart"/>
      <w:r w:rsidRPr="00D01C8E">
        <w:rPr>
          <w:rFonts w:ascii="Book Antiqua" w:eastAsia="宋体" w:hAnsi="Book Antiqua" w:cs="宋体"/>
          <w:lang w:val="en-US" w:eastAsia="zh-CN"/>
        </w:rPr>
        <w:t>Farney</w:t>
      </w:r>
      <w:proofErr w:type="spellEnd"/>
      <w:r w:rsidRPr="00D01C8E">
        <w:rPr>
          <w:rFonts w:ascii="Book Antiqua" w:eastAsia="宋体" w:hAnsi="Book Antiqua" w:cs="宋体"/>
          <w:lang w:val="en-US" w:eastAsia="zh-CN"/>
        </w:rPr>
        <w:t xml:space="preserve"> AC, Orlando G, </w:t>
      </w:r>
      <w:proofErr w:type="spellStart"/>
      <w:r w:rsidRPr="00D01C8E">
        <w:rPr>
          <w:rFonts w:ascii="Book Antiqua" w:eastAsia="宋体" w:hAnsi="Book Antiqua" w:cs="宋体"/>
          <w:lang w:val="en-US" w:eastAsia="zh-CN"/>
        </w:rPr>
        <w:t>Stratta</w:t>
      </w:r>
      <w:proofErr w:type="spellEnd"/>
      <w:r w:rsidRPr="00D01C8E">
        <w:rPr>
          <w:rFonts w:ascii="Book Antiqua" w:eastAsia="宋体" w:hAnsi="Book Antiqua" w:cs="宋体"/>
          <w:lang w:val="en-US" w:eastAsia="zh-CN"/>
        </w:rPr>
        <w:t xml:space="preserve"> RJ, Mohan S, Ma L, </w:t>
      </w:r>
      <w:proofErr w:type="spellStart"/>
      <w:r w:rsidRPr="00D01C8E">
        <w:rPr>
          <w:rFonts w:ascii="Book Antiqua" w:eastAsia="宋体" w:hAnsi="Book Antiqua" w:cs="宋体"/>
          <w:lang w:val="en-US" w:eastAsia="zh-CN"/>
        </w:rPr>
        <w:t>Langefeld</w:t>
      </w:r>
      <w:proofErr w:type="spellEnd"/>
      <w:r w:rsidRPr="00D01C8E">
        <w:rPr>
          <w:rFonts w:ascii="Book Antiqua" w:eastAsia="宋体" w:hAnsi="Book Antiqua" w:cs="宋体"/>
          <w:lang w:val="en-US" w:eastAsia="zh-CN"/>
        </w:rPr>
        <w:t xml:space="preserve"> CD, Hicks PJ, Palmer ND, Adams PL, </w:t>
      </w:r>
      <w:proofErr w:type="spellStart"/>
      <w:r w:rsidRPr="00D01C8E">
        <w:rPr>
          <w:rFonts w:ascii="Book Antiqua" w:eastAsia="宋体" w:hAnsi="Book Antiqua" w:cs="宋体"/>
          <w:lang w:val="en-US" w:eastAsia="zh-CN"/>
        </w:rPr>
        <w:t>Palanisamy</w:t>
      </w:r>
      <w:proofErr w:type="spellEnd"/>
      <w:r w:rsidRPr="00D01C8E">
        <w:rPr>
          <w:rFonts w:ascii="Book Antiqua" w:eastAsia="宋体" w:hAnsi="Book Antiqua" w:cs="宋体"/>
          <w:lang w:val="en-US" w:eastAsia="zh-CN"/>
        </w:rPr>
        <w:t xml:space="preserve"> A, Reeves-Daniel AM, Divers J. Apolipoprotein L1 gene variants in deceased organ donors are associated with renal allograft failure. </w:t>
      </w:r>
      <w:r w:rsidRPr="00D01C8E">
        <w:rPr>
          <w:rFonts w:ascii="Book Antiqua" w:eastAsia="宋体" w:hAnsi="Book Antiqua" w:cs="宋体"/>
          <w:i/>
          <w:iCs/>
          <w:lang w:val="en-US" w:eastAsia="zh-CN"/>
        </w:rPr>
        <w:t>Am J Transplant</w:t>
      </w:r>
      <w:r w:rsidRPr="00D01C8E">
        <w:rPr>
          <w:rFonts w:ascii="Book Antiqua" w:eastAsia="宋体" w:hAnsi="Book Antiqua" w:cs="宋体"/>
          <w:lang w:val="en-US" w:eastAsia="zh-CN"/>
        </w:rPr>
        <w:t xml:space="preserve"> 2015; </w:t>
      </w:r>
      <w:r w:rsidRPr="00D01C8E">
        <w:rPr>
          <w:rFonts w:ascii="Book Antiqua" w:eastAsia="宋体" w:hAnsi="Book Antiqua" w:cs="宋体"/>
          <w:b/>
          <w:bCs/>
          <w:lang w:val="en-US" w:eastAsia="zh-CN"/>
        </w:rPr>
        <w:t>15</w:t>
      </w:r>
      <w:r w:rsidRPr="00D01C8E">
        <w:rPr>
          <w:rFonts w:ascii="Book Antiqua" w:eastAsia="宋体" w:hAnsi="Book Antiqua" w:cs="宋体"/>
          <w:lang w:val="en-US" w:eastAsia="zh-CN"/>
        </w:rPr>
        <w:t>: 1615-1622 [PMID: 25809272 DOI: 10.1111/ajt.13223]</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lastRenderedPageBreak/>
        <w:t xml:space="preserve">24 </w:t>
      </w:r>
      <w:proofErr w:type="spellStart"/>
      <w:r w:rsidRPr="00D01C8E">
        <w:rPr>
          <w:rFonts w:ascii="Book Antiqua" w:eastAsia="宋体" w:hAnsi="Book Antiqua" w:cs="宋体"/>
          <w:b/>
          <w:bCs/>
          <w:lang w:val="en-US" w:eastAsia="zh-CN"/>
        </w:rPr>
        <w:t>Canaud</w:t>
      </w:r>
      <w:proofErr w:type="spellEnd"/>
      <w:r w:rsidRPr="00D01C8E">
        <w:rPr>
          <w:rFonts w:ascii="Book Antiqua" w:eastAsia="宋体" w:hAnsi="Book Antiqua" w:cs="宋体"/>
          <w:b/>
          <w:bCs/>
          <w:lang w:val="en-US" w:eastAsia="zh-CN"/>
        </w:rPr>
        <w:t xml:space="preserve"> G</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Bienaimé</w:t>
      </w:r>
      <w:proofErr w:type="spellEnd"/>
      <w:r w:rsidRPr="00D01C8E">
        <w:rPr>
          <w:rFonts w:ascii="Book Antiqua" w:eastAsia="宋体" w:hAnsi="Book Antiqua" w:cs="宋体"/>
          <w:lang w:val="en-US" w:eastAsia="zh-CN"/>
        </w:rPr>
        <w:t xml:space="preserve"> F, </w:t>
      </w:r>
      <w:proofErr w:type="spellStart"/>
      <w:r w:rsidRPr="00D01C8E">
        <w:rPr>
          <w:rFonts w:ascii="Book Antiqua" w:eastAsia="宋体" w:hAnsi="Book Antiqua" w:cs="宋体"/>
          <w:lang w:val="en-US" w:eastAsia="zh-CN"/>
        </w:rPr>
        <w:t>Viau</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Treins</w:t>
      </w:r>
      <w:proofErr w:type="spellEnd"/>
      <w:r w:rsidRPr="00D01C8E">
        <w:rPr>
          <w:rFonts w:ascii="Book Antiqua" w:eastAsia="宋体" w:hAnsi="Book Antiqua" w:cs="宋体"/>
          <w:lang w:val="en-US" w:eastAsia="zh-CN"/>
        </w:rPr>
        <w:t xml:space="preserve"> C, Baron W, Nguyen C, </w:t>
      </w:r>
      <w:proofErr w:type="spellStart"/>
      <w:r w:rsidRPr="00D01C8E">
        <w:rPr>
          <w:rFonts w:ascii="Book Antiqua" w:eastAsia="宋体" w:hAnsi="Book Antiqua" w:cs="宋体"/>
          <w:lang w:val="en-US" w:eastAsia="zh-CN"/>
        </w:rPr>
        <w:t>Burtin</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Berissi</w:t>
      </w:r>
      <w:proofErr w:type="spellEnd"/>
      <w:r w:rsidRPr="00D01C8E">
        <w:rPr>
          <w:rFonts w:ascii="Book Antiqua" w:eastAsia="宋体" w:hAnsi="Book Antiqua" w:cs="宋体"/>
          <w:lang w:val="en-US" w:eastAsia="zh-CN"/>
        </w:rPr>
        <w:t xml:space="preserve"> S, </w:t>
      </w:r>
      <w:proofErr w:type="spellStart"/>
      <w:r w:rsidRPr="00D01C8E">
        <w:rPr>
          <w:rFonts w:ascii="Book Antiqua" w:eastAsia="宋体" w:hAnsi="Book Antiqua" w:cs="宋体"/>
          <w:lang w:val="en-US" w:eastAsia="zh-CN"/>
        </w:rPr>
        <w:t>Giannakakis</w:t>
      </w:r>
      <w:proofErr w:type="spellEnd"/>
      <w:r w:rsidRPr="00D01C8E">
        <w:rPr>
          <w:rFonts w:ascii="Book Antiqua" w:eastAsia="宋体" w:hAnsi="Book Antiqua" w:cs="宋体"/>
          <w:lang w:val="en-US" w:eastAsia="zh-CN"/>
        </w:rPr>
        <w:t xml:space="preserve"> K, Muda AO, </w:t>
      </w:r>
      <w:proofErr w:type="spellStart"/>
      <w:r w:rsidRPr="00D01C8E">
        <w:rPr>
          <w:rFonts w:ascii="Book Antiqua" w:eastAsia="宋体" w:hAnsi="Book Antiqua" w:cs="宋体"/>
          <w:lang w:val="en-US" w:eastAsia="zh-CN"/>
        </w:rPr>
        <w:t>Zschiedrich</w:t>
      </w:r>
      <w:proofErr w:type="spellEnd"/>
      <w:r w:rsidRPr="00D01C8E">
        <w:rPr>
          <w:rFonts w:ascii="Book Antiqua" w:eastAsia="宋体" w:hAnsi="Book Antiqua" w:cs="宋体"/>
          <w:lang w:val="en-US" w:eastAsia="zh-CN"/>
        </w:rPr>
        <w:t xml:space="preserve"> S, Huber TB, Friedlander G, Legendre C, </w:t>
      </w:r>
      <w:proofErr w:type="spellStart"/>
      <w:r w:rsidRPr="00D01C8E">
        <w:rPr>
          <w:rFonts w:ascii="Book Antiqua" w:eastAsia="宋体" w:hAnsi="Book Antiqua" w:cs="宋体"/>
          <w:lang w:val="en-US" w:eastAsia="zh-CN"/>
        </w:rPr>
        <w:t>Pontoglio</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Pende</w:t>
      </w:r>
      <w:proofErr w:type="spellEnd"/>
      <w:r w:rsidRPr="00D01C8E">
        <w:rPr>
          <w:rFonts w:ascii="Book Antiqua" w:eastAsia="宋体" w:hAnsi="Book Antiqua" w:cs="宋体"/>
          <w:lang w:val="en-US" w:eastAsia="zh-CN"/>
        </w:rPr>
        <w:t xml:space="preserve"> M, Terzi F. AKT2 is essential to maintain podocyte viability and function during chronic kidney disease. </w:t>
      </w:r>
      <w:r w:rsidRPr="00D01C8E">
        <w:rPr>
          <w:rFonts w:ascii="Book Antiqua" w:eastAsia="宋体" w:hAnsi="Book Antiqua" w:cs="宋体"/>
          <w:i/>
          <w:iCs/>
          <w:lang w:val="en-US" w:eastAsia="zh-CN"/>
        </w:rPr>
        <w:t>Nat Med</w:t>
      </w:r>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19</w:t>
      </w:r>
      <w:r w:rsidRPr="00D01C8E">
        <w:rPr>
          <w:rFonts w:ascii="Book Antiqua" w:eastAsia="宋体" w:hAnsi="Book Antiqua" w:cs="宋体"/>
          <w:lang w:val="en-US" w:eastAsia="zh-CN"/>
        </w:rPr>
        <w:t>: 1288-1296 [PMID: 24056770 DOI: 10.1038/nm.3313]</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25 </w:t>
      </w:r>
      <w:proofErr w:type="spellStart"/>
      <w:r w:rsidRPr="00D01C8E">
        <w:rPr>
          <w:rFonts w:ascii="Book Antiqua" w:eastAsia="宋体" w:hAnsi="Book Antiqua" w:cs="宋体"/>
          <w:b/>
          <w:bCs/>
          <w:lang w:val="en-US" w:eastAsia="zh-CN"/>
        </w:rPr>
        <w:t>Gebeshuber</w:t>
      </w:r>
      <w:proofErr w:type="spellEnd"/>
      <w:r w:rsidRPr="00D01C8E">
        <w:rPr>
          <w:rFonts w:ascii="Book Antiqua" w:eastAsia="宋体" w:hAnsi="Book Antiqua" w:cs="宋体"/>
          <w:b/>
          <w:bCs/>
          <w:lang w:val="en-US" w:eastAsia="zh-CN"/>
        </w:rPr>
        <w:t xml:space="preserve"> CA</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Kornauth</w:t>
      </w:r>
      <w:proofErr w:type="spellEnd"/>
      <w:r w:rsidRPr="00D01C8E">
        <w:rPr>
          <w:rFonts w:ascii="Book Antiqua" w:eastAsia="宋体" w:hAnsi="Book Antiqua" w:cs="宋体"/>
          <w:lang w:val="en-US" w:eastAsia="zh-CN"/>
        </w:rPr>
        <w:t xml:space="preserve"> C, Dong L, </w:t>
      </w:r>
      <w:proofErr w:type="spellStart"/>
      <w:r w:rsidRPr="00D01C8E">
        <w:rPr>
          <w:rFonts w:ascii="Book Antiqua" w:eastAsia="宋体" w:hAnsi="Book Antiqua" w:cs="宋体"/>
          <w:lang w:val="en-US" w:eastAsia="zh-CN"/>
        </w:rPr>
        <w:t>Sierig</w:t>
      </w:r>
      <w:proofErr w:type="spellEnd"/>
      <w:r w:rsidRPr="00D01C8E">
        <w:rPr>
          <w:rFonts w:ascii="Book Antiqua" w:eastAsia="宋体" w:hAnsi="Book Antiqua" w:cs="宋体"/>
          <w:lang w:val="en-US" w:eastAsia="zh-CN"/>
        </w:rPr>
        <w:t xml:space="preserve"> R, </w:t>
      </w:r>
      <w:proofErr w:type="spellStart"/>
      <w:r w:rsidRPr="00D01C8E">
        <w:rPr>
          <w:rFonts w:ascii="Book Antiqua" w:eastAsia="宋体" w:hAnsi="Book Antiqua" w:cs="宋体"/>
          <w:lang w:val="en-US" w:eastAsia="zh-CN"/>
        </w:rPr>
        <w:t>Seibler</w:t>
      </w:r>
      <w:proofErr w:type="spellEnd"/>
      <w:r w:rsidRPr="00D01C8E">
        <w:rPr>
          <w:rFonts w:ascii="Book Antiqua" w:eastAsia="宋体" w:hAnsi="Book Antiqua" w:cs="宋体"/>
          <w:lang w:val="en-US" w:eastAsia="zh-CN"/>
        </w:rPr>
        <w:t xml:space="preserve"> J, Reiss M, Tauber S, </w:t>
      </w:r>
      <w:proofErr w:type="spellStart"/>
      <w:r w:rsidRPr="00D01C8E">
        <w:rPr>
          <w:rFonts w:ascii="Book Antiqua" w:eastAsia="宋体" w:hAnsi="Book Antiqua" w:cs="宋体"/>
          <w:lang w:val="en-US" w:eastAsia="zh-CN"/>
        </w:rPr>
        <w:t>Bilban</w:t>
      </w:r>
      <w:proofErr w:type="spellEnd"/>
      <w:r w:rsidRPr="00D01C8E">
        <w:rPr>
          <w:rFonts w:ascii="Book Antiqua" w:eastAsia="宋体" w:hAnsi="Book Antiqua" w:cs="宋体"/>
          <w:lang w:val="en-US" w:eastAsia="zh-CN"/>
        </w:rPr>
        <w:t xml:space="preserve"> M, Wang S, </w:t>
      </w:r>
      <w:proofErr w:type="spellStart"/>
      <w:r w:rsidRPr="00D01C8E">
        <w:rPr>
          <w:rFonts w:ascii="Book Antiqua" w:eastAsia="宋体" w:hAnsi="Book Antiqua" w:cs="宋体"/>
          <w:lang w:val="en-US" w:eastAsia="zh-CN"/>
        </w:rPr>
        <w:t>Kain</w:t>
      </w:r>
      <w:proofErr w:type="spellEnd"/>
      <w:r w:rsidRPr="00D01C8E">
        <w:rPr>
          <w:rFonts w:ascii="Book Antiqua" w:eastAsia="宋体" w:hAnsi="Book Antiqua" w:cs="宋体"/>
          <w:lang w:val="en-US" w:eastAsia="zh-CN"/>
        </w:rPr>
        <w:t xml:space="preserve"> R, </w:t>
      </w:r>
      <w:proofErr w:type="spellStart"/>
      <w:r w:rsidRPr="00D01C8E">
        <w:rPr>
          <w:rFonts w:ascii="Book Antiqua" w:eastAsia="宋体" w:hAnsi="Book Antiqua" w:cs="宋体"/>
          <w:lang w:val="en-US" w:eastAsia="zh-CN"/>
        </w:rPr>
        <w:t>Böhmig</w:t>
      </w:r>
      <w:proofErr w:type="spellEnd"/>
      <w:r w:rsidRPr="00D01C8E">
        <w:rPr>
          <w:rFonts w:ascii="Book Antiqua" w:eastAsia="宋体" w:hAnsi="Book Antiqua" w:cs="宋体"/>
          <w:lang w:val="en-US" w:eastAsia="zh-CN"/>
        </w:rPr>
        <w:t xml:space="preserve"> GA, Moeller MJ, </w:t>
      </w:r>
      <w:proofErr w:type="spellStart"/>
      <w:r w:rsidRPr="00D01C8E">
        <w:rPr>
          <w:rFonts w:ascii="Book Antiqua" w:eastAsia="宋体" w:hAnsi="Book Antiqua" w:cs="宋体"/>
          <w:lang w:val="en-US" w:eastAsia="zh-CN"/>
        </w:rPr>
        <w:t>Gröne</w:t>
      </w:r>
      <w:proofErr w:type="spellEnd"/>
      <w:r w:rsidRPr="00D01C8E">
        <w:rPr>
          <w:rFonts w:ascii="Book Antiqua" w:eastAsia="宋体" w:hAnsi="Book Antiqua" w:cs="宋体"/>
          <w:lang w:val="en-US" w:eastAsia="zh-CN"/>
        </w:rPr>
        <w:t xml:space="preserve"> HJ, </w:t>
      </w:r>
      <w:proofErr w:type="spellStart"/>
      <w:r w:rsidRPr="00D01C8E">
        <w:rPr>
          <w:rFonts w:ascii="Book Antiqua" w:eastAsia="宋体" w:hAnsi="Book Antiqua" w:cs="宋体"/>
          <w:lang w:val="en-US" w:eastAsia="zh-CN"/>
        </w:rPr>
        <w:t>Englert</w:t>
      </w:r>
      <w:proofErr w:type="spellEnd"/>
      <w:r w:rsidRPr="00D01C8E">
        <w:rPr>
          <w:rFonts w:ascii="Book Antiqua" w:eastAsia="宋体" w:hAnsi="Book Antiqua" w:cs="宋体"/>
          <w:lang w:val="en-US" w:eastAsia="zh-CN"/>
        </w:rPr>
        <w:t xml:space="preserve"> C, Martinez J, </w:t>
      </w:r>
      <w:proofErr w:type="spellStart"/>
      <w:r w:rsidRPr="00D01C8E">
        <w:rPr>
          <w:rFonts w:ascii="Book Antiqua" w:eastAsia="宋体" w:hAnsi="Book Antiqua" w:cs="宋体"/>
          <w:lang w:val="en-US" w:eastAsia="zh-CN"/>
        </w:rPr>
        <w:t>Kerjaschki</w:t>
      </w:r>
      <w:proofErr w:type="spellEnd"/>
      <w:r w:rsidRPr="00D01C8E">
        <w:rPr>
          <w:rFonts w:ascii="Book Antiqua" w:eastAsia="宋体" w:hAnsi="Book Antiqua" w:cs="宋体"/>
          <w:lang w:val="en-US" w:eastAsia="zh-CN"/>
        </w:rPr>
        <w:t xml:space="preserve"> D. Focal segmental glomerulosclerosis is induced by microRNA-193a and its downregulation of WT1. </w:t>
      </w:r>
      <w:r w:rsidRPr="00D01C8E">
        <w:rPr>
          <w:rFonts w:ascii="Book Antiqua" w:eastAsia="宋体" w:hAnsi="Book Antiqua" w:cs="宋体"/>
          <w:i/>
          <w:iCs/>
          <w:lang w:val="en-US" w:eastAsia="zh-CN"/>
        </w:rPr>
        <w:t>Nat Med</w:t>
      </w:r>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19</w:t>
      </w:r>
      <w:r w:rsidRPr="00D01C8E">
        <w:rPr>
          <w:rFonts w:ascii="Book Antiqua" w:eastAsia="宋体" w:hAnsi="Book Antiqua" w:cs="宋体"/>
          <w:lang w:val="en-US" w:eastAsia="zh-CN"/>
        </w:rPr>
        <w:t>: 481-487 [PMID: 23502960 DOI: 10.1038/nm.3142]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26 </w:t>
      </w:r>
      <w:proofErr w:type="spellStart"/>
      <w:r w:rsidRPr="00D01C8E">
        <w:rPr>
          <w:rFonts w:ascii="Book Antiqua" w:eastAsia="宋体" w:hAnsi="Book Antiqua" w:cs="宋体"/>
          <w:b/>
          <w:bCs/>
          <w:lang w:val="en-US" w:eastAsia="zh-CN"/>
        </w:rPr>
        <w:t>Sahali</w:t>
      </w:r>
      <w:proofErr w:type="spellEnd"/>
      <w:r w:rsidRPr="00D01C8E">
        <w:rPr>
          <w:rFonts w:ascii="Book Antiqua" w:eastAsia="宋体" w:hAnsi="Book Antiqua" w:cs="宋体"/>
          <w:b/>
          <w:bCs/>
          <w:lang w:val="en-US" w:eastAsia="zh-CN"/>
        </w:rPr>
        <w:t xml:space="preserve"> D</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Pawlak</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Valanciuté</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Grimbert</w:t>
      </w:r>
      <w:proofErr w:type="spellEnd"/>
      <w:r w:rsidRPr="00D01C8E">
        <w:rPr>
          <w:rFonts w:ascii="Book Antiqua" w:eastAsia="宋体" w:hAnsi="Book Antiqua" w:cs="宋体"/>
          <w:lang w:val="en-US" w:eastAsia="zh-CN"/>
        </w:rPr>
        <w:t xml:space="preserve"> P, Lang P, Remy P, </w:t>
      </w:r>
      <w:proofErr w:type="spellStart"/>
      <w:r w:rsidRPr="00D01C8E">
        <w:rPr>
          <w:rFonts w:ascii="Book Antiqua" w:eastAsia="宋体" w:hAnsi="Book Antiqua" w:cs="宋体"/>
          <w:lang w:val="en-US" w:eastAsia="zh-CN"/>
        </w:rPr>
        <w:t>Bensman</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Guellaën</w:t>
      </w:r>
      <w:proofErr w:type="spellEnd"/>
      <w:r w:rsidRPr="00D01C8E">
        <w:rPr>
          <w:rFonts w:ascii="Book Antiqua" w:eastAsia="宋体" w:hAnsi="Book Antiqua" w:cs="宋体"/>
          <w:lang w:val="en-US" w:eastAsia="zh-CN"/>
        </w:rPr>
        <w:t xml:space="preserve"> G. A novel approach to investigation of the pathogenesis of active minimal-change nephrotic syndrome using subtracted cDNA library screening. </w:t>
      </w:r>
      <w:r w:rsidRPr="00D01C8E">
        <w:rPr>
          <w:rFonts w:ascii="Book Antiqua" w:eastAsia="宋体" w:hAnsi="Book Antiqua" w:cs="宋体"/>
          <w:i/>
          <w:iCs/>
          <w:lang w:val="en-US" w:eastAsia="zh-CN"/>
        </w:rPr>
        <w:t xml:space="preserve">J Am </w:t>
      </w:r>
      <w:proofErr w:type="spellStart"/>
      <w:r w:rsidRPr="00D01C8E">
        <w:rPr>
          <w:rFonts w:ascii="Book Antiqua" w:eastAsia="宋体" w:hAnsi="Book Antiqua" w:cs="宋体"/>
          <w:i/>
          <w:iCs/>
          <w:lang w:val="en-US" w:eastAsia="zh-CN"/>
        </w:rPr>
        <w:t>Soc</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2002; </w:t>
      </w:r>
      <w:r w:rsidRPr="00D01C8E">
        <w:rPr>
          <w:rFonts w:ascii="Book Antiqua" w:eastAsia="宋体" w:hAnsi="Book Antiqua" w:cs="宋体"/>
          <w:b/>
          <w:bCs/>
          <w:lang w:val="en-US" w:eastAsia="zh-CN"/>
        </w:rPr>
        <w:t>13</w:t>
      </w:r>
      <w:r w:rsidRPr="00D01C8E">
        <w:rPr>
          <w:rFonts w:ascii="Book Antiqua" w:eastAsia="宋体" w:hAnsi="Book Antiqua" w:cs="宋体"/>
          <w:lang w:val="en-US" w:eastAsia="zh-CN"/>
        </w:rPr>
        <w:t>: 1238-1247 [PMID: 11961011]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27 </w:t>
      </w:r>
      <w:r w:rsidRPr="00D01C8E">
        <w:rPr>
          <w:rFonts w:ascii="Book Antiqua" w:eastAsia="宋体" w:hAnsi="Book Antiqua" w:cs="宋体"/>
          <w:b/>
          <w:bCs/>
          <w:lang w:val="en-US" w:eastAsia="zh-CN"/>
        </w:rPr>
        <w:t>Lai KW</w:t>
      </w:r>
      <w:r w:rsidRPr="00D01C8E">
        <w:rPr>
          <w:rFonts w:ascii="Book Antiqua" w:eastAsia="宋体" w:hAnsi="Book Antiqua" w:cs="宋体"/>
          <w:lang w:val="en-US" w:eastAsia="zh-CN"/>
        </w:rPr>
        <w:t xml:space="preserve">, Wei CL, Tan LK, Tan PH, Chiang GS, Lee CG, Jordan SC, Yap HK. Overexpression of interleukin-13 induces minimal-change-like nephropathy in rats. </w:t>
      </w:r>
      <w:r w:rsidRPr="00D01C8E">
        <w:rPr>
          <w:rFonts w:ascii="Book Antiqua" w:eastAsia="宋体" w:hAnsi="Book Antiqua" w:cs="宋体"/>
          <w:i/>
          <w:iCs/>
          <w:lang w:val="en-US" w:eastAsia="zh-CN"/>
        </w:rPr>
        <w:t xml:space="preserve">J Am </w:t>
      </w:r>
      <w:proofErr w:type="spellStart"/>
      <w:r w:rsidRPr="00D01C8E">
        <w:rPr>
          <w:rFonts w:ascii="Book Antiqua" w:eastAsia="宋体" w:hAnsi="Book Antiqua" w:cs="宋体"/>
          <w:i/>
          <w:iCs/>
          <w:lang w:val="en-US" w:eastAsia="zh-CN"/>
        </w:rPr>
        <w:t>Soc</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2007; </w:t>
      </w:r>
      <w:r w:rsidRPr="00D01C8E">
        <w:rPr>
          <w:rFonts w:ascii="Book Antiqua" w:eastAsia="宋体" w:hAnsi="Book Antiqua" w:cs="宋体"/>
          <w:b/>
          <w:bCs/>
          <w:lang w:val="en-US" w:eastAsia="zh-CN"/>
        </w:rPr>
        <w:t>18</w:t>
      </w:r>
      <w:r w:rsidRPr="00D01C8E">
        <w:rPr>
          <w:rFonts w:ascii="Book Antiqua" w:eastAsia="宋体" w:hAnsi="Book Antiqua" w:cs="宋体"/>
          <w:lang w:val="en-US" w:eastAsia="zh-CN"/>
        </w:rPr>
        <w:t>: 1476-1485 [PMID: 17429054]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28 </w:t>
      </w:r>
      <w:proofErr w:type="spellStart"/>
      <w:r w:rsidRPr="00D01C8E">
        <w:rPr>
          <w:rFonts w:ascii="Book Antiqua" w:eastAsia="宋体" w:hAnsi="Book Antiqua" w:cs="宋体"/>
          <w:b/>
          <w:bCs/>
          <w:lang w:val="en-US" w:eastAsia="zh-CN"/>
        </w:rPr>
        <w:t>Pescovitz</w:t>
      </w:r>
      <w:proofErr w:type="spellEnd"/>
      <w:r w:rsidRPr="00D01C8E">
        <w:rPr>
          <w:rFonts w:ascii="Book Antiqua" w:eastAsia="宋体" w:hAnsi="Book Antiqua" w:cs="宋体"/>
          <w:b/>
          <w:bCs/>
          <w:lang w:val="en-US" w:eastAsia="zh-CN"/>
        </w:rPr>
        <w:t xml:space="preserve"> MD</w:t>
      </w:r>
      <w:r w:rsidRPr="00D01C8E">
        <w:rPr>
          <w:rFonts w:ascii="Book Antiqua" w:eastAsia="宋体" w:hAnsi="Book Antiqua" w:cs="宋体"/>
          <w:lang w:val="en-US" w:eastAsia="zh-CN"/>
        </w:rPr>
        <w:t xml:space="preserve">, Book BK, Sidner RA. </w:t>
      </w:r>
      <w:proofErr w:type="gramStart"/>
      <w:r w:rsidRPr="00D01C8E">
        <w:rPr>
          <w:rFonts w:ascii="Book Antiqua" w:eastAsia="宋体" w:hAnsi="Book Antiqua" w:cs="宋体"/>
          <w:lang w:val="en-US" w:eastAsia="zh-CN"/>
        </w:rPr>
        <w:t>Resolution of recurrent focal segmental glomerulosclerosis proteinuria after rituximab treatment.</w:t>
      </w:r>
      <w:proofErr w:type="gram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 xml:space="preserve">N </w:t>
      </w:r>
      <w:proofErr w:type="spellStart"/>
      <w:r w:rsidRPr="00D01C8E">
        <w:rPr>
          <w:rFonts w:ascii="Book Antiqua" w:eastAsia="宋体" w:hAnsi="Book Antiqua" w:cs="宋体"/>
          <w:i/>
          <w:iCs/>
          <w:lang w:val="en-US" w:eastAsia="zh-CN"/>
        </w:rPr>
        <w:t>Engl</w:t>
      </w:r>
      <w:proofErr w:type="spellEnd"/>
      <w:r w:rsidRPr="00D01C8E">
        <w:rPr>
          <w:rFonts w:ascii="Book Antiqua" w:eastAsia="宋体" w:hAnsi="Book Antiqua" w:cs="宋体"/>
          <w:i/>
          <w:iCs/>
          <w:lang w:val="en-US" w:eastAsia="zh-CN"/>
        </w:rPr>
        <w:t xml:space="preserve"> J Med</w:t>
      </w:r>
      <w:r w:rsidRPr="00D01C8E">
        <w:rPr>
          <w:rFonts w:ascii="Book Antiqua" w:eastAsia="宋体" w:hAnsi="Book Antiqua" w:cs="宋体"/>
          <w:lang w:val="en-US" w:eastAsia="zh-CN"/>
        </w:rPr>
        <w:t xml:space="preserve"> 2006; </w:t>
      </w:r>
      <w:r w:rsidRPr="00D01C8E">
        <w:rPr>
          <w:rFonts w:ascii="Book Antiqua" w:eastAsia="宋体" w:hAnsi="Book Antiqua" w:cs="宋体"/>
          <w:b/>
          <w:bCs/>
          <w:lang w:val="en-US" w:eastAsia="zh-CN"/>
        </w:rPr>
        <w:t>354</w:t>
      </w:r>
      <w:r w:rsidRPr="00D01C8E">
        <w:rPr>
          <w:rFonts w:ascii="Book Antiqua" w:eastAsia="宋体" w:hAnsi="Book Antiqua" w:cs="宋体"/>
          <w:lang w:val="en-US" w:eastAsia="zh-CN"/>
        </w:rPr>
        <w:t>: 1961-1963 [PMID: 16672715]</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29 </w:t>
      </w:r>
      <w:r w:rsidRPr="00D01C8E">
        <w:rPr>
          <w:rFonts w:ascii="Book Antiqua" w:eastAsia="宋体" w:hAnsi="Book Antiqua" w:cs="宋体"/>
          <w:b/>
          <w:bCs/>
          <w:lang w:val="en-US" w:eastAsia="zh-CN"/>
        </w:rPr>
        <w:t>Meehan SM</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Pascual</w:t>
      </w:r>
      <w:proofErr w:type="spellEnd"/>
      <w:r w:rsidRPr="00D01C8E">
        <w:rPr>
          <w:rFonts w:ascii="Book Antiqua" w:eastAsia="宋体" w:hAnsi="Book Antiqua" w:cs="宋体"/>
          <w:lang w:val="en-US" w:eastAsia="zh-CN"/>
        </w:rPr>
        <w:t xml:space="preserve"> M, Williams WW, </w:t>
      </w:r>
      <w:proofErr w:type="spellStart"/>
      <w:r w:rsidRPr="00D01C8E">
        <w:rPr>
          <w:rFonts w:ascii="Book Antiqua" w:eastAsia="宋体" w:hAnsi="Book Antiqua" w:cs="宋体"/>
          <w:lang w:val="en-US" w:eastAsia="zh-CN"/>
        </w:rPr>
        <w:t>Tolkoff</w:t>
      </w:r>
      <w:proofErr w:type="spellEnd"/>
      <w:r w:rsidRPr="00D01C8E">
        <w:rPr>
          <w:rFonts w:ascii="Book Antiqua" w:eastAsia="宋体" w:hAnsi="Book Antiqua" w:cs="宋体"/>
          <w:lang w:val="en-US" w:eastAsia="zh-CN"/>
        </w:rPr>
        <w:t xml:space="preserve">-Rubin N, Delmonico FL, </w:t>
      </w:r>
      <w:proofErr w:type="spellStart"/>
      <w:r w:rsidRPr="00D01C8E">
        <w:rPr>
          <w:rFonts w:ascii="Book Antiqua" w:eastAsia="宋体" w:hAnsi="Book Antiqua" w:cs="宋体"/>
          <w:lang w:val="en-US" w:eastAsia="zh-CN"/>
        </w:rPr>
        <w:t>Cosimi</w:t>
      </w:r>
      <w:proofErr w:type="spellEnd"/>
      <w:r w:rsidRPr="00D01C8E">
        <w:rPr>
          <w:rFonts w:ascii="Book Antiqua" w:eastAsia="宋体" w:hAnsi="Book Antiqua" w:cs="宋体"/>
          <w:lang w:val="en-US" w:eastAsia="zh-CN"/>
        </w:rPr>
        <w:t xml:space="preserve"> AB, Colvin RB. </w:t>
      </w:r>
      <w:proofErr w:type="gramStart"/>
      <w:r w:rsidRPr="00D01C8E">
        <w:rPr>
          <w:rFonts w:ascii="Book Antiqua" w:eastAsia="宋体" w:hAnsi="Book Antiqua" w:cs="宋体"/>
          <w:lang w:val="en-US" w:eastAsia="zh-CN"/>
        </w:rPr>
        <w:t xml:space="preserve">De novo collapsing </w:t>
      </w:r>
      <w:proofErr w:type="spellStart"/>
      <w:r w:rsidRPr="00D01C8E">
        <w:rPr>
          <w:rFonts w:ascii="Book Antiqua" w:eastAsia="宋体" w:hAnsi="Book Antiqua" w:cs="宋体"/>
          <w:lang w:val="en-US" w:eastAsia="zh-CN"/>
        </w:rPr>
        <w:t>glomerulopathy</w:t>
      </w:r>
      <w:proofErr w:type="spellEnd"/>
      <w:r w:rsidRPr="00D01C8E">
        <w:rPr>
          <w:rFonts w:ascii="Book Antiqua" w:eastAsia="宋体" w:hAnsi="Book Antiqua" w:cs="宋体"/>
          <w:lang w:val="en-US" w:eastAsia="zh-CN"/>
        </w:rPr>
        <w:t xml:space="preserve"> in renal allografts.</w:t>
      </w:r>
      <w:proofErr w:type="gram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Transplantation</w:t>
      </w:r>
      <w:r w:rsidRPr="00D01C8E">
        <w:rPr>
          <w:rFonts w:ascii="Book Antiqua" w:eastAsia="宋体" w:hAnsi="Book Antiqua" w:cs="宋体"/>
          <w:lang w:val="en-US" w:eastAsia="zh-CN"/>
        </w:rPr>
        <w:t xml:space="preserve"> 1998; </w:t>
      </w:r>
      <w:r w:rsidRPr="00D01C8E">
        <w:rPr>
          <w:rFonts w:ascii="Book Antiqua" w:eastAsia="宋体" w:hAnsi="Book Antiqua" w:cs="宋体"/>
          <w:b/>
          <w:bCs/>
          <w:lang w:val="en-US" w:eastAsia="zh-CN"/>
        </w:rPr>
        <w:t>65</w:t>
      </w:r>
      <w:r w:rsidRPr="00D01C8E">
        <w:rPr>
          <w:rFonts w:ascii="Book Antiqua" w:eastAsia="宋体" w:hAnsi="Book Antiqua" w:cs="宋体"/>
          <w:lang w:val="en-US" w:eastAsia="zh-CN"/>
        </w:rPr>
        <w:t>: 1192-1197 [PMID: 9603167]</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30 </w:t>
      </w:r>
      <w:r w:rsidRPr="00D01C8E">
        <w:rPr>
          <w:rFonts w:ascii="Book Antiqua" w:eastAsia="宋体" w:hAnsi="Book Antiqua" w:cs="宋体"/>
          <w:b/>
          <w:bCs/>
          <w:lang w:val="en-US" w:eastAsia="zh-CN"/>
        </w:rPr>
        <w:t>Zimmerman SW</w:t>
      </w:r>
      <w:r w:rsidRPr="00D01C8E">
        <w:rPr>
          <w:rFonts w:ascii="Book Antiqua" w:eastAsia="宋体" w:hAnsi="Book Antiqua" w:cs="宋体"/>
          <w:lang w:val="en-US" w:eastAsia="zh-CN"/>
        </w:rPr>
        <w:t>. Plasmapheresis and dipyridamole for recurrent focal glomerular sclerosis.</w:t>
      </w:r>
      <w:proofErr w:type="gram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Nephron</w:t>
      </w:r>
      <w:r w:rsidRPr="00D01C8E">
        <w:rPr>
          <w:rFonts w:ascii="Book Antiqua" w:eastAsia="宋体" w:hAnsi="Book Antiqua" w:cs="宋体"/>
          <w:lang w:val="en-US" w:eastAsia="zh-CN"/>
        </w:rPr>
        <w:t xml:space="preserve"> 1985; </w:t>
      </w:r>
      <w:r w:rsidRPr="00D01C8E">
        <w:rPr>
          <w:rFonts w:ascii="Book Antiqua" w:eastAsia="宋体" w:hAnsi="Book Antiqua" w:cs="宋体"/>
          <w:b/>
          <w:bCs/>
          <w:lang w:val="en-US" w:eastAsia="zh-CN"/>
        </w:rPr>
        <w:t>40</w:t>
      </w:r>
      <w:r w:rsidRPr="00D01C8E">
        <w:rPr>
          <w:rFonts w:ascii="Book Antiqua" w:eastAsia="宋体" w:hAnsi="Book Antiqua" w:cs="宋体"/>
          <w:lang w:val="en-US" w:eastAsia="zh-CN"/>
        </w:rPr>
        <w:t>: 241-245 [PMID: 3889681]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31 </w:t>
      </w:r>
      <w:proofErr w:type="spellStart"/>
      <w:r w:rsidRPr="00D01C8E">
        <w:rPr>
          <w:rFonts w:ascii="Book Antiqua" w:eastAsia="宋体" w:hAnsi="Book Antiqua" w:cs="宋体"/>
          <w:b/>
          <w:bCs/>
          <w:lang w:val="en-US" w:eastAsia="zh-CN"/>
        </w:rPr>
        <w:t>Gohh</w:t>
      </w:r>
      <w:proofErr w:type="spellEnd"/>
      <w:r w:rsidRPr="00D01C8E">
        <w:rPr>
          <w:rFonts w:ascii="Book Antiqua" w:eastAsia="宋体" w:hAnsi="Book Antiqua" w:cs="宋体"/>
          <w:b/>
          <w:bCs/>
          <w:lang w:val="en-US" w:eastAsia="zh-CN"/>
        </w:rPr>
        <w:t xml:space="preserve"> RY</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Yango</w:t>
      </w:r>
      <w:proofErr w:type="spellEnd"/>
      <w:r w:rsidRPr="00D01C8E">
        <w:rPr>
          <w:rFonts w:ascii="Book Antiqua" w:eastAsia="宋体" w:hAnsi="Book Antiqua" w:cs="宋体"/>
          <w:lang w:val="en-US" w:eastAsia="zh-CN"/>
        </w:rPr>
        <w:t xml:space="preserve"> AF, Morrissey PE, Monaco AP, </w:t>
      </w:r>
      <w:proofErr w:type="spellStart"/>
      <w:r w:rsidRPr="00D01C8E">
        <w:rPr>
          <w:rFonts w:ascii="Book Antiqua" w:eastAsia="宋体" w:hAnsi="Book Antiqua" w:cs="宋体"/>
          <w:lang w:val="en-US" w:eastAsia="zh-CN"/>
        </w:rPr>
        <w:t>Gautam</w:t>
      </w:r>
      <w:proofErr w:type="spellEnd"/>
      <w:r w:rsidRPr="00D01C8E">
        <w:rPr>
          <w:rFonts w:ascii="Book Antiqua" w:eastAsia="宋体" w:hAnsi="Book Antiqua" w:cs="宋体"/>
          <w:lang w:val="en-US" w:eastAsia="zh-CN"/>
        </w:rPr>
        <w:t xml:space="preserve"> A, Sharma M, McCarthy ET, </w:t>
      </w:r>
      <w:proofErr w:type="spellStart"/>
      <w:r w:rsidRPr="00D01C8E">
        <w:rPr>
          <w:rFonts w:ascii="Book Antiqua" w:eastAsia="宋体" w:hAnsi="Book Antiqua" w:cs="宋体"/>
          <w:lang w:val="en-US" w:eastAsia="zh-CN"/>
        </w:rPr>
        <w:t>Savin</w:t>
      </w:r>
      <w:proofErr w:type="spellEnd"/>
      <w:r w:rsidRPr="00D01C8E">
        <w:rPr>
          <w:rFonts w:ascii="Book Antiqua" w:eastAsia="宋体" w:hAnsi="Book Antiqua" w:cs="宋体"/>
          <w:lang w:val="en-US" w:eastAsia="zh-CN"/>
        </w:rPr>
        <w:t xml:space="preserve"> VJ. </w:t>
      </w:r>
      <w:proofErr w:type="gramStart"/>
      <w:r w:rsidRPr="00D01C8E">
        <w:rPr>
          <w:rFonts w:ascii="Book Antiqua" w:eastAsia="宋体" w:hAnsi="Book Antiqua" w:cs="宋体"/>
          <w:lang w:val="en-US" w:eastAsia="zh-CN"/>
        </w:rPr>
        <w:t>Preemptive plasmapheresis and recurrence of FSGS in high-risk renal transplant recipients.</w:t>
      </w:r>
      <w:proofErr w:type="gram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Am J Transplant</w:t>
      </w:r>
      <w:r w:rsidRPr="00D01C8E">
        <w:rPr>
          <w:rFonts w:ascii="Book Antiqua" w:eastAsia="宋体" w:hAnsi="Book Antiqua" w:cs="宋体"/>
          <w:lang w:val="en-US" w:eastAsia="zh-CN"/>
        </w:rPr>
        <w:t xml:space="preserve"> 2005; </w:t>
      </w:r>
      <w:r w:rsidRPr="00D01C8E">
        <w:rPr>
          <w:rFonts w:ascii="Book Antiqua" w:eastAsia="宋体" w:hAnsi="Book Antiqua" w:cs="宋体"/>
          <w:b/>
          <w:bCs/>
          <w:lang w:val="en-US" w:eastAsia="zh-CN"/>
        </w:rPr>
        <w:t>5</w:t>
      </w:r>
      <w:r w:rsidRPr="00D01C8E">
        <w:rPr>
          <w:rFonts w:ascii="Book Antiqua" w:eastAsia="宋体" w:hAnsi="Book Antiqua" w:cs="宋体"/>
          <w:lang w:val="en-US" w:eastAsia="zh-CN"/>
        </w:rPr>
        <w:t>: 2907-2912 [PMID: 16303004]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32 </w:t>
      </w:r>
      <w:proofErr w:type="spellStart"/>
      <w:r w:rsidRPr="00D01C8E">
        <w:rPr>
          <w:rFonts w:ascii="Book Antiqua" w:eastAsia="宋体" w:hAnsi="Book Antiqua" w:cs="宋体"/>
          <w:b/>
          <w:bCs/>
          <w:lang w:val="en-US" w:eastAsia="zh-CN"/>
        </w:rPr>
        <w:t>Chikamoto</w:t>
      </w:r>
      <w:proofErr w:type="spellEnd"/>
      <w:r w:rsidRPr="00D01C8E">
        <w:rPr>
          <w:rFonts w:ascii="Book Antiqua" w:eastAsia="宋体" w:hAnsi="Book Antiqua" w:cs="宋体"/>
          <w:b/>
          <w:bCs/>
          <w:lang w:val="en-US" w:eastAsia="zh-CN"/>
        </w:rPr>
        <w:t xml:space="preserve"> H</w:t>
      </w:r>
      <w:r w:rsidRPr="00D01C8E">
        <w:rPr>
          <w:rFonts w:ascii="Book Antiqua" w:eastAsia="宋体" w:hAnsi="Book Antiqua" w:cs="宋体"/>
          <w:lang w:val="en-US" w:eastAsia="zh-CN"/>
        </w:rPr>
        <w:t xml:space="preserve">, Hattori M, Kuroda N, </w:t>
      </w:r>
      <w:proofErr w:type="spellStart"/>
      <w:r w:rsidRPr="00D01C8E">
        <w:rPr>
          <w:rFonts w:ascii="Book Antiqua" w:eastAsia="宋体" w:hAnsi="Book Antiqua" w:cs="宋体"/>
          <w:lang w:val="en-US" w:eastAsia="zh-CN"/>
        </w:rPr>
        <w:t>Kajiho</w:t>
      </w:r>
      <w:proofErr w:type="spellEnd"/>
      <w:r w:rsidRPr="00D01C8E">
        <w:rPr>
          <w:rFonts w:ascii="Book Antiqua" w:eastAsia="宋体" w:hAnsi="Book Antiqua" w:cs="宋体"/>
          <w:lang w:val="en-US" w:eastAsia="zh-CN"/>
        </w:rPr>
        <w:t xml:space="preserve"> Y, Matsumura H, </w:t>
      </w:r>
      <w:proofErr w:type="spellStart"/>
      <w:r w:rsidRPr="00D01C8E">
        <w:rPr>
          <w:rFonts w:ascii="Book Antiqua" w:eastAsia="宋体" w:hAnsi="Book Antiqua" w:cs="宋体"/>
          <w:lang w:val="en-US" w:eastAsia="zh-CN"/>
        </w:rPr>
        <w:t>Fujii</w:t>
      </w:r>
      <w:proofErr w:type="spellEnd"/>
      <w:r w:rsidRPr="00D01C8E">
        <w:rPr>
          <w:rFonts w:ascii="Book Antiqua" w:eastAsia="宋体" w:hAnsi="Book Antiqua" w:cs="宋体"/>
          <w:lang w:val="en-US" w:eastAsia="zh-CN"/>
        </w:rPr>
        <w:t xml:space="preserve"> H, Ishizuka K, </w:t>
      </w:r>
      <w:proofErr w:type="spellStart"/>
      <w:r w:rsidRPr="00D01C8E">
        <w:rPr>
          <w:rFonts w:ascii="Book Antiqua" w:eastAsia="宋体" w:hAnsi="Book Antiqua" w:cs="宋体"/>
          <w:lang w:val="en-US" w:eastAsia="zh-CN"/>
        </w:rPr>
        <w:t>Hisano</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Akioka</w:t>
      </w:r>
      <w:proofErr w:type="spellEnd"/>
      <w:r w:rsidRPr="00D01C8E">
        <w:rPr>
          <w:rFonts w:ascii="Book Antiqua" w:eastAsia="宋体" w:hAnsi="Book Antiqua" w:cs="宋体"/>
          <w:lang w:val="en-US" w:eastAsia="zh-CN"/>
        </w:rPr>
        <w:t xml:space="preserve"> Y, </w:t>
      </w:r>
      <w:proofErr w:type="spellStart"/>
      <w:r w:rsidRPr="00D01C8E">
        <w:rPr>
          <w:rFonts w:ascii="Book Antiqua" w:eastAsia="宋体" w:hAnsi="Book Antiqua" w:cs="宋体"/>
          <w:lang w:val="en-US" w:eastAsia="zh-CN"/>
        </w:rPr>
        <w:t>Nozu</w:t>
      </w:r>
      <w:proofErr w:type="spellEnd"/>
      <w:r w:rsidRPr="00D01C8E">
        <w:rPr>
          <w:rFonts w:ascii="Book Antiqua" w:eastAsia="宋体" w:hAnsi="Book Antiqua" w:cs="宋体"/>
          <w:lang w:val="en-US" w:eastAsia="zh-CN"/>
        </w:rPr>
        <w:t xml:space="preserve"> K, </w:t>
      </w:r>
      <w:proofErr w:type="spellStart"/>
      <w:r w:rsidRPr="00D01C8E">
        <w:rPr>
          <w:rFonts w:ascii="Book Antiqua" w:eastAsia="宋体" w:hAnsi="Book Antiqua" w:cs="宋体"/>
          <w:lang w:val="en-US" w:eastAsia="zh-CN"/>
        </w:rPr>
        <w:t>Kaito</w:t>
      </w:r>
      <w:proofErr w:type="spellEnd"/>
      <w:r w:rsidRPr="00D01C8E">
        <w:rPr>
          <w:rFonts w:ascii="Book Antiqua" w:eastAsia="宋体" w:hAnsi="Book Antiqua" w:cs="宋体"/>
          <w:lang w:val="en-US" w:eastAsia="zh-CN"/>
        </w:rPr>
        <w:t xml:space="preserve"> H, Shimizu M. </w:t>
      </w:r>
      <w:proofErr w:type="spellStart"/>
      <w:r w:rsidRPr="00D01C8E">
        <w:rPr>
          <w:rFonts w:ascii="Book Antiqua" w:eastAsia="宋体" w:hAnsi="Book Antiqua" w:cs="宋体"/>
          <w:lang w:val="en-US" w:eastAsia="zh-CN"/>
        </w:rPr>
        <w:t>Pretransplantation</w:t>
      </w:r>
      <w:proofErr w:type="spellEnd"/>
      <w:r w:rsidRPr="00D01C8E">
        <w:rPr>
          <w:rFonts w:ascii="Book Antiqua" w:eastAsia="宋体" w:hAnsi="Book Antiqua" w:cs="宋体"/>
          <w:lang w:val="en-US" w:eastAsia="zh-CN"/>
        </w:rPr>
        <w:t xml:space="preserve"> combined therapy with plasmapheresis and rituximab in a </w:t>
      </w:r>
      <w:r w:rsidRPr="00D01C8E">
        <w:rPr>
          <w:rFonts w:ascii="Book Antiqua" w:eastAsia="宋体" w:hAnsi="Book Antiqua" w:cs="宋体"/>
          <w:lang w:val="en-US" w:eastAsia="zh-CN"/>
        </w:rPr>
        <w:lastRenderedPageBreak/>
        <w:t xml:space="preserve">second living-related kidney transplant pediatric recipient with a very high risk for focal segmental glomerulosclerosis recurrence.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Transplant</w:t>
      </w:r>
      <w:r w:rsidRPr="00D01C8E">
        <w:rPr>
          <w:rFonts w:ascii="Book Antiqua" w:eastAsia="宋体" w:hAnsi="Book Antiqua" w:cs="宋体"/>
          <w:lang w:val="en-US" w:eastAsia="zh-CN"/>
        </w:rPr>
        <w:t xml:space="preserve"> 2012; </w:t>
      </w:r>
      <w:r w:rsidRPr="00D01C8E">
        <w:rPr>
          <w:rFonts w:ascii="Book Antiqua" w:eastAsia="宋体" w:hAnsi="Book Antiqua" w:cs="宋体"/>
          <w:b/>
          <w:bCs/>
          <w:lang w:val="en-US" w:eastAsia="zh-CN"/>
        </w:rPr>
        <w:t>16</w:t>
      </w:r>
      <w:r w:rsidRPr="00D01C8E">
        <w:rPr>
          <w:rFonts w:ascii="Book Antiqua" w:eastAsia="宋体" w:hAnsi="Book Antiqua" w:cs="宋体"/>
          <w:lang w:val="en-US" w:eastAsia="zh-CN"/>
        </w:rPr>
        <w:t>: E286-E290 [PMID: 22129369 DOI: 10.1111/j.1399-3046.2011.01610.x]</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33 </w:t>
      </w:r>
      <w:proofErr w:type="spellStart"/>
      <w:r w:rsidRPr="00D01C8E">
        <w:rPr>
          <w:rFonts w:ascii="Book Antiqua" w:eastAsia="宋体" w:hAnsi="Book Antiqua" w:cs="宋体"/>
          <w:b/>
          <w:bCs/>
          <w:lang w:val="en-US" w:eastAsia="zh-CN"/>
        </w:rPr>
        <w:t>Canaud</w:t>
      </w:r>
      <w:proofErr w:type="spellEnd"/>
      <w:r w:rsidRPr="00D01C8E">
        <w:rPr>
          <w:rFonts w:ascii="Book Antiqua" w:eastAsia="宋体" w:hAnsi="Book Antiqua" w:cs="宋体"/>
          <w:b/>
          <w:bCs/>
          <w:lang w:val="en-US" w:eastAsia="zh-CN"/>
        </w:rPr>
        <w:t xml:space="preserve"> G</w:t>
      </w:r>
      <w:r w:rsidRPr="00D01C8E">
        <w:rPr>
          <w:rFonts w:ascii="Book Antiqua" w:eastAsia="宋体" w:hAnsi="Book Antiqua" w:cs="宋体"/>
          <w:lang w:val="en-US" w:eastAsia="zh-CN"/>
        </w:rPr>
        <w:t xml:space="preserve">, Zuber J, </w:t>
      </w:r>
      <w:proofErr w:type="spellStart"/>
      <w:r w:rsidRPr="00D01C8E">
        <w:rPr>
          <w:rFonts w:ascii="Book Antiqua" w:eastAsia="宋体" w:hAnsi="Book Antiqua" w:cs="宋体"/>
          <w:lang w:val="en-US" w:eastAsia="zh-CN"/>
        </w:rPr>
        <w:t>Sberro</w:t>
      </w:r>
      <w:proofErr w:type="spellEnd"/>
      <w:r w:rsidRPr="00D01C8E">
        <w:rPr>
          <w:rFonts w:ascii="Book Antiqua" w:eastAsia="宋体" w:hAnsi="Book Antiqua" w:cs="宋体"/>
          <w:lang w:val="en-US" w:eastAsia="zh-CN"/>
        </w:rPr>
        <w:t xml:space="preserve"> R, Royale V, </w:t>
      </w:r>
      <w:proofErr w:type="spellStart"/>
      <w:r w:rsidRPr="00D01C8E">
        <w:rPr>
          <w:rFonts w:ascii="Book Antiqua" w:eastAsia="宋体" w:hAnsi="Book Antiqua" w:cs="宋体"/>
          <w:lang w:val="en-US" w:eastAsia="zh-CN"/>
        </w:rPr>
        <w:t>Anglicheau</w:t>
      </w:r>
      <w:proofErr w:type="spellEnd"/>
      <w:r w:rsidRPr="00D01C8E">
        <w:rPr>
          <w:rFonts w:ascii="Book Antiqua" w:eastAsia="宋体" w:hAnsi="Book Antiqua" w:cs="宋体"/>
          <w:lang w:val="en-US" w:eastAsia="zh-CN"/>
        </w:rPr>
        <w:t xml:space="preserve"> D, </w:t>
      </w:r>
      <w:proofErr w:type="spellStart"/>
      <w:r w:rsidRPr="00D01C8E">
        <w:rPr>
          <w:rFonts w:ascii="Book Antiqua" w:eastAsia="宋体" w:hAnsi="Book Antiqua" w:cs="宋体"/>
          <w:lang w:val="en-US" w:eastAsia="zh-CN"/>
        </w:rPr>
        <w:t>Snanoudj</w:t>
      </w:r>
      <w:proofErr w:type="spellEnd"/>
      <w:r w:rsidRPr="00D01C8E">
        <w:rPr>
          <w:rFonts w:ascii="Book Antiqua" w:eastAsia="宋体" w:hAnsi="Book Antiqua" w:cs="宋体"/>
          <w:lang w:val="en-US" w:eastAsia="zh-CN"/>
        </w:rPr>
        <w:t xml:space="preserve"> R, </w:t>
      </w:r>
      <w:proofErr w:type="spellStart"/>
      <w:r w:rsidRPr="00D01C8E">
        <w:rPr>
          <w:rFonts w:ascii="Book Antiqua" w:eastAsia="宋体" w:hAnsi="Book Antiqua" w:cs="宋体"/>
          <w:lang w:val="en-US" w:eastAsia="zh-CN"/>
        </w:rPr>
        <w:t>Gaha</w:t>
      </w:r>
      <w:proofErr w:type="spellEnd"/>
      <w:r w:rsidRPr="00D01C8E">
        <w:rPr>
          <w:rFonts w:ascii="Book Antiqua" w:eastAsia="宋体" w:hAnsi="Book Antiqua" w:cs="宋体"/>
          <w:lang w:val="en-US" w:eastAsia="zh-CN"/>
        </w:rPr>
        <w:t xml:space="preserve"> K, </w:t>
      </w:r>
      <w:proofErr w:type="spellStart"/>
      <w:r w:rsidRPr="00D01C8E">
        <w:rPr>
          <w:rFonts w:ascii="Book Antiqua" w:eastAsia="宋体" w:hAnsi="Book Antiqua" w:cs="宋体"/>
          <w:lang w:val="en-US" w:eastAsia="zh-CN"/>
        </w:rPr>
        <w:t>Thervet</w:t>
      </w:r>
      <w:proofErr w:type="spellEnd"/>
      <w:r w:rsidRPr="00D01C8E">
        <w:rPr>
          <w:rFonts w:ascii="Book Antiqua" w:eastAsia="宋体" w:hAnsi="Book Antiqua" w:cs="宋体"/>
          <w:lang w:val="en-US" w:eastAsia="zh-CN"/>
        </w:rPr>
        <w:t xml:space="preserve"> E, </w:t>
      </w:r>
      <w:proofErr w:type="spellStart"/>
      <w:r w:rsidRPr="00D01C8E">
        <w:rPr>
          <w:rFonts w:ascii="Book Antiqua" w:eastAsia="宋体" w:hAnsi="Book Antiqua" w:cs="宋体"/>
          <w:lang w:val="en-US" w:eastAsia="zh-CN"/>
        </w:rPr>
        <w:t>Lefrère</w:t>
      </w:r>
      <w:proofErr w:type="spellEnd"/>
      <w:r w:rsidRPr="00D01C8E">
        <w:rPr>
          <w:rFonts w:ascii="Book Antiqua" w:eastAsia="宋体" w:hAnsi="Book Antiqua" w:cs="宋体"/>
          <w:lang w:val="en-US" w:eastAsia="zh-CN"/>
        </w:rPr>
        <w:t xml:space="preserve"> F, </w:t>
      </w:r>
      <w:proofErr w:type="spellStart"/>
      <w:r w:rsidRPr="00D01C8E">
        <w:rPr>
          <w:rFonts w:ascii="Book Antiqua" w:eastAsia="宋体" w:hAnsi="Book Antiqua" w:cs="宋体"/>
          <w:lang w:val="en-US" w:eastAsia="zh-CN"/>
        </w:rPr>
        <w:t>Cavazzana-Calvo</w:t>
      </w:r>
      <w:proofErr w:type="spellEnd"/>
      <w:r w:rsidRPr="00D01C8E">
        <w:rPr>
          <w:rFonts w:ascii="Book Antiqua" w:eastAsia="宋体" w:hAnsi="Book Antiqua" w:cs="宋体"/>
          <w:lang w:val="en-US" w:eastAsia="zh-CN"/>
        </w:rPr>
        <w:t xml:space="preserve"> M, Noël LH, </w:t>
      </w:r>
      <w:proofErr w:type="spellStart"/>
      <w:r w:rsidRPr="00D01C8E">
        <w:rPr>
          <w:rFonts w:ascii="Book Antiqua" w:eastAsia="宋体" w:hAnsi="Book Antiqua" w:cs="宋体"/>
          <w:lang w:val="en-US" w:eastAsia="zh-CN"/>
        </w:rPr>
        <w:t>Méjean</w:t>
      </w:r>
      <w:proofErr w:type="spellEnd"/>
      <w:r w:rsidRPr="00D01C8E">
        <w:rPr>
          <w:rFonts w:ascii="Book Antiqua" w:eastAsia="宋体" w:hAnsi="Book Antiqua" w:cs="宋体"/>
          <w:lang w:val="en-US" w:eastAsia="zh-CN"/>
        </w:rPr>
        <w:t xml:space="preserve"> A, Legendre </w:t>
      </w:r>
      <w:proofErr w:type="spellStart"/>
      <w:r w:rsidRPr="00D01C8E">
        <w:rPr>
          <w:rFonts w:ascii="Book Antiqua" w:eastAsia="宋体" w:hAnsi="Book Antiqua" w:cs="宋体"/>
          <w:lang w:val="en-US" w:eastAsia="zh-CN"/>
        </w:rPr>
        <w:t>Ch</w:t>
      </w:r>
      <w:proofErr w:type="spellEnd"/>
      <w:r w:rsidRPr="00D01C8E">
        <w:rPr>
          <w:rFonts w:ascii="Book Antiqua" w:eastAsia="宋体" w:hAnsi="Book Antiqua" w:cs="宋体"/>
          <w:lang w:val="en-US" w:eastAsia="zh-CN"/>
        </w:rPr>
        <w:t xml:space="preserve">, Martinez F. Intensive and prolonged treatment of focal and segmental glomerulosclerosis recurrence in adult kidney transplant recipients: a pilot study. </w:t>
      </w:r>
      <w:r w:rsidRPr="00D01C8E">
        <w:rPr>
          <w:rFonts w:ascii="Book Antiqua" w:eastAsia="宋体" w:hAnsi="Book Antiqua" w:cs="宋体"/>
          <w:i/>
          <w:iCs/>
          <w:lang w:val="en-US" w:eastAsia="zh-CN"/>
        </w:rPr>
        <w:t>Am J Transplant</w:t>
      </w:r>
      <w:r w:rsidRPr="00D01C8E">
        <w:rPr>
          <w:rFonts w:ascii="Book Antiqua" w:eastAsia="宋体" w:hAnsi="Book Antiqua" w:cs="宋体"/>
          <w:lang w:val="en-US" w:eastAsia="zh-CN"/>
        </w:rPr>
        <w:t xml:space="preserve"> 2009; </w:t>
      </w:r>
      <w:r w:rsidRPr="00D01C8E">
        <w:rPr>
          <w:rFonts w:ascii="Book Antiqua" w:eastAsia="宋体" w:hAnsi="Book Antiqua" w:cs="宋体"/>
          <w:b/>
          <w:bCs/>
          <w:lang w:val="en-US" w:eastAsia="zh-CN"/>
        </w:rPr>
        <w:t>9</w:t>
      </w:r>
      <w:r w:rsidRPr="00D01C8E">
        <w:rPr>
          <w:rFonts w:ascii="Book Antiqua" w:eastAsia="宋体" w:hAnsi="Book Antiqua" w:cs="宋体"/>
          <w:lang w:val="en-US" w:eastAsia="zh-CN"/>
        </w:rPr>
        <w:t>: 1081-1086 [PMID: 19344432 DOI: 10.1111/j.1600-6143.2009.02580.x]</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34 </w:t>
      </w:r>
      <w:proofErr w:type="spellStart"/>
      <w:r w:rsidRPr="00D01C8E">
        <w:rPr>
          <w:rFonts w:ascii="Book Antiqua" w:eastAsia="宋体" w:hAnsi="Book Antiqua" w:cs="宋体"/>
          <w:b/>
          <w:bCs/>
          <w:lang w:val="en-US" w:eastAsia="zh-CN"/>
        </w:rPr>
        <w:t>Belson</w:t>
      </w:r>
      <w:proofErr w:type="spellEnd"/>
      <w:r w:rsidRPr="00D01C8E">
        <w:rPr>
          <w:rFonts w:ascii="Book Antiqua" w:eastAsia="宋体" w:hAnsi="Book Antiqua" w:cs="宋体"/>
          <w:b/>
          <w:bCs/>
          <w:lang w:val="en-US" w:eastAsia="zh-CN"/>
        </w:rPr>
        <w:t xml:space="preserve"> A</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Yorgin</w:t>
      </w:r>
      <w:proofErr w:type="spellEnd"/>
      <w:r w:rsidRPr="00D01C8E">
        <w:rPr>
          <w:rFonts w:ascii="Book Antiqua" w:eastAsia="宋体" w:hAnsi="Book Antiqua" w:cs="宋体"/>
          <w:lang w:val="en-US" w:eastAsia="zh-CN"/>
        </w:rPr>
        <w:t xml:space="preserve"> PD, Al-</w:t>
      </w:r>
      <w:proofErr w:type="spellStart"/>
      <w:r w:rsidRPr="00D01C8E">
        <w:rPr>
          <w:rFonts w:ascii="Book Antiqua" w:eastAsia="宋体" w:hAnsi="Book Antiqua" w:cs="宋体"/>
          <w:lang w:val="en-US" w:eastAsia="zh-CN"/>
        </w:rPr>
        <w:t>Uzri</w:t>
      </w:r>
      <w:proofErr w:type="spellEnd"/>
      <w:r w:rsidRPr="00D01C8E">
        <w:rPr>
          <w:rFonts w:ascii="Book Antiqua" w:eastAsia="宋体" w:hAnsi="Book Antiqua" w:cs="宋体"/>
          <w:lang w:val="en-US" w:eastAsia="zh-CN"/>
        </w:rPr>
        <w:t xml:space="preserve"> AY, </w:t>
      </w:r>
      <w:proofErr w:type="spellStart"/>
      <w:r w:rsidRPr="00D01C8E">
        <w:rPr>
          <w:rFonts w:ascii="Book Antiqua" w:eastAsia="宋体" w:hAnsi="Book Antiqua" w:cs="宋体"/>
          <w:lang w:val="en-US" w:eastAsia="zh-CN"/>
        </w:rPr>
        <w:t>Salvatierra</w:t>
      </w:r>
      <w:proofErr w:type="spellEnd"/>
      <w:r w:rsidRPr="00D01C8E">
        <w:rPr>
          <w:rFonts w:ascii="Book Antiqua" w:eastAsia="宋体" w:hAnsi="Book Antiqua" w:cs="宋体"/>
          <w:lang w:val="en-US" w:eastAsia="zh-CN"/>
        </w:rPr>
        <w:t xml:space="preserve"> O, Higgins J, Alexander SR. Long-term plasmapheresis and protein A column treatment of recurrent FSGS.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2001; </w:t>
      </w:r>
      <w:r w:rsidRPr="00D01C8E">
        <w:rPr>
          <w:rFonts w:ascii="Book Antiqua" w:eastAsia="宋体" w:hAnsi="Book Antiqua" w:cs="宋体"/>
          <w:b/>
          <w:bCs/>
          <w:lang w:val="en-US" w:eastAsia="zh-CN"/>
        </w:rPr>
        <w:t>16</w:t>
      </w:r>
      <w:r w:rsidRPr="00D01C8E">
        <w:rPr>
          <w:rFonts w:ascii="Book Antiqua" w:eastAsia="宋体" w:hAnsi="Book Antiqua" w:cs="宋体"/>
          <w:lang w:val="en-US" w:eastAsia="zh-CN"/>
        </w:rPr>
        <w:t>: 985-989 [PMID: 11793085]</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35 </w:t>
      </w:r>
      <w:proofErr w:type="spellStart"/>
      <w:r w:rsidRPr="00D01C8E">
        <w:rPr>
          <w:rFonts w:ascii="Book Antiqua" w:eastAsia="宋体" w:hAnsi="Book Antiqua" w:cs="宋体"/>
          <w:b/>
          <w:bCs/>
          <w:lang w:val="en-US" w:eastAsia="zh-CN"/>
        </w:rPr>
        <w:t>Fencl</w:t>
      </w:r>
      <w:proofErr w:type="spellEnd"/>
      <w:r w:rsidRPr="00D01C8E">
        <w:rPr>
          <w:rFonts w:ascii="Book Antiqua" w:eastAsia="宋体" w:hAnsi="Book Antiqua" w:cs="宋体"/>
          <w:b/>
          <w:bCs/>
          <w:lang w:val="en-US" w:eastAsia="zh-CN"/>
        </w:rPr>
        <w:t xml:space="preserve"> F</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Simková</w:t>
      </w:r>
      <w:proofErr w:type="spellEnd"/>
      <w:r w:rsidRPr="00D01C8E">
        <w:rPr>
          <w:rFonts w:ascii="Book Antiqua" w:eastAsia="宋体" w:hAnsi="Book Antiqua" w:cs="宋体"/>
          <w:lang w:val="en-US" w:eastAsia="zh-CN"/>
        </w:rPr>
        <w:t xml:space="preserve"> E, </w:t>
      </w:r>
      <w:proofErr w:type="spellStart"/>
      <w:r w:rsidRPr="00D01C8E">
        <w:rPr>
          <w:rFonts w:ascii="Book Antiqua" w:eastAsia="宋体" w:hAnsi="Book Antiqua" w:cs="宋体"/>
          <w:lang w:val="en-US" w:eastAsia="zh-CN"/>
        </w:rPr>
        <w:t>Vondrák</w:t>
      </w:r>
      <w:proofErr w:type="spellEnd"/>
      <w:r w:rsidRPr="00D01C8E">
        <w:rPr>
          <w:rFonts w:ascii="Book Antiqua" w:eastAsia="宋体" w:hAnsi="Book Antiqua" w:cs="宋体"/>
          <w:lang w:val="en-US" w:eastAsia="zh-CN"/>
        </w:rPr>
        <w:t xml:space="preserve"> K, </w:t>
      </w:r>
      <w:proofErr w:type="spellStart"/>
      <w:r w:rsidRPr="00D01C8E">
        <w:rPr>
          <w:rFonts w:ascii="Book Antiqua" w:eastAsia="宋体" w:hAnsi="Book Antiqua" w:cs="宋体"/>
          <w:lang w:val="en-US" w:eastAsia="zh-CN"/>
        </w:rPr>
        <w:t>Janda</w:t>
      </w:r>
      <w:proofErr w:type="spellEnd"/>
      <w:r w:rsidRPr="00D01C8E">
        <w:rPr>
          <w:rFonts w:ascii="Book Antiqua" w:eastAsia="宋体" w:hAnsi="Book Antiqua" w:cs="宋体"/>
          <w:lang w:val="en-US" w:eastAsia="zh-CN"/>
        </w:rPr>
        <w:t xml:space="preserve"> J, </w:t>
      </w:r>
      <w:proofErr w:type="spellStart"/>
      <w:r w:rsidRPr="00D01C8E">
        <w:rPr>
          <w:rFonts w:ascii="Book Antiqua" w:eastAsia="宋体" w:hAnsi="Book Antiqua" w:cs="宋体"/>
          <w:lang w:val="en-US" w:eastAsia="zh-CN"/>
        </w:rPr>
        <w:t>Chadimová</w:t>
      </w:r>
      <w:proofErr w:type="spellEnd"/>
      <w:r w:rsidRPr="00D01C8E">
        <w:rPr>
          <w:rFonts w:ascii="Book Antiqua" w:eastAsia="宋体" w:hAnsi="Book Antiqua" w:cs="宋体"/>
          <w:lang w:val="en-US" w:eastAsia="zh-CN"/>
        </w:rPr>
        <w:t xml:space="preserve"> M, Stejskal J, </w:t>
      </w:r>
      <w:proofErr w:type="spellStart"/>
      <w:r w:rsidRPr="00D01C8E">
        <w:rPr>
          <w:rFonts w:ascii="Book Antiqua" w:eastAsia="宋体" w:hAnsi="Book Antiqua" w:cs="宋体"/>
          <w:lang w:val="en-US" w:eastAsia="zh-CN"/>
        </w:rPr>
        <w:t>Seeman</w:t>
      </w:r>
      <w:proofErr w:type="spellEnd"/>
      <w:r w:rsidRPr="00D01C8E">
        <w:rPr>
          <w:rFonts w:ascii="Book Antiqua" w:eastAsia="宋体" w:hAnsi="Book Antiqua" w:cs="宋体"/>
          <w:lang w:val="en-US" w:eastAsia="zh-CN"/>
        </w:rPr>
        <w:t xml:space="preserve"> T. Recurrence of nephrotic proteinuria in children with focal segmental glomerulosclerosis after renal transplantation treated with plasmapheresis and </w:t>
      </w:r>
      <w:proofErr w:type="spellStart"/>
      <w:r w:rsidRPr="00D01C8E">
        <w:rPr>
          <w:rFonts w:ascii="Book Antiqua" w:eastAsia="宋体" w:hAnsi="Book Antiqua" w:cs="宋体"/>
          <w:lang w:val="en-US" w:eastAsia="zh-CN"/>
        </w:rPr>
        <w:t>immunoadsorption</w:t>
      </w:r>
      <w:proofErr w:type="spellEnd"/>
      <w:r w:rsidRPr="00D01C8E">
        <w:rPr>
          <w:rFonts w:ascii="Book Antiqua" w:eastAsia="宋体" w:hAnsi="Book Antiqua" w:cs="宋体"/>
          <w:lang w:val="en-US" w:eastAsia="zh-CN"/>
        </w:rPr>
        <w:t xml:space="preserve">: case reports. </w:t>
      </w:r>
      <w:r w:rsidRPr="00D01C8E">
        <w:rPr>
          <w:rFonts w:ascii="Book Antiqua" w:eastAsia="宋体" w:hAnsi="Book Antiqua" w:cs="宋体"/>
          <w:i/>
          <w:iCs/>
          <w:lang w:val="en-US" w:eastAsia="zh-CN"/>
        </w:rPr>
        <w:t>Transplant Proc</w:t>
      </w:r>
      <w:r w:rsidRPr="00D01C8E">
        <w:rPr>
          <w:rFonts w:ascii="Book Antiqua" w:eastAsia="宋体" w:hAnsi="Book Antiqua" w:cs="宋体"/>
          <w:lang w:val="en-US" w:eastAsia="zh-CN"/>
        </w:rPr>
        <w:t xml:space="preserve"> 2007; </w:t>
      </w:r>
      <w:r w:rsidRPr="00D01C8E">
        <w:rPr>
          <w:rFonts w:ascii="Book Antiqua" w:eastAsia="宋体" w:hAnsi="Book Antiqua" w:cs="宋体"/>
          <w:b/>
          <w:bCs/>
          <w:lang w:val="en-US" w:eastAsia="zh-CN"/>
        </w:rPr>
        <w:t>39</w:t>
      </w:r>
      <w:r w:rsidRPr="00D01C8E">
        <w:rPr>
          <w:rFonts w:ascii="Book Antiqua" w:eastAsia="宋体" w:hAnsi="Book Antiqua" w:cs="宋体"/>
          <w:lang w:val="en-US" w:eastAsia="zh-CN"/>
        </w:rPr>
        <w:t>: 3488-3490 [PMID: 18089416]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36 </w:t>
      </w:r>
      <w:proofErr w:type="spellStart"/>
      <w:r w:rsidR="00B6681C" w:rsidRPr="00D92B63">
        <w:rPr>
          <w:rFonts w:ascii="Book Antiqua" w:hAnsi="Book Antiqua"/>
          <w:b/>
          <w:bCs/>
          <w:lang w:val="en-US"/>
        </w:rPr>
        <w:t>Fencl</w:t>
      </w:r>
      <w:proofErr w:type="spellEnd"/>
      <w:r w:rsidR="00B6681C" w:rsidRPr="00D92B63">
        <w:rPr>
          <w:rFonts w:ascii="Book Antiqua" w:hAnsi="Book Antiqua"/>
          <w:b/>
          <w:bCs/>
          <w:lang w:val="en-US"/>
        </w:rPr>
        <w:t xml:space="preserve"> F</w:t>
      </w:r>
      <w:r w:rsidR="00B6681C" w:rsidRPr="00D92B63">
        <w:rPr>
          <w:rFonts w:ascii="Book Antiqua" w:hAnsi="Book Antiqua"/>
          <w:lang w:val="en-US"/>
        </w:rPr>
        <w:t xml:space="preserve">, </w:t>
      </w:r>
      <w:proofErr w:type="spellStart"/>
      <w:r w:rsidR="00B6681C" w:rsidRPr="00D92B63">
        <w:rPr>
          <w:rFonts w:ascii="Book Antiqua" w:hAnsi="Book Antiqua"/>
          <w:lang w:val="en-US"/>
        </w:rPr>
        <w:t>Vondrák</w:t>
      </w:r>
      <w:proofErr w:type="spellEnd"/>
      <w:r w:rsidR="00B6681C" w:rsidRPr="00D92B63">
        <w:rPr>
          <w:rFonts w:ascii="Book Antiqua" w:hAnsi="Book Antiqua"/>
          <w:lang w:val="en-US"/>
        </w:rPr>
        <w:t xml:space="preserve"> K, </w:t>
      </w:r>
      <w:proofErr w:type="spellStart"/>
      <w:r w:rsidR="00B6681C" w:rsidRPr="00D92B63">
        <w:rPr>
          <w:rFonts w:ascii="Book Antiqua" w:hAnsi="Book Antiqua"/>
          <w:lang w:val="en-US"/>
        </w:rPr>
        <w:t>Rosík</w:t>
      </w:r>
      <w:proofErr w:type="spellEnd"/>
      <w:r w:rsidR="00B6681C" w:rsidRPr="00D92B63">
        <w:rPr>
          <w:rFonts w:ascii="Book Antiqua" w:hAnsi="Book Antiqua"/>
          <w:lang w:val="en-US"/>
        </w:rPr>
        <w:t xml:space="preserve"> T, </w:t>
      </w:r>
      <w:proofErr w:type="spellStart"/>
      <w:r w:rsidR="00B6681C" w:rsidRPr="00D92B63">
        <w:rPr>
          <w:rFonts w:ascii="Book Antiqua" w:hAnsi="Book Antiqua"/>
          <w:lang w:val="en-US"/>
        </w:rPr>
        <w:t>Zieg</w:t>
      </w:r>
      <w:proofErr w:type="spellEnd"/>
      <w:r w:rsidR="00B6681C" w:rsidRPr="00D92B63">
        <w:rPr>
          <w:rFonts w:ascii="Book Antiqua" w:hAnsi="Book Antiqua"/>
          <w:lang w:val="en-US"/>
        </w:rPr>
        <w:t xml:space="preserve"> J, </w:t>
      </w:r>
      <w:proofErr w:type="spellStart"/>
      <w:r w:rsidR="00B6681C" w:rsidRPr="00D92B63">
        <w:rPr>
          <w:rFonts w:ascii="Book Antiqua" w:hAnsi="Book Antiqua"/>
          <w:lang w:val="en-US"/>
        </w:rPr>
        <w:t>Chadimová</w:t>
      </w:r>
      <w:proofErr w:type="spellEnd"/>
      <w:r w:rsidR="00B6681C" w:rsidRPr="00D92B63">
        <w:rPr>
          <w:rFonts w:ascii="Book Antiqua" w:hAnsi="Book Antiqua"/>
          <w:lang w:val="en-US"/>
        </w:rPr>
        <w:t xml:space="preserve"> M, </w:t>
      </w:r>
      <w:proofErr w:type="spellStart"/>
      <w:r w:rsidR="00B6681C" w:rsidRPr="00D92B63">
        <w:rPr>
          <w:rFonts w:ascii="Book Antiqua" w:hAnsi="Book Antiqua"/>
          <w:lang w:val="en-US"/>
        </w:rPr>
        <w:t>Háček</w:t>
      </w:r>
      <w:proofErr w:type="spellEnd"/>
      <w:r w:rsidR="00B6681C" w:rsidRPr="00D92B63">
        <w:rPr>
          <w:rFonts w:ascii="Book Antiqua" w:hAnsi="Book Antiqua"/>
          <w:lang w:val="en-US"/>
        </w:rPr>
        <w:t xml:space="preserve"> J, </w:t>
      </w:r>
      <w:proofErr w:type="spellStart"/>
      <w:r w:rsidR="00B6681C" w:rsidRPr="00D92B63">
        <w:rPr>
          <w:rFonts w:ascii="Book Antiqua" w:hAnsi="Book Antiqua"/>
          <w:lang w:val="en-US"/>
        </w:rPr>
        <w:t>Dušek</w:t>
      </w:r>
      <w:proofErr w:type="spellEnd"/>
      <w:r w:rsidR="00B6681C" w:rsidRPr="00D92B63">
        <w:rPr>
          <w:rFonts w:ascii="Book Antiqua" w:hAnsi="Book Antiqua"/>
          <w:lang w:val="en-US"/>
        </w:rPr>
        <w:t xml:space="preserve"> J, </w:t>
      </w:r>
      <w:proofErr w:type="spellStart"/>
      <w:r w:rsidR="00B6681C" w:rsidRPr="00D92B63">
        <w:rPr>
          <w:rFonts w:ascii="Book Antiqua" w:hAnsi="Book Antiqua"/>
          <w:lang w:val="en-US"/>
        </w:rPr>
        <w:t>Seeman</w:t>
      </w:r>
      <w:proofErr w:type="spellEnd"/>
      <w:r w:rsidR="00B6681C" w:rsidRPr="00D92B63">
        <w:rPr>
          <w:rFonts w:ascii="Book Antiqua" w:hAnsi="Book Antiqua"/>
          <w:lang w:val="en-US"/>
        </w:rPr>
        <w:t xml:space="preserve"> T</w:t>
      </w:r>
      <w:r w:rsidRPr="00D01C8E">
        <w:rPr>
          <w:rFonts w:ascii="Book Antiqua" w:eastAsia="宋体" w:hAnsi="Book Antiqua" w:cs="宋体"/>
          <w:lang w:val="en-US" w:eastAsia="zh-CN"/>
        </w:rPr>
        <w:t xml:space="preserve">. Recurrence of nephrotic proteinuria in children with focal segmental glomerulosclerosis - early treatment with plasmapheresis and </w:t>
      </w:r>
      <w:proofErr w:type="spellStart"/>
      <w:r w:rsidRPr="00D01C8E">
        <w:rPr>
          <w:rFonts w:ascii="Book Antiqua" w:eastAsia="宋体" w:hAnsi="Book Antiqua" w:cs="宋体"/>
          <w:lang w:val="en-US" w:eastAsia="zh-CN"/>
        </w:rPr>
        <w:t>immunoadsorption</w:t>
      </w:r>
      <w:proofErr w:type="spellEnd"/>
      <w:r w:rsidRPr="00D01C8E">
        <w:rPr>
          <w:rFonts w:ascii="Book Antiqua" w:eastAsia="宋体" w:hAnsi="Book Antiqua" w:cs="宋体"/>
          <w:lang w:val="en-US" w:eastAsia="zh-CN"/>
        </w:rPr>
        <w:t xml:space="preserve"> should be associated with better prognosis. </w:t>
      </w:r>
      <w:r w:rsidRPr="00D01C8E">
        <w:rPr>
          <w:rFonts w:ascii="Book Antiqua" w:eastAsia="宋体" w:hAnsi="Book Antiqua" w:cs="宋体"/>
          <w:i/>
          <w:iCs/>
          <w:lang w:val="en-US" w:eastAsia="zh-CN"/>
        </w:rPr>
        <w:t xml:space="preserve">Minerva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lang w:val="en-US" w:eastAsia="zh-CN"/>
        </w:rPr>
        <w:t xml:space="preserve"> 2015; </w:t>
      </w:r>
      <w:proofErr w:type="spellStart"/>
      <w:r w:rsidR="00B6681C" w:rsidRPr="00D92B63">
        <w:rPr>
          <w:rFonts w:ascii="Book Antiqua" w:hAnsi="Book Antiqua"/>
          <w:color w:val="000000"/>
          <w:lang w:val="en-US"/>
        </w:rPr>
        <w:t>Epub</w:t>
      </w:r>
      <w:proofErr w:type="spellEnd"/>
      <w:r w:rsidR="00B6681C" w:rsidRPr="00D92B63">
        <w:rPr>
          <w:rFonts w:ascii="Book Antiqua" w:hAnsi="Book Antiqua"/>
          <w:color w:val="000000"/>
          <w:lang w:val="en-US"/>
        </w:rPr>
        <w:t xml:space="preserve"> ahead of print</w:t>
      </w:r>
      <w:r w:rsidRPr="00D01C8E">
        <w:rPr>
          <w:rFonts w:ascii="Book Antiqua" w:eastAsia="宋体" w:hAnsi="Book Antiqua" w:cs="宋体"/>
          <w:lang w:val="en-US" w:eastAsia="zh-CN"/>
        </w:rPr>
        <w:t xml:space="preserve"> [PMID: 26041001]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37 </w:t>
      </w:r>
      <w:proofErr w:type="spellStart"/>
      <w:r w:rsidRPr="00D01C8E">
        <w:rPr>
          <w:rFonts w:ascii="Book Antiqua" w:eastAsia="宋体" w:hAnsi="Book Antiqua" w:cs="宋体"/>
          <w:b/>
          <w:bCs/>
          <w:lang w:val="en-US" w:eastAsia="zh-CN"/>
        </w:rPr>
        <w:t>Lionaki</w:t>
      </w:r>
      <w:proofErr w:type="spellEnd"/>
      <w:r w:rsidRPr="00D01C8E">
        <w:rPr>
          <w:rFonts w:ascii="Book Antiqua" w:eastAsia="宋体" w:hAnsi="Book Antiqua" w:cs="宋体"/>
          <w:b/>
          <w:bCs/>
          <w:lang w:val="en-US" w:eastAsia="zh-CN"/>
        </w:rPr>
        <w:t xml:space="preserve"> S</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Vlachopanos</w:t>
      </w:r>
      <w:proofErr w:type="spellEnd"/>
      <w:r w:rsidRPr="00D01C8E">
        <w:rPr>
          <w:rFonts w:ascii="Book Antiqua" w:eastAsia="宋体" w:hAnsi="Book Antiqua" w:cs="宋体"/>
          <w:lang w:val="en-US" w:eastAsia="zh-CN"/>
        </w:rPr>
        <w:t xml:space="preserve"> G, </w:t>
      </w:r>
      <w:proofErr w:type="spellStart"/>
      <w:r w:rsidRPr="00D01C8E">
        <w:rPr>
          <w:rFonts w:ascii="Book Antiqua" w:eastAsia="宋体" w:hAnsi="Book Antiqua" w:cs="宋体"/>
          <w:lang w:val="en-US" w:eastAsia="zh-CN"/>
        </w:rPr>
        <w:t>Georgalis</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Liapis</w:t>
      </w:r>
      <w:proofErr w:type="spellEnd"/>
      <w:r w:rsidRPr="00D01C8E">
        <w:rPr>
          <w:rFonts w:ascii="Book Antiqua" w:eastAsia="宋体" w:hAnsi="Book Antiqua" w:cs="宋体"/>
          <w:lang w:val="en-US" w:eastAsia="zh-CN"/>
        </w:rPr>
        <w:t xml:space="preserve"> G, </w:t>
      </w:r>
      <w:proofErr w:type="spellStart"/>
      <w:r w:rsidRPr="00D01C8E">
        <w:rPr>
          <w:rFonts w:ascii="Book Antiqua" w:eastAsia="宋体" w:hAnsi="Book Antiqua" w:cs="宋体"/>
          <w:lang w:val="en-US" w:eastAsia="zh-CN"/>
        </w:rPr>
        <w:t>Skalioti</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Zavos</w:t>
      </w:r>
      <w:proofErr w:type="spellEnd"/>
      <w:r w:rsidRPr="00D01C8E">
        <w:rPr>
          <w:rFonts w:ascii="Book Antiqua" w:eastAsia="宋体" w:hAnsi="Book Antiqua" w:cs="宋体"/>
          <w:lang w:val="en-US" w:eastAsia="zh-CN"/>
        </w:rPr>
        <w:t xml:space="preserve"> G, </w:t>
      </w:r>
      <w:proofErr w:type="spellStart"/>
      <w:r w:rsidRPr="00D01C8E">
        <w:rPr>
          <w:rFonts w:ascii="Book Antiqua" w:eastAsia="宋体" w:hAnsi="Book Antiqua" w:cs="宋体"/>
          <w:lang w:val="en-US" w:eastAsia="zh-CN"/>
        </w:rPr>
        <w:t>Boletis</w:t>
      </w:r>
      <w:proofErr w:type="spellEnd"/>
      <w:r w:rsidRPr="00D01C8E">
        <w:rPr>
          <w:rFonts w:ascii="Book Antiqua" w:eastAsia="宋体" w:hAnsi="Book Antiqua" w:cs="宋体"/>
          <w:lang w:val="en-US" w:eastAsia="zh-CN"/>
        </w:rPr>
        <w:t xml:space="preserve"> JN. Individualized scheme of </w:t>
      </w:r>
      <w:proofErr w:type="spellStart"/>
      <w:r w:rsidRPr="00D01C8E">
        <w:rPr>
          <w:rFonts w:ascii="Book Antiqua" w:eastAsia="宋体" w:hAnsi="Book Antiqua" w:cs="宋体"/>
          <w:lang w:val="en-US" w:eastAsia="zh-CN"/>
        </w:rPr>
        <w:t>immunoadsorption</w:t>
      </w:r>
      <w:proofErr w:type="spellEnd"/>
      <w:r w:rsidRPr="00D01C8E">
        <w:rPr>
          <w:rFonts w:ascii="Book Antiqua" w:eastAsia="宋体" w:hAnsi="Book Antiqua" w:cs="宋体"/>
          <w:lang w:val="en-US" w:eastAsia="zh-CN"/>
        </w:rPr>
        <w:t xml:space="preserve"> for the recurrence of idiopathic focal segmental glomerulosclerosis in the graft: a single center experience. </w:t>
      </w:r>
      <w:r w:rsidRPr="00D01C8E">
        <w:rPr>
          <w:rFonts w:ascii="Book Antiqua" w:eastAsia="宋体" w:hAnsi="Book Antiqua" w:cs="宋体"/>
          <w:i/>
          <w:iCs/>
          <w:lang w:val="en-US" w:eastAsia="zh-CN"/>
        </w:rPr>
        <w:t>Ren Fail</w:t>
      </w:r>
      <w:r w:rsidRPr="00D01C8E">
        <w:rPr>
          <w:rFonts w:ascii="Book Antiqua" w:eastAsia="宋体" w:hAnsi="Book Antiqua" w:cs="宋体"/>
          <w:lang w:val="en-US" w:eastAsia="zh-CN"/>
        </w:rPr>
        <w:t xml:space="preserve"> 2015; </w:t>
      </w:r>
      <w:r w:rsidRPr="00D01C8E">
        <w:rPr>
          <w:rFonts w:ascii="Book Antiqua" w:eastAsia="宋体" w:hAnsi="Book Antiqua" w:cs="宋体"/>
          <w:b/>
          <w:bCs/>
          <w:lang w:val="en-US" w:eastAsia="zh-CN"/>
        </w:rPr>
        <w:t>37</w:t>
      </w:r>
      <w:r w:rsidRPr="00D01C8E">
        <w:rPr>
          <w:rFonts w:ascii="Book Antiqua" w:eastAsia="宋体" w:hAnsi="Book Antiqua" w:cs="宋体"/>
          <w:lang w:val="en-US" w:eastAsia="zh-CN"/>
        </w:rPr>
        <w:t>: 777-783 [PMID: 25715638 DOI: 10.3109/0886022X.2015.1015366]</w:t>
      </w:r>
    </w:p>
    <w:p w:rsidR="00D01C8E" w:rsidRPr="00D01C8E" w:rsidRDefault="00B6681C" w:rsidP="00D01C8E">
      <w:pPr>
        <w:suppressAutoHyphens w:val="0"/>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38 </w:t>
      </w:r>
      <w:r w:rsidR="00D01C8E" w:rsidRPr="00D01C8E">
        <w:rPr>
          <w:rFonts w:ascii="Book Antiqua" w:eastAsia="宋体" w:hAnsi="Book Antiqua" w:cs="宋体"/>
          <w:lang w:val="en-US" w:eastAsia="zh-CN"/>
        </w:rPr>
        <w:t>Kidney Disease Improving Global Outcomes (KDIGO) Glomerulonephritis Work Group.</w:t>
      </w:r>
      <w:proofErr w:type="gramEnd"/>
      <w:r w:rsidR="00D01C8E" w:rsidRPr="00D01C8E">
        <w:rPr>
          <w:rFonts w:ascii="Book Antiqua" w:eastAsia="宋体" w:hAnsi="Book Antiqua" w:cs="宋体"/>
          <w:lang w:val="en-US" w:eastAsia="zh-CN"/>
        </w:rPr>
        <w:t xml:space="preserve"> </w:t>
      </w:r>
      <w:proofErr w:type="gramStart"/>
      <w:r w:rsidR="00D01C8E" w:rsidRPr="00D01C8E">
        <w:rPr>
          <w:rFonts w:ascii="Book Antiqua" w:eastAsia="宋体" w:hAnsi="Book Antiqua" w:cs="宋体"/>
          <w:lang w:val="en-US" w:eastAsia="zh-CN"/>
        </w:rPr>
        <w:t>KDIGO Clinical Practice Guideline for Glomerulonephritis.</w:t>
      </w:r>
      <w:proofErr w:type="gramEnd"/>
      <w:r w:rsidR="00D01C8E" w:rsidRPr="00D01C8E">
        <w:rPr>
          <w:rFonts w:ascii="Book Antiqua" w:eastAsia="宋体" w:hAnsi="Book Antiqua" w:cs="宋体"/>
          <w:lang w:val="en-US" w:eastAsia="zh-CN"/>
        </w:rPr>
        <w:t xml:space="preserve"> </w:t>
      </w:r>
      <w:r w:rsidR="00D01C8E" w:rsidRPr="00D01C8E">
        <w:rPr>
          <w:rFonts w:ascii="Book Antiqua" w:eastAsia="宋体" w:hAnsi="Book Antiqua" w:cs="宋体"/>
          <w:i/>
          <w:lang w:val="en-US" w:eastAsia="zh-CN"/>
        </w:rPr>
        <w:t xml:space="preserve">Kidney </w:t>
      </w:r>
      <w:proofErr w:type="spellStart"/>
      <w:r w:rsidR="00D01C8E" w:rsidRPr="00D01C8E">
        <w:rPr>
          <w:rFonts w:ascii="Book Antiqua" w:eastAsia="宋体" w:hAnsi="Book Antiqua" w:cs="宋体"/>
          <w:i/>
          <w:lang w:val="en-US" w:eastAsia="zh-CN"/>
        </w:rPr>
        <w:t>Int</w:t>
      </w:r>
      <w:proofErr w:type="spellEnd"/>
      <w:r w:rsidR="00D01C8E" w:rsidRPr="00D01C8E">
        <w:rPr>
          <w:rFonts w:ascii="Book Antiqua" w:eastAsia="宋体" w:hAnsi="Book Antiqua" w:cs="宋体"/>
          <w:i/>
          <w:lang w:val="en-US" w:eastAsia="zh-CN"/>
        </w:rPr>
        <w:t xml:space="preserve"> </w:t>
      </w:r>
      <w:proofErr w:type="spellStart"/>
      <w:r w:rsidR="00D01C8E" w:rsidRPr="00D01C8E">
        <w:rPr>
          <w:rFonts w:ascii="Book Antiqua" w:eastAsia="宋体" w:hAnsi="Book Antiqua" w:cs="宋体"/>
          <w:i/>
          <w:lang w:val="en-US" w:eastAsia="zh-CN"/>
        </w:rPr>
        <w:t>Suppl</w:t>
      </w:r>
      <w:proofErr w:type="spellEnd"/>
      <w:r w:rsidR="00D01C8E" w:rsidRPr="00D01C8E">
        <w:rPr>
          <w:rFonts w:ascii="Book Antiqua" w:eastAsia="宋体" w:hAnsi="Book Antiqua" w:cs="宋体"/>
          <w:i/>
          <w:lang w:val="en-US" w:eastAsia="zh-CN"/>
        </w:rPr>
        <w:t xml:space="preserve"> </w:t>
      </w:r>
      <w:r w:rsidR="00D01C8E" w:rsidRPr="00D01C8E">
        <w:rPr>
          <w:rFonts w:ascii="Book Antiqua" w:eastAsia="宋体" w:hAnsi="Book Antiqua" w:cs="宋体"/>
          <w:lang w:val="en-US" w:eastAsia="zh-CN"/>
        </w:rPr>
        <w:t xml:space="preserve">2012; </w:t>
      </w:r>
      <w:r w:rsidR="00D01C8E" w:rsidRPr="00D01C8E">
        <w:rPr>
          <w:rFonts w:ascii="Book Antiqua" w:eastAsia="宋体" w:hAnsi="Book Antiqua" w:cs="宋体"/>
          <w:b/>
          <w:lang w:val="en-US" w:eastAsia="zh-CN"/>
        </w:rPr>
        <w:t>2</w:t>
      </w:r>
      <w:r w:rsidR="00D01C8E" w:rsidRPr="00D01C8E">
        <w:rPr>
          <w:rFonts w:ascii="Book Antiqua" w:eastAsia="宋体" w:hAnsi="Book Antiqua" w:cs="宋体"/>
          <w:lang w:val="en-US" w:eastAsia="zh-CN"/>
        </w:rPr>
        <w:t>: 139-274 [DOI: 10.1038/kisup.2012]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39 </w:t>
      </w:r>
      <w:r w:rsidRPr="00D01C8E">
        <w:rPr>
          <w:rFonts w:ascii="Book Antiqua" w:eastAsia="宋体" w:hAnsi="Book Antiqua" w:cs="宋体"/>
          <w:b/>
          <w:bCs/>
          <w:lang w:val="en-US" w:eastAsia="zh-CN"/>
        </w:rPr>
        <w:t>Ransom RF</w:t>
      </w:r>
      <w:r w:rsidRPr="00D01C8E">
        <w:rPr>
          <w:rFonts w:ascii="Book Antiqua" w:eastAsia="宋体" w:hAnsi="Book Antiqua" w:cs="宋体"/>
          <w:lang w:val="en-US" w:eastAsia="zh-CN"/>
        </w:rPr>
        <w:t xml:space="preserve">, Lam NG, Hallett MA, Atkinson SJ, </w:t>
      </w:r>
      <w:proofErr w:type="spellStart"/>
      <w:r w:rsidRPr="00D01C8E">
        <w:rPr>
          <w:rFonts w:ascii="Book Antiqua" w:eastAsia="宋体" w:hAnsi="Book Antiqua" w:cs="宋体"/>
          <w:lang w:val="en-US" w:eastAsia="zh-CN"/>
        </w:rPr>
        <w:t>Smoyer</w:t>
      </w:r>
      <w:proofErr w:type="spellEnd"/>
      <w:r w:rsidRPr="00D01C8E">
        <w:rPr>
          <w:rFonts w:ascii="Book Antiqua" w:eastAsia="宋体" w:hAnsi="Book Antiqua" w:cs="宋体"/>
          <w:lang w:val="en-US" w:eastAsia="zh-CN"/>
        </w:rPr>
        <w:t xml:space="preserve"> WE. Glucocorticoids protect and enhance recovery of cultured murine podocytes </w:t>
      </w:r>
      <w:r w:rsidRPr="00D01C8E">
        <w:rPr>
          <w:rFonts w:ascii="Book Antiqua" w:eastAsia="宋体" w:hAnsi="Book Antiqua" w:cs="宋体"/>
          <w:lang w:val="en-US" w:eastAsia="zh-CN"/>
        </w:rPr>
        <w:lastRenderedPageBreak/>
        <w:t xml:space="preserve">via actin filament stabilization. </w:t>
      </w:r>
      <w:r w:rsidRPr="00D01C8E">
        <w:rPr>
          <w:rFonts w:ascii="Book Antiqua" w:eastAsia="宋体" w:hAnsi="Book Antiqua" w:cs="宋体"/>
          <w:i/>
          <w:iCs/>
          <w:lang w:val="en-US" w:eastAsia="zh-CN"/>
        </w:rPr>
        <w:t xml:space="preserve">Kidney </w:t>
      </w:r>
      <w:proofErr w:type="spellStart"/>
      <w:r w:rsidRPr="00D01C8E">
        <w:rPr>
          <w:rFonts w:ascii="Book Antiqua" w:eastAsia="宋体" w:hAnsi="Book Antiqua" w:cs="宋体"/>
          <w:i/>
          <w:iCs/>
          <w:lang w:val="en-US" w:eastAsia="zh-CN"/>
        </w:rPr>
        <w:t>Int</w:t>
      </w:r>
      <w:proofErr w:type="spellEnd"/>
      <w:r w:rsidRPr="00D01C8E">
        <w:rPr>
          <w:rFonts w:ascii="Book Antiqua" w:eastAsia="宋体" w:hAnsi="Book Antiqua" w:cs="宋体"/>
          <w:lang w:val="en-US" w:eastAsia="zh-CN"/>
        </w:rPr>
        <w:t xml:space="preserve"> 2005; </w:t>
      </w:r>
      <w:r w:rsidRPr="00D01C8E">
        <w:rPr>
          <w:rFonts w:ascii="Book Antiqua" w:eastAsia="宋体" w:hAnsi="Book Antiqua" w:cs="宋体"/>
          <w:b/>
          <w:bCs/>
          <w:lang w:val="en-US" w:eastAsia="zh-CN"/>
        </w:rPr>
        <w:t>68</w:t>
      </w:r>
      <w:r w:rsidRPr="00D01C8E">
        <w:rPr>
          <w:rFonts w:ascii="Book Antiqua" w:eastAsia="宋体" w:hAnsi="Book Antiqua" w:cs="宋体"/>
          <w:lang w:val="en-US" w:eastAsia="zh-CN"/>
        </w:rPr>
        <w:t>: 2473-2483 [PMID: 16316324]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40 </w:t>
      </w:r>
      <w:r w:rsidRPr="00D01C8E">
        <w:rPr>
          <w:rFonts w:ascii="Book Antiqua" w:eastAsia="宋体" w:hAnsi="Book Antiqua" w:cs="宋体"/>
          <w:b/>
          <w:bCs/>
          <w:lang w:val="en-US" w:eastAsia="zh-CN"/>
        </w:rPr>
        <w:t>Yu-</w:t>
      </w:r>
      <w:proofErr w:type="spellStart"/>
      <w:r w:rsidRPr="00D01C8E">
        <w:rPr>
          <w:rFonts w:ascii="Book Antiqua" w:eastAsia="宋体" w:hAnsi="Book Antiqua" w:cs="宋体"/>
          <w:b/>
          <w:bCs/>
          <w:lang w:val="en-US" w:eastAsia="zh-CN"/>
        </w:rPr>
        <w:t>Shengyou</w:t>
      </w:r>
      <w:proofErr w:type="spellEnd"/>
      <w:r w:rsidRPr="00D01C8E">
        <w:rPr>
          <w:rFonts w:ascii="Book Antiqua" w:eastAsia="宋体" w:hAnsi="Book Antiqua" w:cs="宋体"/>
          <w:b/>
          <w:bCs/>
          <w:lang w:val="en-US" w:eastAsia="zh-CN"/>
        </w:rPr>
        <w:t xml:space="preserve"> Y</w:t>
      </w:r>
      <w:r w:rsidRPr="00D01C8E">
        <w:rPr>
          <w:rFonts w:ascii="Book Antiqua" w:eastAsia="宋体" w:hAnsi="Book Antiqua" w:cs="宋体"/>
          <w:lang w:val="en-US" w:eastAsia="zh-CN"/>
        </w:rPr>
        <w:t>. Dexamethasone inhibits podocyte apoptosis by stabilizing the PI3K/</w:t>
      </w:r>
      <w:proofErr w:type="spellStart"/>
      <w:r w:rsidRPr="00D01C8E">
        <w:rPr>
          <w:rFonts w:ascii="Book Antiqua" w:eastAsia="宋体" w:hAnsi="Book Antiqua" w:cs="宋体"/>
          <w:lang w:val="en-US" w:eastAsia="zh-CN"/>
        </w:rPr>
        <w:t>Akt</w:t>
      </w:r>
      <w:proofErr w:type="spellEnd"/>
      <w:r w:rsidRPr="00D01C8E">
        <w:rPr>
          <w:rFonts w:ascii="Book Antiqua" w:eastAsia="宋体" w:hAnsi="Book Antiqua" w:cs="宋体"/>
          <w:lang w:val="en-US" w:eastAsia="zh-CN"/>
        </w:rPr>
        <w:t xml:space="preserve"> signal pathway. </w:t>
      </w:r>
      <w:r w:rsidRPr="00D01C8E">
        <w:rPr>
          <w:rFonts w:ascii="Book Antiqua" w:eastAsia="宋体" w:hAnsi="Book Antiqua" w:cs="宋体"/>
          <w:i/>
          <w:iCs/>
          <w:lang w:val="en-US" w:eastAsia="zh-CN"/>
        </w:rPr>
        <w:t xml:space="preserve">Biomed Res </w:t>
      </w:r>
      <w:proofErr w:type="spellStart"/>
      <w:r w:rsidRPr="00D01C8E">
        <w:rPr>
          <w:rFonts w:ascii="Book Antiqua" w:eastAsia="宋体" w:hAnsi="Book Antiqua" w:cs="宋体"/>
          <w:i/>
          <w:iCs/>
          <w:lang w:val="en-US" w:eastAsia="zh-CN"/>
        </w:rPr>
        <w:t>Int</w:t>
      </w:r>
      <w:proofErr w:type="spellEnd"/>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2013</w:t>
      </w:r>
      <w:r w:rsidRPr="00D01C8E">
        <w:rPr>
          <w:rFonts w:ascii="Book Antiqua" w:eastAsia="宋体" w:hAnsi="Book Antiqua" w:cs="宋体"/>
          <w:lang w:val="en-US" w:eastAsia="zh-CN"/>
        </w:rPr>
        <w:t>: 326986 [PMID: 23710442 DOI: 10.1155/2013/326986]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41 </w:t>
      </w:r>
      <w:proofErr w:type="spellStart"/>
      <w:r w:rsidRPr="00D01C8E">
        <w:rPr>
          <w:rFonts w:ascii="Book Antiqua" w:eastAsia="宋体" w:hAnsi="Book Antiqua" w:cs="宋体"/>
          <w:b/>
          <w:bCs/>
          <w:lang w:val="en-US" w:eastAsia="zh-CN"/>
        </w:rPr>
        <w:t>Shishido</w:t>
      </w:r>
      <w:proofErr w:type="spellEnd"/>
      <w:r w:rsidRPr="00D01C8E">
        <w:rPr>
          <w:rFonts w:ascii="Book Antiqua" w:eastAsia="宋体" w:hAnsi="Book Antiqua" w:cs="宋体"/>
          <w:b/>
          <w:bCs/>
          <w:lang w:val="en-US" w:eastAsia="zh-CN"/>
        </w:rPr>
        <w:t xml:space="preserve"> S</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Satou</w:t>
      </w:r>
      <w:proofErr w:type="spellEnd"/>
      <w:r w:rsidRPr="00D01C8E">
        <w:rPr>
          <w:rFonts w:ascii="Book Antiqua" w:eastAsia="宋体" w:hAnsi="Book Antiqua" w:cs="宋体"/>
          <w:lang w:val="en-US" w:eastAsia="zh-CN"/>
        </w:rPr>
        <w:t xml:space="preserve"> H, </w:t>
      </w:r>
      <w:proofErr w:type="spellStart"/>
      <w:r w:rsidRPr="00D01C8E">
        <w:rPr>
          <w:rFonts w:ascii="Book Antiqua" w:eastAsia="宋体" w:hAnsi="Book Antiqua" w:cs="宋体"/>
          <w:lang w:val="en-US" w:eastAsia="zh-CN"/>
        </w:rPr>
        <w:t>Muramatsu</w:t>
      </w:r>
      <w:proofErr w:type="spellEnd"/>
      <w:r w:rsidRPr="00D01C8E">
        <w:rPr>
          <w:rFonts w:ascii="Book Antiqua" w:eastAsia="宋体" w:hAnsi="Book Antiqua" w:cs="宋体"/>
          <w:lang w:val="en-US" w:eastAsia="zh-CN"/>
        </w:rPr>
        <w:t xml:space="preserve"> M, Hamasaki Y, </w:t>
      </w:r>
      <w:proofErr w:type="spellStart"/>
      <w:r w:rsidRPr="00D01C8E">
        <w:rPr>
          <w:rFonts w:ascii="Book Antiqua" w:eastAsia="宋体" w:hAnsi="Book Antiqua" w:cs="宋体"/>
          <w:lang w:val="en-US" w:eastAsia="zh-CN"/>
        </w:rPr>
        <w:t>Ishikura</w:t>
      </w:r>
      <w:proofErr w:type="spellEnd"/>
      <w:r w:rsidRPr="00D01C8E">
        <w:rPr>
          <w:rFonts w:ascii="Book Antiqua" w:eastAsia="宋体" w:hAnsi="Book Antiqua" w:cs="宋体"/>
          <w:lang w:val="en-US" w:eastAsia="zh-CN"/>
        </w:rPr>
        <w:t xml:space="preserve"> K, </w:t>
      </w:r>
      <w:proofErr w:type="spellStart"/>
      <w:r w:rsidRPr="00D01C8E">
        <w:rPr>
          <w:rFonts w:ascii="Book Antiqua" w:eastAsia="宋体" w:hAnsi="Book Antiqua" w:cs="宋体"/>
          <w:lang w:val="en-US" w:eastAsia="zh-CN"/>
        </w:rPr>
        <w:t>Hataya</w:t>
      </w:r>
      <w:proofErr w:type="spellEnd"/>
      <w:r w:rsidRPr="00D01C8E">
        <w:rPr>
          <w:rFonts w:ascii="Book Antiqua" w:eastAsia="宋体" w:hAnsi="Book Antiqua" w:cs="宋体"/>
          <w:lang w:val="en-US" w:eastAsia="zh-CN"/>
        </w:rPr>
        <w:t xml:space="preserve"> H, Honda M, Asanuma H, </w:t>
      </w:r>
      <w:proofErr w:type="spellStart"/>
      <w:r w:rsidRPr="00D01C8E">
        <w:rPr>
          <w:rFonts w:ascii="Book Antiqua" w:eastAsia="宋体" w:hAnsi="Book Antiqua" w:cs="宋体"/>
          <w:lang w:val="en-US" w:eastAsia="zh-CN"/>
        </w:rPr>
        <w:t>Aikawa</w:t>
      </w:r>
      <w:proofErr w:type="spellEnd"/>
      <w:r w:rsidRPr="00D01C8E">
        <w:rPr>
          <w:rFonts w:ascii="Book Antiqua" w:eastAsia="宋体" w:hAnsi="Book Antiqua" w:cs="宋体"/>
          <w:lang w:val="en-US" w:eastAsia="zh-CN"/>
        </w:rPr>
        <w:t xml:space="preserve"> A. Combination of pulse methylprednisolone infusions with cyclosporine-based immunosuppression is safe and effective to treat recurrent focal segmental glomerulosclerosis after pediatric kidney transplantation. </w:t>
      </w:r>
      <w:proofErr w:type="spellStart"/>
      <w:r w:rsidRPr="00D01C8E">
        <w:rPr>
          <w:rFonts w:ascii="Book Antiqua" w:eastAsia="宋体" w:hAnsi="Book Antiqua" w:cs="宋体"/>
          <w:i/>
          <w:iCs/>
          <w:lang w:val="en-US" w:eastAsia="zh-CN"/>
        </w:rPr>
        <w:t>Clin</w:t>
      </w:r>
      <w:proofErr w:type="spellEnd"/>
      <w:r w:rsidRPr="00D01C8E">
        <w:rPr>
          <w:rFonts w:ascii="Book Antiqua" w:eastAsia="宋体" w:hAnsi="Book Antiqua" w:cs="宋体"/>
          <w:i/>
          <w:iCs/>
          <w:lang w:val="en-US" w:eastAsia="zh-CN"/>
        </w:rPr>
        <w:t xml:space="preserve"> Transplant</w:t>
      </w:r>
      <w:r w:rsidRPr="00D01C8E">
        <w:rPr>
          <w:rFonts w:ascii="Book Antiqua" w:eastAsia="宋体" w:hAnsi="Book Antiqua" w:cs="宋体"/>
          <w:lang w:val="en-US" w:eastAsia="zh-CN"/>
        </w:rPr>
        <w:t xml:space="preserve"> </w:t>
      </w:r>
      <w:r w:rsidR="007273E8">
        <w:rPr>
          <w:rFonts w:ascii="Book Antiqua" w:eastAsia="宋体" w:hAnsi="Book Antiqua" w:cs="宋体" w:hint="eastAsia"/>
          <w:lang w:val="en-US" w:eastAsia="zh-CN"/>
        </w:rPr>
        <w:t>2013</w:t>
      </w:r>
      <w:r w:rsidRPr="00D01C8E">
        <w:rPr>
          <w:rFonts w:ascii="Book Antiqua" w:eastAsia="宋体" w:hAnsi="Book Antiqua" w:cs="宋体"/>
          <w:lang w:val="en-US" w:eastAsia="zh-CN"/>
        </w:rPr>
        <w:t xml:space="preserve">; </w:t>
      </w:r>
      <w:r w:rsidRPr="00D01C8E">
        <w:rPr>
          <w:rFonts w:ascii="Book Antiqua" w:eastAsia="宋体" w:hAnsi="Book Antiqua" w:cs="宋体"/>
          <w:b/>
          <w:bCs/>
          <w:lang w:val="en-US" w:eastAsia="zh-CN"/>
        </w:rPr>
        <w:t>27</w:t>
      </w:r>
      <w:r w:rsidRPr="00D01C8E">
        <w:rPr>
          <w:rFonts w:ascii="Book Antiqua" w:eastAsia="宋体" w:hAnsi="Book Antiqua" w:cs="宋体"/>
          <w:lang w:val="en-US" w:eastAsia="zh-CN"/>
        </w:rPr>
        <w:t>: E143-E150 [PMID: 23383697 DOI: 10.1111/ctr.12079]</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42 </w:t>
      </w:r>
      <w:proofErr w:type="spellStart"/>
      <w:r w:rsidRPr="00D01C8E">
        <w:rPr>
          <w:rFonts w:ascii="Book Antiqua" w:eastAsia="宋体" w:hAnsi="Book Antiqua" w:cs="宋体"/>
          <w:b/>
          <w:bCs/>
          <w:lang w:val="en-US" w:eastAsia="zh-CN"/>
        </w:rPr>
        <w:t>Vincenti</w:t>
      </w:r>
      <w:proofErr w:type="spellEnd"/>
      <w:r w:rsidRPr="00D01C8E">
        <w:rPr>
          <w:rFonts w:ascii="Book Antiqua" w:eastAsia="宋体" w:hAnsi="Book Antiqua" w:cs="宋体"/>
          <w:b/>
          <w:bCs/>
          <w:lang w:val="en-US" w:eastAsia="zh-CN"/>
        </w:rPr>
        <w:t xml:space="preserve"> F</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Biava</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Tomlanovitch</w:t>
      </w:r>
      <w:proofErr w:type="spellEnd"/>
      <w:r w:rsidRPr="00D01C8E">
        <w:rPr>
          <w:rFonts w:ascii="Book Antiqua" w:eastAsia="宋体" w:hAnsi="Book Antiqua" w:cs="宋体"/>
          <w:lang w:val="en-US" w:eastAsia="zh-CN"/>
        </w:rPr>
        <w:t xml:space="preserve"> S, Amend WJ, </w:t>
      </w:r>
      <w:proofErr w:type="spellStart"/>
      <w:r w:rsidRPr="00D01C8E">
        <w:rPr>
          <w:rFonts w:ascii="Book Antiqua" w:eastAsia="宋体" w:hAnsi="Book Antiqua" w:cs="宋体"/>
          <w:lang w:val="en-US" w:eastAsia="zh-CN"/>
        </w:rPr>
        <w:t>Garovoy</w:t>
      </w:r>
      <w:proofErr w:type="spellEnd"/>
      <w:r w:rsidRPr="00D01C8E">
        <w:rPr>
          <w:rFonts w:ascii="Book Antiqua" w:eastAsia="宋体" w:hAnsi="Book Antiqua" w:cs="宋体"/>
          <w:lang w:val="en-US" w:eastAsia="zh-CN"/>
        </w:rPr>
        <w:t xml:space="preserve"> M, Melzer J, </w:t>
      </w:r>
      <w:proofErr w:type="spellStart"/>
      <w:r w:rsidRPr="00D01C8E">
        <w:rPr>
          <w:rFonts w:ascii="Book Antiqua" w:eastAsia="宋体" w:hAnsi="Book Antiqua" w:cs="宋体"/>
          <w:lang w:val="en-US" w:eastAsia="zh-CN"/>
        </w:rPr>
        <w:t>Feduska</w:t>
      </w:r>
      <w:proofErr w:type="spellEnd"/>
      <w:r w:rsidRPr="00D01C8E">
        <w:rPr>
          <w:rFonts w:ascii="Book Antiqua" w:eastAsia="宋体" w:hAnsi="Book Antiqua" w:cs="宋体"/>
          <w:lang w:val="en-US" w:eastAsia="zh-CN"/>
        </w:rPr>
        <w:t xml:space="preserve"> N, </w:t>
      </w:r>
      <w:proofErr w:type="spellStart"/>
      <w:r w:rsidRPr="00D01C8E">
        <w:rPr>
          <w:rFonts w:ascii="Book Antiqua" w:eastAsia="宋体" w:hAnsi="Book Antiqua" w:cs="宋体"/>
          <w:lang w:val="en-US" w:eastAsia="zh-CN"/>
        </w:rPr>
        <w:t>Salvatierra</w:t>
      </w:r>
      <w:proofErr w:type="spellEnd"/>
      <w:r w:rsidRPr="00D01C8E">
        <w:rPr>
          <w:rFonts w:ascii="Book Antiqua" w:eastAsia="宋体" w:hAnsi="Book Antiqua" w:cs="宋体"/>
          <w:lang w:val="en-US" w:eastAsia="zh-CN"/>
        </w:rPr>
        <w:t xml:space="preserve"> O. Inability of cyclosporine to completely prevent the recurrence of focal glomerulosclerosis after kidney transplantation. </w:t>
      </w:r>
      <w:r w:rsidRPr="00D01C8E">
        <w:rPr>
          <w:rFonts w:ascii="Book Antiqua" w:eastAsia="宋体" w:hAnsi="Book Antiqua" w:cs="宋体"/>
          <w:i/>
          <w:iCs/>
          <w:lang w:val="en-US" w:eastAsia="zh-CN"/>
        </w:rPr>
        <w:t>Transplantation</w:t>
      </w:r>
      <w:r w:rsidRPr="00D01C8E">
        <w:rPr>
          <w:rFonts w:ascii="Book Antiqua" w:eastAsia="宋体" w:hAnsi="Book Antiqua" w:cs="宋体"/>
          <w:lang w:val="en-US" w:eastAsia="zh-CN"/>
        </w:rPr>
        <w:t xml:space="preserve"> 1989; </w:t>
      </w:r>
      <w:r w:rsidRPr="00D01C8E">
        <w:rPr>
          <w:rFonts w:ascii="Book Antiqua" w:eastAsia="宋体" w:hAnsi="Book Antiqua" w:cs="宋体"/>
          <w:b/>
          <w:bCs/>
          <w:lang w:val="en-US" w:eastAsia="zh-CN"/>
        </w:rPr>
        <w:t>47</w:t>
      </w:r>
      <w:r w:rsidRPr="00D01C8E">
        <w:rPr>
          <w:rFonts w:ascii="Book Antiqua" w:eastAsia="宋体" w:hAnsi="Book Antiqua" w:cs="宋体"/>
          <w:lang w:val="en-US" w:eastAsia="zh-CN"/>
        </w:rPr>
        <w:t>: 595-598 [PMID: 2650043]</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43 </w:t>
      </w:r>
      <w:proofErr w:type="spellStart"/>
      <w:r w:rsidRPr="00D01C8E">
        <w:rPr>
          <w:rFonts w:ascii="Book Antiqua" w:eastAsia="宋体" w:hAnsi="Book Antiqua" w:cs="宋体"/>
          <w:b/>
          <w:bCs/>
          <w:lang w:val="en-US" w:eastAsia="zh-CN"/>
        </w:rPr>
        <w:t>Banfi</w:t>
      </w:r>
      <w:proofErr w:type="spellEnd"/>
      <w:r w:rsidRPr="00D01C8E">
        <w:rPr>
          <w:rFonts w:ascii="Book Antiqua" w:eastAsia="宋体" w:hAnsi="Book Antiqua" w:cs="宋体"/>
          <w:b/>
          <w:bCs/>
          <w:lang w:val="en-US" w:eastAsia="zh-CN"/>
        </w:rPr>
        <w:t xml:space="preserve"> G</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Colturi</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Montagnino</w:t>
      </w:r>
      <w:proofErr w:type="spellEnd"/>
      <w:r w:rsidRPr="00D01C8E">
        <w:rPr>
          <w:rFonts w:ascii="Book Antiqua" w:eastAsia="宋体" w:hAnsi="Book Antiqua" w:cs="宋体"/>
          <w:lang w:val="en-US" w:eastAsia="zh-CN"/>
        </w:rPr>
        <w:t xml:space="preserve"> G, </w:t>
      </w:r>
      <w:proofErr w:type="spellStart"/>
      <w:r w:rsidRPr="00D01C8E">
        <w:rPr>
          <w:rFonts w:ascii="Book Antiqua" w:eastAsia="宋体" w:hAnsi="Book Antiqua" w:cs="宋体"/>
          <w:lang w:val="en-US" w:eastAsia="zh-CN"/>
        </w:rPr>
        <w:t>Ponticelli</w:t>
      </w:r>
      <w:proofErr w:type="spellEnd"/>
      <w:r w:rsidRPr="00D01C8E">
        <w:rPr>
          <w:rFonts w:ascii="Book Antiqua" w:eastAsia="宋体" w:hAnsi="Book Antiqua" w:cs="宋体"/>
          <w:lang w:val="en-US" w:eastAsia="zh-CN"/>
        </w:rPr>
        <w:t xml:space="preserve"> C. The recurrence of focal segmental glomerulosclerosis in kidney transplant patients treated with cyclosporine. </w:t>
      </w:r>
      <w:r w:rsidRPr="00D01C8E">
        <w:rPr>
          <w:rFonts w:ascii="Book Antiqua" w:eastAsia="宋体" w:hAnsi="Book Antiqua" w:cs="宋体"/>
          <w:i/>
          <w:iCs/>
          <w:lang w:val="en-US" w:eastAsia="zh-CN"/>
        </w:rPr>
        <w:t>Transplantation</w:t>
      </w:r>
      <w:r w:rsidRPr="00D01C8E">
        <w:rPr>
          <w:rFonts w:ascii="Book Antiqua" w:eastAsia="宋体" w:hAnsi="Book Antiqua" w:cs="宋体"/>
          <w:lang w:val="en-US" w:eastAsia="zh-CN"/>
        </w:rPr>
        <w:t xml:space="preserve"> 1990; </w:t>
      </w:r>
      <w:r w:rsidRPr="00D01C8E">
        <w:rPr>
          <w:rFonts w:ascii="Book Antiqua" w:eastAsia="宋体" w:hAnsi="Book Antiqua" w:cs="宋体"/>
          <w:b/>
          <w:bCs/>
          <w:lang w:val="en-US" w:eastAsia="zh-CN"/>
        </w:rPr>
        <w:t>50</w:t>
      </w:r>
      <w:r w:rsidRPr="00D01C8E">
        <w:rPr>
          <w:rFonts w:ascii="Book Antiqua" w:eastAsia="宋体" w:hAnsi="Book Antiqua" w:cs="宋体"/>
          <w:lang w:val="en-US" w:eastAsia="zh-CN"/>
        </w:rPr>
        <w:t>: 594-596 [PMID: 2219281]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44 </w:t>
      </w:r>
      <w:proofErr w:type="spellStart"/>
      <w:r w:rsidRPr="00D01C8E">
        <w:rPr>
          <w:rFonts w:ascii="Book Antiqua" w:eastAsia="宋体" w:hAnsi="Book Antiqua" w:cs="宋体"/>
          <w:b/>
          <w:bCs/>
          <w:lang w:val="en-US" w:eastAsia="zh-CN"/>
        </w:rPr>
        <w:t>Ingulli</w:t>
      </w:r>
      <w:proofErr w:type="spellEnd"/>
      <w:r w:rsidRPr="00D01C8E">
        <w:rPr>
          <w:rFonts w:ascii="Book Antiqua" w:eastAsia="宋体" w:hAnsi="Book Antiqua" w:cs="宋体"/>
          <w:b/>
          <w:bCs/>
          <w:lang w:val="en-US" w:eastAsia="zh-CN"/>
        </w:rPr>
        <w:t xml:space="preserve"> E</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Tejani</w:t>
      </w:r>
      <w:proofErr w:type="spellEnd"/>
      <w:r w:rsidRPr="00D01C8E">
        <w:rPr>
          <w:rFonts w:ascii="Book Antiqua" w:eastAsia="宋体" w:hAnsi="Book Antiqua" w:cs="宋体"/>
          <w:lang w:val="en-US" w:eastAsia="zh-CN"/>
        </w:rPr>
        <w:t xml:space="preserve"> A, Butt KM, </w:t>
      </w:r>
      <w:proofErr w:type="spellStart"/>
      <w:r w:rsidRPr="00D01C8E">
        <w:rPr>
          <w:rFonts w:ascii="Book Antiqua" w:eastAsia="宋体" w:hAnsi="Book Antiqua" w:cs="宋体"/>
          <w:lang w:val="en-US" w:eastAsia="zh-CN"/>
        </w:rPr>
        <w:t>Rajpoot</w:t>
      </w:r>
      <w:proofErr w:type="spellEnd"/>
      <w:r w:rsidRPr="00D01C8E">
        <w:rPr>
          <w:rFonts w:ascii="Book Antiqua" w:eastAsia="宋体" w:hAnsi="Book Antiqua" w:cs="宋体"/>
          <w:lang w:val="en-US" w:eastAsia="zh-CN"/>
        </w:rPr>
        <w:t xml:space="preserve"> D, Gonzalez R, </w:t>
      </w:r>
      <w:proofErr w:type="spellStart"/>
      <w:r w:rsidRPr="00D01C8E">
        <w:rPr>
          <w:rFonts w:ascii="Book Antiqua" w:eastAsia="宋体" w:hAnsi="Book Antiqua" w:cs="宋体"/>
          <w:lang w:val="en-US" w:eastAsia="zh-CN"/>
        </w:rPr>
        <w:t>Pomrantz</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Ettenger</w:t>
      </w:r>
      <w:proofErr w:type="spellEnd"/>
      <w:r w:rsidRPr="00D01C8E">
        <w:rPr>
          <w:rFonts w:ascii="Book Antiqua" w:eastAsia="宋体" w:hAnsi="Book Antiqua" w:cs="宋体"/>
          <w:lang w:val="en-US" w:eastAsia="zh-CN"/>
        </w:rPr>
        <w:t xml:space="preserve"> R. High-dose cyclosporine therapy in recurrent nephrotic syndrome following renal transplantation. </w:t>
      </w:r>
      <w:r w:rsidRPr="00D01C8E">
        <w:rPr>
          <w:rFonts w:ascii="Book Antiqua" w:eastAsia="宋体" w:hAnsi="Book Antiqua" w:cs="宋体"/>
          <w:i/>
          <w:iCs/>
          <w:lang w:val="en-US" w:eastAsia="zh-CN"/>
        </w:rPr>
        <w:t>Transplantation</w:t>
      </w:r>
      <w:r w:rsidRPr="00D01C8E">
        <w:rPr>
          <w:rFonts w:ascii="Book Antiqua" w:eastAsia="宋体" w:hAnsi="Book Antiqua" w:cs="宋体"/>
          <w:lang w:val="en-US" w:eastAsia="zh-CN"/>
        </w:rPr>
        <w:t xml:space="preserve"> 1990; </w:t>
      </w:r>
      <w:r w:rsidRPr="00D01C8E">
        <w:rPr>
          <w:rFonts w:ascii="Book Antiqua" w:eastAsia="宋体" w:hAnsi="Book Antiqua" w:cs="宋体"/>
          <w:b/>
          <w:bCs/>
          <w:lang w:val="en-US" w:eastAsia="zh-CN"/>
        </w:rPr>
        <w:t>49</w:t>
      </w:r>
      <w:r w:rsidRPr="00D01C8E">
        <w:rPr>
          <w:rFonts w:ascii="Book Antiqua" w:eastAsia="宋体" w:hAnsi="Book Antiqua" w:cs="宋体"/>
          <w:lang w:val="en-US" w:eastAsia="zh-CN"/>
        </w:rPr>
        <w:t>: 219-221 [PMID: 2301015]</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45 </w:t>
      </w:r>
      <w:r w:rsidRPr="00D01C8E">
        <w:rPr>
          <w:rFonts w:ascii="Book Antiqua" w:eastAsia="宋体" w:hAnsi="Book Antiqua" w:cs="宋体"/>
          <w:b/>
          <w:bCs/>
          <w:lang w:val="en-US" w:eastAsia="zh-CN"/>
        </w:rPr>
        <w:t>Salomon R</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Gagnadoux</w:t>
      </w:r>
      <w:proofErr w:type="spellEnd"/>
      <w:r w:rsidRPr="00D01C8E">
        <w:rPr>
          <w:rFonts w:ascii="Book Antiqua" w:eastAsia="宋体" w:hAnsi="Book Antiqua" w:cs="宋体"/>
          <w:lang w:val="en-US" w:eastAsia="zh-CN"/>
        </w:rPr>
        <w:t xml:space="preserve"> MF, </w:t>
      </w:r>
      <w:proofErr w:type="spellStart"/>
      <w:r w:rsidRPr="00D01C8E">
        <w:rPr>
          <w:rFonts w:ascii="Book Antiqua" w:eastAsia="宋体" w:hAnsi="Book Antiqua" w:cs="宋体"/>
          <w:lang w:val="en-US" w:eastAsia="zh-CN"/>
        </w:rPr>
        <w:t>Niaudet</w:t>
      </w:r>
      <w:proofErr w:type="spellEnd"/>
      <w:r w:rsidRPr="00D01C8E">
        <w:rPr>
          <w:rFonts w:ascii="Book Antiqua" w:eastAsia="宋体" w:hAnsi="Book Antiqua" w:cs="宋体"/>
          <w:lang w:val="en-US" w:eastAsia="zh-CN"/>
        </w:rPr>
        <w:t xml:space="preserve"> P. Intravenous cyclosporine therapy in recurrent nephrotic syndrome after renal transplantation in children. </w:t>
      </w:r>
      <w:r w:rsidRPr="00D01C8E">
        <w:rPr>
          <w:rFonts w:ascii="Book Antiqua" w:eastAsia="宋体" w:hAnsi="Book Antiqua" w:cs="宋体"/>
          <w:i/>
          <w:iCs/>
          <w:lang w:val="en-US" w:eastAsia="zh-CN"/>
        </w:rPr>
        <w:t>Transplantation</w:t>
      </w:r>
      <w:r w:rsidRPr="00D01C8E">
        <w:rPr>
          <w:rFonts w:ascii="Book Antiqua" w:eastAsia="宋体" w:hAnsi="Book Antiqua" w:cs="宋体"/>
          <w:lang w:val="en-US" w:eastAsia="zh-CN"/>
        </w:rPr>
        <w:t xml:space="preserve"> 2003; </w:t>
      </w:r>
      <w:r w:rsidRPr="00D01C8E">
        <w:rPr>
          <w:rFonts w:ascii="Book Antiqua" w:eastAsia="宋体" w:hAnsi="Book Antiqua" w:cs="宋体"/>
          <w:b/>
          <w:bCs/>
          <w:lang w:val="en-US" w:eastAsia="zh-CN"/>
        </w:rPr>
        <w:t>75</w:t>
      </w:r>
      <w:r w:rsidRPr="00D01C8E">
        <w:rPr>
          <w:rFonts w:ascii="Book Antiqua" w:eastAsia="宋体" w:hAnsi="Book Antiqua" w:cs="宋体"/>
          <w:lang w:val="en-US" w:eastAsia="zh-CN"/>
        </w:rPr>
        <w:t>: 810-814 [PMID: 12660507]</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46 </w:t>
      </w:r>
      <w:proofErr w:type="spellStart"/>
      <w:r w:rsidRPr="00D01C8E">
        <w:rPr>
          <w:rFonts w:ascii="Book Antiqua" w:eastAsia="宋体" w:hAnsi="Book Antiqua" w:cs="宋体"/>
          <w:b/>
          <w:bCs/>
          <w:lang w:val="en-US" w:eastAsia="zh-CN"/>
        </w:rPr>
        <w:t>Raafat</w:t>
      </w:r>
      <w:proofErr w:type="spellEnd"/>
      <w:r w:rsidRPr="00D01C8E">
        <w:rPr>
          <w:rFonts w:ascii="Book Antiqua" w:eastAsia="宋体" w:hAnsi="Book Antiqua" w:cs="宋体"/>
          <w:b/>
          <w:bCs/>
          <w:lang w:val="en-US" w:eastAsia="zh-CN"/>
        </w:rPr>
        <w:t xml:space="preserve"> RH</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Kalia</w:t>
      </w:r>
      <w:proofErr w:type="spellEnd"/>
      <w:r w:rsidRPr="00D01C8E">
        <w:rPr>
          <w:rFonts w:ascii="Book Antiqua" w:eastAsia="宋体" w:hAnsi="Book Antiqua" w:cs="宋体"/>
          <w:lang w:val="en-US" w:eastAsia="zh-CN"/>
        </w:rPr>
        <w:t xml:space="preserve"> A, Travis LB, </w:t>
      </w:r>
      <w:proofErr w:type="spellStart"/>
      <w:r w:rsidRPr="00D01C8E">
        <w:rPr>
          <w:rFonts w:ascii="Book Antiqua" w:eastAsia="宋体" w:hAnsi="Book Antiqua" w:cs="宋体"/>
          <w:lang w:val="en-US" w:eastAsia="zh-CN"/>
        </w:rPr>
        <w:t>Diven</w:t>
      </w:r>
      <w:proofErr w:type="spellEnd"/>
      <w:r w:rsidRPr="00D01C8E">
        <w:rPr>
          <w:rFonts w:ascii="Book Antiqua" w:eastAsia="宋体" w:hAnsi="Book Antiqua" w:cs="宋体"/>
          <w:lang w:val="en-US" w:eastAsia="zh-CN"/>
        </w:rPr>
        <w:t xml:space="preserve"> SC. High-dose oral </w:t>
      </w:r>
      <w:proofErr w:type="spellStart"/>
      <w:r w:rsidRPr="00D01C8E">
        <w:rPr>
          <w:rFonts w:ascii="Book Antiqua" w:eastAsia="宋体" w:hAnsi="Book Antiqua" w:cs="宋体"/>
          <w:lang w:val="en-US" w:eastAsia="zh-CN"/>
        </w:rPr>
        <w:t>cyclosporin</w:t>
      </w:r>
      <w:proofErr w:type="spellEnd"/>
      <w:r w:rsidRPr="00D01C8E">
        <w:rPr>
          <w:rFonts w:ascii="Book Antiqua" w:eastAsia="宋体" w:hAnsi="Book Antiqua" w:cs="宋体"/>
          <w:lang w:val="en-US" w:eastAsia="zh-CN"/>
        </w:rPr>
        <w:t xml:space="preserve"> therapy for recurrent focal segmental glomerulosclerosis in children. </w:t>
      </w:r>
      <w:r w:rsidRPr="00D01C8E">
        <w:rPr>
          <w:rFonts w:ascii="Book Antiqua" w:eastAsia="宋体" w:hAnsi="Book Antiqua" w:cs="宋体"/>
          <w:i/>
          <w:iCs/>
          <w:lang w:val="en-US" w:eastAsia="zh-CN"/>
        </w:rPr>
        <w:t>Am J Kidney Dis</w:t>
      </w:r>
      <w:r w:rsidRPr="00D01C8E">
        <w:rPr>
          <w:rFonts w:ascii="Book Antiqua" w:eastAsia="宋体" w:hAnsi="Book Antiqua" w:cs="宋体"/>
          <w:lang w:val="en-US" w:eastAsia="zh-CN"/>
        </w:rPr>
        <w:t xml:space="preserve"> 2004; </w:t>
      </w:r>
      <w:r w:rsidRPr="00D01C8E">
        <w:rPr>
          <w:rFonts w:ascii="Book Antiqua" w:eastAsia="宋体" w:hAnsi="Book Antiqua" w:cs="宋体"/>
          <w:b/>
          <w:bCs/>
          <w:lang w:val="en-US" w:eastAsia="zh-CN"/>
        </w:rPr>
        <w:t>44</w:t>
      </w:r>
      <w:r w:rsidRPr="00D01C8E">
        <w:rPr>
          <w:rFonts w:ascii="Book Antiqua" w:eastAsia="宋体" w:hAnsi="Book Antiqua" w:cs="宋体"/>
          <w:lang w:val="en-US" w:eastAsia="zh-CN"/>
        </w:rPr>
        <w:t>: 50-56 [PMID: 15211437]</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47 </w:t>
      </w:r>
      <w:proofErr w:type="spellStart"/>
      <w:r w:rsidRPr="00D01C8E">
        <w:rPr>
          <w:rFonts w:ascii="Book Antiqua" w:eastAsia="宋体" w:hAnsi="Book Antiqua" w:cs="宋体"/>
          <w:b/>
          <w:bCs/>
          <w:lang w:val="en-US" w:eastAsia="zh-CN"/>
        </w:rPr>
        <w:t>Faul</w:t>
      </w:r>
      <w:proofErr w:type="spellEnd"/>
      <w:r w:rsidRPr="00D01C8E">
        <w:rPr>
          <w:rFonts w:ascii="Book Antiqua" w:eastAsia="宋体" w:hAnsi="Book Antiqua" w:cs="宋体"/>
          <w:b/>
          <w:bCs/>
          <w:lang w:val="en-US" w:eastAsia="zh-CN"/>
        </w:rPr>
        <w:t xml:space="preserve"> C</w:t>
      </w:r>
      <w:r w:rsidRPr="00D01C8E">
        <w:rPr>
          <w:rFonts w:ascii="Book Antiqua" w:eastAsia="宋体" w:hAnsi="Book Antiqua" w:cs="宋体"/>
          <w:lang w:val="en-US" w:eastAsia="zh-CN"/>
        </w:rPr>
        <w:t xml:space="preserve">, Donnelly M, </w:t>
      </w:r>
      <w:proofErr w:type="spellStart"/>
      <w:r w:rsidRPr="00D01C8E">
        <w:rPr>
          <w:rFonts w:ascii="Book Antiqua" w:eastAsia="宋体" w:hAnsi="Book Antiqua" w:cs="宋体"/>
          <w:lang w:val="en-US" w:eastAsia="zh-CN"/>
        </w:rPr>
        <w:t>Merscher</w:t>
      </w:r>
      <w:proofErr w:type="spellEnd"/>
      <w:r w:rsidRPr="00D01C8E">
        <w:rPr>
          <w:rFonts w:ascii="Book Antiqua" w:eastAsia="宋体" w:hAnsi="Book Antiqua" w:cs="宋体"/>
          <w:lang w:val="en-US" w:eastAsia="zh-CN"/>
        </w:rPr>
        <w:t xml:space="preserve">-Gomez S, Chang YH, Franz S, </w:t>
      </w:r>
      <w:proofErr w:type="spellStart"/>
      <w:r w:rsidRPr="00D01C8E">
        <w:rPr>
          <w:rFonts w:ascii="Book Antiqua" w:eastAsia="宋体" w:hAnsi="Book Antiqua" w:cs="宋体"/>
          <w:lang w:val="en-US" w:eastAsia="zh-CN"/>
        </w:rPr>
        <w:t>Delfgaauw</w:t>
      </w:r>
      <w:proofErr w:type="spellEnd"/>
      <w:r w:rsidRPr="00D01C8E">
        <w:rPr>
          <w:rFonts w:ascii="Book Antiqua" w:eastAsia="宋体" w:hAnsi="Book Antiqua" w:cs="宋体"/>
          <w:lang w:val="en-US" w:eastAsia="zh-CN"/>
        </w:rPr>
        <w:t xml:space="preserve"> J, Chang JM, Choi HY, Campbell KN, Kim K, </w:t>
      </w:r>
      <w:proofErr w:type="spellStart"/>
      <w:r w:rsidRPr="00D01C8E">
        <w:rPr>
          <w:rFonts w:ascii="Book Antiqua" w:eastAsia="宋体" w:hAnsi="Book Antiqua" w:cs="宋体"/>
          <w:lang w:val="en-US" w:eastAsia="zh-CN"/>
        </w:rPr>
        <w:t>Reiser</w:t>
      </w:r>
      <w:proofErr w:type="spellEnd"/>
      <w:r w:rsidRPr="00D01C8E">
        <w:rPr>
          <w:rFonts w:ascii="Book Antiqua" w:eastAsia="宋体" w:hAnsi="Book Antiqua" w:cs="宋体"/>
          <w:lang w:val="en-US" w:eastAsia="zh-CN"/>
        </w:rPr>
        <w:t xml:space="preserve"> J, </w:t>
      </w:r>
      <w:proofErr w:type="spellStart"/>
      <w:r w:rsidRPr="00D01C8E">
        <w:rPr>
          <w:rFonts w:ascii="Book Antiqua" w:eastAsia="宋体" w:hAnsi="Book Antiqua" w:cs="宋体"/>
          <w:lang w:val="en-US" w:eastAsia="zh-CN"/>
        </w:rPr>
        <w:t>Mundel</w:t>
      </w:r>
      <w:proofErr w:type="spellEnd"/>
      <w:r w:rsidRPr="00D01C8E">
        <w:rPr>
          <w:rFonts w:ascii="Book Antiqua" w:eastAsia="宋体" w:hAnsi="Book Antiqua" w:cs="宋体"/>
          <w:lang w:val="en-US" w:eastAsia="zh-CN"/>
        </w:rPr>
        <w:t xml:space="preserve"> P. The actin cytoskeleton of kidney podocytes is a direct target of the </w:t>
      </w:r>
      <w:proofErr w:type="spellStart"/>
      <w:r w:rsidRPr="00D01C8E">
        <w:rPr>
          <w:rFonts w:ascii="Book Antiqua" w:eastAsia="宋体" w:hAnsi="Book Antiqua" w:cs="宋体"/>
          <w:lang w:val="en-US" w:eastAsia="zh-CN"/>
        </w:rPr>
        <w:t>antiproteinuric</w:t>
      </w:r>
      <w:proofErr w:type="spellEnd"/>
      <w:r w:rsidRPr="00D01C8E">
        <w:rPr>
          <w:rFonts w:ascii="Book Antiqua" w:eastAsia="宋体" w:hAnsi="Book Antiqua" w:cs="宋体"/>
          <w:lang w:val="en-US" w:eastAsia="zh-CN"/>
        </w:rPr>
        <w:t xml:space="preserve"> effect of cyclosporine A. </w:t>
      </w:r>
      <w:r w:rsidRPr="00D01C8E">
        <w:rPr>
          <w:rFonts w:ascii="Book Antiqua" w:eastAsia="宋体" w:hAnsi="Book Antiqua" w:cs="宋体"/>
          <w:i/>
          <w:iCs/>
          <w:lang w:val="en-US" w:eastAsia="zh-CN"/>
        </w:rPr>
        <w:t>Nat Med</w:t>
      </w:r>
      <w:r w:rsidRPr="00D01C8E">
        <w:rPr>
          <w:rFonts w:ascii="Book Antiqua" w:eastAsia="宋体" w:hAnsi="Book Antiqua" w:cs="宋体"/>
          <w:lang w:val="en-US" w:eastAsia="zh-CN"/>
        </w:rPr>
        <w:t xml:space="preserve"> 2008; </w:t>
      </w:r>
      <w:r w:rsidRPr="00D01C8E">
        <w:rPr>
          <w:rFonts w:ascii="Book Antiqua" w:eastAsia="宋体" w:hAnsi="Book Antiqua" w:cs="宋体"/>
          <w:b/>
          <w:bCs/>
          <w:lang w:val="en-US" w:eastAsia="zh-CN"/>
        </w:rPr>
        <w:t>14</w:t>
      </w:r>
      <w:r w:rsidRPr="00D01C8E">
        <w:rPr>
          <w:rFonts w:ascii="Book Antiqua" w:eastAsia="宋体" w:hAnsi="Book Antiqua" w:cs="宋体"/>
          <w:lang w:val="en-US" w:eastAsia="zh-CN"/>
        </w:rPr>
        <w:t>: 931-938 [PMID: 18724379 DOI: 10.1038/nm.1857]</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lastRenderedPageBreak/>
        <w:t xml:space="preserve">48 </w:t>
      </w:r>
      <w:r w:rsidRPr="00D01C8E">
        <w:rPr>
          <w:rFonts w:ascii="Book Antiqua" w:eastAsia="宋体" w:hAnsi="Book Antiqua" w:cs="宋体"/>
          <w:b/>
          <w:bCs/>
          <w:lang w:val="en-US" w:eastAsia="zh-CN"/>
        </w:rPr>
        <w:t>Mathieson PW</w:t>
      </w:r>
      <w:r w:rsidRPr="00D01C8E">
        <w:rPr>
          <w:rFonts w:ascii="Book Antiqua" w:eastAsia="宋体" w:hAnsi="Book Antiqua" w:cs="宋体"/>
          <w:lang w:val="en-US" w:eastAsia="zh-CN"/>
        </w:rPr>
        <w:t>.</w:t>
      </w:r>
      <w:proofErr w:type="gramEnd"/>
      <w:r w:rsidRPr="00D01C8E">
        <w:rPr>
          <w:rFonts w:ascii="Book Antiqua" w:eastAsia="宋体" w:hAnsi="Book Antiqua" w:cs="宋体"/>
          <w:lang w:val="en-US" w:eastAsia="zh-CN"/>
        </w:rPr>
        <w:t xml:space="preserve"> </w:t>
      </w:r>
      <w:proofErr w:type="gramStart"/>
      <w:r w:rsidRPr="00D01C8E">
        <w:rPr>
          <w:rFonts w:ascii="Book Antiqua" w:eastAsia="宋体" w:hAnsi="Book Antiqua" w:cs="宋体"/>
          <w:lang w:val="en-US" w:eastAsia="zh-CN"/>
        </w:rPr>
        <w:t>Podocyte actin in health, disease and treatment.</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i/>
          <w:iCs/>
          <w:lang w:val="en-US" w:eastAsia="zh-CN"/>
        </w:rPr>
        <w:t xml:space="preserve"> Dial Transplant</w:t>
      </w:r>
      <w:r w:rsidRPr="00D01C8E">
        <w:rPr>
          <w:rFonts w:ascii="Book Antiqua" w:eastAsia="宋体" w:hAnsi="Book Antiqua" w:cs="宋体"/>
          <w:lang w:val="en-US" w:eastAsia="zh-CN"/>
        </w:rPr>
        <w:t xml:space="preserve"> 2010; </w:t>
      </w:r>
      <w:r w:rsidRPr="00D01C8E">
        <w:rPr>
          <w:rFonts w:ascii="Book Antiqua" w:eastAsia="宋体" w:hAnsi="Book Antiqua" w:cs="宋体"/>
          <w:b/>
          <w:bCs/>
          <w:lang w:val="en-US" w:eastAsia="zh-CN"/>
        </w:rPr>
        <w:t>25</w:t>
      </w:r>
      <w:r w:rsidRPr="00D01C8E">
        <w:rPr>
          <w:rFonts w:ascii="Book Antiqua" w:eastAsia="宋体" w:hAnsi="Book Antiqua" w:cs="宋体"/>
          <w:lang w:val="en-US" w:eastAsia="zh-CN"/>
        </w:rPr>
        <w:t>: 1772-1773 [PMID: 20223892 DOI: 10.1093/</w:t>
      </w:r>
      <w:proofErr w:type="spellStart"/>
      <w:r w:rsidRPr="00D01C8E">
        <w:rPr>
          <w:rFonts w:ascii="Book Antiqua" w:eastAsia="宋体" w:hAnsi="Book Antiqua" w:cs="宋体"/>
          <w:lang w:val="en-US" w:eastAsia="zh-CN"/>
        </w:rPr>
        <w:t>ndt</w:t>
      </w:r>
      <w:proofErr w:type="spellEnd"/>
      <w:r w:rsidRPr="00D01C8E">
        <w:rPr>
          <w:rFonts w:ascii="Book Antiqua" w:eastAsia="宋体" w:hAnsi="Book Antiqua" w:cs="宋体"/>
          <w:lang w:val="en-US" w:eastAsia="zh-CN"/>
        </w:rPr>
        <w:t>/gfq121]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49 </w:t>
      </w:r>
      <w:proofErr w:type="spellStart"/>
      <w:r w:rsidRPr="00D01C8E">
        <w:rPr>
          <w:rFonts w:ascii="Book Antiqua" w:eastAsia="宋体" w:hAnsi="Book Antiqua" w:cs="宋体"/>
          <w:b/>
          <w:bCs/>
          <w:lang w:val="en-US" w:eastAsia="zh-CN"/>
        </w:rPr>
        <w:t>Cravedi</w:t>
      </w:r>
      <w:proofErr w:type="spellEnd"/>
      <w:r w:rsidRPr="00D01C8E">
        <w:rPr>
          <w:rFonts w:ascii="Book Antiqua" w:eastAsia="宋体" w:hAnsi="Book Antiqua" w:cs="宋体"/>
          <w:b/>
          <w:bCs/>
          <w:lang w:val="en-US" w:eastAsia="zh-CN"/>
        </w:rPr>
        <w:t xml:space="preserve"> P</w:t>
      </w:r>
      <w:r w:rsidRPr="00D01C8E">
        <w:rPr>
          <w:rFonts w:ascii="Book Antiqua" w:eastAsia="宋体" w:hAnsi="Book Antiqua" w:cs="宋体"/>
          <w:lang w:val="en-US" w:eastAsia="zh-CN"/>
        </w:rPr>
        <w:t xml:space="preserve">, Kopp JB, </w:t>
      </w:r>
      <w:proofErr w:type="spellStart"/>
      <w:r w:rsidRPr="00D01C8E">
        <w:rPr>
          <w:rFonts w:ascii="Book Antiqua" w:eastAsia="宋体" w:hAnsi="Book Antiqua" w:cs="宋体"/>
          <w:lang w:val="en-US" w:eastAsia="zh-CN"/>
        </w:rPr>
        <w:t>Remuzzi</w:t>
      </w:r>
      <w:proofErr w:type="spellEnd"/>
      <w:r w:rsidRPr="00D01C8E">
        <w:rPr>
          <w:rFonts w:ascii="Book Antiqua" w:eastAsia="宋体" w:hAnsi="Book Antiqua" w:cs="宋体"/>
          <w:lang w:val="en-US" w:eastAsia="zh-CN"/>
        </w:rPr>
        <w:t xml:space="preserve"> G. Recent progress in the pathophysiology and treatment of FSGS recurrence. </w:t>
      </w:r>
      <w:r w:rsidRPr="00D01C8E">
        <w:rPr>
          <w:rFonts w:ascii="Book Antiqua" w:eastAsia="宋体" w:hAnsi="Book Antiqua" w:cs="宋体"/>
          <w:i/>
          <w:iCs/>
          <w:lang w:val="en-US" w:eastAsia="zh-CN"/>
        </w:rPr>
        <w:t>Am J Transplant</w:t>
      </w:r>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13</w:t>
      </w:r>
      <w:r w:rsidRPr="00D01C8E">
        <w:rPr>
          <w:rFonts w:ascii="Book Antiqua" w:eastAsia="宋体" w:hAnsi="Book Antiqua" w:cs="宋体"/>
          <w:lang w:val="en-US" w:eastAsia="zh-CN"/>
        </w:rPr>
        <w:t>: 266-274 [PMID: 23312002 DOI: 10.1111/ajt.12045]</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50 </w:t>
      </w:r>
      <w:r w:rsidRPr="00D01C8E">
        <w:rPr>
          <w:rFonts w:ascii="Book Antiqua" w:eastAsia="宋体" w:hAnsi="Book Antiqua" w:cs="宋体"/>
          <w:b/>
          <w:bCs/>
          <w:lang w:val="en-US" w:eastAsia="zh-CN"/>
        </w:rPr>
        <w:t>Becker H</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Potyka</w:t>
      </w:r>
      <w:proofErr w:type="spellEnd"/>
      <w:r w:rsidRPr="00D01C8E">
        <w:rPr>
          <w:rFonts w:ascii="Book Antiqua" w:eastAsia="宋体" w:hAnsi="Book Antiqua" w:cs="宋体"/>
          <w:lang w:val="en-US" w:eastAsia="zh-CN"/>
        </w:rPr>
        <w:t xml:space="preserve"> P, Weber C, </w:t>
      </w:r>
      <w:proofErr w:type="spellStart"/>
      <w:r w:rsidRPr="00D01C8E">
        <w:rPr>
          <w:rFonts w:ascii="Book Antiqua" w:eastAsia="宋体" w:hAnsi="Book Antiqua" w:cs="宋体"/>
          <w:lang w:val="en-US" w:eastAsia="zh-CN"/>
        </w:rPr>
        <w:t>Renelt</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Federlin</w:t>
      </w:r>
      <w:proofErr w:type="spellEnd"/>
      <w:r w:rsidRPr="00D01C8E">
        <w:rPr>
          <w:rFonts w:ascii="Book Antiqua" w:eastAsia="宋体" w:hAnsi="Book Antiqua" w:cs="宋体"/>
          <w:lang w:val="en-US" w:eastAsia="zh-CN"/>
        </w:rPr>
        <w:t xml:space="preserve"> K. [T-helper cell subsets in patients with inflammatory rheumatic diseases undergoing immunosuppressive therapy]. </w:t>
      </w:r>
      <w:proofErr w:type="spellStart"/>
      <w:r w:rsidRPr="00D01C8E">
        <w:rPr>
          <w:rFonts w:ascii="Book Antiqua" w:eastAsia="宋体" w:hAnsi="Book Antiqua" w:cs="宋体"/>
          <w:i/>
          <w:iCs/>
          <w:lang w:val="en-US" w:eastAsia="zh-CN"/>
        </w:rPr>
        <w:t>Immun</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Infekt</w:t>
      </w:r>
      <w:proofErr w:type="spellEnd"/>
      <w:r w:rsidRPr="00D01C8E">
        <w:rPr>
          <w:rFonts w:ascii="Book Antiqua" w:eastAsia="宋体" w:hAnsi="Book Antiqua" w:cs="宋体"/>
          <w:lang w:val="en-US" w:eastAsia="zh-CN"/>
        </w:rPr>
        <w:t xml:space="preserve"> 1991; </w:t>
      </w:r>
      <w:r w:rsidRPr="00D01C8E">
        <w:rPr>
          <w:rFonts w:ascii="Book Antiqua" w:eastAsia="宋体" w:hAnsi="Book Antiqua" w:cs="宋体"/>
          <w:b/>
          <w:bCs/>
          <w:lang w:val="en-US" w:eastAsia="zh-CN"/>
        </w:rPr>
        <w:t>19</w:t>
      </w:r>
      <w:r w:rsidRPr="00D01C8E">
        <w:rPr>
          <w:rFonts w:ascii="Book Antiqua" w:eastAsia="宋体" w:hAnsi="Book Antiqua" w:cs="宋体"/>
          <w:lang w:val="en-US" w:eastAsia="zh-CN"/>
        </w:rPr>
        <w:t>: 26-27 [PMID: 1829436]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51 </w:t>
      </w:r>
      <w:proofErr w:type="spellStart"/>
      <w:r w:rsidRPr="00D01C8E">
        <w:rPr>
          <w:rFonts w:ascii="Book Antiqua" w:eastAsia="宋体" w:hAnsi="Book Antiqua" w:cs="宋体"/>
          <w:b/>
          <w:bCs/>
          <w:lang w:val="en-US" w:eastAsia="zh-CN"/>
        </w:rPr>
        <w:t>Tarshish</w:t>
      </w:r>
      <w:proofErr w:type="spellEnd"/>
      <w:r w:rsidRPr="00D01C8E">
        <w:rPr>
          <w:rFonts w:ascii="Book Antiqua" w:eastAsia="宋体" w:hAnsi="Book Antiqua" w:cs="宋体"/>
          <w:b/>
          <w:bCs/>
          <w:lang w:val="en-US" w:eastAsia="zh-CN"/>
        </w:rPr>
        <w:t xml:space="preserve"> P</w:t>
      </w:r>
      <w:r w:rsidRPr="00D01C8E">
        <w:rPr>
          <w:rFonts w:ascii="Book Antiqua" w:eastAsia="宋体" w:hAnsi="Book Antiqua" w:cs="宋体"/>
          <w:lang w:val="en-US" w:eastAsia="zh-CN"/>
        </w:rPr>
        <w:t xml:space="preserve">, Tobin JN, Bernstein J, </w:t>
      </w:r>
      <w:proofErr w:type="spellStart"/>
      <w:r w:rsidRPr="00D01C8E">
        <w:rPr>
          <w:rFonts w:ascii="Book Antiqua" w:eastAsia="宋体" w:hAnsi="Book Antiqua" w:cs="宋体"/>
          <w:lang w:val="en-US" w:eastAsia="zh-CN"/>
        </w:rPr>
        <w:t>Edelmann</w:t>
      </w:r>
      <w:proofErr w:type="spellEnd"/>
      <w:r w:rsidRPr="00D01C8E">
        <w:rPr>
          <w:rFonts w:ascii="Book Antiqua" w:eastAsia="宋体" w:hAnsi="Book Antiqua" w:cs="宋体"/>
          <w:lang w:val="en-US" w:eastAsia="zh-CN"/>
        </w:rPr>
        <w:t xml:space="preserve"> CM. Cyclophosphamide does not benefit patients with focal segmental glomerulosclerosis. </w:t>
      </w:r>
      <w:proofErr w:type="gramStart"/>
      <w:r w:rsidRPr="00D01C8E">
        <w:rPr>
          <w:rFonts w:ascii="Book Antiqua" w:eastAsia="宋体" w:hAnsi="Book Antiqua" w:cs="宋体"/>
          <w:lang w:val="en-US" w:eastAsia="zh-CN"/>
        </w:rPr>
        <w:t>A report of the International Study of Kidney Disease in Children.</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1996; </w:t>
      </w:r>
      <w:r w:rsidRPr="00D01C8E">
        <w:rPr>
          <w:rFonts w:ascii="Book Antiqua" w:eastAsia="宋体" w:hAnsi="Book Antiqua" w:cs="宋体"/>
          <w:b/>
          <w:bCs/>
          <w:lang w:val="en-US" w:eastAsia="zh-CN"/>
        </w:rPr>
        <w:t>10</w:t>
      </w:r>
      <w:r w:rsidRPr="00D01C8E">
        <w:rPr>
          <w:rFonts w:ascii="Book Antiqua" w:eastAsia="宋体" w:hAnsi="Book Antiqua" w:cs="宋体"/>
          <w:lang w:val="en-US" w:eastAsia="zh-CN"/>
        </w:rPr>
        <w:t>: 590-593 [PMID: 8897562]</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52 </w:t>
      </w:r>
      <w:r w:rsidRPr="00D01C8E">
        <w:rPr>
          <w:rFonts w:ascii="Book Antiqua" w:eastAsia="宋体" w:hAnsi="Book Antiqua" w:cs="宋体"/>
          <w:b/>
          <w:bCs/>
          <w:lang w:val="en-US" w:eastAsia="zh-CN"/>
        </w:rPr>
        <w:t>Schulman SL</w:t>
      </w:r>
      <w:r w:rsidRPr="00D01C8E">
        <w:rPr>
          <w:rFonts w:ascii="Book Antiqua" w:eastAsia="宋体" w:hAnsi="Book Antiqua" w:cs="宋体"/>
          <w:lang w:val="en-US" w:eastAsia="zh-CN"/>
        </w:rPr>
        <w:t xml:space="preserve">, Kaiser BA, </w:t>
      </w:r>
      <w:proofErr w:type="spellStart"/>
      <w:r w:rsidRPr="00D01C8E">
        <w:rPr>
          <w:rFonts w:ascii="Book Antiqua" w:eastAsia="宋体" w:hAnsi="Book Antiqua" w:cs="宋体"/>
          <w:lang w:val="en-US" w:eastAsia="zh-CN"/>
        </w:rPr>
        <w:t>Polinsky</w:t>
      </w:r>
      <w:proofErr w:type="spellEnd"/>
      <w:r w:rsidRPr="00D01C8E">
        <w:rPr>
          <w:rFonts w:ascii="Book Antiqua" w:eastAsia="宋体" w:hAnsi="Book Antiqua" w:cs="宋体"/>
          <w:lang w:val="en-US" w:eastAsia="zh-CN"/>
        </w:rPr>
        <w:t xml:space="preserve"> MS, Srinivasan R, </w:t>
      </w:r>
      <w:proofErr w:type="spellStart"/>
      <w:r w:rsidRPr="00D01C8E">
        <w:rPr>
          <w:rFonts w:ascii="Book Antiqua" w:eastAsia="宋体" w:hAnsi="Book Antiqua" w:cs="宋体"/>
          <w:lang w:val="en-US" w:eastAsia="zh-CN"/>
        </w:rPr>
        <w:t>Baluarte</w:t>
      </w:r>
      <w:proofErr w:type="spellEnd"/>
      <w:r w:rsidRPr="00D01C8E">
        <w:rPr>
          <w:rFonts w:ascii="Book Antiqua" w:eastAsia="宋体" w:hAnsi="Book Antiqua" w:cs="宋体"/>
          <w:lang w:val="en-US" w:eastAsia="zh-CN"/>
        </w:rPr>
        <w:t xml:space="preserve"> HJ.</w:t>
      </w:r>
      <w:proofErr w:type="gramEnd"/>
      <w:r w:rsidRPr="00D01C8E">
        <w:rPr>
          <w:rFonts w:ascii="Book Antiqua" w:eastAsia="宋体" w:hAnsi="Book Antiqua" w:cs="宋体"/>
          <w:lang w:val="en-US" w:eastAsia="zh-CN"/>
        </w:rPr>
        <w:t xml:space="preserve"> Predicting the response to cytotoxic therapy for childhood nephrotic syndrome: superiority of response to corticosteroid therapy over histopathologic patterns. </w:t>
      </w:r>
      <w:r w:rsidRPr="00D01C8E">
        <w:rPr>
          <w:rFonts w:ascii="Book Antiqua" w:eastAsia="宋体" w:hAnsi="Book Antiqua" w:cs="宋体"/>
          <w:i/>
          <w:iCs/>
          <w:lang w:val="en-US" w:eastAsia="zh-CN"/>
        </w:rPr>
        <w:t xml:space="preserve">J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lang w:val="en-US" w:eastAsia="zh-CN"/>
        </w:rPr>
        <w:t xml:space="preserve"> 1988; </w:t>
      </w:r>
      <w:r w:rsidRPr="00D01C8E">
        <w:rPr>
          <w:rFonts w:ascii="Book Antiqua" w:eastAsia="宋体" w:hAnsi="Book Antiqua" w:cs="宋体"/>
          <w:b/>
          <w:bCs/>
          <w:lang w:val="en-US" w:eastAsia="zh-CN"/>
        </w:rPr>
        <w:t>113</w:t>
      </w:r>
      <w:r w:rsidRPr="00D01C8E">
        <w:rPr>
          <w:rFonts w:ascii="Book Antiqua" w:eastAsia="宋体" w:hAnsi="Book Antiqua" w:cs="宋体"/>
          <w:lang w:val="en-US" w:eastAsia="zh-CN"/>
        </w:rPr>
        <w:t>: 996-1001 [PMID: 3193322]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53 </w:t>
      </w:r>
      <w:r w:rsidRPr="00D01C8E">
        <w:rPr>
          <w:rFonts w:ascii="Book Antiqua" w:eastAsia="宋体" w:hAnsi="Book Antiqua" w:cs="宋体"/>
          <w:b/>
          <w:bCs/>
          <w:lang w:val="en-US" w:eastAsia="zh-CN"/>
        </w:rPr>
        <w:t>Kershaw DB</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Sedman</w:t>
      </w:r>
      <w:proofErr w:type="spellEnd"/>
      <w:r w:rsidRPr="00D01C8E">
        <w:rPr>
          <w:rFonts w:ascii="Book Antiqua" w:eastAsia="宋体" w:hAnsi="Book Antiqua" w:cs="宋体"/>
          <w:lang w:val="en-US" w:eastAsia="zh-CN"/>
        </w:rPr>
        <w:t xml:space="preserve"> AB, </w:t>
      </w:r>
      <w:proofErr w:type="spellStart"/>
      <w:r w:rsidRPr="00D01C8E">
        <w:rPr>
          <w:rFonts w:ascii="Book Antiqua" w:eastAsia="宋体" w:hAnsi="Book Antiqua" w:cs="宋体"/>
          <w:lang w:val="en-US" w:eastAsia="zh-CN"/>
        </w:rPr>
        <w:t>Kelsch</w:t>
      </w:r>
      <w:proofErr w:type="spellEnd"/>
      <w:r w:rsidRPr="00D01C8E">
        <w:rPr>
          <w:rFonts w:ascii="Book Antiqua" w:eastAsia="宋体" w:hAnsi="Book Antiqua" w:cs="宋体"/>
          <w:lang w:val="en-US" w:eastAsia="zh-CN"/>
        </w:rPr>
        <w:t xml:space="preserve"> RC, </w:t>
      </w:r>
      <w:proofErr w:type="spellStart"/>
      <w:r w:rsidRPr="00D01C8E">
        <w:rPr>
          <w:rFonts w:ascii="Book Antiqua" w:eastAsia="宋体" w:hAnsi="Book Antiqua" w:cs="宋体"/>
          <w:lang w:val="en-US" w:eastAsia="zh-CN"/>
        </w:rPr>
        <w:t>Bunchman</w:t>
      </w:r>
      <w:proofErr w:type="spellEnd"/>
      <w:r w:rsidRPr="00D01C8E">
        <w:rPr>
          <w:rFonts w:ascii="Book Antiqua" w:eastAsia="宋体" w:hAnsi="Book Antiqua" w:cs="宋体"/>
          <w:lang w:val="en-US" w:eastAsia="zh-CN"/>
        </w:rPr>
        <w:t xml:space="preserve"> TE. Recurrent focal segmental glomerulosclerosis in pediatric renal transplant recipients: successful treatment with oral cyclophosphamide. </w:t>
      </w:r>
      <w:proofErr w:type="spellStart"/>
      <w:r w:rsidRPr="00D01C8E">
        <w:rPr>
          <w:rFonts w:ascii="Book Antiqua" w:eastAsia="宋体" w:hAnsi="Book Antiqua" w:cs="宋体"/>
          <w:i/>
          <w:iCs/>
          <w:lang w:val="en-US" w:eastAsia="zh-CN"/>
        </w:rPr>
        <w:t>Clin</w:t>
      </w:r>
      <w:proofErr w:type="spellEnd"/>
      <w:r w:rsidRPr="00D01C8E">
        <w:rPr>
          <w:rFonts w:ascii="Book Antiqua" w:eastAsia="宋体" w:hAnsi="Book Antiqua" w:cs="宋体"/>
          <w:i/>
          <w:iCs/>
          <w:lang w:val="en-US" w:eastAsia="zh-CN"/>
        </w:rPr>
        <w:t xml:space="preserve"> Transplant</w:t>
      </w:r>
      <w:r w:rsidRPr="00D01C8E">
        <w:rPr>
          <w:rFonts w:ascii="Book Antiqua" w:eastAsia="宋体" w:hAnsi="Book Antiqua" w:cs="宋体"/>
          <w:lang w:val="en-US" w:eastAsia="zh-CN"/>
        </w:rPr>
        <w:t xml:space="preserve"> 1994; </w:t>
      </w:r>
      <w:r w:rsidRPr="00D01C8E">
        <w:rPr>
          <w:rFonts w:ascii="Book Antiqua" w:eastAsia="宋体" w:hAnsi="Book Antiqua" w:cs="宋体"/>
          <w:b/>
          <w:bCs/>
          <w:lang w:val="en-US" w:eastAsia="zh-CN"/>
        </w:rPr>
        <w:t>8</w:t>
      </w:r>
      <w:r w:rsidRPr="00D01C8E">
        <w:rPr>
          <w:rFonts w:ascii="Book Antiqua" w:eastAsia="宋体" w:hAnsi="Book Antiqua" w:cs="宋体"/>
          <w:lang w:val="en-US" w:eastAsia="zh-CN"/>
        </w:rPr>
        <w:t>: 546-549 [PMID: 7865917]</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54 </w:t>
      </w:r>
      <w:r w:rsidRPr="00D01C8E">
        <w:rPr>
          <w:rFonts w:ascii="Book Antiqua" w:eastAsia="宋体" w:hAnsi="Book Antiqua" w:cs="宋体"/>
          <w:b/>
          <w:bCs/>
          <w:lang w:val="en-US" w:eastAsia="zh-CN"/>
        </w:rPr>
        <w:t>Cheong HI</w:t>
      </w:r>
      <w:r w:rsidRPr="00D01C8E">
        <w:rPr>
          <w:rFonts w:ascii="Book Antiqua" w:eastAsia="宋体" w:hAnsi="Book Antiqua" w:cs="宋体"/>
          <w:lang w:val="en-US" w:eastAsia="zh-CN"/>
        </w:rPr>
        <w:t xml:space="preserve">, Han HW, Park HW, Ha IS, Han KS, Lee HS, Kim SJ, Choi Y. Early recurrent nephrotic syndrome after renal transplantation in children with focal segmental glomerulosclerosis.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i/>
          <w:iCs/>
          <w:lang w:val="en-US" w:eastAsia="zh-CN"/>
        </w:rPr>
        <w:t xml:space="preserve"> Dial Transplant</w:t>
      </w:r>
      <w:r w:rsidRPr="00D01C8E">
        <w:rPr>
          <w:rFonts w:ascii="Book Antiqua" w:eastAsia="宋体" w:hAnsi="Book Antiqua" w:cs="宋体"/>
          <w:lang w:val="en-US" w:eastAsia="zh-CN"/>
        </w:rPr>
        <w:t xml:space="preserve"> 2000; </w:t>
      </w:r>
      <w:r w:rsidRPr="00D01C8E">
        <w:rPr>
          <w:rFonts w:ascii="Book Antiqua" w:eastAsia="宋体" w:hAnsi="Book Antiqua" w:cs="宋体"/>
          <w:b/>
          <w:bCs/>
          <w:lang w:val="en-US" w:eastAsia="zh-CN"/>
        </w:rPr>
        <w:t>15</w:t>
      </w:r>
      <w:r w:rsidRPr="00D01C8E">
        <w:rPr>
          <w:rFonts w:ascii="Book Antiqua" w:eastAsia="宋体" w:hAnsi="Book Antiqua" w:cs="宋体"/>
          <w:lang w:val="en-US" w:eastAsia="zh-CN"/>
        </w:rPr>
        <w:t>: 78-81 [PMID: 10607771]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55 </w:t>
      </w:r>
      <w:proofErr w:type="spellStart"/>
      <w:r w:rsidRPr="00D01C8E">
        <w:rPr>
          <w:rFonts w:ascii="Book Antiqua" w:eastAsia="宋体" w:hAnsi="Book Antiqua" w:cs="宋体"/>
          <w:b/>
          <w:bCs/>
          <w:lang w:val="en-US" w:eastAsia="zh-CN"/>
        </w:rPr>
        <w:t>Dall'Amico</w:t>
      </w:r>
      <w:proofErr w:type="spellEnd"/>
      <w:r w:rsidRPr="00D01C8E">
        <w:rPr>
          <w:rFonts w:ascii="Book Antiqua" w:eastAsia="宋体" w:hAnsi="Book Antiqua" w:cs="宋体"/>
          <w:b/>
          <w:bCs/>
          <w:lang w:val="en-US" w:eastAsia="zh-CN"/>
        </w:rPr>
        <w:t xml:space="preserve"> R</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Ghiggeri</w:t>
      </w:r>
      <w:proofErr w:type="spellEnd"/>
      <w:r w:rsidRPr="00D01C8E">
        <w:rPr>
          <w:rFonts w:ascii="Book Antiqua" w:eastAsia="宋体" w:hAnsi="Book Antiqua" w:cs="宋体"/>
          <w:lang w:val="en-US" w:eastAsia="zh-CN"/>
        </w:rPr>
        <w:t xml:space="preserve"> G, </w:t>
      </w:r>
      <w:proofErr w:type="spellStart"/>
      <w:r w:rsidRPr="00D01C8E">
        <w:rPr>
          <w:rFonts w:ascii="Book Antiqua" w:eastAsia="宋体" w:hAnsi="Book Antiqua" w:cs="宋体"/>
          <w:lang w:val="en-US" w:eastAsia="zh-CN"/>
        </w:rPr>
        <w:t>Carraro</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Artero</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Ghio</w:t>
      </w:r>
      <w:proofErr w:type="spellEnd"/>
      <w:r w:rsidRPr="00D01C8E">
        <w:rPr>
          <w:rFonts w:ascii="Book Antiqua" w:eastAsia="宋体" w:hAnsi="Book Antiqua" w:cs="宋体"/>
          <w:lang w:val="en-US" w:eastAsia="zh-CN"/>
        </w:rPr>
        <w:t xml:space="preserve"> L, </w:t>
      </w:r>
      <w:proofErr w:type="spellStart"/>
      <w:r w:rsidRPr="00D01C8E">
        <w:rPr>
          <w:rFonts w:ascii="Book Antiqua" w:eastAsia="宋体" w:hAnsi="Book Antiqua" w:cs="宋体"/>
          <w:lang w:val="en-US" w:eastAsia="zh-CN"/>
        </w:rPr>
        <w:t>Zamorani</w:t>
      </w:r>
      <w:proofErr w:type="spellEnd"/>
      <w:r w:rsidRPr="00D01C8E">
        <w:rPr>
          <w:rFonts w:ascii="Book Antiqua" w:eastAsia="宋体" w:hAnsi="Book Antiqua" w:cs="宋体"/>
          <w:lang w:val="en-US" w:eastAsia="zh-CN"/>
        </w:rPr>
        <w:t xml:space="preserve"> E, </w:t>
      </w:r>
      <w:proofErr w:type="spellStart"/>
      <w:r w:rsidRPr="00D01C8E">
        <w:rPr>
          <w:rFonts w:ascii="Book Antiqua" w:eastAsia="宋体" w:hAnsi="Book Antiqua" w:cs="宋体"/>
          <w:lang w:val="en-US" w:eastAsia="zh-CN"/>
        </w:rPr>
        <w:t>Zennaro</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Basile</w:t>
      </w:r>
      <w:proofErr w:type="spellEnd"/>
      <w:r w:rsidRPr="00D01C8E">
        <w:rPr>
          <w:rFonts w:ascii="Book Antiqua" w:eastAsia="宋体" w:hAnsi="Book Antiqua" w:cs="宋体"/>
          <w:lang w:val="en-US" w:eastAsia="zh-CN"/>
        </w:rPr>
        <w:t xml:space="preserve"> G, </w:t>
      </w:r>
      <w:proofErr w:type="spellStart"/>
      <w:r w:rsidRPr="00D01C8E">
        <w:rPr>
          <w:rFonts w:ascii="Book Antiqua" w:eastAsia="宋体" w:hAnsi="Book Antiqua" w:cs="宋体"/>
          <w:lang w:val="en-US" w:eastAsia="zh-CN"/>
        </w:rPr>
        <w:t>Montini</w:t>
      </w:r>
      <w:proofErr w:type="spellEnd"/>
      <w:r w:rsidRPr="00D01C8E">
        <w:rPr>
          <w:rFonts w:ascii="Book Antiqua" w:eastAsia="宋体" w:hAnsi="Book Antiqua" w:cs="宋体"/>
          <w:lang w:val="en-US" w:eastAsia="zh-CN"/>
        </w:rPr>
        <w:t xml:space="preserve"> G, </w:t>
      </w:r>
      <w:proofErr w:type="spellStart"/>
      <w:r w:rsidRPr="00D01C8E">
        <w:rPr>
          <w:rFonts w:ascii="Book Antiqua" w:eastAsia="宋体" w:hAnsi="Book Antiqua" w:cs="宋体"/>
          <w:lang w:val="en-US" w:eastAsia="zh-CN"/>
        </w:rPr>
        <w:t>Rivabella</w:t>
      </w:r>
      <w:proofErr w:type="spellEnd"/>
      <w:r w:rsidRPr="00D01C8E">
        <w:rPr>
          <w:rFonts w:ascii="Book Antiqua" w:eastAsia="宋体" w:hAnsi="Book Antiqua" w:cs="宋体"/>
          <w:lang w:val="en-US" w:eastAsia="zh-CN"/>
        </w:rPr>
        <w:t xml:space="preserve"> L, </w:t>
      </w:r>
      <w:proofErr w:type="spellStart"/>
      <w:r w:rsidRPr="00D01C8E">
        <w:rPr>
          <w:rFonts w:ascii="Book Antiqua" w:eastAsia="宋体" w:hAnsi="Book Antiqua" w:cs="宋体"/>
          <w:lang w:val="en-US" w:eastAsia="zh-CN"/>
        </w:rPr>
        <w:t>Cardillo</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Scalamogna</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Ginevri</w:t>
      </w:r>
      <w:proofErr w:type="spellEnd"/>
      <w:r w:rsidRPr="00D01C8E">
        <w:rPr>
          <w:rFonts w:ascii="Book Antiqua" w:eastAsia="宋体" w:hAnsi="Book Antiqua" w:cs="宋体"/>
          <w:lang w:val="en-US" w:eastAsia="zh-CN"/>
        </w:rPr>
        <w:t xml:space="preserve"> F. Prediction and treatment of recurrent focal segmental glomerulosclerosis after renal transplantation in children. </w:t>
      </w:r>
      <w:r w:rsidRPr="00D01C8E">
        <w:rPr>
          <w:rFonts w:ascii="Book Antiqua" w:eastAsia="宋体" w:hAnsi="Book Antiqua" w:cs="宋体"/>
          <w:i/>
          <w:iCs/>
          <w:lang w:val="en-US" w:eastAsia="zh-CN"/>
        </w:rPr>
        <w:t>Am J Kidney Dis</w:t>
      </w:r>
      <w:r w:rsidRPr="00D01C8E">
        <w:rPr>
          <w:rFonts w:ascii="Book Antiqua" w:eastAsia="宋体" w:hAnsi="Book Antiqua" w:cs="宋体"/>
          <w:lang w:val="en-US" w:eastAsia="zh-CN"/>
        </w:rPr>
        <w:t xml:space="preserve"> 1999; </w:t>
      </w:r>
      <w:r w:rsidRPr="00D01C8E">
        <w:rPr>
          <w:rFonts w:ascii="Book Antiqua" w:eastAsia="宋体" w:hAnsi="Book Antiqua" w:cs="宋体"/>
          <w:b/>
          <w:bCs/>
          <w:lang w:val="en-US" w:eastAsia="zh-CN"/>
        </w:rPr>
        <w:t>34</w:t>
      </w:r>
      <w:r w:rsidRPr="00D01C8E">
        <w:rPr>
          <w:rFonts w:ascii="Book Antiqua" w:eastAsia="宋体" w:hAnsi="Book Antiqua" w:cs="宋体"/>
          <w:lang w:val="en-US" w:eastAsia="zh-CN"/>
        </w:rPr>
        <w:t>: 1048-1055 [PMID: 10585314]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lastRenderedPageBreak/>
        <w:t xml:space="preserve">56 </w:t>
      </w:r>
      <w:proofErr w:type="spellStart"/>
      <w:r w:rsidRPr="00D01C8E">
        <w:rPr>
          <w:rFonts w:ascii="Book Antiqua" w:eastAsia="宋体" w:hAnsi="Book Antiqua" w:cs="宋体"/>
          <w:b/>
          <w:bCs/>
          <w:lang w:val="en-US" w:eastAsia="zh-CN"/>
        </w:rPr>
        <w:t>Gbadegesin</w:t>
      </w:r>
      <w:proofErr w:type="spellEnd"/>
      <w:r w:rsidRPr="00D01C8E">
        <w:rPr>
          <w:rFonts w:ascii="Book Antiqua" w:eastAsia="宋体" w:hAnsi="Book Antiqua" w:cs="宋体"/>
          <w:b/>
          <w:bCs/>
          <w:lang w:val="en-US" w:eastAsia="zh-CN"/>
        </w:rPr>
        <w:t xml:space="preserve"> R</w:t>
      </w:r>
      <w:r w:rsidRPr="00D01C8E">
        <w:rPr>
          <w:rFonts w:ascii="Book Antiqua" w:eastAsia="宋体" w:hAnsi="Book Antiqua" w:cs="宋体"/>
          <w:lang w:val="en-US" w:eastAsia="zh-CN"/>
        </w:rPr>
        <w:t xml:space="preserve">, Lavin P, Foreman J, Winn M. Pathogenesis and therapy of focal segmental glomerulosclerosis: an update.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26</w:t>
      </w:r>
      <w:r w:rsidRPr="00D01C8E">
        <w:rPr>
          <w:rFonts w:ascii="Book Antiqua" w:eastAsia="宋体" w:hAnsi="Book Antiqua" w:cs="宋体"/>
          <w:lang w:val="en-US" w:eastAsia="zh-CN"/>
        </w:rPr>
        <w:t>: 1001-1015 [PMID: 21110043 DOI: 10.1007/s00467-010-1692-x]</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57 </w:t>
      </w:r>
      <w:r w:rsidRPr="00D01C8E">
        <w:rPr>
          <w:rFonts w:ascii="Book Antiqua" w:eastAsia="宋体" w:hAnsi="Book Antiqua" w:cs="宋体"/>
          <w:b/>
          <w:bCs/>
          <w:lang w:val="en-US" w:eastAsia="zh-CN"/>
        </w:rPr>
        <w:t>Gipson DS</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Trachtman</w:t>
      </w:r>
      <w:proofErr w:type="spellEnd"/>
      <w:r w:rsidRPr="00D01C8E">
        <w:rPr>
          <w:rFonts w:ascii="Book Antiqua" w:eastAsia="宋体" w:hAnsi="Book Antiqua" w:cs="宋体"/>
          <w:lang w:val="en-US" w:eastAsia="zh-CN"/>
        </w:rPr>
        <w:t xml:space="preserve"> H, </w:t>
      </w:r>
      <w:proofErr w:type="spellStart"/>
      <w:r w:rsidRPr="00D01C8E">
        <w:rPr>
          <w:rFonts w:ascii="Book Antiqua" w:eastAsia="宋体" w:hAnsi="Book Antiqua" w:cs="宋体"/>
          <w:lang w:val="en-US" w:eastAsia="zh-CN"/>
        </w:rPr>
        <w:t>Kaskel</w:t>
      </w:r>
      <w:proofErr w:type="spellEnd"/>
      <w:r w:rsidRPr="00D01C8E">
        <w:rPr>
          <w:rFonts w:ascii="Book Antiqua" w:eastAsia="宋体" w:hAnsi="Book Antiqua" w:cs="宋体"/>
          <w:lang w:val="en-US" w:eastAsia="zh-CN"/>
        </w:rPr>
        <w:t xml:space="preserve"> FJ, Greene TH, </w:t>
      </w:r>
      <w:proofErr w:type="spellStart"/>
      <w:r w:rsidRPr="00D01C8E">
        <w:rPr>
          <w:rFonts w:ascii="Book Antiqua" w:eastAsia="宋体" w:hAnsi="Book Antiqua" w:cs="宋体"/>
          <w:lang w:val="en-US" w:eastAsia="zh-CN"/>
        </w:rPr>
        <w:t>Radeva</w:t>
      </w:r>
      <w:proofErr w:type="spellEnd"/>
      <w:r w:rsidRPr="00D01C8E">
        <w:rPr>
          <w:rFonts w:ascii="Book Antiqua" w:eastAsia="宋体" w:hAnsi="Book Antiqua" w:cs="宋体"/>
          <w:lang w:val="en-US" w:eastAsia="zh-CN"/>
        </w:rPr>
        <w:t xml:space="preserve"> MK, </w:t>
      </w:r>
      <w:proofErr w:type="spellStart"/>
      <w:r w:rsidRPr="00D01C8E">
        <w:rPr>
          <w:rFonts w:ascii="Book Antiqua" w:eastAsia="宋体" w:hAnsi="Book Antiqua" w:cs="宋体"/>
          <w:lang w:val="en-US" w:eastAsia="zh-CN"/>
        </w:rPr>
        <w:t>Gassman</w:t>
      </w:r>
      <w:proofErr w:type="spellEnd"/>
      <w:r w:rsidRPr="00D01C8E">
        <w:rPr>
          <w:rFonts w:ascii="Book Antiqua" w:eastAsia="宋体" w:hAnsi="Book Antiqua" w:cs="宋体"/>
          <w:lang w:val="en-US" w:eastAsia="zh-CN"/>
        </w:rPr>
        <w:t xml:space="preserve"> JJ, </w:t>
      </w:r>
      <w:proofErr w:type="spellStart"/>
      <w:r w:rsidRPr="00D01C8E">
        <w:rPr>
          <w:rFonts w:ascii="Book Antiqua" w:eastAsia="宋体" w:hAnsi="Book Antiqua" w:cs="宋体"/>
          <w:lang w:val="en-US" w:eastAsia="zh-CN"/>
        </w:rPr>
        <w:t>Moxey</w:t>
      </w:r>
      <w:proofErr w:type="spellEnd"/>
      <w:r w:rsidRPr="00D01C8E">
        <w:rPr>
          <w:rFonts w:ascii="Book Antiqua" w:eastAsia="宋体" w:hAnsi="Book Antiqua" w:cs="宋体"/>
          <w:lang w:val="en-US" w:eastAsia="zh-CN"/>
        </w:rPr>
        <w:t xml:space="preserve">-Mims MM, Hogg RJ, Watkins SL, Fine RN, Hogan SL, Middleton JP, </w:t>
      </w:r>
      <w:proofErr w:type="spellStart"/>
      <w:r w:rsidRPr="00D01C8E">
        <w:rPr>
          <w:rFonts w:ascii="Book Antiqua" w:eastAsia="宋体" w:hAnsi="Book Antiqua" w:cs="宋体"/>
          <w:lang w:val="en-US" w:eastAsia="zh-CN"/>
        </w:rPr>
        <w:t>Vehaskari</w:t>
      </w:r>
      <w:proofErr w:type="spellEnd"/>
      <w:r w:rsidRPr="00D01C8E">
        <w:rPr>
          <w:rFonts w:ascii="Book Antiqua" w:eastAsia="宋体" w:hAnsi="Book Antiqua" w:cs="宋体"/>
          <w:lang w:val="en-US" w:eastAsia="zh-CN"/>
        </w:rPr>
        <w:t xml:space="preserve"> VM, Flynn PA, Powell LM, Vento SM, McMahan JL, Siegel N, </w:t>
      </w:r>
      <w:proofErr w:type="spellStart"/>
      <w:r w:rsidRPr="00D01C8E">
        <w:rPr>
          <w:rFonts w:ascii="Book Antiqua" w:eastAsia="宋体" w:hAnsi="Book Antiqua" w:cs="宋体"/>
          <w:lang w:val="en-US" w:eastAsia="zh-CN"/>
        </w:rPr>
        <w:t>D'Agati</w:t>
      </w:r>
      <w:proofErr w:type="spellEnd"/>
      <w:r w:rsidRPr="00D01C8E">
        <w:rPr>
          <w:rFonts w:ascii="Book Antiqua" w:eastAsia="宋体" w:hAnsi="Book Antiqua" w:cs="宋体"/>
          <w:lang w:val="en-US" w:eastAsia="zh-CN"/>
        </w:rPr>
        <w:t xml:space="preserve"> VD, Friedman AL. Clinical trial of focal segmental glomerulosclerosis in children and young adults. </w:t>
      </w:r>
      <w:r w:rsidRPr="00D01C8E">
        <w:rPr>
          <w:rFonts w:ascii="Book Antiqua" w:eastAsia="宋体" w:hAnsi="Book Antiqua" w:cs="宋体"/>
          <w:i/>
          <w:iCs/>
          <w:lang w:val="en-US" w:eastAsia="zh-CN"/>
        </w:rPr>
        <w:t xml:space="preserve">Kidney </w:t>
      </w:r>
      <w:proofErr w:type="spellStart"/>
      <w:r w:rsidRPr="00D01C8E">
        <w:rPr>
          <w:rFonts w:ascii="Book Antiqua" w:eastAsia="宋体" w:hAnsi="Book Antiqua" w:cs="宋体"/>
          <w:i/>
          <w:iCs/>
          <w:lang w:val="en-US" w:eastAsia="zh-CN"/>
        </w:rPr>
        <w:t>Int</w:t>
      </w:r>
      <w:proofErr w:type="spellEnd"/>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80</w:t>
      </w:r>
      <w:r w:rsidRPr="00D01C8E">
        <w:rPr>
          <w:rFonts w:ascii="Book Antiqua" w:eastAsia="宋体" w:hAnsi="Book Antiqua" w:cs="宋体"/>
          <w:lang w:val="en-US" w:eastAsia="zh-CN"/>
        </w:rPr>
        <w:t>: 868-878 [PMID: 21734640 DOI: 10.1038/ki.2011.195]</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58 </w:t>
      </w:r>
      <w:r w:rsidRPr="00D01C8E">
        <w:rPr>
          <w:rFonts w:ascii="Book Antiqua" w:eastAsia="宋体" w:hAnsi="Book Antiqua" w:cs="宋体"/>
          <w:b/>
          <w:bCs/>
          <w:lang w:val="en-US" w:eastAsia="zh-CN"/>
        </w:rPr>
        <w:t>Lau EW</w:t>
      </w:r>
      <w:r w:rsidRPr="00D01C8E">
        <w:rPr>
          <w:rFonts w:ascii="Book Antiqua" w:eastAsia="宋体" w:hAnsi="Book Antiqua" w:cs="宋体"/>
          <w:lang w:val="en-US" w:eastAsia="zh-CN"/>
        </w:rPr>
        <w:t xml:space="preserve">, Ma PH, Wu X, Chung VC, Wong SY. Mycophenolate </w:t>
      </w:r>
      <w:proofErr w:type="spellStart"/>
      <w:r w:rsidRPr="00D01C8E">
        <w:rPr>
          <w:rFonts w:ascii="Book Antiqua" w:eastAsia="宋体" w:hAnsi="Book Antiqua" w:cs="宋体"/>
          <w:lang w:val="en-US" w:eastAsia="zh-CN"/>
        </w:rPr>
        <w:t>mofetil</w:t>
      </w:r>
      <w:proofErr w:type="spellEnd"/>
      <w:r w:rsidRPr="00D01C8E">
        <w:rPr>
          <w:rFonts w:ascii="Book Antiqua" w:eastAsia="宋体" w:hAnsi="Book Antiqua" w:cs="宋体"/>
          <w:lang w:val="en-US" w:eastAsia="zh-CN"/>
        </w:rPr>
        <w:t xml:space="preserve"> for primary focal segmental glomerulosclerosis: systematic review. </w:t>
      </w:r>
      <w:r w:rsidRPr="00D01C8E">
        <w:rPr>
          <w:rFonts w:ascii="Book Antiqua" w:eastAsia="宋体" w:hAnsi="Book Antiqua" w:cs="宋体"/>
          <w:i/>
          <w:iCs/>
          <w:lang w:val="en-US" w:eastAsia="zh-CN"/>
        </w:rPr>
        <w:t>Ren Fail</w:t>
      </w:r>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35</w:t>
      </w:r>
      <w:r w:rsidRPr="00D01C8E">
        <w:rPr>
          <w:rFonts w:ascii="Book Antiqua" w:eastAsia="宋体" w:hAnsi="Book Antiqua" w:cs="宋体"/>
          <w:lang w:val="en-US" w:eastAsia="zh-CN"/>
        </w:rPr>
        <w:t>: 914-929 [PMID: 23751146 DOI: 10.3109/0886022X.2013.794687]</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59 </w:t>
      </w:r>
      <w:r w:rsidRPr="00D01C8E">
        <w:rPr>
          <w:rFonts w:ascii="Book Antiqua" w:eastAsia="宋体" w:hAnsi="Book Antiqua" w:cs="宋体"/>
          <w:b/>
          <w:bCs/>
          <w:lang w:val="en-US" w:eastAsia="zh-CN"/>
        </w:rPr>
        <w:t xml:space="preserve">Nguyen </w:t>
      </w:r>
      <w:proofErr w:type="spellStart"/>
      <w:r w:rsidRPr="00D01C8E">
        <w:rPr>
          <w:rFonts w:ascii="Book Antiqua" w:eastAsia="宋体" w:hAnsi="Book Antiqua" w:cs="宋体"/>
          <w:b/>
          <w:bCs/>
          <w:lang w:val="en-US" w:eastAsia="zh-CN"/>
        </w:rPr>
        <w:t>Dinh</w:t>
      </w:r>
      <w:proofErr w:type="spellEnd"/>
      <w:r w:rsidRPr="00D01C8E">
        <w:rPr>
          <w:rFonts w:ascii="Book Antiqua" w:eastAsia="宋体" w:hAnsi="Book Antiqua" w:cs="宋体"/>
          <w:b/>
          <w:bCs/>
          <w:lang w:val="en-US" w:eastAsia="zh-CN"/>
        </w:rPr>
        <w:t xml:space="preserve"> Cat A</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Touyz</w:t>
      </w:r>
      <w:proofErr w:type="spellEnd"/>
      <w:r w:rsidRPr="00D01C8E">
        <w:rPr>
          <w:rFonts w:ascii="Book Antiqua" w:eastAsia="宋体" w:hAnsi="Book Antiqua" w:cs="宋体"/>
          <w:lang w:val="en-US" w:eastAsia="zh-CN"/>
        </w:rPr>
        <w:t xml:space="preserve"> RM. A new look at the renin-angiotensin system--focusing on the vascular system. </w:t>
      </w:r>
      <w:r w:rsidRPr="00D01C8E">
        <w:rPr>
          <w:rFonts w:ascii="Book Antiqua" w:eastAsia="宋体" w:hAnsi="Book Antiqua" w:cs="宋体"/>
          <w:i/>
          <w:iCs/>
          <w:lang w:val="en-US" w:eastAsia="zh-CN"/>
        </w:rPr>
        <w:t>Peptides</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32</w:t>
      </w:r>
      <w:r w:rsidRPr="00D01C8E">
        <w:rPr>
          <w:rFonts w:ascii="Book Antiqua" w:eastAsia="宋体" w:hAnsi="Book Antiqua" w:cs="宋体"/>
          <w:lang w:val="en-US" w:eastAsia="zh-CN"/>
        </w:rPr>
        <w:t>: 2141-2150 [PMID: 21945916 DOI: 10.1016/j.peptides.2011.09.010]</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60 </w:t>
      </w:r>
      <w:proofErr w:type="spellStart"/>
      <w:r w:rsidRPr="00D01C8E">
        <w:rPr>
          <w:rFonts w:ascii="Book Antiqua" w:eastAsia="宋体" w:hAnsi="Book Antiqua" w:cs="宋体"/>
          <w:b/>
          <w:bCs/>
          <w:lang w:val="en-US" w:eastAsia="zh-CN"/>
        </w:rPr>
        <w:t>Korbet</w:t>
      </w:r>
      <w:proofErr w:type="spellEnd"/>
      <w:r w:rsidRPr="00D01C8E">
        <w:rPr>
          <w:rFonts w:ascii="Book Antiqua" w:eastAsia="宋体" w:hAnsi="Book Antiqua" w:cs="宋体"/>
          <w:b/>
          <w:bCs/>
          <w:lang w:val="en-US" w:eastAsia="zh-CN"/>
        </w:rPr>
        <w:t xml:space="preserve"> SM</w:t>
      </w:r>
      <w:r w:rsidRPr="00D01C8E">
        <w:rPr>
          <w:rFonts w:ascii="Book Antiqua" w:eastAsia="宋体" w:hAnsi="Book Antiqua" w:cs="宋体"/>
          <w:lang w:val="en-US" w:eastAsia="zh-CN"/>
        </w:rPr>
        <w:t>. Angiotensin antagonists and steroids in the treatment of focal segmental glomerulosclerosis.</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Semin</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2003; </w:t>
      </w:r>
      <w:r w:rsidRPr="00D01C8E">
        <w:rPr>
          <w:rFonts w:ascii="Book Antiqua" w:eastAsia="宋体" w:hAnsi="Book Antiqua" w:cs="宋体"/>
          <w:b/>
          <w:bCs/>
          <w:lang w:val="en-US" w:eastAsia="zh-CN"/>
        </w:rPr>
        <w:t>23</w:t>
      </w:r>
      <w:r w:rsidRPr="00D01C8E">
        <w:rPr>
          <w:rFonts w:ascii="Book Antiqua" w:eastAsia="宋体" w:hAnsi="Book Antiqua" w:cs="宋体"/>
          <w:lang w:val="en-US" w:eastAsia="zh-CN"/>
        </w:rPr>
        <w:t>: 219-228 [PMID: 12704582]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61 </w:t>
      </w:r>
      <w:proofErr w:type="spellStart"/>
      <w:r w:rsidRPr="00D01C8E">
        <w:rPr>
          <w:rFonts w:ascii="Book Antiqua" w:eastAsia="宋体" w:hAnsi="Book Antiqua" w:cs="宋体"/>
          <w:b/>
          <w:bCs/>
          <w:lang w:val="en-US" w:eastAsia="zh-CN"/>
        </w:rPr>
        <w:t>Kangovi</w:t>
      </w:r>
      <w:proofErr w:type="spellEnd"/>
      <w:r w:rsidRPr="00D01C8E">
        <w:rPr>
          <w:rFonts w:ascii="Book Antiqua" w:eastAsia="宋体" w:hAnsi="Book Antiqua" w:cs="宋体"/>
          <w:b/>
          <w:bCs/>
          <w:lang w:val="en-US" w:eastAsia="zh-CN"/>
        </w:rPr>
        <w:t xml:space="preserve"> S</w:t>
      </w:r>
      <w:r w:rsidRPr="00D01C8E">
        <w:rPr>
          <w:rFonts w:ascii="Book Antiqua" w:eastAsia="宋体" w:hAnsi="Book Antiqua" w:cs="宋体"/>
          <w:lang w:val="en-US" w:eastAsia="zh-CN"/>
        </w:rPr>
        <w:t xml:space="preserve">, Edwards M, </w:t>
      </w:r>
      <w:proofErr w:type="spellStart"/>
      <w:r w:rsidRPr="00D01C8E">
        <w:rPr>
          <w:rFonts w:ascii="Book Antiqua" w:eastAsia="宋体" w:hAnsi="Book Antiqua" w:cs="宋体"/>
          <w:lang w:val="en-US" w:eastAsia="zh-CN"/>
        </w:rPr>
        <w:t>Woloszynek</w:t>
      </w:r>
      <w:proofErr w:type="spellEnd"/>
      <w:r w:rsidRPr="00D01C8E">
        <w:rPr>
          <w:rFonts w:ascii="Book Antiqua" w:eastAsia="宋体" w:hAnsi="Book Antiqua" w:cs="宋体"/>
          <w:lang w:val="en-US" w:eastAsia="zh-CN"/>
        </w:rPr>
        <w:t xml:space="preserve"> S, </w:t>
      </w:r>
      <w:proofErr w:type="spellStart"/>
      <w:r w:rsidRPr="00D01C8E">
        <w:rPr>
          <w:rFonts w:ascii="Book Antiqua" w:eastAsia="宋体" w:hAnsi="Book Antiqua" w:cs="宋体"/>
          <w:lang w:val="en-US" w:eastAsia="zh-CN"/>
        </w:rPr>
        <w:t>Mitra</w:t>
      </w:r>
      <w:proofErr w:type="spellEnd"/>
      <w:r w:rsidRPr="00D01C8E">
        <w:rPr>
          <w:rFonts w:ascii="Book Antiqua" w:eastAsia="宋体" w:hAnsi="Book Antiqua" w:cs="宋体"/>
          <w:lang w:val="en-US" w:eastAsia="zh-CN"/>
        </w:rPr>
        <w:t xml:space="preserve"> N, Feldman H, Kaplan BS, Meyers KE. </w:t>
      </w:r>
      <w:proofErr w:type="gramStart"/>
      <w:r w:rsidRPr="00D01C8E">
        <w:rPr>
          <w:rFonts w:ascii="Book Antiqua" w:eastAsia="宋体" w:hAnsi="Book Antiqua" w:cs="宋体"/>
          <w:lang w:val="en-US" w:eastAsia="zh-CN"/>
        </w:rPr>
        <w:t>Renin-angiotensin-aldosterone system inhibitors in pediatric focal segmental glomerulosclerosis.</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2012; </w:t>
      </w:r>
      <w:r w:rsidRPr="00D01C8E">
        <w:rPr>
          <w:rFonts w:ascii="Book Antiqua" w:eastAsia="宋体" w:hAnsi="Book Antiqua" w:cs="宋体"/>
          <w:b/>
          <w:bCs/>
          <w:lang w:val="en-US" w:eastAsia="zh-CN"/>
        </w:rPr>
        <w:t>27</w:t>
      </w:r>
      <w:r w:rsidRPr="00D01C8E">
        <w:rPr>
          <w:rFonts w:ascii="Book Antiqua" w:eastAsia="宋体" w:hAnsi="Book Antiqua" w:cs="宋体"/>
          <w:lang w:val="en-US" w:eastAsia="zh-CN"/>
        </w:rPr>
        <w:t>: 813-819 [PMID: 22116578 DOI: 10.1007/s00467-011-2056-x]</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62 </w:t>
      </w:r>
      <w:proofErr w:type="spellStart"/>
      <w:r w:rsidRPr="00D01C8E">
        <w:rPr>
          <w:rFonts w:ascii="Book Antiqua" w:eastAsia="宋体" w:hAnsi="Book Antiqua" w:cs="宋体"/>
          <w:b/>
          <w:bCs/>
          <w:lang w:val="en-US" w:eastAsia="zh-CN"/>
        </w:rPr>
        <w:t>Freiberger</w:t>
      </w:r>
      <w:proofErr w:type="spellEnd"/>
      <w:r w:rsidRPr="00D01C8E">
        <w:rPr>
          <w:rFonts w:ascii="Book Antiqua" w:eastAsia="宋体" w:hAnsi="Book Antiqua" w:cs="宋体"/>
          <w:b/>
          <w:bCs/>
          <w:lang w:val="en-US" w:eastAsia="zh-CN"/>
        </w:rPr>
        <w:t xml:space="preserve"> V</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Amann</w:t>
      </w:r>
      <w:proofErr w:type="spellEnd"/>
      <w:r w:rsidRPr="00D01C8E">
        <w:rPr>
          <w:rFonts w:ascii="Book Antiqua" w:eastAsia="宋体" w:hAnsi="Book Antiqua" w:cs="宋体"/>
          <w:lang w:val="en-US" w:eastAsia="zh-CN"/>
        </w:rPr>
        <w:t xml:space="preserve"> K, </w:t>
      </w:r>
      <w:proofErr w:type="spellStart"/>
      <w:r w:rsidRPr="00D01C8E">
        <w:rPr>
          <w:rFonts w:ascii="Book Antiqua" w:eastAsia="宋体" w:hAnsi="Book Antiqua" w:cs="宋体"/>
          <w:lang w:val="en-US" w:eastAsia="zh-CN"/>
        </w:rPr>
        <w:t>Heemann</w:t>
      </w:r>
      <w:proofErr w:type="spellEnd"/>
      <w:r w:rsidRPr="00D01C8E">
        <w:rPr>
          <w:rFonts w:ascii="Book Antiqua" w:eastAsia="宋体" w:hAnsi="Book Antiqua" w:cs="宋体"/>
          <w:lang w:val="en-US" w:eastAsia="zh-CN"/>
        </w:rPr>
        <w:t xml:space="preserve"> U, Frank H. Effect of a triple blockade of the renin-angiotensin-system in recurrent focal segmental glomerulosclerosis after kidney transplantation. </w:t>
      </w:r>
      <w:proofErr w:type="spellStart"/>
      <w:r w:rsidRPr="00D01C8E">
        <w:rPr>
          <w:rFonts w:ascii="Book Antiqua" w:eastAsia="宋体" w:hAnsi="Book Antiqua" w:cs="宋体"/>
          <w:i/>
          <w:iCs/>
          <w:lang w:val="en-US" w:eastAsia="zh-CN"/>
        </w:rPr>
        <w:t>Transpl</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Int</w:t>
      </w:r>
      <w:proofErr w:type="spellEnd"/>
      <w:r w:rsidRPr="00D01C8E">
        <w:rPr>
          <w:rFonts w:ascii="Book Antiqua" w:eastAsia="宋体" w:hAnsi="Book Antiqua" w:cs="宋体"/>
          <w:lang w:val="en-US" w:eastAsia="zh-CN"/>
        </w:rPr>
        <w:t xml:space="preserve"> 2009; </w:t>
      </w:r>
      <w:r w:rsidRPr="00D01C8E">
        <w:rPr>
          <w:rFonts w:ascii="Book Antiqua" w:eastAsia="宋体" w:hAnsi="Book Antiqua" w:cs="宋体"/>
          <w:b/>
          <w:bCs/>
          <w:lang w:val="en-US" w:eastAsia="zh-CN"/>
        </w:rPr>
        <w:t>22</w:t>
      </w:r>
      <w:r w:rsidRPr="00D01C8E">
        <w:rPr>
          <w:rFonts w:ascii="Book Antiqua" w:eastAsia="宋体" w:hAnsi="Book Antiqua" w:cs="宋体"/>
          <w:lang w:val="en-US" w:eastAsia="zh-CN"/>
        </w:rPr>
        <w:t>: 1110-1113 [PMID: 19497068 DOI: 10.1111/j.1432-2277.2009.00897.x]</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63 </w:t>
      </w:r>
      <w:proofErr w:type="spellStart"/>
      <w:r w:rsidRPr="00D01C8E">
        <w:rPr>
          <w:rFonts w:ascii="Book Antiqua" w:eastAsia="宋体" w:hAnsi="Book Antiqua" w:cs="宋体"/>
          <w:b/>
          <w:bCs/>
          <w:lang w:val="en-US" w:eastAsia="zh-CN"/>
        </w:rPr>
        <w:t>Savin</w:t>
      </w:r>
      <w:proofErr w:type="spellEnd"/>
      <w:r w:rsidRPr="00D01C8E">
        <w:rPr>
          <w:rFonts w:ascii="Book Antiqua" w:eastAsia="宋体" w:hAnsi="Book Antiqua" w:cs="宋体"/>
          <w:b/>
          <w:bCs/>
          <w:lang w:val="en-US" w:eastAsia="zh-CN"/>
        </w:rPr>
        <w:t xml:space="preserve"> VJ</w:t>
      </w:r>
      <w:r w:rsidRPr="00D01C8E">
        <w:rPr>
          <w:rFonts w:ascii="Book Antiqua" w:eastAsia="宋体" w:hAnsi="Book Antiqua" w:cs="宋体"/>
          <w:lang w:val="en-US" w:eastAsia="zh-CN"/>
        </w:rPr>
        <w:t xml:space="preserve">, McCarthy ET, Sharma R, </w:t>
      </w:r>
      <w:proofErr w:type="spellStart"/>
      <w:r w:rsidRPr="00D01C8E">
        <w:rPr>
          <w:rFonts w:ascii="Book Antiqua" w:eastAsia="宋体" w:hAnsi="Book Antiqua" w:cs="宋体"/>
          <w:lang w:val="en-US" w:eastAsia="zh-CN"/>
        </w:rPr>
        <w:t>Charba</w:t>
      </w:r>
      <w:proofErr w:type="spellEnd"/>
      <w:r w:rsidRPr="00D01C8E">
        <w:rPr>
          <w:rFonts w:ascii="Book Antiqua" w:eastAsia="宋体" w:hAnsi="Book Antiqua" w:cs="宋体"/>
          <w:lang w:val="en-US" w:eastAsia="zh-CN"/>
        </w:rPr>
        <w:t xml:space="preserve"> D, Sharma M. Galactose binds to focal segmental glomerulosclerosis permeability factor and inhibits its activity. </w:t>
      </w:r>
      <w:proofErr w:type="spellStart"/>
      <w:r w:rsidRPr="00D01C8E">
        <w:rPr>
          <w:rFonts w:ascii="Book Antiqua" w:eastAsia="宋体" w:hAnsi="Book Antiqua" w:cs="宋体"/>
          <w:i/>
          <w:iCs/>
          <w:lang w:val="en-US" w:eastAsia="zh-CN"/>
        </w:rPr>
        <w:t>Transl</w:t>
      </w:r>
      <w:proofErr w:type="spellEnd"/>
      <w:r w:rsidRPr="00D01C8E">
        <w:rPr>
          <w:rFonts w:ascii="Book Antiqua" w:eastAsia="宋体" w:hAnsi="Book Antiqua" w:cs="宋体"/>
          <w:i/>
          <w:iCs/>
          <w:lang w:val="en-US" w:eastAsia="zh-CN"/>
        </w:rPr>
        <w:t xml:space="preserve"> Res</w:t>
      </w:r>
      <w:r w:rsidRPr="00D01C8E">
        <w:rPr>
          <w:rFonts w:ascii="Book Antiqua" w:eastAsia="宋体" w:hAnsi="Book Antiqua" w:cs="宋体"/>
          <w:lang w:val="en-US" w:eastAsia="zh-CN"/>
        </w:rPr>
        <w:t xml:space="preserve"> 2008; </w:t>
      </w:r>
      <w:r w:rsidRPr="00D01C8E">
        <w:rPr>
          <w:rFonts w:ascii="Book Antiqua" w:eastAsia="宋体" w:hAnsi="Book Antiqua" w:cs="宋体"/>
          <w:b/>
          <w:bCs/>
          <w:lang w:val="en-US" w:eastAsia="zh-CN"/>
        </w:rPr>
        <w:t>151</w:t>
      </w:r>
      <w:r w:rsidRPr="00D01C8E">
        <w:rPr>
          <w:rFonts w:ascii="Book Antiqua" w:eastAsia="宋体" w:hAnsi="Book Antiqua" w:cs="宋体"/>
          <w:lang w:val="en-US" w:eastAsia="zh-CN"/>
        </w:rPr>
        <w:t>: 288-292 [PMID: 18514139 DOI: 10.1016/j.trsl.2008.04.001]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64 </w:t>
      </w:r>
      <w:proofErr w:type="spellStart"/>
      <w:r w:rsidRPr="00D01C8E">
        <w:rPr>
          <w:rFonts w:ascii="Book Antiqua" w:eastAsia="宋体" w:hAnsi="Book Antiqua" w:cs="宋体"/>
          <w:b/>
          <w:bCs/>
          <w:lang w:val="en-US" w:eastAsia="zh-CN"/>
        </w:rPr>
        <w:t>Jhaveri</w:t>
      </w:r>
      <w:proofErr w:type="spellEnd"/>
      <w:r w:rsidRPr="00D01C8E">
        <w:rPr>
          <w:rFonts w:ascii="Book Antiqua" w:eastAsia="宋体" w:hAnsi="Book Antiqua" w:cs="宋体"/>
          <w:b/>
          <w:bCs/>
          <w:lang w:val="en-US" w:eastAsia="zh-CN"/>
        </w:rPr>
        <w:t xml:space="preserve"> KD</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Naber</w:t>
      </w:r>
      <w:proofErr w:type="spellEnd"/>
      <w:r w:rsidRPr="00D01C8E">
        <w:rPr>
          <w:rFonts w:ascii="Book Antiqua" w:eastAsia="宋体" w:hAnsi="Book Antiqua" w:cs="宋体"/>
          <w:lang w:val="en-US" w:eastAsia="zh-CN"/>
        </w:rPr>
        <w:t xml:space="preserve"> TH, Wang X, </w:t>
      </w:r>
      <w:proofErr w:type="spellStart"/>
      <w:r w:rsidRPr="00D01C8E">
        <w:rPr>
          <w:rFonts w:ascii="Book Antiqua" w:eastAsia="宋体" w:hAnsi="Book Antiqua" w:cs="宋体"/>
          <w:lang w:val="en-US" w:eastAsia="zh-CN"/>
        </w:rPr>
        <w:t>Molmenti</w:t>
      </w:r>
      <w:proofErr w:type="spellEnd"/>
      <w:r w:rsidRPr="00D01C8E">
        <w:rPr>
          <w:rFonts w:ascii="Book Antiqua" w:eastAsia="宋体" w:hAnsi="Book Antiqua" w:cs="宋体"/>
          <w:lang w:val="en-US" w:eastAsia="zh-CN"/>
        </w:rPr>
        <w:t xml:space="preserve"> E, </w:t>
      </w:r>
      <w:proofErr w:type="spellStart"/>
      <w:r w:rsidRPr="00D01C8E">
        <w:rPr>
          <w:rFonts w:ascii="Book Antiqua" w:eastAsia="宋体" w:hAnsi="Book Antiqua" w:cs="宋体"/>
          <w:lang w:val="en-US" w:eastAsia="zh-CN"/>
        </w:rPr>
        <w:t>Bhaskaran</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Boctor</w:t>
      </w:r>
      <w:proofErr w:type="spellEnd"/>
      <w:r w:rsidRPr="00D01C8E">
        <w:rPr>
          <w:rFonts w:ascii="Book Antiqua" w:eastAsia="宋体" w:hAnsi="Book Antiqua" w:cs="宋体"/>
          <w:lang w:val="en-US" w:eastAsia="zh-CN"/>
        </w:rPr>
        <w:t xml:space="preserve"> FN, </w:t>
      </w:r>
      <w:proofErr w:type="spellStart"/>
      <w:r w:rsidRPr="00D01C8E">
        <w:rPr>
          <w:rFonts w:ascii="Book Antiqua" w:eastAsia="宋体" w:hAnsi="Book Antiqua" w:cs="宋体"/>
          <w:lang w:val="en-US" w:eastAsia="zh-CN"/>
        </w:rPr>
        <w:t>Trachtman</w:t>
      </w:r>
      <w:proofErr w:type="spellEnd"/>
      <w:r w:rsidRPr="00D01C8E">
        <w:rPr>
          <w:rFonts w:ascii="Book Antiqua" w:eastAsia="宋体" w:hAnsi="Book Antiqua" w:cs="宋体"/>
          <w:lang w:val="en-US" w:eastAsia="zh-CN"/>
        </w:rPr>
        <w:t xml:space="preserve"> H. Treatment of recurrent focal segmental glomerular sclerosis </w:t>
      </w:r>
      <w:proofErr w:type="spellStart"/>
      <w:r w:rsidRPr="00D01C8E">
        <w:rPr>
          <w:rFonts w:ascii="Book Antiqua" w:eastAsia="宋体" w:hAnsi="Book Antiqua" w:cs="宋体"/>
          <w:lang w:val="en-US" w:eastAsia="zh-CN"/>
        </w:rPr>
        <w:lastRenderedPageBreak/>
        <w:t>posttransplant</w:t>
      </w:r>
      <w:proofErr w:type="spellEnd"/>
      <w:r w:rsidRPr="00D01C8E">
        <w:rPr>
          <w:rFonts w:ascii="Book Antiqua" w:eastAsia="宋体" w:hAnsi="Book Antiqua" w:cs="宋体"/>
          <w:lang w:val="en-US" w:eastAsia="zh-CN"/>
        </w:rPr>
        <w:t xml:space="preserve"> with a multimodal approach including high-galactose diet and oral galactose supplementation. </w:t>
      </w:r>
      <w:r w:rsidRPr="00D01C8E">
        <w:rPr>
          <w:rFonts w:ascii="Book Antiqua" w:eastAsia="宋体" w:hAnsi="Book Antiqua" w:cs="宋体"/>
          <w:i/>
          <w:iCs/>
          <w:lang w:val="en-US" w:eastAsia="zh-CN"/>
        </w:rPr>
        <w:t>Transplantation</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91</w:t>
      </w:r>
      <w:r w:rsidRPr="00D01C8E">
        <w:rPr>
          <w:rFonts w:ascii="Book Antiqua" w:eastAsia="宋体" w:hAnsi="Book Antiqua" w:cs="宋体"/>
          <w:lang w:val="en-US" w:eastAsia="zh-CN"/>
        </w:rPr>
        <w:t>: e35-e36 [PMID: 21383598 DOI: 10.1097/TP.0b013e3182088b67]</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65 </w:t>
      </w:r>
      <w:r w:rsidRPr="00D01C8E">
        <w:rPr>
          <w:rFonts w:ascii="Book Antiqua" w:eastAsia="宋体" w:hAnsi="Book Antiqua" w:cs="宋体"/>
          <w:b/>
          <w:bCs/>
          <w:lang w:val="en-US" w:eastAsia="zh-CN"/>
        </w:rPr>
        <w:t>Robson K</w:t>
      </w:r>
      <w:r w:rsidRPr="00D01C8E">
        <w:rPr>
          <w:rFonts w:ascii="Book Antiqua" w:eastAsia="宋体" w:hAnsi="Book Antiqua" w:cs="宋体"/>
          <w:lang w:val="en-US" w:eastAsia="zh-CN"/>
        </w:rPr>
        <w:t xml:space="preserve">, Hill P, </w:t>
      </w:r>
      <w:proofErr w:type="spellStart"/>
      <w:r w:rsidRPr="00D01C8E">
        <w:rPr>
          <w:rFonts w:ascii="Book Antiqua" w:eastAsia="宋体" w:hAnsi="Book Antiqua" w:cs="宋体"/>
          <w:lang w:val="en-US" w:eastAsia="zh-CN"/>
        </w:rPr>
        <w:t>Langsford</w:t>
      </w:r>
      <w:proofErr w:type="spellEnd"/>
      <w:r w:rsidRPr="00D01C8E">
        <w:rPr>
          <w:rFonts w:ascii="Book Antiqua" w:eastAsia="宋体" w:hAnsi="Book Antiqua" w:cs="宋体"/>
          <w:lang w:val="en-US" w:eastAsia="zh-CN"/>
        </w:rPr>
        <w:t xml:space="preserve"> D, Dwyer K, Goodman D, Langham R. Galactose therapy reduces proteinuria in patients with recurrent focal segmental glomerulosclerosis after kidney transplantation. </w:t>
      </w:r>
      <w:r w:rsidRPr="00D01C8E">
        <w:rPr>
          <w:rFonts w:ascii="Book Antiqua" w:eastAsia="宋体" w:hAnsi="Book Antiqua" w:cs="宋体"/>
          <w:i/>
          <w:iCs/>
          <w:lang w:val="en-US" w:eastAsia="zh-CN"/>
        </w:rPr>
        <w:t xml:space="preserve">Nephrology </w:t>
      </w:r>
      <w:r w:rsidRPr="00D01C8E">
        <w:rPr>
          <w:rFonts w:ascii="Book Antiqua" w:eastAsia="宋体" w:hAnsi="Book Antiqua" w:cs="宋体"/>
          <w:iCs/>
          <w:lang w:val="en-US" w:eastAsia="zh-CN"/>
        </w:rPr>
        <w:t>(Carlton)</w:t>
      </w:r>
      <w:r w:rsidRPr="00D01C8E">
        <w:rPr>
          <w:rFonts w:ascii="Book Antiqua" w:eastAsia="宋体" w:hAnsi="Book Antiqua" w:cs="宋体"/>
          <w:lang w:val="en-US" w:eastAsia="zh-CN"/>
        </w:rPr>
        <w:t xml:space="preserve"> 2015; </w:t>
      </w:r>
      <w:r w:rsidRPr="00D01C8E">
        <w:rPr>
          <w:rFonts w:ascii="Book Antiqua" w:eastAsia="宋体" w:hAnsi="Book Antiqua" w:cs="宋体"/>
          <w:b/>
          <w:bCs/>
          <w:lang w:val="en-US" w:eastAsia="zh-CN"/>
        </w:rPr>
        <w:t xml:space="preserve">20 </w:t>
      </w:r>
      <w:proofErr w:type="spellStart"/>
      <w:r w:rsidRPr="00D01C8E">
        <w:rPr>
          <w:rFonts w:ascii="Book Antiqua" w:eastAsia="宋体" w:hAnsi="Book Antiqua" w:cs="宋体"/>
          <w:bCs/>
          <w:lang w:val="en-US" w:eastAsia="zh-CN"/>
        </w:rPr>
        <w:t>Suppl</w:t>
      </w:r>
      <w:proofErr w:type="spellEnd"/>
      <w:r w:rsidRPr="00D01C8E">
        <w:rPr>
          <w:rFonts w:ascii="Book Antiqua" w:eastAsia="宋体" w:hAnsi="Book Antiqua" w:cs="宋体"/>
          <w:bCs/>
          <w:lang w:val="en-US" w:eastAsia="zh-CN"/>
        </w:rPr>
        <w:t xml:space="preserve"> 1</w:t>
      </w:r>
      <w:r w:rsidRPr="00D01C8E">
        <w:rPr>
          <w:rFonts w:ascii="Book Antiqua" w:eastAsia="宋体" w:hAnsi="Book Antiqua" w:cs="宋体"/>
          <w:lang w:val="en-US" w:eastAsia="zh-CN"/>
        </w:rPr>
        <w:t>: 13-16 [PMID: 25807852 DOI: 10.1111/nep.12422]</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66 </w:t>
      </w:r>
      <w:proofErr w:type="spellStart"/>
      <w:r w:rsidRPr="00D01C8E">
        <w:rPr>
          <w:rFonts w:ascii="Book Antiqua" w:eastAsia="宋体" w:hAnsi="Book Antiqua" w:cs="宋体"/>
          <w:b/>
          <w:bCs/>
          <w:lang w:val="en-US" w:eastAsia="zh-CN"/>
        </w:rPr>
        <w:t>Sgambat</w:t>
      </w:r>
      <w:proofErr w:type="spellEnd"/>
      <w:r w:rsidRPr="00D01C8E">
        <w:rPr>
          <w:rFonts w:ascii="Book Antiqua" w:eastAsia="宋体" w:hAnsi="Book Antiqua" w:cs="宋体"/>
          <w:b/>
          <w:bCs/>
          <w:lang w:val="en-US" w:eastAsia="zh-CN"/>
        </w:rPr>
        <w:t xml:space="preserve"> K</w:t>
      </w:r>
      <w:r w:rsidRPr="00D01C8E">
        <w:rPr>
          <w:rFonts w:ascii="Book Antiqua" w:eastAsia="宋体" w:hAnsi="Book Antiqua" w:cs="宋体"/>
          <w:lang w:val="en-US" w:eastAsia="zh-CN"/>
        </w:rPr>
        <w:t xml:space="preserve">, Banks M, </w:t>
      </w:r>
      <w:proofErr w:type="spellStart"/>
      <w:r w:rsidRPr="00D01C8E">
        <w:rPr>
          <w:rFonts w:ascii="Book Antiqua" w:eastAsia="宋体" w:hAnsi="Book Antiqua" w:cs="宋体"/>
          <w:lang w:val="en-US" w:eastAsia="zh-CN"/>
        </w:rPr>
        <w:t>Moudgil</w:t>
      </w:r>
      <w:proofErr w:type="spellEnd"/>
      <w:r w:rsidRPr="00D01C8E">
        <w:rPr>
          <w:rFonts w:ascii="Book Antiqua" w:eastAsia="宋体" w:hAnsi="Book Antiqua" w:cs="宋体"/>
          <w:lang w:val="en-US" w:eastAsia="zh-CN"/>
        </w:rPr>
        <w:t xml:space="preserve"> A. Effect of galactose on glomerular permeability and proteinuria in steroid-resistant nephrotic syndrome.</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28</w:t>
      </w:r>
      <w:r w:rsidRPr="00D01C8E">
        <w:rPr>
          <w:rFonts w:ascii="Book Antiqua" w:eastAsia="宋体" w:hAnsi="Book Antiqua" w:cs="宋体"/>
          <w:lang w:val="en-US" w:eastAsia="zh-CN"/>
        </w:rPr>
        <w:t>: 2131-2135 [PMID: 23793883 DOI: 10.1007/s00467-013-2539-z]</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67 </w:t>
      </w:r>
      <w:proofErr w:type="spellStart"/>
      <w:r w:rsidRPr="00D01C8E">
        <w:rPr>
          <w:rFonts w:ascii="Book Antiqua" w:eastAsia="宋体" w:hAnsi="Book Antiqua" w:cs="宋体"/>
          <w:b/>
          <w:bCs/>
          <w:lang w:val="en-US" w:eastAsia="zh-CN"/>
        </w:rPr>
        <w:t>Suranyi</w:t>
      </w:r>
      <w:proofErr w:type="spellEnd"/>
      <w:r w:rsidRPr="00D01C8E">
        <w:rPr>
          <w:rFonts w:ascii="Book Antiqua" w:eastAsia="宋体" w:hAnsi="Book Antiqua" w:cs="宋体"/>
          <w:b/>
          <w:bCs/>
          <w:lang w:val="en-US" w:eastAsia="zh-CN"/>
        </w:rPr>
        <w:t xml:space="preserve"> MG</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Guasch</w:t>
      </w:r>
      <w:proofErr w:type="spellEnd"/>
      <w:r w:rsidRPr="00D01C8E">
        <w:rPr>
          <w:rFonts w:ascii="Book Antiqua" w:eastAsia="宋体" w:hAnsi="Book Antiqua" w:cs="宋体"/>
          <w:lang w:val="en-US" w:eastAsia="zh-CN"/>
        </w:rPr>
        <w:t xml:space="preserve"> A, Hall BM, Myers BD. Elevated levels of tumor necrosis factor-alpha in the nephrotic syndrome in humans. </w:t>
      </w:r>
      <w:r w:rsidRPr="00D01C8E">
        <w:rPr>
          <w:rFonts w:ascii="Book Antiqua" w:eastAsia="宋体" w:hAnsi="Book Antiqua" w:cs="宋体"/>
          <w:i/>
          <w:iCs/>
          <w:lang w:val="en-US" w:eastAsia="zh-CN"/>
        </w:rPr>
        <w:t>Am J Kidney Dis</w:t>
      </w:r>
      <w:r w:rsidRPr="00D01C8E">
        <w:rPr>
          <w:rFonts w:ascii="Book Antiqua" w:eastAsia="宋体" w:hAnsi="Book Antiqua" w:cs="宋体"/>
          <w:lang w:val="en-US" w:eastAsia="zh-CN"/>
        </w:rPr>
        <w:t xml:space="preserve"> 1993; </w:t>
      </w:r>
      <w:r w:rsidRPr="00D01C8E">
        <w:rPr>
          <w:rFonts w:ascii="Book Antiqua" w:eastAsia="宋体" w:hAnsi="Book Antiqua" w:cs="宋体"/>
          <w:b/>
          <w:bCs/>
          <w:lang w:val="en-US" w:eastAsia="zh-CN"/>
        </w:rPr>
        <w:t>21</w:t>
      </w:r>
      <w:r w:rsidRPr="00D01C8E">
        <w:rPr>
          <w:rFonts w:ascii="Book Antiqua" w:eastAsia="宋体" w:hAnsi="Book Antiqua" w:cs="宋体"/>
          <w:lang w:val="en-US" w:eastAsia="zh-CN"/>
        </w:rPr>
        <w:t>: 251-259 [PMID: 8447300]</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68 </w:t>
      </w:r>
      <w:r w:rsidRPr="00D01C8E">
        <w:rPr>
          <w:rFonts w:ascii="Book Antiqua" w:eastAsia="宋体" w:hAnsi="Book Antiqua" w:cs="宋体"/>
          <w:b/>
          <w:bCs/>
          <w:lang w:val="en-US" w:eastAsia="zh-CN"/>
        </w:rPr>
        <w:t>McCarthy ET</w:t>
      </w:r>
      <w:r w:rsidRPr="00D01C8E">
        <w:rPr>
          <w:rFonts w:ascii="Book Antiqua" w:eastAsia="宋体" w:hAnsi="Book Antiqua" w:cs="宋体"/>
          <w:lang w:val="en-US" w:eastAsia="zh-CN"/>
        </w:rPr>
        <w:t xml:space="preserve">, Sharma R, Sharma M, Li JZ, Ge XL, </w:t>
      </w:r>
      <w:proofErr w:type="spellStart"/>
      <w:r w:rsidRPr="00D01C8E">
        <w:rPr>
          <w:rFonts w:ascii="Book Antiqua" w:eastAsia="宋体" w:hAnsi="Book Antiqua" w:cs="宋体"/>
          <w:lang w:val="en-US" w:eastAsia="zh-CN"/>
        </w:rPr>
        <w:t>Dileepan</w:t>
      </w:r>
      <w:proofErr w:type="spellEnd"/>
      <w:r w:rsidRPr="00D01C8E">
        <w:rPr>
          <w:rFonts w:ascii="Book Antiqua" w:eastAsia="宋体" w:hAnsi="Book Antiqua" w:cs="宋体"/>
          <w:lang w:val="en-US" w:eastAsia="zh-CN"/>
        </w:rPr>
        <w:t xml:space="preserve"> KN, </w:t>
      </w:r>
      <w:proofErr w:type="spellStart"/>
      <w:r w:rsidRPr="00D01C8E">
        <w:rPr>
          <w:rFonts w:ascii="Book Antiqua" w:eastAsia="宋体" w:hAnsi="Book Antiqua" w:cs="宋体"/>
          <w:lang w:val="en-US" w:eastAsia="zh-CN"/>
        </w:rPr>
        <w:t>Savin</w:t>
      </w:r>
      <w:proofErr w:type="spellEnd"/>
      <w:r w:rsidRPr="00D01C8E">
        <w:rPr>
          <w:rFonts w:ascii="Book Antiqua" w:eastAsia="宋体" w:hAnsi="Book Antiqua" w:cs="宋体"/>
          <w:lang w:val="en-US" w:eastAsia="zh-CN"/>
        </w:rPr>
        <w:t xml:space="preserve"> VJ. TNF-alpha increases albumin permeability of isolated rat glomeruli through the generation of superoxide. </w:t>
      </w:r>
      <w:r w:rsidRPr="00D01C8E">
        <w:rPr>
          <w:rFonts w:ascii="Book Antiqua" w:eastAsia="宋体" w:hAnsi="Book Antiqua" w:cs="宋体"/>
          <w:i/>
          <w:iCs/>
          <w:lang w:val="en-US" w:eastAsia="zh-CN"/>
        </w:rPr>
        <w:t xml:space="preserve">J Am </w:t>
      </w:r>
      <w:proofErr w:type="spellStart"/>
      <w:r w:rsidRPr="00D01C8E">
        <w:rPr>
          <w:rFonts w:ascii="Book Antiqua" w:eastAsia="宋体" w:hAnsi="Book Antiqua" w:cs="宋体"/>
          <w:i/>
          <w:iCs/>
          <w:lang w:val="en-US" w:eastAsia="zh-CN"/>
        </w:rPr>
        <w:t>Soc</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1998; </w:t>
      </w:r>
      <w:r w:rsidRPr="00D01C8E">
        <w:rPr>
          <w:rFonts w:ascii="Book Antiqua" w:eastAsia="宋体" w:hAnsi="Book Antiqua" w:cs="宋体"/>
          <w:b/>
          <w:bCs/>
          <w:lang w:val="en-US" w:eastAsia="zh-CN"/>
        </w:rPr>
        <w:t>9</w:t>
      </w:r>
      <w:r w:rsidRPr="00D01C8E">
        <w:rPr>
          <w:rFonts w:ascii="Book Antiqua" w:eastAsia="宋体" w:hAnsi="Book Antiqua" w:cs="宋体"/>
          <w:lang w:val="en-US" w:eastAsia="zh-CN"/>
        </w:rPr>
        <w:t>: 433-438 [PMID: 9513905]</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69 </w:t>
      </w:r>
      <w:r w:rsidRPr="00D01C8E">
        <w:rPr>
          <w:rFonts w:ascii="Book Antiqua" w:eastAsia="宋体" w:hAnsi="Book Antiqua" w:cs="宋体"/>
          <w:b/>
          <w:bCs/>
          <w:lang w:val="en-US" w:eastAsia="zh-CN"/>
        </w:rPr>
        <w:t>Leroy S</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Guigonis</w:t>
      </w:r>
      <w:proofErr w:type="spellEnd"/>
      <w:r w:rsidRPr="00D01C8E">
        <w:rPr>
          <w:rFonts w:ascii="Book Antiqua" w:eastAsia="宋体" w:hAnsi="Book Antiqua" w:cs="宋体"/>
          <w:lang w:val="en-US" w:eastAsia="zh-CN"/>
        </w:rPr>
        <w:t xml:space="preserve"> V, Bruckner D, </w:t>
      </w:r>
      <w:proofErr w:type="spellStart"/>
      <w:r w:rsidRPr="00D01C8E">
        <w:rPr>
          <w:rFonts w:ascii="Book Antiqua" w:eastAsia="宋体" w:hAnsi="Book Antiqua" w:cs="宋体"/>
          <w:lang w:val="en-US" w:eastAsia="zh-CN"/>
        </w:rPr>
        <w:t>Emal-Aglae</w:t>
      </w:r>
      <w:proofErr w:type="spellEnd"/>
      <w:r w:rsidRPr="00D01C8E">
        <w:rPr>
          <w:rFonts w:ascii="Book Antiqua" w:eastAsia="宋体" w:hAnsi="Book Antiqua" w:cs="宋体"/>
          <w:lang w:val="en-US" w:eastAsia="zh-CN"/>
        </w:rPr>
        <w:t xml:space="preserve"> V, </w:t>
      </w:r>
      <w:proofErr w:type="spellStart"/>
      <w:r w:rsidRPr="00D01C8E">
        <w:rPr>
          <w:rFonts w:ascii="Book Antiqua" w:eastAsia="宋体" w:hAnsi="Book Antiqua" w:cs="宋体"/>
          <w:lang w:val="en-US" w:eastAsia="zh-CN"/>
        </w:rPr>
        <w:t>Deschênes</w:t>
      </w:r>
      <w:proofErr w:type="spellEnd"/>
      <w:r w:rsidRPr="00D01C8E">
        <w:rPr>
          <w:rFonts w:ascii="Book Antiqua" w:eastAsia="宋体" w:hAnsi="Book Antiqua" w:cs="宋体"/>
          <w:lang w:val="en-US" w:eastAsia="zh-CN"/>
        </w:rPr>
        <w:t xml:space="preserve"> G, </w:t>
      </w:r>
      <w:proofErr w:type="spellStart"/>
      <w:r w:rsidRPr="00D01C8E">
        <w:rPr>
          <w:rFonts w:ascii="Book Antiqua" w:eastAsia="宋体" w:hAnsi="Book Antiqua" w:cs="宋体"/>
          <w:lang w:val="en-US" w:eastAsia="zh-CN"/>
        </w:rPr>
        <w:t>Bensman</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Ulinski</w:t>
      </w:r>
      <w:proofErr w:type="spellEnd"/>
      <w:r w:rsidRPr="00D01C8E">
        <w:rPr>
          <w:rFonts w:ascii="Book Antiqua" w:eastAsia="宋体" w:hAnsi="Book Antiqua" w:cs="宋体"/>
          <w:lang w:val="en-US" w:eastAsia="zh-CN"/>
        </w:rPr>
        <w:t xml:space="preserve"> T. Successful anti-</w:t>
      </w:r>
      <w:proofErr w:type="spellStart"/>
      <w:r w:rsidRPr="00D01C8E">
        <w:rPr>
          <w:rFonts w:ascii="Book Antiqua" w:eastAsia="宋体" w:hAnsi="Book Antiqua" w:cs="宋体"/>
          <w:lang w:val="en-US" w:eastAsia="zh-CN"/>
        </w:rPr>
        <w:t>TNFalpha</w:t>
      </w:r>
      <w:proofErr w:type="spellEnd"/>
      <w:r w:rsidRPr="00D01C8E">
        <w:rPr>
          <w:rFonts w:ascii="Book Antiqua" w:eastAsia="宋体" w:hAnsi="Book Antiqua" w:cs="宋体"/>
          <w:lang w:val="en-US" w:eastAsia="zh-CN"/>
        </w:rPr>
        <w:t xml:space="preserve"> treatment in a child with </w:t>
      </w:r>
      <w:proofErr w:type="spellStart"/>
      <w:r w:rsidRPr="00D01C8E">
        <w:rPr>
          <w:rFonts w:ascii="Book Antiqua" w:eastAsia="宋体" w:hAnsi="Book Antiqua" w:cs="宋体"/>
          <w:lang w:val="en-US" w:eastAsia="zh-CN"/>
        </w:rPr>
        <w:t>posttransplant</w:t>
      </w:r>
      <w:proofErr w:type="spellEnd"/>
      <w:r w:rsidRPr="00D01C8E">
        <w:rPr>
          <w:rFonts w:ascii="Book Antiqua" w:eastAsia="宋体" w:hAnsi="Book Antiqua" w:cs="宋体"/>
          <w:lang w:val="en-US" w:eastAsia="zh-CN"/>
        </w:rPr>
        <w:t xml:space="preserve"> recurrent focal segmental glomerulosclerosis. </w:t>
      </w:r>
      <w:r w:rsidRPr="00D01C8E">
        <w:rPr>
          <w:rFonts w:ascii="Book Antiqua" w:eastAsia="宋体" w:hAnsi="Book Antiqua" w:cs="宋体"/>
          <w:i/>
          <w:iCs/>
          <w:lang w:val="en-US" w:eastAsia="zh-CN"/>
        </w:rPr>
        <w:t>Am J Transplant</w:t>
      </w:r>
      <w:r w:rsidRPr="00D01C8E">
        <w:rPr>
          <w:rFonts w:ascii="Book Antiqua" w:eastAsia="宋体" w:hAnsi="Book Antiqua" w:cs="宋体"/>
          <w:lang w:val="en-US" w:eastAsia="zh-CN"/>
        </w:rPr>
        <w:t xml:space="preserve"> 2009; </w:t>
      </w:r>
      <w:r w:rsidRPr="00D01C8E">
        <w:rPr>
          <w:rFonts w:ascii="Book Antiqua" w:eastAsia="宋体" w:hAnsi="Book Antiqua" w:cs="宋体"/>
          <w:b/>
          <w:bCs/>
          <w:lang w:val="en-US" w:eastAsia="zh-CN"/>
        </w:rPr>
        <w:t>9</w:t>
      </w:r>
      <w:r w:rsidRPr="00D01C8E">
        <w:rPr>
          <w:rFonts w:ascii="Book Antiqua" w:eastAsia="宋体" w:hAnsi="Book Antiqua" w:cs="宋体"/>
          <w:lang w:val="en-US" w:eastAsia="zh-CN"/>
        </w:rPr>
        <w:t>: 858-861 [PMID: 19344472 DOI: 10.1111/j.1600-6143.2009.02550.x]</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70 </w:t>
      </w:r>
      <w:proofErr w:type="spellStart"/>
      <w:r w:rsidRPr="00D01C8E">
        <w:rPr>
          <w:rFonts w:ascii="Book Antiqua" w:eastAsia="宋体" w:hAnsi="Book Antiqua" w:cs="宋体"/>
          <w:b/>
          <w:bCs/>
          <w:lang w:val="en-US" w:eastAsia="zh-CN"/>
        </w:rPr>
        <w:t>Bitzan</w:t>
      </w:r>
      <w:proofErr w:type="spellEnd"/>
      <w:r w:rsidRPr="00D01C8E">
        <w:rPr>
          <w:rFonts w:ascii="Book Antiqua" w:eastAsia="宋体" w:hAnsi="Book Antiqua" w:cs="宋体"/>
          <w:b/>
          <w:bCs/>
          <w:lang w:val="en-US" w:eastAsia="zh-CN"/>
        </w:rPr>
        <w:t xml:space="preserve"> M</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Babayeva</w:t>
      </w:r>
      <w:proofErr w:type="spellEnd"/>
      <w:r w:rsidRPr="00D01C8E">
        <w:rPr>
          <w:rFonts w:ascii="Book Antiqua" w:eastAsia="宋体" w:hAnsi="Book Antiqua" w:cs="宋体"/>
          <w:lang w:val="en-US" w:eastAsia="zh-CN"/>
        </w:rPr>
        <w:t xml:space="preserve"> S, </w:t>
      </w:r>
      <w:proofErr w:type="spellStart"/>
      <w:r w:rsidRPr="00D01C8E">
        <w:rPr>
          <w:rFonts w:ascii="Book Antiqua" w:eastAsia="宋体" w:hAnsi="Book Antiqua" w:cs="宋体"/>
          <w:lang w:val="en-US" w:eastAsia="zh-CN"/>
        </w:rPr>
        <w:t>Vasudevan</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Goodyer</w:t>
      </w:r>
      <w:proofErr w:type="spellEnd"/>
      <w:r w:rsidRPr="00D01C8E">
        <w:rPr>
          <w:rFonts w:ascii="Book Antiqua" w:eastAsia="宋体" w:hAnsi="Book Antiqua" w:cs="宋体"/>
          <w:lang w:val="en-US" w:eastAsia="zh-CN"/>
        </w:rPr>
        <w:t xml:space="preserve"> P, </w:t>
      </w:r>
      <w:proofErr w:type="spellStart"/>
      <w:r w:rsidRPr="00D01C8E">
        <w:rPr>
          <w:rFonts w:ascii="Book Antiqua" w:eastAsia="宋体" w:hAnsi="Book Antiqua" w:cs="宋体"/>
          <w:lang w:val="en-US" w:eastAsia="zh-CN"/>
        </w:rPr>
        <w:t>Torban</w:t>
      </w:r>
      <w:proofErr w:type="spellEnd"/>
      <w:r w:rsidRPr="00D01C8E">
        <w:rPr>
          <w:rFonts w:ascii="Book Antiqua" w:eastAsia="宋体" w:hAnsi="Book Antiqua" w:cs="宋体"/>
          <w:lang w:val="en-US" w:eastAsia="zh-CN"/>
        </w:rPr>
        <w:t xml:space="preserve"> E. TNFα pathway blockade ameliorates toxic effects of FSGS plasma on podocyte cytoskeleton and β3 integrin activation.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2012; </w:t>
      </w:r>
      <w:r w:rsidRPr="00D01C8E">
        <w:rPr>
          <w:rFonts w:ascii="Book Antiqua" w:eastAsia="宋体" w:hAnsi="Book Antiqua" w:cs="宋体"/>
          <w:b/>
          <w:bCs/>
          <w:lang w:val="en-US" w:eastAsia="zh-CN"/>
        </w:rPr>
        <w:t>27</w:t>
      </w:r>
      <w:r w:rsidRPr="00D01C8E">
        <w:rPr>
          <w:rFonts w:ascii="Book Antiqua" w:eastAsia="宋体" w:hAnsi="Book Antiqua" w:cs="宋体"/>
          <w:lang w:val="en-US" w:eastAsia="zh-CN"/>
        </w:rPr>
        <w:t>: 2217-2226 [PMID: 22538781 DOI: 10.1007/s00467-012-2163-3]</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71 </w:t>
      </w:r>
      <w:r w:rsidRPr="00D01C8E">
        <w:rPr>
          <w:rFonts w:ascii="Book Antiqua" w:eastAsia="宋体" w:hAnsi="Book Antiqua" w:cs="宋体"/>
          <w:b/>
          <w:bCs/>
          <w:lang w:val="en-US" w:eastAsia="zh-CN"/>
        </w:rPr>
        <w:t>Montgomery RA</w:t>
      </w:r>
      <w:r w:rsidRPr="00D01C8E">
        <w:rPr>
          <w:rFonts w:ascii="Book Antiqua" w:eastAsia="宋体" w:hAnsi="Book Antiqua" w:cs="宋体"/>
          <w:lang w:val="en-US" w:eastAsia="zh-CN"/>
        </w:rPr>
        <w:t xml:space="preserve">, Locke JE, King KE, </w:t>
      </w:r>
      <w:proofErr w:type="spellStart"/>
      <w:r w:rsidRPr="00D01C8E">
        <w:rPr>
          <w:rFonts w:ascii="Book Antiqua" w:eastAsia="宋体" w:hAnsi="Book Antiqua" w:cs="宋体"/>
          <w:lang w:val="en-US" w:eastAsia="zh-CN"/>
        </w:rPr>
        <w:t>Segev</w:t>
      </w:r>
      <w:proofErr w:type="spellEnd"/>
      <w:r w:rsidRPr="00D01C8E">
        <w:rPr>
          <w:rFonts w:ascii="Book Antiqua" w:eastAsia="宋体" w:hAnsi="Book Antiqua" w:cs="宋体"/>
          <w:lang w:val="en-US" w:eastAsia="zh-CN"/>
        </w:rPr>
        <w:t xml:space="preserve"> DL, Warren DS, Kraus ES, Cooper M, Simpkins CE, Singer AL, Stewart ZA, </w:t>
      </w:r>
      <w:proofErr w:type="spellStart"/>
      <w:r w:rsidRPr="00D01C8E">
        <w:rPr>
          <w:rFonts w:ascii="Book Antiqua" w:eastAsia="宋体" w:hAnsi="Book Antiqua" w:cs="宋体"/>
          <w:lang w:val="en-US" w:eastAsia="zh-CN"/>
        </w:rPr>
        <w:t>Melancon</w:t>
      </w:r>
      <w:proofErr w:type="spellEnd"/>
      <w:r w:rsidRPr="00D01C8E">
        <w:rPr>
          <w:rFonts w:ascii="Book Antiqua" w:eastAsia="宋体" w:hAnsi="Book Antiqua" w:cs="宋体"/>
          <w:lang w:val="en-US" w:eastAsia="zh-CN"/>
        </w:rPr>
        <w:t xml:space="preserve"> JK, Ratner L, Zachary AA, Haas M. ABO incompatible renal transplantation: a paradigm ready for broad implementation. </w:t>
      </w:r>
      <w:r w:rsidRPr="00D01C8E">
        <w:rPr>
          <w:rFonts w:ascii="Book Antiqua" w:eastAsia="宋体" w:hAnsi="Book Antiqua" w:cs="宋体"/>
          <w:i/>
          <w:iCs/>
          <w:lang w:val="en-US" w:eastAsia="zh-CN"/>
        </w:rPr>
        <w:t>Transplantation</w:t>
      </w:r>
      <w:r w:rsidRPr="00D01C8E">
        <w:rPr>
          <w:rFonts w:ascii="Book Antiqua" w:eastAsia="宋体" w:hAnsi="Book Antiqua" w:cs="宋体"/>
          <w:lang w:val="en-US" w:eastAsia="zh-CN"/>
        </w:rPr>
        <w:t xml:space="preserve"> 2009; </w:t>
      </w:r>
      <w:r w:rsidRPr="00D01C8E">
        <w:rPr>
          <w:rFonts w:ascii="Book Antiqua" w:eastAsia="宋体" w:hAnsi="Book Antiqua" w:cs="宋体"/>
          <w:b/>
          <w:bCs/>
          <w:lang w:val="en-US" w:eastAsia="zh-CN"/>
        </w:rPr>
        <w:t>87</w:t>
      </w:r>
      <w:r w:rsidRPr="00D01C8E">
        <w:rPr>
          <w:rFonts w:ascii="Book Antiqua" w:eastAsia="宋体" w:hAnsi="Book Antiqua" w:cs="宋体"/>
          <w:lang w:val="en-US" w:eastAsia="zh-CN"/>
        </w:rPr>
        <w:t>: 1246-1255 [PMID: 19384174 DOI: 10.1097/TP.0b013e31819f2024]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lastRenderedPageBreak/>
        <w:t xml:space="preserve">72 </w:t>
      </w:r>
      <w:r w:rsidRPr="00D01C8E">
        <w:rPr>
          <w:rFonts w:ascii="Book Antiqua" w:eastAsia="宋体" w:hAnsi="Book Antiqua" w:cs="宋体"/>
          <w:b/>
          <w:bCs/>
          <w:lang w:val="en-US" w:eastAsia="zh-CN"/>
        </w:rPr>
        <w:t>Becker YT</w:t>
      </w:r>
      <w:r w:rsidRPr="00D01C8E">
        <w:rPr>
          <w:rFonts w:ascii="Book Antiqua" w:eastAsia="宋体" w:hAnsi="Book Antiqua" w:cs="宋体"/>
          <w:lang w:val="en-US" w:eastAsia="zh-CN"/>
        </w:rPr>
        <w:t xml:space="preserve">, Becker BN, </w:t>
      </w:r>
      <w:proofErr w:type="spellStart"/>
      <w:r w:rsidRPr="00D01C8E">
        <w:rPr>
          <w:rFonts w:ascii="Book Antiqua" w:eastAsia="宋体" w:hAnsi="Book Antiqua" w:cs="宋体"/>
          <w:lang w:val="en-US" w:eastAsia="zh-CN"/>
        </w:rPr>
        <w:t>Pirsch</w:t>
      </w:r>
      <w:proofErr w:type="spellEnd"/>
      <w:r w:rsidRPr="00D01C8E">
        <w:rPr>
          <w:rFonts w:ascii="Book Antiqua" w:eastAsia="宋体" w:hAnsi="Book Antiqua" w:cs="宋体"/>
          <w:lang w:val="en-US" w:eastAsia="zh-CN"/>
        </w:rPr>
        <w:t xml:space="preserve"> JD, </w:t>
      </w:r>
      <w:proofErr w:type="spellStart"/>
      <w:r w:rsidRPr="00D01C8E">
        <w:rPr>
          <w:rFonts w:ascii="Book Antiqua" w:eastAsia="宋体" w:hAnsi="Book Antiqua" w:cs="宋体"/>
          <w:lang w:val="en-US" w:eastAsia="zh-CN"/>
        </w:rPr>
        <w:t>Sollinger</w:t>
      </w:r>
      <w:proofErr w:type="spellEnd"/>
      <w:r w:rsidRPr="00D01C8E">
        <w:rPr>
          <w:rFonts w:ascii="Book Antiqua" w:eastAsia="宋体" w:hAnsi="Book Antiqua" w:cs="宋体"/>
          <w:lang w:val="en-US" w:eastAsia="zh-CN"/>
        </w:rPr>
        <w:t xml:space="preserve"> HW. Rituximab as treatment for refractory kidney transplant rejection. </w:t>
      </w:r>
      <w:r w:rsidRPr="00D01C8E">
        <w:rPr>
          <w:rFonts w:ascii="Book Antiqua" w:eastAsia="宋体" w:hAnsi="Book Antiqua" w:cs="宋体"/>
          <w:i/>
          <w:iCs/>
          <w:lang w:val="en-US" w:eastAsia="zh-CN"/>
        </w:rPr>
        <w:t>Am J Transplant</w:t>
      </w:r>
      <w:r w:rsidRPr="00D01C8E">
        <w:rPr>
          <w:rFonts w:ascii="Book Antiqua" w:eastAsia="宋体" w:hAnsi="Book Antiqua" w:cs="宋体"/>
          <w:lang w:val="en-US" w:eastAsia="zh-CN"/>
        </w:rPr>
        <w:t xml:space="preserve"> 2004; </w:t>
      </w:r>
      <w:r w:rsidRPr="00D01C8E">
        <w:rPr>
          <w:rFonts w:ascii="Book Antiqua" w:eastAsia="宋体" w:hAnsi="Book Antiqua" w:cs="宋体"/>
          <w:b/>
          <w:bCs/>
          <w:lang w:val="en-US" w:eastAsia="zh-CN"/>
        </w:rPr>
        <w:t>4</w:t>
      </w:r>
      <w:r w:rsidRPr="00D01C8E">
        <w:rPr>
          <w:rFonts w:ascii="Book Antiqua" w:eastAsia="宋体" w:hAnsi="Book Antiqua" w:cs="宋体"/>
          <w:lang w:val="en-US" w:eastAsia="zh-CN"/>
        </w:rPr>
        <w:t>: 996-1001 [PMID: 15147435]</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73 </w:t>
      </w:r>
      <w:r w:rsidR="007273E8" w:rsidRPr="00D92B63">
        <w:rPr>
          <w:rFonts w:ascii="Book Antiqua" w:hAnsi="Book Antiqua"/>
          <w:b/>
          <w:bCs/>
          <w:color w:val="000000"/>
          <w:lang w:val="en-US"/>
        </w:rPr>
        <w:t xml:space="preserve">EBPG Expert </w:t>
      </w:r>
      <w:proofErr w:type="gramStart"/>
      <w:r w:rsidR="007273E8" w:rsidRPr="00D92B63">
        <w:rPr>
          <w:rFonts w:ascii="Book Antiqua" w:hAnsi="Book Antiqua"/>
          <w:b/>
          <w:bCs/>
          <w:color w:val="000000"/>
          <w:lang w:val="en-US"/>
        </w:rPr>
        <w:t>Group</w:t>
      </w:r>
      <w:proofErr w:type="gramEnd"/>
      <w:r w:rsidR="007273E8" w:rsidRPr="00D92B63">
        <w:rPr>
          <w:rFonts w:ascii="Book Antiqua" w:hAnsi="Book Antiqua"/>
          <w:b/>
          <w:bCs/>
          <w:color w:val="000000"/>
          <w:lang w:val="en-US"/>
        </w:rPr>
        <w:t xml:space="preserve"> on Renal Transplantation</w:t>
      </w:r>
      <w:r w:rsidRPr="00D01C8E">
        <w:rPr>
          <w:rFonts w:ascii="Book Antiqua" w:eastAsia="宋体" w:hAnsi="Book Antiqua" w:cs="宋体"/>
          <w:lang w:val="en-US" w:eastAsia="zh-CN"/>
        </w:rPr>
        <w:t xml:space="preserve">. European best practice guidelines for renal transplantation. Section IV: Long-term management of the transplant recipient. </w:t>
      </w:r>
      <w:proofErr w:type="gramStart"/>
      <w:r w:rsidRPr="00D01C8E">
        <w:rPr>
          <w:rFonts w:ascii="Book Antiqua" w:eastAsia="宋体" w:hAnsi="Book Antiqua" w:cs="宋体"/>
          <w:lang w:val="en-US" w:eastAsia="zh-CN"/>
        </w:rPr>
        <w:t>IV.6.1. Cancer risk after renal transplantation.</w:t>
      </w:r>
      <w:proofErr w:type="gramEnd"/>
      <w:r w:rsidRPr="00D01C8E">
        <w:rPr>
          <w:rFonts w:ascii="Book Antiqua" w:eastAsia="宋体" w:hAnsi="Book Antiqua" w:cs="宋体"/>
          <w:lang w:val="en-US" w:eastAsia="zh-CN"/>
        </w:rPr>
        <w:t xml:space="preserve"> Post-transplant lymphoproliferative disease (PTLD): prevention and treatment.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i/>
          <w:iCs/>
          <w:lang w:val="en-US" w:eastAsia="zh-CN"/>
        </w:rPr>
        <w:t xml:space="preserve"> Dial Transplant</w:t>
      </w:r>
      <w:r w:rsidRPr="00D01C8E">
        <w:rPr>
          <w:rFonts w:ascii="Book Antiqua" w:eastAsia="宋体" w:hAnsi="Book Antiqua" w:cs="宋体"/>
          <w:lang w:val="en-US" w:eastAsia="zh-CN"/>
        </w:rPr>
        <w:t xml:space="preserve"> 2002; </w:t>
      </w:r>
      <w:r w:rsidRPr="00D01C8E">
        <w:rPr>
          <w:rFonts w:ascii="Book Antiqua" w:eastAsia="宋体" w:hAnsi="Book Antiqua" w:cs="宋体"/>
          <w:b/>
          <w:bCs/>
          <w:lang w:val="en-US" w:eastAsia="zh-CN"/>
        </w:rPr>
        <w:t xml:space="preserve">17 </w:t>
      </w:r>
      <w:proofErr w:type="spellStart"/>
      <w:r w:rsidRPr="00D01C8E">
        <w:rPr>
          <w:rFonts w:ascii="Book Antiqua" w:eastAsia="宋体" w:hAnsi="Book Antiqua" w:cs="宋体"/>
          <w:bCs/>
          <w:lang w:val="en-US" w:eastAsia="zh-CN"/>
        </w:rPr>
        <w:t>Suppl</w:t>
      </w:r>
      <w:proofErr w:type="spellEnd"/>
      <w:r w:rsidRPr="00D01C8E">
        <w:rPr>
          <w:rFonts w:ascii="Book Antiqua" w:eastAsia="宋体" w:hAnsi="Book Antiqua" w:cs="宋体"/>
          <w:bCs/>
          <w:lang w:val="en-US" w:eastAsia="zh-CN"/>
        </w:rPr>
        <w:t xml:space="preserve"> 4</w:t>
      </w:r>
      <w:r w:rsidRPr="00D01C8E">
        <w:rPr>
          <w:rFonts w:ascii="Book Antiqua" w:eastAsia="宋体" w:hAnsi="Book Antiqua" w:cs="宋体"/>
          <w:lang w:val="en-US" w:eastAsia="zh-CN"/>
        </w:rPr>
        <w:t>: 31-3, 35-6 [PMID: 12091638]</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74 </w:t>
      </w:r>
      <w:proofErr w:type="spellStart"/>
      <w:r w:rsidRPr="00D01C8E">
        <w:rPr>
          <w:rFonts w:ascii="Book Antiqua" w:eastAsia="宋体" w:hAnsi="Book Antiqua" w:cs="宋体"/>
          <w:b/>
          <w:bCs/>
          <w:lang w:val="en-US" w:eastAsia="zh-CN"/>
        </w:rPr>
        <w:t>Hristea</w:t>
      </w:r>
      <w:proofErr w:type="spellEnd"/>
      <w:r w:rsidRPr="00D01C8E">
        <w:rPr>
          <w:rFonts w:ascii="Book Antiqua" w:eastAsia="宋体" w:hAnsi="Book Antiqua" w:cs="宋体"/>
          <w:b/>
          <w:bCs/>
          <w:lang w:val="en-US" w:eastAsia="zh-CN"/>
        </w:rPr>
        <w:t xml:space="preserve"> D</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Hadaya</w:t>
      </w:r>
      <w:proofErr w:type="spellEnd"/>
      <w:r w:rsidRPr="00D01C8E">
        <w:rPr>
          <w:rFonts w:ascii="Book Antiqua" w:eastAsia="宋体" w:hAnsi="Book Antiqua" w:cs="宋体"/>
          <w:lang w:val="en-US" w:eastAsia="zh-CN"/>
        </w:rPr>
        <w:t xml:space="preserve"> K, </w:t>
      </w:r>
      <w:proofErr w:type="spellStart"/>
      <w:r w:rsidRPr="00D01C8E">
        <w:rPr>
          <w:rFonts w:ascii="Book Antiqua" w:eastAsia="宋体" w:hAnsi="Book Antiqua" w:cs="宋体"/>
          <w:lang w:val="en-US" w:eastAsia="zh-CN"/>
        </w:rPr>
        <w:t>Marangon</w:t>
      </w:r>
      <w:proofErr w:type="spellEnd"/>
      <w:r w:rsidRPr="00D01C8E">
        <w:rPr>
          <w:rFonts w:ascii="Book Antiqua" w:eastAsia="宋体" w:hAnsi="Book Antiqua" w:cs="宋体"/>
          <w:lang w:val="en-US" w:eastAsia="zh-CN"/>
        </w:rPr>
        <w:t xml:space="preserve"> N, Buhler L, Villard J, Morel P, Martin PY. </w:t>
      </w:r>
      <w:proofErr w:type="gramStart"/>
      <w:r w:rsidRPr="00D01C8E">
        <w:rPr>
          <w:rFonts w:ascii="Book Antiqua" w:eastAsia="宋体" w:hAnsi="Book Antiqua" w:cs="宋体"/>
          <w:lang w:val="en-US" w:eastAsia="zh-CN"/>
        </w:rPr>
        <w:t>Successful treatment of recurrent focal segmental glomerulosclerosis after kidney transplantation by plasmapheresis and rituximab.</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Transpl</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Int</w:t>
      </w:r>
      <w:proofErr w:type="spellEnd"/>
      <w:r w:rsidRPr="00D01C8E">
        <w:rPr>
          <w:rFonts w:ascii="Book Antiqua" w:eastAsia="宋体" w:hAnsi="Book Antiqua" w:cs="宋体"/>
          <w:lang w:val="en-US" w:eastAsia="zh-CN"/>
        </w:rPr>
        <w:t xml:space="preserve"> 2007; </w:t>
      </w:r>
      <w:r w:rsidRPr="00D01C8E">
        <w:rPr>
          <w:rFonts w:ascii="Book Antiqua" w:eastAsia="宋体" w:hAnsi="Book Antiqua" w:cs="宋体"/>
          <w:b/>
          <w:bCs/>
          <w:lang w:val="en-US" w:eastAsia="zh-CN"/>
        </w:rPr>
        <w:t>20</w:t>
      </w:r>
      <w:r w:rsidRPr="00D01C8E">
        <w:rPr>
          <w:rFonts w:ascii="Book Antiqua" w:eastAsia="宋体" w:hAnsi="Book Antiqua" w:cs="宋体"/>
          <w:lang w:val="en-US" w:eastAsia="zh-CN"/>
        </w:rPr>
        <w:t>: 102-105 [PMID: 17181660]</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75 </w:t>
      </w:r>
      <w:proofErr w:type="spellStart"/>
      <w:r w:rsidRPr="00D01C8E">
        <w:rPr>
          <w:rFonts w:ascii="Book Antiqua" w:eastAsia="宋体" w:hAnsi="Book Antiqua" w:cs="宋体"/>
          <w:b/>
          <w:bCs/>
          <w:lang w:val="en-US" w:eastAsia="zh-CN"/>
        </w:rPr>
        <w:t>Gossmann</w:t>
      </w:r>
      <w:proofErr w:type="spellEnd"/>
      <w:r w:rsidRPr="00D01C8E">
        <w:rPr>
          <w:rFonts w:ascii="Book Antiqua" w:eastAsia="宋体" w:hAnsi="Book Antiqua" w:cs="宋体"/>
          <w:b/>
          <w:bCs/>
          <w:lang w:val="en-US" w:eastAsia="zh-CN"/>
        </w:rPr>
        <w:t xml:space="preserve"> J</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Scheuermann</w:t>
      </w:r>
      <w:proofErr w:type="spellEnd"/>
      <w:r w:rsidRPr="00D01C8E">
        <w:rPr>
          <w:rFonts w:ascii="Book Antiqua" w:eastAsia="宋体" w:hAnsi="Book Antiqua" w:cs="宋体"/>
          <w:lang w:val="en-US" w:eastAsia="zh-CN"/>
        </w:rPr>
        <w:t xml:space="preserve"> EH, </w:t>
      </w:r>
      <w:proofErr w:type="spellStart"/>
      <w:r w:rsidRPr="00D01C8E">
        <w:rPr>
          <w:rFonts w:ascii="Book Antiqua" w:eastAsia="宋体" w:hAnsi="Book Antiqua" w:cs="宋体"/>
          <w:lang w:val="en-US" w:eastAsia="zh-CN"/>
        </w:rPr>
        <w:t>Porubsky</w:t>
      </w:r>
      <w:proofErr w:type="spellEnd"/>
      <w:r w:rsidRPr="00D01C8E">
        <w:rPr>
          <w:rFonts w:ascii="Book Antiqua" w:eastAsia="宋体" w:hAnsi="Book Antiqua" w:cs="宋体"/>
          <w:lang w:val="en-US" w:eastAsia="zh-CN"/>
        </w:rPr>
        <w:t xml:space="preserve"> S, </w:t>
      </w:r>
      <w:proofErr w:type="spellStart"/>
      <w:r w:rsidRPr="00D01C8E">
        <w:rPr>
          <w:rFonts w:ascii="Book Antiqua" w:eastAsia="宋体" w:hAnsi="Book Antiqua" w:cs="宋体"/>
          <w:lang w:val="en-US" w:eastAsia="zh-CN"/>
        </w:rPr>
        <w:t>Kachel</w:t>
      </w:r>
      <w:proofErr w:type="spellEnd"/>
      <w:r w:rsidRPr="00D01C8E">
        <w:rPr>
          <w:rFonts w:ascii="Book Antiqua" w:eastAsia="宋体" w:hAnsi="Book Antiqua" w:cs="宋体"/>
          <w:lang w:val="en-US" w:eastAsia="zh-CN"/>
        </w:rPr>
        <w:t xml:space="preserve"> HG, Geiger H, Hauser IA.</w:t>
      </w:r>
      <w:proofErr w:type="gramEnd"/>
      <w:r w:rsidRPr="00D01C8E">
        <w:rPr>
          <w:rFonts w:ascii="Book Antiqua" w:eastAsia="宋体" w:hAnsi="Book Antiqua" w:cs="宋体"/>
          <w:lang w:val="en-US" w:eastAsia="zh-CN"/>
        </w:rPr>
        <w:t xml:space="preserve"> </w:t>
      </w:r>
      <w:proofErr w:type="gramStart"/>
      <w:r w:rsidRPr="00D01C8E">
        <w:rPr>
          <w:rFonts w:ascii="Book Antiqua" w:eastAsia="宋体" w:hAnsi="Book Antiqua" w:cs="宋体"/>
          <w:lang w:val="en-US" w:eastAsia="zh-CN"/>
        </w:rPr>
        <w:t>Abrogation of nephrotic proteinuria by rituximab treatment in a renal transplant patient with relapsed focal segmental glomerulosclerosis.</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Transpl</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Int</w:t>
      </w:r>
      <w:proofErr w:type="spellEnd"/>
      <w:r w:rsidRPr="00D01C8E">
        <w:rPr>
          <w:rFonts w:ascii="Book Antiqua" w:eastAsia="宋体" w:hAnsi="Book Antiqua" w:cs="宋体"/>
          <w:lang w:val="en-US" w:eastAsia="zh-CN"/>
        </w:rPr>
        <w:t xml:space="preserve"> 2007; </w:t>
      </w:r>
      <w:r w:rsidRPr="00D01C8E">
        <w:rPr>
          <w:rFonts w:ascii="Book Antiqua" w:eastAsia="宋体" w:hAnsi="Book Antiqua" w:cs="宋体"/>
          <w:b/>
          <w:bCs/>
          <w:lang w:val="en-US" w:eastAsia="zh-CN"/>
        </w:rPr>
        <w:t>20</w:t>
      </w:r>
      <w:r w:rsidRPr="00D01C8E">
        <w:rPr>
          <w:rFonts w:ascii="Book Antiqua" w:eastAsia="宋体" w:hAnsi="Book Antiqua" w:cs="宋体"/>
          <w:lang w:val="en-US" w:eastAsia="zh-CN"/>
        </w:rPr>
        <w:t>: 558-562 [PMID: 17433091]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76 </w:t>
      </w:r>
      <w:proofErr w:type="spellStart"/>
      <w:r w:rsidRPr="00D01C8E">
        <w:rPr>
          <w:rFonts w:ascii="Book Antiqua" w:eastAsia="宋体" w:hAnsi="Book Antiqua" w:cs="宋体"/>
          <w:b/>
          <w:bCs/>
          <w:lang w:val="en-US" w:eastAsia="zh-CN"/>
        </w:rPr>
        <w:t>Audard</w:t>
      </w:r>
      <w:proofErr w:type="spellEnd"/>
      <w:r w:rsidRPr="00D01C8E">
        <w:rPr>
          <w:rFonts w:ascii="Book Antiqua" w:eastAsia="宋体" w:hAnsi="Book Antiqua" w:cs="宋体"/>
          <w:b/>
          <w:bCs/>
          <w:lang w:val="en-US" w:eastAsia="zh-CN"/>
        </w:rPr>
        <w:t xml:space="preserve"> V</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Kamar</w:t>
      </w:r>
      <w:proofErr w:type="spellEnd"/>
      <w:r w:rsidRPr="00D01C8E">
        <w:rPr>
          <w:rFonts w:ascii="Book Antiqua" w:eastAsia="宋体" w:hAnsi="Book Antiqua" w:cs="宋体"/>
          <w:lang w:val="en-US" w:eastAsia="zh-CN"/>
        </w:rPr>
        <w:t xml:space="preserve"> N, </w:t>
      </w:r>
      <w:proofErr w:type="spellStart"/>
      <w:r w:rsidRPr="00D01C8E">
        <w:rPr>
          <w:rFonts w:ascii="Book Antiqua" w:eastAsia="宋体" w:hAnsi="Book Antiqua" w:cs="宋体"/>
          <w:lang w:val="en-US" w:eastAsia="zh-CN"/>
        </w:rPr>
        <w:t>Sahali</w:t>
      </w:r>
      <w:proofErr w:type="spellEnd"/>
      <w:r w:rsidRPr="00D01C8E">
        <w:rPr>
          <w:rFonts w:ascii="Book Antiqua" w:eastAsia="宋体" w:hAnsi="Book Antiqua" w:cs="宋体"/>
          <w:lang w:val="en-US" w:eastAsia="zh-CN"/>
        </w:rPr>
        <w:t xml:space="preserve"> D, </w:t>
      </w:r>
      <w:proofErr w:type="spellStart"/>
      <w:r w:rsidRPr="00D01C8E">
        <w:rPr>
          <w:rFonts w:ascii="Book Antiqua" w:eastAsia="宋体" w:hAnsi="Book Antiqua" w:cs="宋体"/>
          <w:lang w:val="en-US" w:eastAsia="zh-CN"/>
        </w:rPr>
        <w:t>Cardeau-Desangles</w:t>
      </w:r>
      <w:proofErr w:type="spellEnd"/>
      <w:r w:rsidRPr="00D01C8E">
        <w:rPr>
          <w:rFonts w:ascii="Book Antiqua" w:eastAsia="宋体" w:hAnsi="Book Antiqua" w:cs="宋体"/>
          <w:lang w:val="en-US" w:eastAsia="zh-CN"/>
        </w:rPr>
        <w:t xml:space="preserve"> I, Homs S, Remy P, </w:t>
      </w:r>
      <w:proofErr w:type="spellStart"/>
      <w:r w:rsidRPr="00D01C8E">
        <w:rPr>
          <w:rFonts w:ascii="Book Antiqua" w:eastAsia="宋体" w:hAnsi="Book Antiqua" w:cs="宋体"/>
          <w:lang w:val="en-US" w:eastAsia="zh-CN"/>
        </w:rPr>
        <w:t>Aouizerate</w:t>
      </w:r>
      <w:proofErr w:type="spellEnd"/>
      <w:r w:rsidRPr="00D01C8E">
        <w:rPr>
          <w:rFonts w:ascii="Book Antiqua" w:eastAsia="宋体" w:hAnsi="Book Antiqua" w:cs="宋体"/>
          <w:lang w:val="en-US" w:eastAsia="zh-CN"/>
        </w:rPr>
        <w:t xml:space="preserve"> J, </w:t>
      </w:r>
      <w:proofErr w:type="spellStart"/>
      <w:r w:rsidRPr="00D01C8E">
        <w:rPr>
          <w:rFonts w:ascii="Book Antiqua" w:eastAsia="宋体" w:hAnsi="Book Antiqua" w:cs="宋体"/>
          <w:lang w:val="en-US" w:eastAsia="zh-CN"/>
        </w:rPr>
        <w:t>Matignon</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Rostaing</w:t>
      </w:r>
      <w:proofErr w:type="spellEnd"/>
      <w:r w:rsidRPr="00D01C8E">
        <w:rPr>
          <w:rFonts w:ascii="Book Antiqua" w:eastAsia="宋体" w:hAnsi="Book Antiqua" w:cs="宋体"/>
          <w:lang w:val="en-US" w:eastAsia="zh-CN"/>
        </w:rPr>
        <w:t xml:space="preserve"> L, Lang P, </w:t>
      </w:r>
      <w:proofErr w:type="spellStart"/>
      <w:r w:rsidRPr="00D01C8E">
        <w:rPr>
          <w:rFonts w:ascii="Book Antiqua" w:eastAsia="宋体" w:hAnsi="Book Antiqua" w:cs="宋体"/>
          <w:lang w:val="en-US" w:eastAsia="zh-CN"/>
        </w:rPr>
        <w:t>Grimbert</w:t>
      </w:r>
      <w:proofErr w:type="spellEnd"/>
      <w:r w:rsidRPr="00D01C8E">
        <w:rPr>
          <w:rFonts w:ascii="Book Antiqua" w:eastAsia="宋体" w:hAnsi="Book Antiqua" w:cs="宋体"/>
          <w:lang w:val="en-US" w:eastAsia="zh-CN"/>
        </w:rPr>
        <w:t xml:space="preserve"> P. Rituximab therapy prevents focal and segmental glomerulosclerosis recurrence after a second renal transplantation. </w:t>
      </w:r>
      <w:proofErr w:type="spellStart"/>
      <w:r w:rsidRPr="00D01C8E">
        <w:rPr>
          <w:rFonts w:ascii="Book Antiqua" w:eastAsia="宋体" w:hAnsi="Book Antiqua" w:cs="宋体"/>
          <w:i/>
          <w:iCs/>
          <w:lang w:val="en-US" w:eastAsia="zh-CN"/>
        </w:rPr>
        <w:t>Transpl</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Int</w:t>
      </w:r>
      <w:proofErr w:type="spellEnd"/>
      <w:r w:rsidRPr="00D01C8E">
        <w:rPr>
          <w:rFonts w:ascii="Book Antiqua" w:eastAsia="宋体" w:hAnsi="Book Antiqua" w:cs="宋体"/>
          <w:lang w:val="en-US" w:eastAsia="zh-CN"/>
        </w:rPr>
        <w:t xml:space="preserve"> 2012; </w:t>
      </w:r>
      <w:r w:rsidRPr="00D01C8E">
        <w:rPr>
          <w:rFonts w:ascii="Book Antiqua" w:eastAsia="宋体" w:hAnsi="Book Antiqua" w:cs="宋体"/>
          <w:b/>
          <w:bCs/>
          <w:lang w:val="en-US" w:eastAsia="zh-CN"/>
        </w:rPr>
        <w:t>25</w:t>
      </w:r>
      <w:r w:rsidRPr="00D01C8E">
        <w:rPr>
          <w:rFonts w:ascii="Book Antiqua" w:eastAsia="宋体" w:hAnsi="Book Antiqua" w:cs="宋体"/>
          <w:lang w:val="en-US" w:eastAsia="zh-CN"/>
        </w:rPr>
        <w:t>: e62-e66 [PMID: 22409658 DOI: 10.1111/j.1432-2277.2012.01462.x]</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77 </w:t>
      </w:r>
      <w:proofErr w:type="spellStart"/>
      <w:r w:rsidRPr="00D01C8E">
        <w:rPr>
          <w:rFonts w:ascii="Book Antiqua" w:eastAsia="宋体" w:hAnsi="Book Antiqua" w:cs="宋体"/>
          <w:b/>
          <w:bCs/>
          <w:lang w:val="en-US" w:eastAsia="zh-CN"/>
        </w:rPr>
        <w:t>Hickson</w:t>
      </w:r>
      <w:proofErr w:type="spellEnd"/>
      <w:r w:rsidRPr="00D01C8E">
        <w:rPr>
          <w:rFonts w:ascii="Book Antiqua" w:eastAsia="宋体" w:hAnsi="Book Antiqua" w:cs="宋体"/>
          <w:b/>
          <w:bCs/>
          <w:lang w:val="en-US" w:eastAsia="zh-CN"/>
        </w:rPr>
        <w:t xml:space="preserve"> LJ</w:t>
      </w:r>
      <w:r w:rsidRPr="00D01C8E">
        <w:rPr>
          <w:rFonts w:ascii="Book Antiqua" w:eastAsia="宋体" w:hAnsi="Book Antiqua" w:cs="宋体"/>
          <w:lang w:val="en-US" w:eastAsia="zh-CN"/>
        </w:rPr>
        <w:t xml:space="preserve">, Gera M, </w:t>
      </w:r>
      <w:proofErr w:type="spellStart"/>
      <w:r w:rsidRPr="00D01C8E">
        <w:rPr>
          <w:rFonts w:ascii="Book Antiqua" w:eastAsia="宋体" w:hAnsi="Book Antiqua" w:cs="宋体"/>
          <w:lang w:val="en-US" w:eastAsia="zh-CN"/>
        </w:rPr>
        <w:t>Amer</w:t>
      </w:r>
      <w:proofErr w:type="spellEnd"/>
      <w:r w:rsidRPr="00D01C8E">
        <w:rPr>
          <w:rFonts w:ascii="Book Antiqua" w:eastAsia="宋体" w:hAnsi="Book Antiqua" w:cs="宋体"/>
          <w:lang w:val="en-US" w:eastAsia="zh-CN"/>
        </w:rPr>
        <w:t xml:space="preserve"> H, Iqbal CW, Moore TB, Milliner DS, </w:t>
      </w:r>
      <w:proofErr w:type="spellStart"/>
      <w:r w:rsidRPr="00D01C8E">
        <w:rPr>
          <w:rFonts w:ascii="Book Antiqua" w:eastAsia="宋体" w:hAnsi="Book Antiqua" w:cs="宋体"/>
          <w:lang w:val="en-US" w:eastAsia="zh-CN"/>
        </w:rPr>
        <w:t>Cosio</w:t>
      </w:r>
      <w:proofErr w:type="spellEnd"/>
      <w:r w:rsidRPr="00D01C8E">
        <w:rPr>
          <w:rFonts w:ascii="Book Antiqua" w:eastAsia="宋体" w:hAnsi="Book Antiqua" w:cs="宋体"/>
          <w:lang w:val="en-US" w:eastAsia="zh-CN"/>
        </w:rPr>
        <w:t xml:space="preserve"> FG, Larson TS, Stegall MD, </w:t>
      </w:r>
      <w:proofErr w:type="spellStart"/>
      <w:r w:rsidRPr="00D01C8E">
        <w:rPr>
          <w:rFonts w:ascii="Book Antiqua" w:eastAsia="宋体" w:hAnsi="Book Antiqua" w:cs="宋体"/>
          <w:lang w:val="en-US" w:eastAsia="zh-CN"/>
        </w:rPr>
        <w:t>Ishitani</w:t>
      </w:r>
      <w:proofErr w:type="spellEnd"/>
      <w:r w:rsidRPr="00D01C8E">
        <w:rPr>
          <w:rFonts w:ascii="Book Antiqua" w:eastAsia="宋体" w:hAnsi="Book Antiqua" w:cs="宋体"/>
          <w:lang w:val="en-US" w:eastAsia="zh-CN"/>
        </w:rPr>
        <w:t xml:space="preserve"> MB, </w:t>
      </w:r>
      <w:proofErr w:type="spellStart"/>
      <w:r w:rsidRPr="00D01C8E">
        <w:rPr>
          <w:rFonts w:ascii="Book Antiqua" w:eastAsia="宋体" w:hAnsi="Book Antiqua" w:cs="宋体"/>
          <w:lang w:val="en-US" w:eastAsia="zh-CN"/>
        </w:rPr>
        <w:t>Gloor</w:t>
      </w:r>
      <w:proofErr w:type="spellEnd"/>
      <w:r w:rsidRPr="00D01C8E">
        <w:rPr>
          <w:rFonts w:ascii="Book Antiqua" w:eastAsia="宋体" w:hAnsi="Book Antiqua" w:cs="宋体"/>
          <w:lang w:val="en-US" w:eastAsia="zh-CN"/>
        </w:rPr>
        <w:t xml:space="preserve"> JM, Griffin MD.</w:t>
      </w:r>
      <w:proofErr w:type="gramEnd"/>
      <w:r w:rsidRPr="00D01C8E">
        <w:rPr>
          <w:rFonts w:ascii="Book Antiqua" w:eastAsia="宋体" w:hAnsi="Book Antiqua" w:cs="宋体"/>
          <w:lang w:val="en-US" w:eastAsia="zh-CN"/>
        </w:rPr>
        <w:t xml:space="preserve"> Kidney transplantation for primary focal segmental glomerulosclerosis: outcomes and response to therapy for recurrence. </w:t>
      </w:r>
      <w:r w:rsidRPr="00D01C8E">
        <w:rPr>
          <w:rFonts w:ascii="Book Antiqua" w:eastAsia="宋体" w:hAnsi="Book Antiqua" w:cs="宋体"/>
          <w:i/>
          <w:iCs/>
          <w:lang w:val="en-US" w:eastAsia="zh-CN"/>
        </w:rPr>
        <w:t>Transplantation</w:t>
      </w:r>
      <w:r w:rsidRPr="00D01C8E">
        <w:rPr>
          <w:rFonts w:ascii="Book Antiqua" w:eastAsia="宋体" w:hAnsi="Book Antiqua" w:cs="宋体"/>
          <w:lang w:val="en-US" w:eastAsia="zh-CN"/>
        </w:rPr>
        <w:t xml:space="preserve"> 2009; </w:t>
      </w:r>
      <w:r w:rsidRPr="00D01C8E">
        <w:rPr>
          <w:rFonts w:ascii="Book Antiqua" w:eastAsia="宋体" w:hAnsi="Book Antiqua" w:cs="宋体"/>
          <w:b/>
          <w:bCs/>
          <w:lang w:val="en-US" w:eastAsia="zh-CN"/>
        </w:rPr>
        <w:t>87</w:t>
      </w:r>
      <w:r w:rsidRPr="00D01C8E">
        <w:rPr>
          <w:rFonts w:ascii="Book Antiqua" w:eastAsia="宋体" w:hAnsi="Book Antiqua" w:cs="宋体"/>
          <w:lang w:val="en-US" w:eastAsia="zh-CN"/>
        </w:rPr>
        <w:t>: 1232-1239 [PMID: 19384172 DOI: 10.1097/TP.0b013e31819f12be]</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78 </w:t>
      </w:r>
      <w:proofErr w:type="spellStart"/>
      <w:r w:rsidRPr="00D01C8E">
        <w:rPr>
          <w:rFonts w:ascii="Book Antiqua" w:eastAsia="宋体" w:hAnsi="Book Antiqua" w:cs="宋体"/>
          <w:b/>
          <w:bCs/>
          <w:lang w:val="en-US" w:eastAsia="zh-CN"/>
        </w:rPr>
        <w:t>Dello</w:t>
      </w:r>
      <w:proofErr w:type="spellEnd"/>
      <w:r w:rsidRPr="00D01C8E">
        <w:rPr>
          <w:rFonts w:ascii="Book Antiqua" w:eastAsia="宋体" w:hAnsi="Book Antiqua" w:cs="宋体"/>
          <w:b/>
          <w:bCs/>
          <w:lang w:val="en-US" w:eastAsia="zh-CN"/>
        </w:rPr>
        <w:t xml:space="preserve"> </w:t>
      </w:r>
      <w:proofErr w:type="spellStart"/>
      <w:r w:rsidRPr="00D01C8E">
        <w:rPr>
          <w:rFonts w:ascii="Book Antiqua" w:eastAsia="宋体" w:hAnsi="Book Antiqua" w:cs="宋体"/>
          <w:b/>
          <w:bCs/>
          <w:lang w:val="en-US" w:eastAsia="zh-CN"/>
        </w:rPr>
        <w:t>Strologo</w:t>
      </w:r>
      <w:proofErr w:type="spellEnd"/>
      <w:r w:rsidRPr="00D01C8E">
        <w:rPr>
          <w:rFonts w:ascii="Book Antiqua" w:eastAsia="宋体" w:hAnsi="Book Antiqua" w:cs="宋体"/>
          <w:b/>
          <w:bCs/>
          <w:lang w:val="en-US" w:eastAsia="zh-CN"/>
        </w:rPr>
        <w:t xml:space="preserve"> L</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Guzzo</w:t>
      </w:r>
      <w:proofErr w:type="spellEnd"/>
      <w:r w:rsidRPr="00D01C8E">
        <w:rPr>
          <w:rFonts w:ascii="Book Antiqua" w:eastAsia="宋体" w:hAnsi="Book Antiqua" w:cs="宋体"/>
          <w:lang w:val="en-US" w:eastAsia="zh-CN"/>
        </w:rPr>
        <w:t xml:space="preserve"> I, </w:t>
      </w:r>
      <w:proofErr w:type="spellStart"/>
      <w:r w:rsidRPr="00D01C8E">
        <w:rPr>
          <w:rFonts w:ascii="Book Antiqua" w:eastAsia="宋体" w:hAnsi="Book Antiqua" w:cs="宋体"/>
          <w:lang w:val="en-US" w:eastAsia="zh-CN"/>
        </w:rPr>
        <w:t>Laurenzi</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Vivarelli</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Parodi</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Barbano</w:t>
      </w:r>
      <w:proofErr w:type="spellEnd"/>
      <w:r w:rsidRPr="00D01C8E">
        <w:rPr>
          <w:rFonts w:ascii="Book Antiqua" w:eastAsia="宋体" w:hAnsi="Book Antiqua" w:cs="宋体"/>
          <w:lang w:val="en-US" w:eastAsia="zh-CN"/>
        </w:rPr>
        <w:t xml:space="preserve"> G, Camilla R, </w:t>
      </w:r>
      <w:proofErr w:type="spellStart"/>
      <w:r w:rsidRPr="00D01C8E">
        <w:rPr>
          <w:rFonts w:ascii="Book Antiqua" w:eastAsia="宋体" w:hAnsi="Book Antiqua" w:cs="宋体"/>
          <w:lang w:val="en-US" w:eastAsia="zh-CN"/>
        </w:rPr>
        <w:t>Scozzola</w:t>
      </w:r>
      <w:proofErr w:type="spellEnd"/>
      <w:r w:rsidRPr="00D01C8E">
        <w:rPr>
          <w:rFonts w:ascii="Book Antiqua" w:eastAsia="宋体" w:hAnsi="Book Antiqua" w:cs="宋体"/>
          <w:lang w:val="en-US" w:eastAsia="zh-CN"/>
        </w:rPr>
        <w:t xml:space="preserve"> F, Amore A, </w:t>
      </w:r>
      <w:proofErr w:type="spellStart"/>
      <w:r w:rsidRPr="00D01C8E">
        <w:rPr>
          <w:rFonts w:ascii="Book Antiqua" w:eastAsia="宋体" w:hAnsi="Book Antiqua" w:cs="宋体"/>
          <w:lang w:val="en-US" w:eastAsia="zh-CN"/>
        </w:rPr>
        <w:t>Ginevri</w:t>
      </w:r>
      <w:proofErr w:type="spellEnd"/>
      <w:r w:rsidRPr="00D01C8E">
        <w:rPr>
          <w:rFonts w:ascii="Book Antiqua" w:eastAsia="宋体" w:hAnsi="Book Antiqua" w:cs="宋体"/>
          <w:lang w:val="en-US" w:eastAsia="zh-CN"/>
        </w:rPr>
        <w:t xml:space="preserve"> F, </w:t>
      </w:r>
      <w:proofErr w:type="spellStart"/>
      <w:r w:rsidRPr="00D01C8E">
        <w:rPr>
          <w:rFonts w:ascii="Book Antiqua" w:eastAsia="宋体" w:hAnsi="Book Antiqua" w:cs="宋体"/>
          <w:lang w:val="en-US" w:eastAsia="zh-CN"/>
        </w:rPr>
        <w:t>Murer</w:t>
      </w:r>
      <w:proofErr w:type="spellEnd"/>
      <w:r w:rsidRPr="00D01C8E">
        <w:rPr>
          <w:rFonts w:ascii="Book Antiqua" w:eastAsia="宋体" w:hAnsi="Book Antiqua" w:cs="宋体"/>
          <w:lang w:val="en-US" w:eastAsia="zh-CN"/>
        </w:rPr>
        <w:t xml:space="preserve"> L. Use of rituximab in focal glomerulosclerosis relapses after renal transplantation. </w:t>
      </w:r>
      <w:r w:rsidRPr="00D01C8E">
        <w:rPr>
          <w:rFonts w:ascii="Book Antiqua" w:eastAsia="宋体" w:hAnsi="Book Antiqua" w:cs="宋体"/>
          <w:i/>
          <w:iCs/>
          <w:lang w:val="en-US" w:eastAsia="zh-CN"/>
        </w:rPr>
        <w:t>Transplantation</w:t>
      </w:r>
      <w:r w:rsidRPr="00D01C8E">
        <w:rPr>
          <w:rFonts w:ascii="Book Antiqua" w:eastAsia="宋体" w:hAnsi="Book Antiqua" w:cs="宋体"/>
          <w:lang w:val="en-US" w:eastAsia="zh-CN"/>
        </w:rPr>
        <w:t xml:space="preserve"> 2009; </w:t>
      </w:r>
      <w:r w:rsidRPr="00D01C8E">
        <w:rPr>
          <w:rFonts w:ascii="Book Antiqua" w:eastAsia="宋体" w:hAnsi="Book Antiqua" w:cs="宋体"/>
          <w:b/>
          <w:bCs/>
          <w:lang w:val="en-US" w:eastAsia="zh-CN"/>
        </w:rPr>
        <w:t>88</w:t>
      </w:r>
      <w:r w:rsidRPr="00D01C8E">
        <w:rPr>
          <w:rFonts w:ascii="Book Antiqua" w:eastAsia="宋体" w:hAnsi="Book Antiqua" w:cs="宋体"/>
          <w:lang w:val="en-US" w:eastAsia="zh-CN"/>
        </w:rPr>
        <w:t>: 417-420 [PMID: 19667947 DOI: 10.1097/TP.0b013e3181aed9d7]</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lastRenderedPageBreak/>
        <w:t xml:space="preserve">79 </w:t>
      </w:r>
      <w:proofErr w:type="spellStart"/>
      <w:r w:rsidRPr="00D01C8E">
        <w:rPr>
          <w:rFonts w:ascii="Book Antiqua" w:eastAsia="宋体" w:hAnsi="Book Antiqua" w:cs="宋体"/>
          <w:b/>
          <w:bCs/>
          <w:lang w:val="en-US" w:eastAsia="zh-CN"/>
        </w:rPr>
        <w:t>Tsagalis</w:t>
      </w:r>
      <w:proofErr w:type="spellEnd"/>
      <w:r w:rsidRPr="00D01C8E">
        <w:rPr>
          <w:rFonts w:ascii="Book Antiqua" w:eastAsia="宋体" w:hAnsi="Book Antiqua" w:cs="宋体"/>
          <w:b/>
          <w:bCs/>
          <w:lang w:val="en-US" w:eastAsia="zh-CN"/>
        </w:rPr>
        <w:t xml:space="preserve"> G</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Psimenou</w:t>
      </w:r>
      <w:proofErr w:type="spellEnd"/>
      <w:r w:rsidRPr="00D01C8E">
        <w:rPr>
          <w:rFonts w:ascii="Book Antiqua" w:eastAsia="宋体" w:hAnsi="Book Antiqua" w:cs="宋体"/>
          <w:lang w:val="en-US" w:eastAsia="zh-CN"/>
        </w:rPr>
        <w:t xml:space="preserve"> E, </w:t>
      </w:r>
      <w:proofErr w:type="spellStart"/>
      <w:r w:rsidRPr="00D01C8E">
        <w:rPr>
          <w:rFonts w:ascii="Book Antiqua" w:eastAsia="宋体" w:hAnsi="Book Antiqua" w:cs="宋体"/>
          <w:lang w:val="en-US" w:eastAsia="zh-CN"/>
        </w:rPr>
        <w:t>Nakopoulou</w:t>
      </w:r>
      <w:proofErr w:type="spellEnd"/>
      <w:r w:rsidRPr="00D01C8E">
        <w:rPr>
          <w:rFonts w:ascii="Book Antiqua" w:eastAsia="宋体" w:hAnsi="Book Antiqua" w:cs="宋体"/>
          <w:lang w:val="en-US" w:eastAsia="zh-CN"/>
        </w:rPr>
        <w:t xml:space="preserve"> L, </w:t>
      </w:r>
      <w:proofErr w:type="spellStart"/>
      <w:r w:rsidRPr="00D01C8E">
        <w:rPr>
          <w:rFonts w:ascii="Book Antiqua" w:eastAsia="宋体" w:hAnsi="Book Antiqua" w:cs="宋体"/>
          <w:lang w:val="en-US" w:eastAsia="zh-CN"/>
        </w:rPr>
        <w:t>Laggouranis</w:t>
      </w:r>
      <w:proofErr w:type="spellEnd"/>
      <w:r w:rsidRPr="00D01C8E">
        <w:rPr>
          <w:rFonts w:ascii="Book Antiqua" w:eastAsia="宋体" w:hAnsi="Book Antiqua" w:cs="宋体"/>
          <w:lang w:val="en-US" w:eastAsia="zh-CN"/>
        </w:rPr>
        <w:t xml:space="preserve"> A. Combination treatment with plasmapheresis and rituximab for recurrent focal segmental glomerulosclerosis after renal transplantation. </w:t>
      </w:r>
      <w:proofErr w:type="spellStart"/>
      <w:r w:rsidRPr="00D01C8E">
        <w:rPr>
          <w:rFonts w:ascii="Book Antiqua" w:eastAsia="宋体" w:hAnsi="Book Antiqua" w:cs="宋体"/>
          <w:i/>
          <w:iCs/>
          <w:lang w:val="en-US" w:eastAsia="zh-CN"/>
        </w:rPr>
        <w:t>Artif</w:t>
      </w:r>
      <w:proofErr w:type="spellEnd"/>
      <w:r w:rsidRPr="00D01C8E">
        <w:rPr>
          <w:rFonts w:ascii="Book Antiqua" w:eastAsia="宋体" w:hAnsi="Book Antiqua" w:cs="宋体"/>
          <w:i/>
          <w:iCs/>
          <w:lang w:val="en-US" w:eastAsia="zh-CN"/>
        </w:rPr>
        <w:t xml:space="preserve"> Organs</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35</w:t>
      </w:r>
      <w:r w:rsidRPr="00D01C8E">
        <w:rPr>
          <w:rFonts w:ascii="Book Antiqua" w:eastAsia="宋体" w:hAnsi="Book Antiqua" w:cs="宋体"/>
          <w:lang w:val="en-US" w:eastAsia="zh-CN"/>
        </w:rPr>
        <w:t>: 420-425 [PMID: 20637013 DOI: 10.1111/j.1525-1594.2010.01068.x]</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80 </w:t>
      </w:r>
      <w:r w:rsidRPr="00D01C8E">
        <w:rPr>
          <w:rFonts w:ascii="Book Antiqua" w:eastAsia="宋体" w:hAnsi="Book Antiqua" w:cs="宋体"/>
          <w:b/>
          <w:bCs/>
          <w:lang w:val="en-US" w:eastAsia="zh-CN"/>
        </w:rPr>
        <w:t>Cho JH</w:t>
      </w:r>
      <w:r w:rsidRPr="00D01C8E">
        <w:rPr>
          <w:rFonts w:ascii="Book Antiqua" w:eastAsia="宋体" w:hAnsi="Book Antiqua" w:cs="宋体"/>
          <w:lang w:val="en-US" w:eastAsia="zh-CN"/>
        </w:rPr>
        <w:t xml:space="preserve">, Lee JH, Park GY, Lim JH, Kim JS, Kang YJ, Kwon O, Choi JY, Park SH, Kim YL, Kim HK, Huh S, Kim CD. </w:t>
      </w:r>
      <w:proofErr w:type="gramStart"/>
      <w:r w:rsidRPr="00D01C8E">
        <w:rPr>
          <w:rFonts w:ascii="Book Antiqua" w:eastAsia="宋体" w:hAnsi="Book Antiqua" w:cs="宋体"/>
          <w:lang w:val="en-US" w:eastAsia="zh-CN"/>
        </w:rPr>
        <w:t>Successful treatment of recurrent focal segmental glomerulosclerosis with a low dose rituximab in a kidney transplant recipient.</w:t>
      </w:r>
      <w:proofErr w:type="gram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Ren Fail</w:t>
      </w:r>
      <w:r w:rsidRPr="00D01C8E">
        <w:rPr>
          <w:rFonts w:ascii="Book Antiqua" w:eastAsia="宋体" w:hAnsi="Book Antiqua" w:cs="宋体"/>
          <w:lang w:val="en-US" w:eastAsia="zh-CN"/>
        </w:rPr>
        <w:t xml:space="preserve"> 2014; </w:t>
      </w:r>
      <w:r w:rsidRPr="00D01C8E">
        <w:rPr>
          <w:rFonts w:ascii="Book Antiqua" w:eastAsia="宋体" w:hAnsi="Book Antiqua" w:cs="宋体"/>
          <w:b/>
          <w:bCs/>
          <w:lang w:val="en-US" w:eastAsia="zh-CN"/>
        </w:rPr>
        <w:t>36</w:t>
      </w:r>
      <w:r w:rsidRPr="00D01C8E">
        <w:rPr>
          <w:rFonts w:ascii="Book Antiqua" w:eastAsia="宋体" w:hAnsi="Book Antiqua" w:cs="宋体"/>
          <w:lang w:val="en-US" w:eastAsia="zh-CN"/>
        </w:rPr>
        <w:t>: 623-626 [PMID: 24502587 DOI: 10.3109/0886022X.2014.882238]</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81 </w:t>
      </w:r>
      <w:proofErr w:type="spellStart"/>
      <w:r w:rsidRPr="00D01C8E">
        <w:rPr>
          <w:rFonts w:ascii="Book Antiqua" w:eastAsia="宋体" w:hAnsi="Book Antiqua" w:cs="宋体"/>
          <w:b/>
          <w:bCs/>
          <w:lang w:val="en-US" w:eastAsia="zh-CN"/>
        </w:rPr>
        <w:t>Apeland</w:t>
      </w:r>
      <w:proofErr w:type="spellEnd"/>
      <w:r w:rsidRPr="00D01C8E">
        <w:rPr>
          <w:rFonts w:ascii="Book Antiqua" w:eastAsia="宋体" w:hAnsi="Book Antiqua" w:cs="宋体"/>
          <w:b/>
          <w:bCs/>
          <w:lang w:val="en-US" w:eastAsia="zh-CN"/>
        </w:rPr>
        <w:t xml:space="preserve"> T</w:t>
      </w:r>
      <w:r w:rsidRPr="00D01C8E">
        <w:rPr>
          <w:rFonts w:ascii="Book Antiqua" w:eastAsia="宋体" w:hAnsi="Book Antiqua" w:cs="宋体"/>
          <w:lang w:val="en-US" w:eastAsia="zh-CN"/>
        </w:rPr>
        <w:t>, Hartmann A. Rituximab therapy in early recurrent focal segmental sclerosis after renal transplantation.</w:t>
      </w:r>
      <w:proofErr w:type="gramEnd"/>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i/>
          <w:iCs/>
          <w:lang w:val="en-US" w:eastAsia="zh-CN"/>
        </w:rPr>
        <w:t xml:space="preserve"> Dial Transplant</w:t>
      </w:r>
      <w:r w:rsidRPr="00D01C8E">
        <w:rPr>
          <w:rFonts w:ascii="Book Antiqua" w:eastAsia="宋体" w:hAnsi="Book Antiqua" w:cs="宋体"/>
          <w:lang w:val="en-US" w:eastAsia="zh-CN"/>
        </w:rPr>
        <w:t xml:space="preserve"> 2008; </w:t>
      </w:r>
      <w:r w:rsidRPr="00D01C8E">
        <w:rPr>
          <w:rFonts w:ascii="Book Antiqua" w:eastAsia="宋体" w:hAnsi="Book Antiqua" w:cs="宋体"/>
          <w:b/>
          <w:bCs/>
          <w:lang w:val="en-US" w:eastAsia="zh-CN"/>
        </w:rPr>
        <w:t>23</w:t>
      </w:r>
      <w:r w:rsidRPr="00D01C8E">
        <w:rPr>
          <w:rFonts w:ascii="Book Antiqua" w:eastAsia="宋体" w:hAnsi="Book Antiqua" w:cs="宋体"/>
          <w:lang w:val="en-US" w:eastAsia="zh-CN"/>
        </w:rPr>
        <w:t>: 2091-2094 [PMID: 18319357 DOI: 10.1093/</w:t>
      </w:r>
      <w:proofErr w:type="spellStart"/>
      <w:r w:rsidRPr="00D01C8E">
        <w:rPr>
          <w:rFonts w:ascii="Book Antiqua" w:eastAsia="宋体" w:hAnsi="Book Antiqua" w:cs="宋体"/>
          <w:lang w:val="en-US" w:eastAsia="zh-CN"/>
        </w:rPr>
        <w:t>ndt</w:t>
      </w:r>
      <w:proofErr w:type="spellEnd"/>
      <w:r w:rsidRPr="00D01C8E">
        <w:rPr>
          <w:rFonts w:ascii="Book Antiqua" w:eastAsia="宋体" w:hAnsi="Book Antiqua" w:cs="宋体"/>
          <w:lang w:val="en-US" w:eastAsia="zh-CN"/>
        </w:rPr>
        <w:t>/gfn099]</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82 </w:t>
      </w:r>
      <w:proofErr w:type="spellStart"/>
      <w:r w:rsidRPr="00D01C8E">
        <w:rPr>
          <w:rFonts w:ascii="Book Antiqua" w:eastAsia="宋体" w:hAnsi="Book Antiqua" w:cs="宋体"/>
          <w:b/>
          <w:bCs/>
          <w:lang w:val="en-US" w:eastAsia="zh-CN"/>
        </w:rPr>
        <w:t>Grenda</w:t>
      </w:r>
      <w:proofErr w:type="spellEnd"/>
      <w:r w:rsidRPr="00D01C8E">
        <w:rPr>
          <w:rFonts w:ascii="Book Antiqua" w:eastAsia="宋体" w:hAnsi="Book Antiqua" w:cs="宋体"/>
          <w:b/>
          <w:bCs/>
          <w:lang w:val="en-US" w:eastAsia="zh-CN"/>
        </w:rPr>
        <w:t xml:space="preserve"> R</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Jarmu</w:t>
      </w:r>
      <w:r w:rsidRPr="00D01C8E">
        <w:rPr>
          <w:rFonts w:ascii="Book Antiqua" w:eastAsia="MS Mincho" w:hAnsi="Book Antiqua" w:cs="MS Mincho"/>
          <w:lang w:val="en-US" w:eastAsia="zh-CN"/>
        </w:rPr>
        <w:t>ż</w:t>
      </w:r>
      <w:r w:rsidRPr="00D01C8E">
        <w:rPr>
          <w:rFonts w:ascii="Book Antiqua" w:eastAsia="宋体" w:hAnsi="Book Antiqua" w:cs="宋体"/>
          <w:lang w:val="en-US" w:eastAsia="zh-CN"/>
        </w:rPr>
        <w:t>ek</w:t>
      </w:r>
      <w:proofErr w:type="spellEnd"/>
      <w:r w:rsidRPr="00D01C8E">
        <w:rPr>
          <w:rFonts w:ascii="Book Antiqua" w:eastAsia="宋体" w:hAnsi="Book Antiqua" w:cs="宋体"/>
          <w:lang w:val="en-US" w:eastAsia="zh-CN"/>
        </w:rPr>
        <w:t xml:space="preserve"> W, </w:t>
      </w:r>
      <w:proofErr w:type="spellStart"/>
      <w:r w:rsidRPr="00D01C8E">
        <w:rPr>
          <w:rFonts w:ascii="Book Antiqua" w:eastAsia="宋体" w:hAnsi="Book Antiqua" w:cs="宋体"/>
          <w:lang w:val="en-US" w:eastAsia="zh-CN"/>
        </w:rPr>
        <w:t>Pi</w:t>
      </w:r>
      <w:r w:rsidRPr="00D01C8E">
        <w:rPr>
          <w:rFonts w:ascii="Book Antiqua" w:eastAsia="MS Mincho" w:hAnsi="Book Antiqua" w:cs="MS Mincho"/>
          <w:lang w:val="en-US" w:eastAsia="zh-CN"/>
        </w:rPr>
        <w:t>ą</w:t>
      </w:r>
      <w:r w:rsidRPr="00D01C8E">
        <w:rPr>
          <w:rFonts w:ascii="Book Antiqua" w:eastAsia="宋体" w:hAnsi="Book Antiqua" w:cs="宋体"/>
          <w:lang w:val="en-US" w:eastAsia="zh-CN"/>
        </w:rPr>
        <w:t>tosa</w:t>
      </w:r>
      <w:proofErr w:type="spellEnd"/>
      <w:r w:rsidRPr="00D01C8E">
        <w:rPr>
          <w:rFonts w:ascii="Book Antiqua" w:eastAsia="宋体" w:hAnsi="Book Antiqua" w:cs="宋体"/>
          <w:lang w:val="en-US" w:eastAsia="zh-CN"/>
        </w:rPr>
        <w:t xml:space="preserve"> B, Rubik J. Long-term effect of rituximab in maintaining remission of recurrent and plasmapheresis-dependent nephrotic syndrome post-renal transplantation - case report.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Transplant</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15</w:t>
      </w:r>
      <w:r w:rsidRPr="00D01C8E">
        <w:rPr>
          <w:rFonts w:ascii="Book Antiqua" w:eastAsia="宋体" w:hAnsi="Book Antiqua" w:cs="宋体"/>
          <w:lang w:val="en-US" w:eastAsia="zh-CN"/>
        </w:rPr>
        <w:t>: E121-E125 [PMID: 20331516 DOI: 10.1111/j.1399-3046.2010.01303]</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83 </w:t>
      </w:r>
      <w:proofErr w:type="spellStart"/>
      <w:r w:rsidRPr="00D01C8E">
        <w:rPr>
          <w:rFonts w:ascii="Book Antiqua" w:eastAsia="宋体" w:hAnsi="Book Antiqua" w:cs="宋体"/>
          <w:b/>
          <w:bCs/>
          <w:lang w:val="en-US" w:eastAsia="zh-CN"/>
        </w:rPr>
        <w:t>Sethna</w:t>
      </w:r>
      <w:proofErr w:type="spellEnd"/>
      <w:r w:rsidRPr="00D01C8E">
        <w:rPr>
          <w:rFonts w:ascii="Book Antiqua" w:eastAsia="宋体" w:hAnsi="Book Antiqua" w:cs="宋体"/>
          <w:b/>
          <w:bCs/>
          <w:lang w:val="en-US" w:eastAsia="zh-CN"/>
        </w:rPr>
        <w:t xml:space="preserve"> C</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Benchimol</w:t>
      </w:r>
      <w:proofErr w:type="spellEnd"/>
      <w:r w:rsidRPr="00D01C8E">
        <w:rPr>
          <w:rFonts w:ascii="Book Antiqua" w:eastAsia="宋体" w:hAnsi="Book Antiqua" w:cs="宋体"/>
          <w:lang w:val="en-US" w:eastAsia="zh-CN"/>
        </w:rPr>
        <w:t xml:space="preserve"> C, Hotchkiss H, Frank R, </w:t>
      </w:r>
      <w:proofErr w:type="spellStart"/>
      <w:r w:rsidRPr="00D01C8E">
        <w:rPr>
          <w:rFonts w:ascii="Book Antiqua" w:eastAsia="宋体" w:hAnsi="Book Antiqua" w:cs="宋体"/>
          <w:lang w:val="en-US" w:eastAsia="zh-CN"/>
        </w:rPr>
        <w:t>Infante</w:t>
      </w:r>
      <w:proofErr w:type="spellEnd"/>
      <w:r w:rsidRPr="00D01C8E">
        <w:rPr>
          <w:rFonts w:ascii="Book Antiqua" w:eastAsia="宋体" w:hAnsi="Book Antiqua" w:cs="宋体"/>
          <w:lang w:val="en-US" w:eastAsia="zh-CN"/>
        </w:rPr>
        <w:t xml:space="preserve"> L, Vento S, </w:t>
      </w:r>
      <w:proofErr w:type="spellStart"/>
      <w:r w:rsidRPr="00D01C8E">
        <w:rPr>
          <w:rFonts w:ascii="Book Antiqua" w:eastAsia="宋体" w:hAnsi="Book Antiqua" w:cs="宋体"/>
          <w:lang w:val="en-US" w:eastAsia="zh-CN"/>
        </w:rPr>
        <w:t>Trachtman</w:t>
      </w:r>
      <w:proofErr w:type="spellEnd"/>
      <w:r w:rsidRPr="00D01C8E">
        <w:rPr>
          <w:rFonts w:ascii="Book Antiqua" w:eastAsia="宋体" w:hAnsi="Book Antiqua" w:cs="宋体"/>
          <w:lang w:val="en-US" w:eastAsia="zh-CN"/>
        </w:rPr>
        <w:t xml:space="preserve"> H. Treatment of recurrent focal segmental glomerulosclerosis in pediatric kidney transplant recipients: effect of rituximab. </w:t>
      </w:r>
      <w:r w:rsidRPr="00D01C8E">
        <w:rPr>
          <w:rFonts w:ascii="Book Antiqua" w:eastAsia="宋体" w:hAnsi="Book Antiqua" w:cs="宋体"/>
          <w:i/>
          <w:iCs/>
          <w:lang w:val="en-US" w:eastAsia="zh-CN"/>
        </w:rPr>
        <w:t>J Transplant</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2011</w:t>
      </w:r>
      <w:r w:rsidRPr="00D01C8E">
        <w:rPr>
          <w:rFonts w:ascii="Book Antiqua" w:eastAsia="宋体" w:hAnsi="Book Antiqua" w:cs="宋体"/>
          <w:lang w:val="en-US" w:eastAsia="zh-CN"/>
        </w:rPr>
        <w:t>: 389542 [PMID: 21577271 DOI: 10.1155/2011/389542]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84 </w:t>
      </w:r>
      <w:proofErr w:type="spellStart"/>
      <w:r w:rsidRPr="00D01C8E">
        <w:rPr>
          <w:rFonts w:ascii="Book Antiqua" w:eastAsia="宋体" w:hAnsi="Book Antiqua" w:cs="宋体"/>
          <w:b/>
          <w:bCs/>
          <w:lang w:val="en-US" w:eastAsia="zh-CN"/>
        </w:rPr>
        <w:t>Nozu</w:t>
      </w:r>
      <w:proofErr w:type="spellEnd"/>
      <w:r w:rsidRPr="00D01C8E">
        <w:rPr>
          <w:rFonts w:ascii="Book Antiqua" w:eastAsia="宋体" w:hAnsi="Book Antiqua" w:cs="宋体"/>
          <w:b/>
          <w:bCs/>
          <w:lang w:val="en-US" w:eastAsia="zh-CN"/>
        </w:rPr>
        <w:t xml:space="preserve"> K</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Iijima</w:t>
      </w:r>
      <w:proofErr w:type="spellEnd"/>
      <w:r w:rsidRPr="00D01C8E">
        <w:rPr>
          <w:rFonts w:ascii="Book Antiqua" w:eastAsia="宋体" w:hAnsi="Book Antiqua" w:cs="宋体"/>
          <w:lang w:val="en-US" w:eastAsia="zh-CN"/>
        </w:rPr>
        <w:t xml:space="preserve"> K, Fujisawa M, Nakagawa A, Yoshikawa N, Matsuo M. Rituximab treatment for </w:t>
      </w:r>
      <w:proofErr w:type="spellStart"/>
      <w:r w:rsidRPr="00D01C8E">
        <w:rPr>
          <w:rFonts w:ascii="Book Antiqua" w:eastAsia="宋体" w:hAnsi="Book Antiqua" w:cs="宋体"/>
          <w:lang w:val="en-US" w:eastAsia="zh-CN"/>
        </w:rPr>
        <w:t>posttransplant</w:t>
      </w:r>
      <w:proofErr w:type="spellEnd"/>
      <w:r w:rsidRPr="00D01C8E">
        <w:rPr>
          <w:rFonts w:ascii="Book Antiqua" w:eastAsia="宋体" w:hAnsi="Book Antiqua" w:cs="宋体"/>
          <w:lang w:val="en-US" w:eastAsia="zh-CN"/>
        </w:rPr>
        <w:t xml:space="preserve"> lymphoproliferative disorder (PTLD) induces complete remission of recurrent nephrotic syndrome.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2005; </w:t>
      </w:r>
      <w:r w:rsidRPr="00D01C8E">
        <w:rPr>
          <w:rFonts w:ascii="Book Antiqua" w:eastAsia="宋体" w:hAnsi="Book Antiqua" w:cs="宋体"/>
          <w:b/>
          <w:bCs/>
          <w:lang w:val="en-US" w:eastAsia="zh-CN"/>
        </w:rPr>
        <w:t>20</w:t>
      </w:r>
      <w:r w:rsidRPr="00D01C8E">
        <w:rPr>
          <w:rFonts w:ascii="Book Antiqua" w:eastAsia="宋体" w:hAnsi="Book Antiqua" w:cs="宋体"/>
          <w:lang w:val="en-US" w:eastAsia="zh-CN"/>
        </w:rPr>
        <w:t>: 1660-1663 [PMID: 16133051]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85 </w:t>
      </w:r>
      <w:r w:rsidRPr="00D01C8E">
        <w:rPr>
          <w:rFonts w:ascii="Book Antiqua" w:eastAsia="宋体" w:hAnsi="Book Antiqua" w:cs="宋体"/>
          <w:b/>
          <w:bCs/>
          <w:lang w:val="en-US" w:eastAsia="zh-CN"/>
        </w:rPr>
        <w:t>Nakayama M</w:t>
      </w:r>
      <w:r w:rsidRPr="00D01C8E">
        <w:rPr>
          <w:rFonts w:ascii="Book Antiqua" w:eastAsia="宋体" w:hAnsi="Book Antiqua" w:cs="宋体"/>
          <w:lang w:val="en-US" w:eastAsia="zh-CN"/>
        </w:rPr>
        <w:t xml:space="preserve">, Kamei K, </w:t>
      </w:r>
      <w:proofErr w:type="spellStart"/>
      <w:r w:rsidRPr="00D01C8E">
        <w:rPr>
          <w:rFonts w:ascii="Book Antiqua" w:eastAsia="宋体" w:hAnsi="Book Antiqua" w:cs="宋体"/>
          <w:lang w:val="en-US" w:eastAsia="zh-CN"/>
        </w:rPr>
        <w:t>Nozu</w:t>
      </w:r>
      <w:proofErr w:type="spellEnd"/>
      <w:r w:rsidRPr="00D01C8E">
        <w:rPr>
          <w:rFonts w:ascii="Book Antiqua" w:eastAsia="宋体" w:hAnsi="Book Antiqua" w:cs="宋体"/>
          <w:lang w:val="en-US" w:eastAsia="zh-CN"/>
        </w:rPr>
        <w:t xml:space="preserve"> K, Matsuoka K, Nakagawa A, </w:t>
      </w:r>
      <w:proofErr w:type="spellStart"/>
      <w:r w:rsidRPr="00D01C8E">
        <w:rPr>
          <w:rFonts w:ascii="Book Antiqua" w:eastAsia="宋体" w:hAnsi="Book Antiqua" w:cs="宋体"/>
          <w:lang w:val="en-US" w:eastAsia="zh-CN"/>
        </w:rPr>
        <w:t>Sako</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Iijima</w:t>
      </w:r>
      <w:proofErr w:type="spellEnd"/>
      <w:r w:rsidRPr="00D01C8E">
        <w:rPr>
          <w:rFonts w:ascii="Book Antiqua" w:eastAsia="宋体" w:hAnsi="Book Antiqua" w:cs="宋体"/>
          <w:lang w:val="en-US" w:eastAsia="zh-CN"/>
        </w:rPr>
        <w:t xml:space="preserve"> K. Rituximab for refractory focal segmental glomerulosclerosis.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2008; </w:t>
      </w:r>
      <w:r w:rsidRPr="00D01C8E">
        <w:rPr>
          <w:rFonts w:ascii="Book Antiqua" w:eastAsia="宋体" w:hAnsi="Book Antiqua" w:cs="宋体"/>
          <w:b/>
          <w:bCs/>
          <w:lang w:val="en-US" w:eastAsia="zh-CN"/>
        </w:rPr>
        <w:t>23</w:t>
      </w:r>
      <w:r w:rsidRPr="00D01C8E">
        <w:rPr>
          <w:rFonts w:ascii="Book Antiqua" w:eastAsia="宋体" w:hAnsi="Book Antiqua" w:cs="宋体"/>
          <w:lang w:val="en-US" w:eastAsia="zh-CN"/>
        </w:rPr>
        <w:t>: 481-485 [PMID: 17973121]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86 </w:t>
      </w:r>
      <w:proofErr w:type="spellStart"/>
      <w:r w:rsidRPr="00D01C8E">
        <w:rPr>
          <w:rFonts w:ascii="Book Antiqua" w:eastAsia="宋体" w:hAnsi="Book Antiqua" w:cs="宋体"/>
          <w:b/>
          <w:bCs/>
          <w:lang w:val="en-US" w:eastAsia="zh-CN"/>
        </w:rPr>
        <w:t>Bayrakci</w:t>
      </w:r>
      <w:proofErr w:type="spellEnd"/>
      <w:r w:rsidRPr="00D01C8E">
        <w:rPr>
          <w:rFonts w:ascii="Book Antiqua" w:eastAsia="宋体" w:hAnsi="Book Antiqua" w:cs="宋体"/>
          <w:b/>
          <w:bCs/>
          <w:lang w:val="en-US" w:eastAsia="zh-CN"/>
        </w:rPr>
        <w:t xml:space="preserve"> US</w:t>
      </w:r>
      <w:r w:rsidRPr="00D01C8E">
        <w:rPr>
          <w:rFonts w:ascii="Book Antiqua" w:eastAsia="宋体" w:hAnsi="Book Antiqua" w:cs="宋体"/>
          <w:lang w:val="en-US" w:eastAsia="zh-CN"/>
        </w:rPr>
        <w:t xml:space="preserve">, Baskin E, </w:t>
      </w:r>
      <w:proofErr w:type="spellStart"/>
      <w:r w:rsidRPr="00D01C8E">
        <w:rPr>
          <w:rFonts w:ascii="Book Antiqua" w:eastAsia="宋体" w:hAnsi="Book Antiqua" w:cs="宋体"/>
          <w:lang w:val="en-US" w:eastAsia="zh-CN"/>
        </w:rPr>
        <w:t>Sakalli</w:t>
      </w:r>
      <w:proofErr w:type="spellEnd"/>
      <w:r w:rsidRPr="00D01C8E">
        <w:rPr>
          <w:rFonts w:ascii="Book Antiqua" w:eastAsia="宋体" w:hAnsi="Book Antiqua" w:cs="宋体"/>
          <w:lang w:val="en-US" w:eastAsia="zh-CN"/>
        </w:rPr>
        <w:t xml:space="preserve"> H, </w:t>
      </w:r>
      <w:proofErr w:type="spellStart"/>
      <w:r w:rsidRPr="00D01C8E">
        <w:rPr>
          <w:rFonts w:ascii="Book Antiqua" w:eastAsia="宋体" w:hAnsi="Book Antiqua" w:cs="宋体"/>
          <w:lang w:val="en-US" w:eastAsia="zh-CN"/>
        </w:rPr>
        <w:t>Karakayali</w:t>
      </w:r>
      <w:proofErr w:type="spellEnd"/>
      <w:r w:rsidRPr="00D01C8E">
        <w:rPr>
          <w:rFonts w:ascii="Book Antiqua" w:eastAsia="宋体" w:hAnsi="Book Antiqua" w:cs="宋体"/>
          <w:lang w:val="en-US" w:eastAsia="zh-CN"/>
        </w:rPr>
        <w:t xml:space="preserve"> H, </w:t>
      </w:r>
      <w:proofErr w:type="spellStart"/>
      <w:r w:rsidRPr="00D01C8E">
        <w:rPr>
          <w:rFonts w:ascii="Book Antiqua" w:eastAsia="宋体" w:hAnsi="Book Antiqua" w:cs="宋体"/>
          <w:lang w:val="en-US" w:eastAsia="zh-CN"/>
        </w:rPr>
        <w:t>Haberal</w:t>
      </w:r>
      <w:proofErr w:type="spellEnd"/>
      <w:r w:rsidRPr="00D01C8E">
        <w:rPr>
          <w:rFonts w:ascii="Book Antiqua" w:eastAsia="宋体" w:hAnsi="Book Antiqua" w:cs="宋体"/>
          <w:lang w:val="en-US" w:eastAsia="zh-CN"/>
        </w:rPr>
        <w:t xml:space="preserve"> M. Rituximab for post-transplant recurrences of FSGS.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Transplant</w:t>
      </w:r>
      <w:r w:rsidRPr="00D01C8E">
        <w:rPr>
          <w:rFonts w:ascii="Book Antiqua" w:eastAsia="宋体" w:hAnsi="Book Antiqua" w:cs="宋体"/>
          <w:lang w:val="en-US" w:eastAsia="zh-CN"/>
        </w:rPr>
        <w:t xml:space="preserve"> 2009; </w:t>
      </w:r>
      <w:r w:rsidRPr="00D01C8E">
        <w:rPr>
          <w:rFonts w:ascii="Book Antiqua" w:eastAsia="宋体" w:hAnsi="Book Antiqua" w:cs="宋体"/>
          <w:b/>
          <w:bCs/>
          <w:lang w:val="en-US" w:eastAsia="zh-CN"/>
        </w:rPr>
        <w:t>13</w:t>
      </w:r>
      <w:r w:rsidRPr="00D01C8E">
        <w:rPr>
          <w:rFonts w:ascii="Book Antiqua" w:eastAsia="宋体" w:hAnsi="Book Antiqua" w:cs="宋体"/>
          <w:lang w:val="en-US" w:eastAsia="zh-CN"/>
        </w:rPr>
        <w:t>: 240-243 [PMID: 18822107 DOI: 10.1111/j.1399-3046.2008.00967]</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87 </w:t>
      </w:r>
      <w:proofErr w:type="spellStart"/>
      <w:r w:rsidRPr="00D01C8E">
        <w:rPr>
          <w:rFonts w:ascii="Book Antiqua" w:eastAsia="宋体" w:hAnsi="Book Antiqua" w:cs="宋体"/>
          <w:b/>
          <w:bCs/>
          <w:lang w:val="en-US" w:eastAsia="zh-CN"/>
        </w:rPr>
        <w:t>Yabu</w:t>
      </w:r>
      <w:proofErr w:type="spellEnd"/>
      <w:r w:rsidRPr="00D01C8E">
        <w:rPr>
          <w:rFonts w:ascii="Book Antiqua" w:eastAsia="宋体" w:hAnsi="Book Antiqua" w:cs="宋体"/>
          <w:b/>
          <w:bCs/>
          <w:lang w:val="en-US" w:eastAsia="zh-CN"/>
        </w:rPr>
        <w:t xml:space="preserve"> JM</w:t>
      </w:r>
      <w:r w:rsidRPr="00D01C8E">
        <w:rPr>
          <w:rFonts w:ascii="Book Antiqua" w:eastAsia="宋体" w:hAnsi="Book Antiqua" w:cs="宋体"/>
          <w:lang w:val="en-US" w:eastAsia="zh-CN"/>
        </w:rPr>
        <w:t xml:space="preserve">, Ho B, </w:t>
      </w:r>
      <w:proofErr w:type="spellStart"/>
      <w:r w:rsidRPr="00D01C8E">
        <w:rPr>
          <w:rFonts w:ascii="Book Antiqua" w:eastAsia="宋体" w:hAnsi="Book Antiqua" w:cs="宋体"/>
          <w:lang w:val="en-US" w:eastAsia="zh-CN"/>
        </w:rPr>
        <w:t>Scandling</w:t>
      </w:r>
      <w:proofErr w:type="spellEnd"/>
      <w:r w:rsidRPr="00D01C8E">
        <w:rPr>
          <w:rFonts w:ascii="Book Antiqua" w:eastAsia="宋体" w:hAnsi="Book Antiqua" w:cs="宋体"/>
          <w:lang w:val="en-US" w:eastAsia="zh-CN"/>
        </w:rPr>
        <w:t xml:space="preserve"> JD, </w:t>
      </w:r>
      <w:proofErr w:type="spellStart"/>
      <w:r w:rsidRPr="00D01C8E">
        <w:rPr>
          <w:rFonts w:ascii="Book Antiqua" w:eastAsia="宋体" w:hAnsi="Book Antiqua" w:cs="宋体"/>
          <w:lang w:val="en-US" w:eastAsia="zh-CN"/>
        </w:rPr>
        <w:t>Vincenti</w:t>
      </w:r>
      <w:proofErr w:type="spellEnd"/>
      <w:r w:rsidRPr="00D01C8E">
        <w:rPr>
          <w:rFonts w:ascii="Book Antiqua" w:eastAsia="宋体" w:hAnsi="Book Antiqua" w:cs="宋体"/>
          <w:lang w:val="en-US" w:eastAsia="zh-CN"/>
        </w:rPr>
        <w:t xml:space="preserve"> F. Rituximab failed to improve nephrotic syndrome in renal transplant patients with recurrent focal </w:t>
      </w:r>
      <w:r w:rsidRPr="00D01C8E">
        <w:rPr>
          <w:rFonts w:ascii="Book Antiqua" w:eastAsia="宋体" w:hAnsi="Book Antiqua" w:cs="宋体"/>
          <w:lang w:val="en-US" w:eastAsia="zh-CN"/>
        </w:rPr>
        <w:lastRenderedPageBreak/>
        <w:t xml:space="preserve">segmental glomerulosclerosis. </w:t>
      </w:r>
      <w:r w:rsidRPr="00D01C8E">
        <w:rPr>
          <w:rFonts w:ascii="Book Antiqua" w:eastAsia="宋体" w:hAnsi="Book Antiqua" w:cs="宋体"/>
          <w:i/>
          <w:iCs/>
          <w:lang w:val="en-US" w:eastAsia="zh-CN"/>
        </w:rPr>
        <w:t>Am J Transplant</w:t>
      </w:r>
      <w:r w:rsidRPr="00D01C8E">
        <w:rPr>
          <w:rFonts w:ascii="Book Antiqua" w:eastAsia="宋体" w:hAnsi="Book Antiqua" w:cs="宋体"/>
          <w:lang w:val="en-US" w:eastAsia="zh-CN"/>
        </w:rPr>
        <w:t xml:space="preserve"> 2008; </w:t>
      </w:r>
      <w:r w:rsidRPr="00D01C8E">
        <w:rPr>
          <w:rFonts w:ascii="Book Antiqua" w:eastAsia="宋体" w:hAnsi="Book Antiqua" w:cs="宋体"/>
          <w:b/>
          <w:bCs/>
          <w:lang w:val="en-US" w:eastAsia="zh-CN"/>
        </w:rPr>
        <w:t>8</w:t>
      </w:r>
      <w:r w:rsidRPr="00D01C8E">
        <w:rPr>
          <w:rFonts w:ascii="Book Antiqua" w:eastAsia="宋体" w:hAnsi="Book Antiqua" w:cs="宋体"/>
          <w:lang w:val="en-US" w:eastAsia="zh-CN"/>
        </w:rPr>
        <w:t>: 222-227 [PMID: 17979998]</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88 </w:t>
      </w:r>
      <w:r w:rsidRPr="00D01C8E">
        <w:rPr>
          <w:rFonts w:ascii="Book Antiqua" w:eastAsia="宋体" w:hAnsi="Book Antiqua" w:cs="宋体"/>
          <w:b/>
          <w:bCs/>
          <w:lang w:val="en-US" w:eastAsia="zh-CN"/>
        </w:rPr>
        <w:t>Park HS</w:t>
      </w:r>
      <w:r w:rsidRPr="00D01C8E">
        <w:rPr>
          <w:rFonts w:ascii="Book Antiqua" w:eastAsia="宋体" w:hAnsi="Book Antiqua" w:cs="宋体"/>
          <w:lang w:val="en-US" w:eastAsia="zh-CN"/>
        </w:rPr>
        <w:t xml:space="preserve">, Hong Y, Sun IO, Chung BH, Kim HW, Choi BS, Park CW, Jin DC, Kim YS, Yang CW. Effects of </w:t>
      </w:r>
      <w:proofErr w:type="spellStart"/>
      <w:r w:rsidRPr="00D01C8E">
        <w:rPr>
          <w:rFonts w:ascii="Book Antiqua" w:eastAsia="宋体" w:hAnsi="Book Antiqua" w:cs="宋体"/>
          <w:lang w:val="en-US" w:eastAsia="zh-CN"/>
        </w:rPr>
        <w:t>pretransplant</w:t>
      </w:r>
      <w:proofErr w:type="spellEnd"/>
      <w:r w:rsidRPr="00D01C8E">
        <w:rPr>
          <w:rFonts w:ascii="Book Antiqua" w:eastAsia="宋体" w:hAnsi="Book Antiqua" w:cs="宋体"/>
          <w:lang w:val="en-US" w:eastAsia="zh-CN"/>
        </w:rPr>
        <w:t xml:space="preserve"> plasmapheresis and rituximab on recurrence of focal segmental glomerulosclerosis in adult renal transplant recipients. </w:t>
      </w:r>
      <w:r w:rsidRPr="00D01C8E">
        <w:rPr>
          <w:rFonts w:ascii="Book Antiqua" w:eastAsia="宋体" w:hAnsi="Book Antiqua" w:cs="宋体"/>
          <w:i/>
          <w:iCs/>
          <w:lang w:val="en-US" w:eastAsia="zh-CN"/>
        </w:rPr>
        <w:t>Korean J Intern Med</w:t>
      </w:r>
      <w:r w:rsidRPr="00D01C8E">
        <w:rPr>
          <w:rFonts w:ascii="Book Antiqua" w:eastAsia="宋体" w:hAnsi="Book Antiqua" w:cs="宋体"/>
          <w:lang w:val="en-US" w:eastAsia="zh-CN"/>
        </w:rPr>
        <w:t xml:space="preserve"> 2014; </w:t>
      </w:r>
      <w:r w:rsidRPr="00D01C8E">
        <w:rPr>
          <w:rFonts w:ascii="Book Antiqua" w:eastAsia="宋体" w:hAnsi="Book Antiqua" w:cs="宋体"/>
          <w:b/>
          <w:bCs/>
          <w:lang w:val="en-US" w:eastAsia="zh-CN"/>
        </w:rPr>
        <w:t>29</w:t>
      </w:r>
      <w:r w:rsidRPr="00D01C8E">
        <w:rPr>
          <w:rFonts w:ascii="Book Antiqua" w:eastAsia="宋体" w:hAnsi="Book Antiqua" w:cs="宋体"/>
          <w:lang w:val="en-US" w:eastAsia="zh-CN"/>
        </w:rPr>
        <w:t>: 482-488 [PMID: 25045296 DOI: 10.3904/kjim.2014.29.4.482]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89 </w:t>
      </w:r>
      <w:proofErr w:type="spellStart"/>
      <w:r w:rsidRPr="00D01C8E">
        <w:rPr>
          <w:rFonts w:ascii="Book Antiqua" w:eastAsia="宋体" w:hAnsi="Book Antiqua" w:cs="宋体"/>
          <w:b/>
          <w:bCs/>
          <w:lang w:val="en-US" w:eastAsia="zh-CN"/>
        </w:rPr>
        <w:t>Kamar</w:t>
      </w:r>
      <w:proofErr w:type="spellEnd"/>
      <w:r w:rsidRPr="00D01C8E">
        <w:rPr>
          <w:rFonts w:ascii="Book Antiqua" w:eastAsia="宋体" w:hAnsi="Book Antiqua" w:cs="宋体"/>
          <w:b/>
          <w:bCs/>
          <w:lang w:val="en-US" w:eastAsia="zh-CN"/>
        </w:rPr>
        <w:t xml:space="preserve"> N</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Faguer</w:t>
      </w:r>
      <w:proofErr w:type="spellEnd"/>
      <w:r w:rsidRPr="00D01C8E">
        <w:rPr>
          <w:rFonts w:ascii="Book Antiqua" w:eastAsia="宋体" w:hAnsi="Book Antiqua" w:cs="宋体"/>
          <w:lang w:val="en-US" w:eastAsia="zh-CN"/>
        </w:rPr>
        <w:t xml:space="preserve"> S, Esposito L, </w:t>
      </w:r>
      <w:proofErr w:type="spellStart"/>
      <w:r w:rsidRPr="00D01C8E">
        <w:rPr>
          <w:rFonts w:ascii="Book Antiqua" w:eastAsia="宋体" w:hAnsi="Book Antiqua" w:cs="宋体"/>
          <w:lang w:val="en-US" w:eastAsia="zh-CN"/>
        </w:rPr>
        <w:t>Guitard</w:t>
      </w:r>
      <w:proofErr w:type="spellEnd"/>
      <w:r w:rsidRPr="00D01C8E">
        <w:rPr>
          <w:rFonts w:ascii="Book Antiqua" w:eastAsia="宋体" w:hAnsi="Book Antiqua" w:cs="宋体"/>
          <w:lang w:val="en-US" w:eastAsia="zh-CN"/>
        </w:rPr>
        <w:t xml:space="preserve"> J, </w:t>
      </w:r>
      <w:proofErr w:type="spellStart"/>
      <w:r w:rsidRPr="00D01C8E">
        <w:rPr>
          <w:rFonts w:ascii="Book Antiqua" w:eastAsia="宋体" w:hAnsi="Book Antiqua" w:cs="宋体"/>
          <w:lang w:val="en-US" w:eastAsia="zh-CN"/>
        </w:rPr>
        <w:t>Nogier</w:t>
      </w:r>
      <w:proofErr w:type="spellEnd"/>
      <w:r w:rsidRPr="00D01C8E">
        <w:rPr>
          <w:rFonts w:ascii="Book Antiqua" w:eastAsia="宋体" w:hAnsi="Book Antiqua" w:cs="宋体"/>
          <w:lang w:val="en-US" w:eastAsia="zh-CN"/>
        </w:rPr>
        <w:t xml:space="preserve"> MB, Durand D, </w:t>
      </w:r>
      <w:proofErr w:type="spellStart"/>
      <w:r w:rsidRPr="00D01C8E">
        <w:rPr>
          <w:rFonts w:ascii="Book Antiqua" w:eastAsia="宋体" w:hAnsi="Book Antiqua" w:cs="宋体"/>
          <w:lang w:val="en-US" w:eastAsia="zh-CN"/>
        </w:rPr>
        <w:t>Rostaing</w:t>
      </w:r>
      <w:proofErr w:type="spellEnd"/>
      <w:r w:rsidRPr="00D01C8E">
        <w:rPr>
          <w:rFonts w:ascii="Book Antiqua" w:eastAsia="宋体" w:hAnsi="Book Antiqua" w:cs="宋体"/>
          <w:lang w:val="en-US" w:eastAsia="zh-CN"/>
        </w:rPr>
        <w:t xml:space="preserve"> L. Treatment of focal segmental glomerular sclerosis with rituximab: 2 case reports. </w:t>
      </w:r>
      <w:proofErr w:type="spellStart"/>
      <w:r w:rsidRPr="00D01C8E">
        <w:rPr>
          <w:rFonts w:ascii="Book Antiqua" w:eastAsia="宋体" w:hAnsi="Book Antiqua" w:cs="宋体"/>
          <w:i/>
          <w:iCs/>
          <w:lang w:val="en-US" w:eastAsia="zh-CN"/>
        </w:rPr>
        <w:t>Clin</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2007; </w:t>
      </w:r>
      <w:r w:rsidRPr="00D01C8E">
        <w:rPr>
          <w:rFonts w:ascii="Book Antiqua" w:eastAsia="宋体" w:hAnsi="Book Antiqua" w:cs="宋体"/>
          <w:b/>
          <w:bCs/>
          <w:lang w:val="en-US" w:eastAsia="zh-CN"/>
        </w:rPr>
        <w:t>67</w:t>
      </w:r>
      <w:r w:rsidRPr="00D01C8E">
        <w:rPr>
          <w:rFonts w:ascii="Book Antiqua" w:eastAsia="宋体" w:hAnsi="Book Antiqua" w:cs="宋体"/>
          <w:lang w:val="en-US" w:eastAsia="zh-CN"/>
        </w:rPr>
        <w:t>: 250-254 [PMID: 17474562]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90 </w:t>
      </w:r>
      <w:r w:rsidRPr="00D01C8E">
        <w:rPr>
          <w:rFonts w:ascii="Book Antiqua" w:eastAsia="宋体" w:hAnsi="Book Antiqua" w:cs="宋体"/>
          <w:b/>
          <w:bCs/>
          <w:lang w:val="en-US" w:eastAsia="zh-CN"/>
        </w:rPr>
        <w:t>El-</w:t>
      </w:r>
      <w:proofErr w:type="spellStart"/>
      <w:r w:rsidRPr="00D01C8E">
        <w:rPr>
          <w:rFonts w:ascii="Book Antiqua" w:eastAsia="宋体" w:hAnsi="Book Antiqua" w:cs="宋体"/>
          <w:b/>
          <w:bCs/>
          <w:lang w:val="en-US" w:eastAsia="zh-CN"/>
        </w:rPr>
        <w:t>Firjani</w:t>
      </w:r>
      <w:proofErr w:type="spellEnd"/>
      <w:r w:rsidRPr="00D01C8E">
        <w:rPr>
          <w:rFonts w:ascii="Book Antiqua" w:eastAsia="宋体" w:hAnsi="Book Antiqua" w:cs="宋体"/>
          <w:b/>
          <w:bCs/>
          <w:lang w:val="en-US" w:eastAsia="zh-CN"/>
        </w:rPr>
        <w:t xml:space="preserve"> A</w:t>
      </w:r>
      <w:r w:rsidRPr="00D01C8E">
        <w:rPr>
          <w:rFonts w:ascii="Book Antiqua" w:eastAsia="宋体" w:hAnsi="Book Antiqua" w:cs="宋体"/>
          <w:lang w:val="en-US" w:eastAsia="zh-CN"/>
        </w:rPr>
        <w:t xml:space="preserve">, Hoar S, </w:t>
      </w:r>
      <w:proofErr w:type="spellStart"/>
      <w:r w:rsidRPr="00D01C8E">
        <w:rPr>
          <w:rFonts w:ascii="Book Antiqua" w:eastAsia="宋体" w:hAnsi="Book Antiqua" w:cs="宋体"/>
          <w:lang w:val="en-US" w:eastAsia="zh-CN"/>
        </w:rPr>
        <w:t>Karpinski</w:t>
      </w:r>
      <w:proofErr w:type="spellEnd"/>
      <w:r w:rsidRPr="00D01C8E">
        <w:rPr>
          <w:rFonts w:ascii="Book Antiqua" w:eastAsia="宋体" w:hAnsi="Book Antiqua" w:cs="宋体"/>
          <w:lang w:val="en-US" w:eastAsia="zh-CN"/>
        </w:rPr>
        <w:t xml:space="preserve"> J, Bell R, Deschenes MJ, Knoll GA. Post-transplant focal segmental glomerulosclerosis refractory to plasmapheresis and rituximab therapy.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i/>
          <w:iCs/>
          <w:lang w:val="en-US" w:eastAsia="zh-CN"/>
        </w:rPr>
        <w:t xml:space="preserve"> Dial Transplant</w:t>
      </w:r>
      <w:r w:rsidRPr="00D01C8E">
        <w:rPr>
          <w:rFonts w:ascii="Book Antiqua" w:eastAsia="宋体" w:hAnsi="Book Antiqua" w:cs="宋体"/>
          <w:lang w:val="en-US" w:eastAsia="zh-CN"/>
        </w:rPr>
        <w:t xml:space="preserve"> 2008; </w:t>
      </w:r>
      <w:r w:rsidRPr="00D01C8E">
        <w:rPr>
          <w:rFonts w:ascii="Book Antiqua" w:eastAsia="宋体" w:hAnsi="Book Antiqua" w:cs="宋体"/>
          <w:b/>
          <w:bCs/>
          <w:lang w:val="en-US" w:eastAsia="zh-CN"/>
        </w:rPr>
        <w:t>23</w:t>
      </w:r>
      <w:r w:rsidRPr="00D01C8E">
        <w:rPr>
          <w:rFonts w:ascii="Book Antiqua" w:eastAsia="宋体" w:hAnsi="Book Antiqua" w:cs="宋体"/>
          <w:lang w:val="en-US" w:eastAsia="zh-CN"/>
        </w:rPr>
        <w:t>: 425 [PMID: 17981882]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91 </w:t>
      </w:r>
      <w:proofErr w:type="spellStart"/>
      <w:r w:rsidRPr="00D01C8E">
        <w:rPr>
          <w:rFonts w:ascii="Book Antiqua" w:eastAsia="宋体" w:hAnsi="Book Antiqua" w:cs="宋体"/>
          <w:b/>
          <w:bCs/>
          <w:lang w:val="en-US" w:eastAsia="zh-CN"/>
        </w:rPr>
        <w:t>Prytu</w:t>
      </w:r>
      <w:r w:rsidRPr="00D01C8E">
        <w:rPr>
          <w:rFonts w:ascii="Book Antiqua" w:eastAsia="MS Mincho" w:hAnsi="Book Antiqua" w:cs="MS Mincho"/>
          <w:b/>
          <w:bCs/>
          <w:lang w:val="en-US" w:eastAsia="zh-CN"/>
        </w:rPr>
        <w:t>ł</w:t>
      </w:r>
      <w:r w:rsidRPr="00D01C8E">
        <w:rPr>
          <w:rFonts w:ascii="Book Antiqua" w:eastAsia="宋体" w:hAnsi="Book Antiqua" w:cs="宋体"/>
          <w:b/>
          <w:bCs/>
          <w:lang w:val="en-US" w:eastAsia="zh-CN"/>
        </w:rPr>
        <w:t>a</w:t>
      </w:r>
      <w:proofErr w:type="spellEnd"/>
      <w:r w:rsidRPr="00D01C8E">
        <w:rPr>
          <w:rFonts w:ascii="Book Antiqua" w:eastAsia="宋体" w:hAnsi="Book Antiqua" w:cs="宋体"/>
          <w:b/>
          <w:bCs/>
          <w:lang w:val="en-US" w:eastAsia="zh-CN"/>
        </w:rPr>
        <w:t xml:space="preserve"> A</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Iijima</w:t>
      </w:r>
      <w:proofErr w:type="spellEnd"/>
      <w:r w:rsidRPr="00D01C8E">
        <w:rPr>
          <w:rFonts w:ascii="Book Antiqua" w:eastAsia="宋体" w:hAnsi="Book Antiqua" w:cs="宋体"/>
          <w:lang w:val="en-US" w:eastAsia="zh-CN"/>
        </w:rPr>
        <w:t xml:space="preserve"> K, Kamei K, Geary D, </w:t>
      </w:r>
      <w:proofErr w:type="spellStart"/>
      <w:r w:rsidRPr="00D01C8E">
        <w:rPr>
          <w:rFonts w:ascii="Book Antiqua" w:eastAsia="宋体" w:hAnsi="Book Antiqua" w:cs="宋体"/>
          <w:lang w:val="en-US" w:eastAsia="zh-CN"/>
        </w:rPr>
        <w:t>Gottlich</w:t>
      </w:r>
      <w:proofErr w:type="spellEnd"/>
      <w:r w:rsidRPr="00D01C8E">
        <w:rPr>
          <w:rFonts w:ascii="Book Antiqua" w:eastAsia="宋体" w:hAnsi="Book Antiqua" w:cs="宋体"/>
          <w:lang w:val="en-US" w:eastAsia="zh-CN"/>
        </w:rPr>
        <w:t xml:space="preserve"> E, </w:t>
      </w:r>
      <w:proofErr w:type="spellStart"/>
      <w:r w:rsidRPr="00D01C8E">
        <w:rPr>
          <w:rFonts w:ascii="Book Antiqua" w:eastAsia="宋体" w:hAnsi="Book Antiqua" w:cs="宋体"/>
          <w:lang w:val="en-US" w:eastAsia="zh-CN"/>
        </w:rPr>
        <w:t>Majeed</w:t>
      </w:r>
      <w:proofErr w:type="spellEnd"/>
      <w:r w:rsidRPr="00D01C8E">
        <w:rPr>
          <w:rFonts w:ascii="Book Antiqua" w:eastAsia="宋体" w:hAnsi="Book Antiqua" w:cs="宋体"/>
          <w:lang w:val="en-US" w:eastAsia="zh-CN"/>
        </w:rPr>
        <w:t xml:space="preserve"> A, Taylor M, Marks SD, Tuchman S, Camilla R, </w:t>
      </w:r>
      <w:proofErr w:type="spellStart"/>
      <w:r w:rsidRPr="00D01C8E">
        <w:rPr>
          <w:rFonts w:ascii="Book Antiqua" w:eastAsia="宋体" w:hAnsi="Book Antiqua" w:cs="宋体"/>
          <w:lang w:val="en-US" w:eastAsia="zh-CN"/>
        </w:rPr>
        <w:t>Ognjanovic</w:t>
      </w:r>
      <w:proofErr w:type="spellEnd"/>
      <w:r w:rsidRPr="00D01C8E">
        <w:rPr>
          <w:rFonts w:ascii="Book Antiqua" w:eastAsia="宋体" w:hAnsi="Book Antiqua" w:cs="宋体"/>
          <w:lang w:val="en-US" w:eastAsia="zh-CN"/>
        </w:rPr>
        <w:t xml:space="preserve"> M, Filler G, Smith G, </w:t>
      </w:r>
      <w:proofErr w:type="spellStart"/>
      <w:r w:rsidRPr="00D01C8E">
        <w:rPr>
          <w:rFonts w:ascii="Book Antiqua" w:eastAsia="宋体" w:hAnsi="Book Antiqua" w:cs="宋体"/>
          <w:lang w:val="en-US" w:eastAsia="zh-CN"/>
        </w:rPr>
        <w:t>Tullus</w:t>
      </w:r>
      <w:proofErr w:type="spellEnd"/>
      <w:r w:rsidRPr="00D01C8E">
        <w:rPr>
          <w:rFonts w:ascii="Book Antiqua" w:eastAsia="宋体" w:hAnsi="Book Antiqua" w:cs="宋体"/>
          <w:lang w:val="en-US" w:eastAsia="zh-CN"/>
        </w:rPr>
        <w:t xml:space="preserve"> K. Rituximab in refractory nephrotic syndrome.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2010; </w:t>
      </w:r>
      <w:r w:rsidRPr="00D01C8E">
        <w:rPr>
          <w:rFonts w:ascii="Book Antiqua" w:eastAsia="宋体" w:hAnsi="Book Antiqua" w:cs="宋体"/>
          <w:b/>
          <w:bCs/>
          <w:lang w:val="en-US" w:eastAsia="zh-CN"/>
        </w:rPr>
        <w:t>25</w:t>
      </w:r>
      <w:r w:rsidRPr="00D01C8E">
        <w:rPr>
          <w:rFonts w:ascii="Book Antiqua" w:eastAsia="宋体" w:hAnsi="Book Antiqua" w:cs="宋体"/>
          <w:lang w:val="en-US" w:eastAsia="zh-CN"/>
        </w:rPr>
        <w:t>: 461-468 [PMID: 20033225 DOI: 10.1007/s00467-009-1376-6]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92 </w:t>
      </w:r>
      <w:r w:rsidRPr="00D01C8E">
        <w:rPr>
          <w:rFonts w:ascii="Book Antiqua" w:eastAsia="宋体" w:hAnsi="Book Antiqua" w:cs="宋体"/>
          <w:b/>
          <w:bCs/>
          <w:lang w:val="en-US" w:eastAsia="zh-CN"/>
        </w:rPr>
        <w:t>Stewart ZA</w:t>
      </w:r>
      <w:r w:rsidRPr="00D01C8E">
        <w:rPr>
          <w:rFonts w:ascii="Book Antiqua" w:eastAsia="宋体" w:hAnsi="Book Antiqua" w:cs="宋体"/>
          <w:lang w:val="en-US" w:eastAsia="zh-CN"/>
        </w:rPr>
        <w:t xml:space="preserve">, Shetty R, Nair R, Reed AI, Brophy PD. Case report: successful treatment of recurrent focal segmental glomerulosclerosis with a novel rituximab regimen. </w:t>
      </w:r>
      <w:r w:rsidRPr="00D01C8E">
        <w:rPr>
          <w:rFonts w:ascii="Book Antiqua" w:eastAsia="宋体" w:hAnsi="Book Antiqua" w:cs="宋体"/>
          <w:i/>
          <w:iCs/>
          <w:lang w:val="en-US" w:eastAsia="zh-CN"/>
        </w:rPr>
        <w:t>Transplant Proc</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43</w:t>
      </w:r>
      <w:r w:rsidRPr="00D01C8E">
        <w:rPr>
          <w:rFonts w:ascii="Book Antiqua" w:eastAsia="宋体" w:hAnsi="Book Antiqua" w:cs="宋体"/>
          <w:lang w:val="en-US" w:eastAsia="zh-CN"/>
        </w:rPr>
        <w:t>: 3994-3996 [PMID: 22172885 DOI: 10.1016/j.transproceed.2011.10.051]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93 </w:t>
      </w:r>
      <w:r w:rsidRPr="00D01C8E">
        <w:rPr>
          <w:rFonts w:ascii="Book Antiqua" w:eastAsia="宋体" w:hAnsi="Book Antiqua" w:cs="宋体"/>
          <w:b/>
          <w:bCs/>
          <w:lang w:val="en-US" w:eastAsia="zh-CN"/>
        </w:rPr>
        <w:t>Marks SD</w:t>
      </w:r>
      <w:r w:rsidRPr="00D01C8E">
        <w:rPr>
          <w:rFonts w:ascii="Book Antiqua" w:eastAsia="宋体" w:hAnsi="Book Antiqua" w:cs="宋体"/>
          <w:lang w:val="en-US" w:eastAsia="zh-CN"/>
        </w:rPr>
        <w:t xml:space="preserve">, McGraw M. Does rituximab treat recurrent focal segmental glomerulosclerosis post-renal transplantation?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2007; </w:t>
      </w:r>
      <w:r w:rsidRPr="00D01C8E">
        <w:rPr>
          <w:rFonts w:ascii="Book Antiqua" w:eastAsia="宋体" w:hAnsi="Book Antiqua" w:cs="宋体"/>
          <w:b/>
          <w:bCs/>
          <w:lang w:val="en-US" w:eastAsia="zh-CN"/>
        </w:rPr>
        <w:t>22</w:t>
      </w:r>
      <w:r w:rsidRPr="00D01C8E">
        <w:rPr>
          <w:rFonts w:ascii="Book Antiqua" w:eastAsia="宋体" w:hAnsi="Book Antiqua" w:cs="宋体"/>
          <w:lang w:val="en-US" w:eastAsia="zh-CN"/>
        </w:rPr>
        <w:t>: 158-160 [PMID: 16937130]</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94 </w:t>
      </w:r>
      <w:r w:rsidRPr="00D01C8E">
        <w:rPr>
          <w:rFonts w:ascii="Book Antiqua" w:eastAsia="宋体" w:hAnsi="Book Antiqua" w:cs="宋体"/>
          <w:b/>
          <w:bCs/>
          <w:lang w:val="en-US" w:eastAsia="zh-CN"/>
        </w:rPr>
        <w:t>Rodríguez-Ferrero M</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Ampuero</w:t>
      </w:r>
      <w:proofErr w:type="spellEnd"/>
      <w:r w:rsidRPr="00D01C8E">
        <w:rPr>
          <w:rFonts w:ascii="Book Antiqua" w:eastAsia="宋体" w:hAnsi="Book Antiqua" w:cs="宋体"/>
          <w:lang w:val="en-US" w:eastAsia="zh-CN"/>
        </w:rPr>
        <w:t xml:space="preserve"> J, Anaya F. Rituximab and chronic plasmapheresis therapy of nephrotic syndrome in renal transplantation patients with recurrent focal segmental glomerulosclerosis. </w:t>
      </w:r>
      <w:r w:rsidRPr="00D01C8E">
        <w:rPr>
          <w:rFonts w:ascii="Book Antiqua" w:eastAsia="宋体" w:hAnsi="Book Antiqua" w:cs="宋体"/>
          <w:i/>
          <w:iCs/>
          <w:lang w:val="en-US" w:eastAsia="zh-CN"/>
        </w:rPr>
        <w:t>Transplant Proc</w:t>
      </w:r>
      <w:r w:rsidRPr="00D01C8E">
        <w:rPr>
          <w:rFonts w:ascii="Book Antiqua" w:eastAsia="宋体" w:hAnsi="Book Antiqua" w:cs="宋体"/>
          <w:lang w:val="en-US" w:eastAsia="zh-CN"/>
        </w:rPr>
        <w:t xml:space="preserve"> </w:t>
      </w:r>
      <w:r w:rsidR="002E24D8">
        <w:rPr>
          <w:rFonts w:ascii="Book Antiqua" w:eastAsia="宋体" w:hAnsi="Book Antiqua" w:cs="宋体" w:hint="eastAsia"/>
          <w:lang w:val="en-US" w:eastAsia="zh-CN"/>
        </w:rPr>
        <w:t>2009</w:t>
      </w:r>
      <w:r w:rsidRPr="00D01C8E">
        <w:rPr>
          <w:rFonts w:ascii="Book Antiqua" w:eastAsia="宋体" w:hAnsi="Book Antiqua" w:cs="宋体"/>
          <w:lang w:val="en-US" w:eastAsia="zh-CN"/>
        </w:rPr>
        <w:t xml:space="preserve">; </w:t>
      </w:r>
      <w:r w:rsidRPr="00D01C8E">
        <w:rPr>
          <w:rFonts w:ascii="Book Antiqua" w:eastAsia="宋体" w:hAnsi="Book Antiqua" w:cs="宋体"/>
          <w:b/>
          <w:bCs/>
          <w:lang w:val="en-US" w:eastAsia="zh-CN"/>
        </w:rPr>
        <w:t>41</w:t>
      </w:r>
      <w:r w:rsidRPr="00D01C8E">
        <w:rPr>
          <w:rFonts w:ascii="Book Antiqua" w:eastAsia="宋体" w:hAnsi="Book Antiqua" w:cs="宋体"/>
          <w:lang w:val="en-US" w:eastAsia="zh-CN"/>
        </w:rPr>
        <w:t>: 2406-2408 [PMID: 19715934 DOI: 10.1016/j.transproceed.2009.06.044]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95 </w:t>
      </w:r>
      <w:proofErr w:type="spellStart"/>
      <w:r w:rsidRPr="00D01C8E">
        <w:rPr>
          <w:rFonts w:ascii="Book Antiqua" w:eastAsia="宋体" w:hAnsi="Book Antiqua" w:cs="宋体"/>
          <w:b/>
          <w:bCs/>
          <w:lang w:val="en-US" w:eastAsia="zh-CN"/>
        </w:rPr>
        <w:t>Ashoor</w:t>
      </w:r>
      <w:proofErr w:type="spellEnd"/>
      <w:r w:rsidRPr="00D01C8E">
        <w:rPr>
          <w:rFonts w:ascii="Book Antiqua" w:eastAsia="宋体" w:hAnsi="Book Antiqua" w:cs="宋体"/>
          <w:b/>
          <w:bCs/>
          <w:lang w:val="en-US" w:eastAsia="zh-CN"/>
        </w:rPr>
        <w:t xml:space="preserve"> IF</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Najafian</w:t>
      </w:r>
      <w:proofErr w:type="spellEnd"/>
      <w:r w:rsidRPr="00D01C8E">
        <w:rPr>
          <w:rFonts w:ascii="Book Antiqua" w:eastAsia="宋体" w:hAnsi="Book Antiqua" w:cs="宋体"/>
          <w:lang w:val="en-US" w:eastAsia="zh-CN"/>
        </w:rPr>
        <w:t xml:space="preserve"> N. Rejection and regulation: a tight balance. </w:t>
      </w:r>
      <w:proofErr w:type="spellStart"/>
      <w:r w:rsidRPr="00D01C8E">
        <w:rPr>
          <w:rFonts w:ascii="Book Antiqua" w:eastAsia="宋体" w:hAnsi="Book Antiqua" w:cs="宋体"/>
          <w:i/>
          <w:iCs/>
          <w:lang w:val="en-US" w:eastAsia="zh-CN"/>
        </w:rPr>
        <w:t>Curr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Opin</w:t>
      </w:r>
      <w:proofErr w:type="spellEnd"/>
      <w:r w:rsidRPr="00D01C8E">
        <w:rPr>
          <w:rFonts w:ascii="Book Antiqua" w:eastAsia="宋体" w:hAnsi="Book Antiqua" w:cs="宋体"/>
          <w:i/>
          <w:iCs/>
          <w:lang w:val="en-US" w:eastAsia="zh-CN"/>
        </w:rPr>
        <w:t xml:space="preserve"> Organ Transplant</w:t>
      </w:r>
      <w:r w:rsidRPr="00D01C8E">
        <w:rPr>
          <w:rFonts w:ascii="Book Antiqua" w:eastAsia="宋体" w:hAnsi="Book Antiqua" w:cs="宋体"/>
          <w:lang w:val="en-US" w:eastAsia="zh-CN"/>
        </w:rPr>
        <w:t xml:space="preserve"> 2012; </w:t>
      </w:r>
      <w:r w:rsidRPr="00D01C8E">
        <w:rPr>
          <w:rFonts w:ascii="Book Antiqua" w:eastAsia="宋体" w:hAnsi="Book Antiqua" w:cs="宋体"/>
          <w:b/>
          <w:bCs/>
          <w:lang w:val="en-US" w:eastAsia="zh-CN"/>
        </w:rPr>
        <w:t>17</w:t>
      </w:r>
      <w:r w:rsidRPr="00D01C8E">
        <w:rPr>
          <w:rFonts w:ascii="Book Antiqua" w:eastAsia="宋体" w:hAnsi="Book Antiqua" w:cs="宋体"/>
          <w:lang w:val="en-US" w:eastAsia="zh-CN"/>
        </w:rPr>
        <w:t>: 1-7 [PMID: 22157321 DOI: 10.1097/MOT.0b013e32834ef52a]</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lastRenderedPageBreak/>
        <w:t xml:space="preserve">96 </w:t>
      </w:r>
      <w:proofErr w:type="spellStart"/>
      <w:r w:rsidRPr="00D01C8E">
        <w:rPr>
          <w:rFonts w:ascii="Book Antiqua" w:eastAsia="宋体" w:hAnsi="Book Antiqua" w:cs="宋体"/>
          <w:b/>
          <w:bCs/>
          <w:lang w:val="en-US" w:eastAsia="zh-CN"/>
        </w:rPr>
        <w:t>Durrbach</w:t>
      </w:r>
      <w:proofErr w:type="spellEnd"/>
      <w:r w:rsidRPr="00D01C8E">
        <w:rPr>
          <w:rFonts w:ascii="Book Antiqua" w:eastAsia="宋体" w:hAnsi="Book Antiqua" w:cs="宋体"/>
          <w:b/>
          <w:bCs/>
          <w:lang w:val="en-US" w:eastAsia="zh-CN"/>
        </w:rPr>
        <w:t xml:space="preserve"> A</w:t>
      </w:r>
      <w:r w:rsidRPr="00D01C8E">
        <w:rPr>
          <w:rFonts w:ascii="Book Antiqua" w:eastAsia="宋体" w:hAnsi="Book Antiqua" w:cs="宋体"/>
          <w:lang w:val="en-US" w:eastAsia="zh-CN"/>
        </w:rPr>
        <w:t xml:space="preserve">, Francois H, </w:t>
      </w:r>
      <w:proofErr w:type="spellStart"/>
      <w:r w:rsidRPr="00D01C8E">
        <w:rPr>
          <w:rFonts w:ascii="Book Antiqua" w:eastAsia="宋体" w:hAnsi="Book Antiqua" w:cs="宋体"/>
          <w:lang w:val="en-US" w:eastAsia="zh-CN"/>
        </w:rPr>
        <w:t>Jacquet</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Beaudreuil</w:t>
      </w:r>
      <w:proofErr w:type="spellEnd"/>
      <w:r w:rsidRPr="00D01C8E">
        <w:rPr>
          <w:rFonts w:ascii="Book Antiqua" w:eastAsia="宋体" w:hAnsi="Book Antiqua" w:cs="宋体"/>
          <w:lang w:val="en-US" w:eastAsia="zh-CN"/>
        </w:rPr>
        <w:t xml:space="preserve"> S, </w:t>
      </w:r>
      <w:proofErr w:type="spellStart"/>
      <w:r w:rsidRPr="00D01C8E">
        <w:rPr>
          <w:rFonts w:ascii="Book Antiqua" w:eastAsia="宋体" w:hAnsi="Book Antiqua" w:cs="宋体"/>
          <w:lang w:val="en-US" w:eastAsia="zh-CN"/>
        </w:rPr>
        <w:t>Charpentier</w:t>
      </w:r>
      <w:proofErr w:type="spellEnd"/>
      <w:r w:rsidRPr="00D01C8E">
        <w:rPr>
          <w:rFonts w:ascii="Book Antiqua" w:eastAsia="宋体" w:hAnsi="Book Antiqua" w:cs="宋体"/>
          <w:lang w:val="en-US" w:eastAsia="zh-CN"/>
        </w:rPr>
        <w:t xml:space="preserve"> B. Co-signals in organ transplantation. </w:t>
      </w:r>
      <w:proofErr w:type="spellStart"/>
      <w:r w:rsidRPr="00D01C8E">
        <w:rPr>
          <w:rFonts w:ascii="Book Antiqua" w:eastAsia="宋体" w:hAnsi="Book Antiqua" w:cs="宋体"/>
          <w:i/>
          <w:iCs/>
          <w:lang w:val="en-US" w:eastAsia="zh-CN"/>
        </w:rPr>
        <w:t>Curr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Opin</w:t>
      </w:r>
      <w:proofErr w:type="spellEnd"/>
      <w:r w:rsidRPr="00D01C8E">
        <w:rPr>
          <w:rFonts w:ascii="Book Antiqua" w:eastAsia="宋体" w:hAnsi="Book Antiqua" w:cs="宋体"/>
          <w:i/>
          <w:iCs/>
          <w:lang w:val="en-US" w:eastAsia="zh-CN"/>
        </w:rPr>
        <w:t xml:space="preserve"> Organ Transplant</w:t>
      </w:r>
      <w:r w:rsidRPr="00D01C8E">
        <w:rPr>
          <w:rFonts w:ascii="Book Antiqua" w:eastAsia="宋体" w:hAnsi="Book Antiqua" w:cs="宋体"/>
          <w:lang w:val="en-US" w:eastAsia="zh-CN"/>
        </w:rPr>
        <w:t xml:space="preserve"> 2010; </w:t>
      </w:r>
      <w:r w:rsidRPr="00D01C8E">
        <w:rPr>
          <w:rFonts w:ascii="Book Antiqua" w:eastAsia="宋体" w:hAnsi="Book Antiqua" w:cs="宋体"/>
          <w:b/>
          <w:bCs/>
          <w:lang w:val="en-US" w:eastAsia="zh-CN"/>
        </w:rPr>
        <w:t>15</w:t>
      </w:r>
      <w:r w:rsidRPr="00D01C8E">
        <w:rPr>
          <w:rFonts w:ascii="Book Antiqua" w:eastAsia="宋体" w:hAnsi="Book Antiqua" w:cs="宋体"/>
          <w:lang w:val="en-US" w:eastAsia="zh-CN"/>
        </w:rPr>
        <w:t>: 474-480 [PMID: 20631615 DOI: 10.1097/MOT.0b013e32833c1369]</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97 </w:t>
      </w:r>
      <w:proofErr w:type="spellStart"/>
      <w:r w:rsidRPr="00D01C8E">
        <w:rPr>
          <w:rFonts w:ascii="Book Antiqua" w:eastAsia="宋体" w:hAnsi="Book Antiqua" w:cs="宋体"/>
          <w:b/>
          <w:bCs/>
          <w:lang w:val="en-US" w:eastAsia="zh-CN"/>
        </w:rPr>
        <w:t>Dall'Era</w:t>
      </w:r>
      <w:proofErr w:type="spellEnd"/>
      <w:r w:rsidRPr="00D01C8E">
        <w:rPr>
          <w:rFonts w:ascii="Book Antiqua" w:eastAsia="宋体" w:hAnsi="Book Antiqua" w:cs="宋体"/>
          <w:b/>
          <w:bCs/>
          <w:lang w:val="en-US" w:eastAsia="zh-CN"/>
        </w:rPr>
        <w:t xml:space="preserve"> M</w:t>
      </w:r>
      <w:r w:rsidRPr="00D01C8E">
        <w:rPr>
          <w:rFonts w:ascii="Book Antiqua" w:eastAsia="宋体" w:hAnsi="Book Antiqua" w:cs="宋体"/>
          <w:lang w:val="en-US" w:eastAsia="zh-CN"/>
        </w:rPr>
        <w:t xml:space="preserve">, Davis J. CTLA4Ig: a novel inhibitor of </w:t>
      </w:r>
      <w:proofErr w:type="spellStart"/>
      <w:r w:rsidRPr="00D01C8E">
        <w:rPr>
          <w:rFonts w:ascii="Book Antiqua" w:eastAsia="宋体" w:hAnsi="Book Antiqua" w:cs="宋体"/>
          <w:lang w:val="en-US" w:eastAsia="zh-CN"/>
        </w:rPr>
        <w:t>costimulation</w:t>
      </w:r>
      <w:proofErr w:type="spell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Lupus</w:t>
      </w:r>
      <w:r w:rsidRPr="00D01C8E">
        <w:rPr>
          <w:rFonts w:ascii="Book Antiqua" w:eastAsia="宋体" w:hAnsi="Book Antiqua" w:cs="宋体"/>
          <w:lang w:val="en-US" w:eastAsia="zh-CN"/>
        </w:rPr>
        <w:t xml:space="preserve"> 2004; </w:t>
      </w:r>
      <w:r w:rsidRPr="00D01C8E">
        <w:rPr>
          <w:rFonts w:ascii="Book Antiqua" w:eastAsia="宋体" w:hAnsi="Book Antiqua" w:cs="宋体"/>
          <w:b/>
          <w:bCs/>
          <w:lang w:val="en-US" w:eastAsia="zh-CN"/>
        </w:rPr>
        <w:t>13</w:t>
      </w:r>
      <w:r w:rsidRPr="00D01C8E">
        <w:rPr>
          <w:rFonts w:ascii="Book Antiqua" w:eastAsia="宋体" w:hAnsi="Book Antiqua" w:cs="宋体"/>
          <w:lang w:val="en-US" w:eastAsia="zh-CN"/>
        </w:rPr>
        <w:t>: 372-376 [PMID: 15230295]</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98 </w:t>
      </w:r>
      <w:r w:rsidRPr="00D01C8E">
        <w:rPr>
          <w:rFonts w:ascii="Book Antiqua" w:eastAsia="宋体" w:hAnsi="Book Antiqua" w:cs="宋体"/>
          <w:b/>
          <w:bCs/>
          <w:lang w:val="en-US" w:eastAsia="zh-CN"/>
        </w:rPr>
        <w:t>Schaub M</w:t>
      </w:r>
      <w:r w:rsidRPr="00D01C8E">
        <w:rPr>
          <w:rFonts w:ascii="Book Antiqua" w:eastAsia="宋体" w:hAnsi="Book Antiqua" w:cs="宋体"/>
          <w:lang w:val="en-US" w:eastAsia="zh-CN"/>
        </w:rPr>
        <w:t xml:space="preserve">, Stadlbauer TH, </w:t>
      </w:r>
      <w:proofErr w:type="spellStart"/>
      <w:r w:rsidRPr="00D01C8E">
        <w:rPr>
          <w:rFonts w:ascii="Book Antiqua" w:eastAsia="宋体" w:hAnsi="Book Antiqua" w:cs="宋体"/>
          <w:lang w:val="en-US" w:eastAsia="zh-CN"/>
        </w:rPr>
        <w:t>Chandraker</w:t>
      </w:r>
      <w:proofErr w:type="spellEnd"/>
      <w:r w:rsidRPr="00D01C8E">
        <w:rPr>
          <w:rFonts w:ascii="Book Antiqua" w:eastAsia="宋体" w:hAnsi="Book Antiqua" w:cs="宋体"/>
          <w:lang w:val="en-US" w:eastAsia="zh-CN"/>
        </w:rPr>
        <w:t xml:space="preserve"> A, Vella JP, </w:t>
      </w:r>
      <w:proofErr w:type="spellStart"/>
      <w:r w:rsidRPr="00D01C8E">
        <w:rPr>
          <w:rFonts w:ascii="Book Antiqua" w:eastAsia="宋体" w:hAnsi="Book Antiqua" w:cs="宋体"/>
          <w:lang w:val="en-US" w:eastAsia="zh-CN"/>
        </w:rPr>
        <w:t>Turka</w:t>
      </w:r>
      <w:proofErr w:type="spellEnd"/>
      <w:r w:rsidRPr="00D01C8E">
        <w:rPr>
          <w:rFonts w:ascii="Book Antiqua" w:eastAsia="宋体" w:hAnsi="Book Antiqua" w:cs="宋体"/>
          <w:lang w:val="en-US" w:eastAsia="zh-CN"/>
        </w:rPr>
        <w:t xml:space="preserve"> LA, </w:t>
      </w:r>
      <w:proofErr w:type="spellStart"/>
      <w:r w:rsidRPr="00D01C8E">
        <w:rPr>
          <w:rFonts w:ascii="Book Antiqua" w:eastAsia="宋体" w:hAnsi="Book Antiqua" w:cs="宋体"/>
          <w:lang w:val="en-US" w:eastAsia="zh-CN"/>
        </w:rPr>
        <w:t>Sayegh</w:t>
      </w:r>
      <w:proofErr w:type="spellEnd"/>
      <w:r w:rsidRPr="00D01C8E">
        <w:rPr>
          <w:rFonts w:ascii="Book Antiqua" w:eastAsia="宋体" w:hAnsi="Book Antiqua" w:cs="宋体"/>
          <w:lang w:val="en-US" w:eastAsia="zh-CN"/>
        </w:rPr>
        <w:t xml:space="preserve"> MH. Comparative strategies to induce long-term graft acceptance in fully allogeneic renal versus cardiac allograft models by CD28-B7 T cell costimulatory blockade: role of thymus and spleen. </w:t>
      </w:r>
      <w:r w:rsidRPr="00D01C8E">
        <w:rPr>
          <w:rFonts w:ascii="Book Antiqua" w:eastAsia="宋体" w:hAnsi="Book Antiqua" w:cs="宋体"/>
          <w:i/>
          <w:iCs/>
          <w:lang w:val="en-US" w:eastAsia="zh-CN"/>
        </w:rPr>
        <w:t xml:space="preserve">J Am </w:t>
      </w:r>
      <w:proofErr w:type="spellStart"/>
      <w:r w:rsidRPr="00D01C8E">
        <w:rPr>
          <w:rFonts w:ascii="Book Antiqua" w:eastAsia="宋体" w:hAnsi="Book Antiqua" w:cs="宋体"/>
          <w:i/>
          <w:iCs/>
          <w:lang w:val="en-US" w:eastAsia="zh-CN"/>
        </w:rPr>
        <w:t>Soc</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1998; </w:t>
      </w:r>
      <w:r w:rsidRPr="00D01C8E">
        <w:rPr>
          <w:rFonts w:ascii="Book Antiqua" w:eastAsia="宋体" w:hAnsi="Book Antiqua" w:cs="宋体"/>
          <w:b/>
          <w:bCs/>
          <w:lang w:val="en-US" w:eastAsia="zh-CN"/>
        </w:rPr>
        <w:t>9</w:t>
      </w:r>
      <w:r w:rsidRPr="00D01C8E">
        <w:rPr>
          <w:rFonts w:ascii="Book Antiqua" w:eastAsia="宋体" w:hAnsi="Book Antiqua" w:cs="宋体"/>
          <w:lang w:val="en-US" w:eastAsia="zh-CN"/>
        </w:rPr>
        <w:t>: 891-898 [PMID: 9596088]</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99 </w:t>
      </w:r>
      <w:r w:rsidRPr="00D01C8E">
        <w:rPr>
          <w:rFonts w:ascii="Book Antiqua" w:eastAsia="宋体" w:hAnsi="Book Antiqua" w:cs="宋体"/>
          <w:b/>
          <w:bCs/>
          <w:lang w:val="en-US" w:eastAsia="zh-CN"/>
        </w:rPr>
        <w:t>Azuma H</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Chandraker</w:t>
      </w:r>
      <w:proofErr w:type="spellEnd"/>
      <w:r w:rsidRPr="00D01C8E">
        <w:rPr>
          <w:rFonts w:ascii="Book Antiqua" w:eastAsia="宋体" w:hAnsi="Book Antiqua" w:cs="宋体"/>
          <w:lang w:val="en-US" w:eastAsia="zh-CN"/>
        </w:rPr>
        <w:t xml:space="preserve"> A, Nadeau K, Hancock WW, Carpenter CB, Tilney NL, </w:t>
      </w:r>
      <w:proofErr w:type="spellStart"/>
      <w:r w:rsidRPr="00D01C8E">
        <w:rPr>
          <w:rFonts w:ascii="Book Antiqua" w:eastAsia="宋体" w:hAnsi="Book Antiqua" w:cs="宋体"/>
          <w:lang w:val="en-US" w:eastAsia="zh-CN"/>
        </w:rPr>
        <w:t>Sayegh</w:t>
      </w:r>
      <w:proofErr w:type="spellEnd"/>
      <w:r w:rsidRPr="00D01C8E">
        <w:rPr>
          <w:rFonts w:ascii="Book Antiqua" w:eastAsia="宋体" w:hAnsi="Book Antiqua" w:cs="宋体"/>
          <w:lang w:val="en-US" w:eastAsia="zh-CN"/>
        </w:rPr>
        <w:t xml:space="preserve"> MH. Blockade of T-cell </w:t>
      </w:r>
      <w:proofErr w:type="spellStart"/>
      <w:r w:rsidRPr="00D01C8E">
        <w:rPr>
          <w:rFonts w:ascii="Book Antiqua" w:eastAsia="宋体" w:hAnsi="Book Antiqua" w:cs="宋体"/>
          <w:lang w:val="en-US" w:eastAsia="zh-CN"/>
        </w:rPr>
        <w:t>costimulation</w:t>
      </w:r>
      <w:proofErr w:type="spellEnd"/>
      <w:r w:rsidRPr="00D01C8E">
        <w:rPr>
          <w:rFonts w:ascii="Book Antiqua" w:eastAsia="宋体" w:hAnsi="Book Antiqua" w:cs="宋体"/>
          <w:lang w:val="en-US" w:eastAsia="zh-CN"/>
        </w:rPr>
        <w:t xml:space="preserve"> prevents development of experimental chronic renal allograft rejection. </w:t>
      </w:r>
      <w:r w:rsidR="002E24D8">
        <w:rPr>
          <w:rFonts w:ascii="Book Antiqua" w:eastAsia="宋体" w:hAnsi="Book Antiqua" w:cs="宋体"/>
          <w:i/>
          <w:iCs/>
          <w:lang w:val="en-US" w:eastAsia="zh-CN"/>
        </w:rPr>
        <w:t xml:space="preserve">Proc Natl </w:t>
      </w:r>
      <w:proofErr w:type="spellStart"/>
      <w:r w:rsidR="002E24D8">
        <w:rPr>
          <w:rFonts w:ascii="Book Antiqua" w:eastAsia="宋体" w:hAnsi="Book Antiqua" w:cs="宋体"/>
          <w:i/>
          <w:iCs/>
          <w:lang w:val="en-US" w:eastAsia="zh-CN"/>
        </w:rPr>
        <w:t>Acad</w:t>
      </w:r>
      <w:proofErr w:type="spellEnd"/>
      <w:r w:rsidR="002E24D8">
        <w:rPr>
          <w:rFonts w:ascii="Book Antiqua" w:eastAsia="宋体" w:hAnsi="Book Antiqua" w:cs="宋体"/>
          <w:i/>
          <w:iCs/>
          <w:lang w:val="en-US" w:eastAsia="zh-CN"/>
        </w:rPr>
        <w:t xml:space="preserve"> </w:t>
      </w:r>
      <w:proofErr w:type="spellStart"/>
      <w:r w:rsidR="002E24D8">
        <w:rPr>
          <w:rFonts w:ascii="Book Antiqua" w:eastAsia="宋体" w:hAnsi="Book Antiqua" w:cs="宋体"/>
          <w:i/>
          <w:iCs/>
          <w:lang w:val="en-US" w:eastAsia="zh-CN"/>
        </w:rPr>
        <w:t>Sci</w:t>
      </w:r>
      <w:proofErr w:type="spellEnd"/>
      <w:r w:rsidR="002E24D8">
        <w:rPr>
          <w:rFonts w:ascii="Book Antiqua" w:eastAsia="宋体" w:hAnsi="Book Antiqua" w:cs="宋体"/>
          <w:i/>
          <w:iCs/>
          <w:lang w:val="en-US" w:eastAsia="zh-CN"/>
        </w:rPr>
        <w:t xml:space="preserve"> US</w:t>
      </w:r>
      <w:r w:rsidRPr="00D01C8E">
        <w:rPr>
          <w:rFonts w:ascii="Book Antiqua" w:eastAsia="宋体" w:hAnsi="Book Antiqua" w:cs="宋体"/>
          <w:i/>
          <w:iCs/>
          <w:lang w:val="en-US" w:eastAsia="zh-CN"/>
        </w:rPr>
        <w:t>A</w:t>
      </w:r>
      <w:r w:rsidRPr="00D01C8E">
        <w:rPr>
          <w:rFonts w:ascii="Book Antiqua" w:eastAsia="宋体" w:hAnsi="Book Antiqua" w:cs="宋体"/>
          <w:lang w:val="en-US" w:eastAsia="zh-CN"/>
        </w:rPr>
        <w:t xml:space="preserve"> 1996; </w:t>
      </w:r>
      <w:r w:rsidRPr="00D01C8E">
        <w:rPr>
          <w:rFonts w:ascii="Book Antiqua" w:eastAsia="宋体" w:hAnsi="Book Antiqua" w:cs="宋体"/>
          <w:b/>
          <w:bCs/>
          <w:lang w:val="en-US" w:eastAsia="zh-CN"/>
        </w:rPr>
        <w:t>93</w:t>
      </w:r>
      <w:r w:rsidRPr="00D01C8E">
        <w:rPr>
          <w:rFonts w:ascii="Book Antiqua" w:eastAsia="宋体" w:hAnsi="Book Antiqua" w:cs="宋体"/>
          <w:lang w:val="en-US" w:eastAsia="zh-CN"/>
        </w:rPr>
        <w:t>: 12439-12444 [PMID: 8901600]</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100 </w:t>
      </w:r>
      <w:proofErr w:type="spellStart"/>
      <w:r w:rsidRPr="00D01C8E">
        <w:rPr>
          <w:rFonts w:ascii="Book Antiqua" w:eastAsia="宋体" w:hAnsi="Book Antiqua" w:cs="宋体"/>
          <w:b/>
          <w:bCs/>
          <w:lang w:val="en-US" w:eastAsia="zh-CN"/>
        </w:rPr>
        <w:t>Chandraker</w:t>
      </w:r>
      <w:proofErr w:type="spellEnd"/>
      <w:r w:rsidRPr="00D01C8E">
        <w:rPr>
          <w:rFonts w:ascii="Book Antiqua" w:eastAsia="宋体" w:hAnsi="Book Antiqua" w:cs="宋体"/>
          <w:b/>
          <w:bCs/>
          <w:lang w:val="en-US" w:eastAsia="zh-CN"/>
        </w:rPr>
        <w:t xml:space="preserve"> A</w:t>
      </w:r>
      <w:r w:rsidRPr="00D01C8E">
        <w:rPr>
          <w:rFonts w:ascii="Book Antiqua" w:eastAsia="宋体" w:hAnsi="Book Antiqua" w:cs="宋体"/>
          <w:lang w:val="en-US" w:eastAsia="zh-CN"/>
        </w:rPr>
        <w:t xml:space="preserve">, Russell ME, </w:t>
      </w:r>
      <w:proofErr w:type="spellStart"/>
      <w:r w:rsidRPr="00D01C8E">
        <w:rPr>
          <w:rFonts w:ascii="Book Antiqua" w:eastAsia="宋体" w:hAnsi="Book Antiqua" w:cs="宋体"/>
          <w:lang w:val="en-US" w:eastAsia="zh-CN"/>
        </w:rPr>
        <w:t>Glysing</w:t>
      </w:r>
      <w:proofErr w:type="spellEnd"/>
      <w:r w:rsidRPr="00D01C8E">
        <w:rPr>
          <w:rFonts w:ascii="Book Antiqua" w:eastAsia="宋体" w:hAnsi="Book Antiqua" w:cs="宋体"/>
          <w:lang w:val="en-US" w:eastAsia="zh-CN"/>
        </w:rPr>
        <w:t xml:space="preserve">-Jensen T, Willett TA, </w:t>
      </w:r>
      <w:proofErr w:type="spellStart"/>
      <w:r w:rsidRPr="00D01C8E">
        <w:rPr>
          <w:rFonts w:ascii="Book Antiqua" w:eastAsia="宋体" w:hAnsi="Book Antiqua" w:cs="宋体"/>
          <w:lang w:val="en-US" w:eastAsia="zh-CN"/>
        </w:rPr>
        <w:t>Sayegh</w:t>
      </w:r>
      <w:proofErr w:type="spellEnd"/>
      <w:r w:rsidRPr="00D01C8E">
        <w:rPr>
          <w:rFonts w:ascii="Book Antiqua" w:eastAsia="宋体" w:hAnsi="Book Antiqua" w:cs="宋体"/>
          <w:lang w:val="en-US" w:eastAsia="zh-CN"/>
        </w:rPr>
        <w:t xml:space="preserve"> MH. T-cell costimulatory blockade in experimental chronic cardiac allograft rejection: effects of cyclosporine and donor antigen. </w:t>
      </w:r>
      <w:r w:rsidRPr="00D01C8E">
        <w:rPr>
          <w:rFonts w:ascii="Book Antiqua" w:eastAsia="宋体" w:hAnsi="Book Antiqua" w:cs="宋体"/>
          <w:i/>
          <w:iCs/>
          <w:lang w:val="en-US" w:eastAsia="zh-CN"/>
        </w:rPr>
        <w:t>Transplantation</w:t>
      </w:r>
      <w:r w:rsidRPr="00D01C8E">
        <w:rPr>
          <w:rFonts w:ascii="Book Antiqua" w:eastAsia="宋体" w:hAnsi="Book Antiqua" w:cs="宋体"/>
          <w:lang w:val="en-US" w:eastAsia="zh-CN"/>
        </w:rPr>
        <w:t xml:space="preserve"> 1997; </w:t>
      </w:r>
      <w:r w:rsidRPr="00D01C8E">
        <w:rPr>
          <w:rFonts w:ascii="Book Antiqua" w:eastAsia="宋体" w:hAnsi="Book Antiqua" w:cs="宋体"/>
          <w:b/>
          <w:bCs/>
          <w:lang w:val="en-US" w:eastAsia="zh-CN"/>
        </w:rPr>
        <w:t>63</w:t>
      </w:r>
      <w:r w:rsidRPr="00D01C8E">
        <w:rPr>
          <w:rFonts w:ascii="Book Antiqua" w:eastAsia="宋体" w:hAnsi="Book Antiqua" w:cs="宋体"/>
          <w:lang w:val="en-US" w:eastAsia="zh-CN"/>
        </w:rPr>
        <w:t>: 1053-1058 [PMID: 9133464]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101 </w:t>
      </w:r>
      <w:proofErr w:type="spellStart"/>
      <w:r w:rsidRPr="00D01C8E">
        <w:rPr>
          <w:rFonts w:ascii="Book Antiqua" w:eastAsia="宋体" w:hAnsi="Book Antiqua" w:cs="宋体"/>
          <w:b/>
          <w:bCs/>
          <w:lang w:val="en-US" w:eastAsia="zh-CN"/>
        </w:rPr>
        <w:t>Vincenti</w:t>
      </w:r>
      <w:proofErr w:type="spellEnd"/>
      <w:r w:rsidRPr="00D01C8E">
        <w:rPr>
          <w:rFonts w:ascii="Book Antiqua" w:eastAsia="宋体" w:hAnsi="Book Antiqua" w:cs="宋体"/>
          <w:b/>
          <w:bCs/>
          <w:lang w:val="en-US" w:eastAsia="zh-CN"/>
        </w:rPr>
        <w:t xml:space="preserve"> F</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Costimulation</w:t>
      </w:r>
      <w:proofErr w:type="spellEnd"/>
      <w:r w:rsidRPr="00D01C8E">
        <w:rPr>
          <w:rFonts w:ascii="Book Antiqua" w:eastAsia="宋体" w:hAnsi="Book Antiqua" w:cs="宋体"/>
          <w:lang w:val="en-US" w:eastAsia="zh-CN"/>
        </w:rPr>
        <w:t xml:space="preserve"> </w:t>
      </w:r>
      <w:proofErr w:type="gramStart"/>
      <w:r w:rsidRPr="00D01C8E">
        <w:rPr>
          <w:rFonts w:ascii="Book Antiqua" w:eastAsia="宋体" w:hAnsi="Book Antiqua" w:cs="宋体"/>
          <w:lang w:val="en-US" w:eastAsia="zh-CN"/>
        </w:rPr>
        <w:t>blockade</w:t>
      </w:r>
      <w:proofErr w:type="gramEnd"/>
      <w:r w:rsidRPr="00D01C8E">
        <w:rPr>
          <w:rFonts w:ascii="Book Antiqua" w:eastAsia="宋体" w:hAnsi="Book Antiqua" w:cs="宋体"/>
          <w:lang w:val="en-US" w:eastAsia="zh-CN"/>
        </w:rPr>
        <w:t xml:space="preserve">--what will the future bring?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i/>
          <w:iCs/>
          <w:lang w:val="en-US" w:eastAsia="zh-CN"/>
        </w:rPr>
        <w:t xml:space="preserve"> Dial Transplant</w:t>
      </w:r>
      <w:r w:rsidRPr="00D01C8E">
        <w:rPr>
          <w:rFonts w:ascii="Book Antiqua" w:eastAsia="宋体" w:hAnsi="Book Antiqua" w:cs="宋体"/>
          <w:lang w:val="en-US" w:eastAsia="zh-CN"/>
        </w:rPr>
        <w:t xml:space="preserve"> 2007; </w:t>
      </w:r>
      <w:r w:rsidRPr="00D01C8E">
        <w:rPr>
          <w:rFonts w:ascii="Book Antiqua" w:eastAsia="宋体" w:hAnsi="Book Antiqua" w:cs="宋体"/>
          <w:b/>
          <w:bCs/>
          <w:lang w:val="en-US" w:eastAsia="zh-CN"/>
        </w:rPr>
        <w:t>22</w:t>
      </w:r>
      <w:r w:rsidRPr="00D01C8E">
        <w:rPr>
          <w:rFonts w:ascii="Book Antiqua" w:eastAsia="宋体" w:hAnsi="Book Antiqua" w:cs="宋体"/>
          <w:lang w:val="en-US" w:eastAsia="zh-CN"/>
        </w:rPr>
        <w:t>: 1293-1296 [PMID: 17460033]</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102 </w:t>
      </w:r>
      <w:r w:rsidRPr="00D01C8E">
        <w:rPr>
          <w:rFonts w:ascii="Book Antiqua" w:eastAsia="宋体" w:hAnsi="Book Antiqua" w:cs="宋体"/>
          <w:b/>
          <w:bCs/>
          <w:lang w:val="en-US" w:eastAsia="zh-CN"/>
        </w:rPr>
        <w:t>Maxwell LJ</w:t>
      </w:r>
      <w:r w:rsidRPr="00D01C8E">
        <w:rPr>
          <w:rFonts w:ascii="Book Antiqua" w:eastAsia="宋体" w:hAnsi="Book Antiqua" w:cs="宋体"/>
          <w:lang w:val="en-US" w:eastAsia="zh-CN"/>
        </w:rPr>
        <w:t xml:space="preserve">, Singh JA. </w:t>
      </w:r>
      <w:proofErr w:type="spellStart"/>
      <w:r w:rsidRPr="00D01C8E">
        <w:rPr>
          <w:rFonts w:ascii="Book Antiqua" w:eastAsia="宋体" w:hAnsi="Book Antiqua" w:cs="宋体"/>
          <w:lang w:val="en-US" w:eastAsia="zh-CN"/>
        </w:rPr>
        <w:t>Abatacept</w:t>
      </w:r>
      <w:proofErr w:type="spellEnd"/>
      <w:r w:rsidRPr="00D01C8E">
        <w:rPr>
          <w:rFonts w:ascii="Book Antiqua" w:eastAsia="宋体" w:hAnsi="Book Antiqua" w:cs="宋体"/>
          <w:lang w:val="en-US" w:eastAsia="zh-CN"/>
        </w:rPr>
        <w:t xml:space="preserve"> for rheumatoid arthritis: a Cochrane systematic review. </w:t>
      </w:r>
      <w:r w:rsidRPr="00D01C8E">
        <w:rPr>
          <w:rFonts w:ascii="Book Antiqua" w:eastAsia="宋体" w:hAnsi="Book Antiqua" w:cs="宋体"/>
          <w:i/>
          <w:iCs/>
          <w:lang w:val="en-US" w:eastAsia="zh-CN"/>
        </w:rPr>
        <w:t xml:space="preserve">J </w:t>
      </w:r>
      <w:proofErr w:type="spellStart"/>
      <w:r w:rsidRPr="00D01C8E">
        <w:rPr>
          <w:rFonts w:ascii="Book Antiqua" w:eastAsia="宋体" w:hAnsi="Book Antiqua" w:cs="宋体"/>
          <w:i/>
          <w:iCs/>
          <w:lang w:val="en-US" w:eastAsia="zh-CN"/>
        </w:rPr>
        <w:t>Rheumatol</w:t>
      </w:r>
      <w:proofErr w:type="spellEnd"/>
      <w:r w:rsidRPr="00D01C8E">
        <w:rPr>
          <w:rFonts w:ascii="Book Antiqua" w:eastAsia="宋体" w:hAnsi="Book Antiqua" w:cs="宋体"/>
          <w:lang w:val="en-US" w:eastAsia="zh-CN"/>
        </w:rPr>
        <w:t xml:space="preserve"> 2010; </w:t>
      </w:r>
      <w:r w:rsidRPr="00D01C8E">
        <w:rPr>
          <w:rFonts w:ascii="Book Antiqua" w:eastAsia="宋体" w:hAnsi="Book Antiqua" w:cs="宋体"/>
          <w:b/>
          <w:bCs/>
          <w:lang w:val="en-US" w:eastAsia="zh-CN"/>
        </w:rPr>
        <w:t>37</w:t>
      </w:r>
      <w:r w:rsidRPr="00D01C8E">
        <w:rPr>
          <w:rFonts w:ascii="Book Antiqua" w:eastAsia="宋体" w:hAnsi="Book Antiqua" w:cs="宋体"/>
          <w:lang w:val="en-US" w:eastAsia="zh-CN"/>
        </w:rPr>
        <w:t>: 234-245 [PMID: 20080922 DOI: 10.3899/jrheum.091066]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103 </w:t>
      </w:r>
      <w:r w:rsidRPr="00D01C8E">
        <w:rPr>
          <w:rFonts w:ascii="Book Antiqua" w:eastAsia="宋体" w:hAnsi="Book Antiqua" w:cs="宋体"/>
          <w:b/>
          <w:bCs/>
          <w:lang w:val="en-US" w:eastAsia="zh-CN"/>
        </w:rPr>
        <w:t>Yu CC</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Fornoni</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Weins</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Hakroush</w:t>
      </w:r>
      <w:proofErr w:type="spellEnd"/>
      <w:r w:rsidRPr="00D01C8E">
        <w:rPr>
          <w:rFonts w:ascii="Book Antiqua" w:eastAsia="宋体" w:hAnsi="Book Antiqua" w:cs="宋体"/>
          <w:lang w:val="en-US" w:eastAsia="zh-CN"/>
        </w:rPr>
        <w:t xml:space="preserve"> S, </w:t>
      </w:r>
      <w:proofErr w:type="spellStart"/>
      <w:r w:rsidRPr="00D01C8E">
        <w:rPr>
          <w:rFonts w:ascii="Book Antiqua" w:eastAsia="宋体" w:hAnsi="Book Antiqua" w:cs="宋体"/>
          <w:lang w:val="en-US" w:eastAsia="zh-CN"/>
        </w:rPr>
        <w:t>Maiguel</w:t>
      </w:r>
      <w:proofErr w:type="spellEnd"/>
      <w:r w:rsidRPr="00D01C8E">
        <w:rPr>
          <w:rFonts w:ascii="Book Antiqua" w:eastAsia="宋体" w:hAnsi="Book Antiqua" w:cs="宋体"/>
          <w:lang w:val="en-US" w:eastAsia="zh-CN"/>
        </w:rPr>
        <w:t xml:space="preserve"> D, </w:t>
      </w:r>
      <w:proofErr w:type="spellStart"/>
      <w:r w:rsidRPr="00D01C8E">
        <w:rPr>
          <w:rFonts w:ascii="Book Antiqua" w:eastAsia="宋体" w:hAnsi="Book Antiqua" w:cs="宋体"/>
          <w:lang w:val="en-US" w:eastAsia="zh-CN"/>
        </w:rPr>
        <w:t>Sageshima</w:t>
      </w:r>
      <w:proofErr w:type="spellEnd"/>
      <w:r w:rsidRPr="00D01C8E">
        <w:rPr>
          <w:rFonts w:ascii="Book Antiqua" w:eastAsia="宋体" w:hAnsi="Book Antiqua" w:cs="宋体"/>
          <w:lang w:val="en-US" w:eastAsia="zh-CN"/>
        </w:rPr>
        <w:t xml:space="preserve"> J, Chen L, </w:t>
      </w:r>
      <w:proofErr w:type="spellStart"/>
      <w:r w:rsidRPr="00D01C8E">
        <w:rPr>
          <w:rFonts w:ascii="Book Antiqua" w:eastAsia="宋体" w:hAnsi="Book Antiqua" w:cs="宋体"/>
          <w:lang w:val="en-US" w:eastAsia="zh-CN"/>
        </w:rPr>
        <w:t>Ciancio</w:t>
      </w:r>
      <w:proofErr w:type="spellEnd"/>
      <w:r w:rsidRPr="00D01C8E">
        <w:rPr>
          <w:rFonts w:ascii="Book Antiqua" w:eastAsia="宋体" w:hAnsi="Book Antiqua" w:cs="宋体"/>
          <w:lang w:val="en-US" w:eastAsia="zh-CN"/>
        </w:rPr>
        <w:t xml:space="preserve"> G, </w:t>
      </w:r>
      <w:proofErr w:type="spellStart"/>
      <w:r w:rsidRPr="00D01C8E">
        <w:rPr>
          <w:rFonts w:ascii="Book Antiqua" w:eastAsia="宋体" w:hAnsi="Book Antiqua" w:cs="宋体"/>
          <w:lang w:val="en-US" w:eastAsia="zh-CN"/>
        </w:rPr>
        <w:t>Faridi</w:t>
      </w:r>
      <w:proofErr w:type="spellEnd"/>
      <w:r w:rsidRPr="00D01C8E">
        <w:rPr>
          <w:rFonts w:ascii="Book Antiqua" w:eastAsia="宋体" w:hAnsi="Book Antiqua" w:cs="宋体"/>
          <w:lang w:val="en-US" w:eastAsia="zh-CN"/>
        </w:rPr>
        <w:t xml:space="preserve"> MH, Behr D, Campbell KN, Chang JM, Chen HC, Oh J, </w:t>
      </w:r>
      <w:proofErr w:type="spellStart"/>
      <w:r w:rsidRPr="00D01C8E">
        <w:rPr>
          <w:rFonts w:ascii="Book Antiqua" w:eastAsia="宋体" w:hAnsi="Book Antiqua" w:cs="宋体"/>
          <w:lang w:val="en-US" w:eastAsia="zh-CN"/>
        </w:rPr>
        <w:t>Faul</w:t>
      </w:r>
      <w:proofErr w:type="spellEnd"/>
      <w:r w:rsidRPr="00D01C8E">
        <w:rPr>
          <w:rFonts w:ascii="Book Antiqua" w:eastAsia="宋体" w:hAnsi="Book Antiqua" w:cs="宋体"/>
          <w:lang w:val="en-US" w:eastAsia="zh-CN"/>
        </w:rPr>
        <w:t xml:space="preserve"> C, Arnaout MA, Fiorina P, Gupta V, </w:t>
      </w:r>
      <w:proofErr w:type="spellStart"/>
      <w:r w:rsidRPr="00D01C8E">
        <w:rPr>
          <w:rFonts w:ascii="Book Antiqua" w:eastAsia="宋体" w:hAnsi="Book Antiqua" w:cs="宋体"/>
          <w:lang w:val="en-US" w:eastAsia="zh-CN"/>
        </w:rPr>
        <w:t>Greka</w:t>
      </w:r>
      <w:proofErr w:type="spellEnd"/>
      <w:r w:rsidRPr="00D01C8E">
        <w:rPr>
          <w:rFonts w:ascii="Book Antiqua" w:eastAsia="宋体" w:hAnsi="Book Antiqua" w:cs="宋体"/>
          <w:lang w:val="en-US" w:eastAsia="zh-CN"/>
        </w:rPr>
        <w:t xml:space="preserve"> A, Burke GW, </w:t>
      </w:r>
      <w:proofErr w:type="spellStart"/>
      <w:r w:rsidRPr="00D01C8E">
        <w:rPr>
          <w:rFonts w:ascii="Book Antiqua" w:eastAsia="宋体" w:hAnsi="Book Antiqua" w:cs="宋体"/>
          <w:lang w:val="en-US" w:eastAsia="zh-CN"/>
        </w:rPr>
        <w:t>Mundel</w:t>
      </w:r>
      <w:proofErr w:type="spellEnd"/>
      <w:r w:rsidRPr="00D01C8E">
        <w:rPr>
          <w:rFonts w:ascii="Book Antiqua" w:eastAsia="宋体" w:hAnsi="Book Antiqua" w:cs="宋体"/>
          <w:lang w:val="en-US" w:eastAsia="zh-CN"/>
        </w:rPr>
        <w:t xml:space="preserve"> P. </w:t>
      </w:r>
      <w:proofErr w:type="spellStart"/>
      <w:r w:rsidRPr="00D01C8E">
        <w:rPr>
          <w:rFonts w:ascii="Book Antiqua" w:eastAsia="宋体" w:hAnsi="Book Antiqua" w:cs="宋体"/>
          <w:lang w:val="en-US" w:eastAsia="zh-CN"/>
        </w:rPr>
        <w:t>Abatacept</w:t>
      </w:r>
      <w:proofErr w:type="spellEnd"/>
      <w:r w:rsidRPr="00D01C8E">
        <w:rPr>
          <w:rFonts w:ascii="Book Antiqua" w:eastAsia="宋体" w:hAnsi="Book Antiqua" w:cs="宋体"/>
          <w:lang w:val="en-US" w:eastAsia="zh-CN"/>
        </w:rPr>
        <w:t xml:space="preserve"> in B7-1-positive </w:t>
      </w:r>
      <w:proofErr w:type="spellStart"/>
      <w:r w:rsidRPr="00D01C8E">
        <w:rPr>
          <w:rFonts w:ascii="Book Antiqua" w:eastAsia="宋体" w:hAnsi="Book Antiqua" w:cs="宋体"/>
          <w:lang w:val="en-US" w:eastAsia="zh-CN"/>
        </w:rPr>
        <w:t>proteinuric</w:t>
      </w:r>
      <w:proofErr w:type="spellEnd"/>
      <w:r w:rsidRPr="00D01C8E">
        <w:rPr>
          <w:rFonts w:ascii="Book Antiqua" w:eastAsia="宋体" w:hAnsi="Book Antiqua" w:cs="宋体"/>
          <w:lang w:val="en-US" w:eastAsia="zh-CN"/>
        </w:rPr>
        <w:t xml:space="preserve"> kidney disease. </w:t>
      </w:r>
      <w:r w:rsidRPr="00D01C8E">
        <w:rPr>
          <w:rFonts w:ascii="Book Antiqua" w:eastAsia="宋体" w:hAnsi="Book Antiqua" w:cs="宋体"/>
          <w:i/>
          <w:iCs/>
          <w:lang w:val="en-US" w:eastAsia="zh-CN"/>
        </w:rPr>
        <w:t xml:space="preserve">N </w:t>
      </w:r>
      <w:proofErr w:type="spellStart"/>
      <w:r w:rsidRPr="00D01C8E">
        <w:rPr>
          <w:rFonts w:ascii="Book Antiqua" w:eastAsia="宋体" w:hAnsi="Book Antiqua" w:cs="宋体"/>
          <w:i/>
          <w:iCs/>
          <w:lang w:val="en-US" w:eastAsia="zh-CN"/>
        </w:rPr>
        <w:t>Engl</w:t>
      </w:r>
      <w:proofErr w:type="spellEnd"/>
      <w:r w:rsidRPr="00D01C8E">
        <w:rPr>
          <w:rFonts w:ascii="Book Antiqua" w:eastAsia="宋体" w:hAnsi="Book Antiqua" w:cs="宋体"/>
          <w:i/>
          <w:iCs/>
          <w:lang w:val="en-US" w:eastAsia="zh-CN"/>
        </w:rPr>
        <w:t xml:space="preserve"> J Med</w:t>
      </w:r>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369</w:t>
      </w:r>
      <w:r w:rsidRPr="00D01C8E">
        <w:rPr>
          <w:rFonts w:ascii="Book Antiqua" w:eastAsia="宋体" w:hAnsi="Book Antiqua" w:cs="宋体"/>
          <w:lang w:val="en-US" w:eastAsia="zh-CN"/>
        </w:rPr>
        <w:t>: 2416-2423 [PMID: 24206430 DOI: 10.1056/NEJMoa1304572]</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104 </w:t>
      </w:r>
      <w:proofErr w:type="spellStart"/>
      <w:r w:rsidRPr="00D01C8E">
        <w:rPr>
          <w:rFonts w:ascii="Book Antiqua" w:eastAsia="宋体" w:hAnsi="Book Antiqua" w:cs="宋体"/>
          <w:b/>
          <w:bCs/>
          <w:lang w:val="en-US" w:eastAsia="zh-CN"/>
        </w:rPr>
        <w:t>Alachkar</w:t>
      </w:r>
      <w:proofErr w:type="spellEnd"/>
      <w:r w:rsidRPr="00D01C8E">
        <w:rPr>
          <w:rFonts w:ascii="Book Antiqua" w:eastAsia="宋体" w:hAnsi="Book Antiqua" w:cs="宋体"/>
          <w:b/>
          <w:bCs/>
          <w:lang w:val="en-US" w:eastAsia="zh-CN"/>
        </w:rPr>
        <w:t xml:space="preserve"> N</w:t>
      </w:r>
      <w:r w:rsidRPr="00D01C8E">
        <w:rPr>
          <w:rFonts w:ascii="Book Antiqua" w:eastAsia="宋体" w:hAnsi="Book Antiqua" w:cs="宋体"/>
          <w:lang w:val="en-US" w:eastAsia="zh-CN"/>
        </w:rPr>
        <w:t xml:space="preserve">, Carter-Monroe N, </w:t>
      </w:r>
      <w:proofErr w:type="spellStart"/>
      <w:r w:rsidRPr="00D01C8E">
        <w:rPr>
          <w:rFonts w:ascii="Book Antiqua" w:eastAsia="宋体" w:hAnsi="Book Antiqua" w:cs="宋体"/>
          <w:lang w:val="en-US" w:eastAsia="zh-CN"/>
        </w:rPr>
        <w:t>Reiser</w:t>
      </w:r>
      <w:proofErr w:type="spellEnd"/>
      <w:r w:rsidRPr="00D01C8E">
        <w:rPr>
          <w:rFonts w:ascii="Book Antiqua" w:eastAsia="宋体" w:hAnsi="Book Antiqua" w:cs="宋体"/>
          <w:lang w:val="en-US" w:eastAsia="zh-CN"/>
        </w:rPr>
        <w:t xml:space="preserve"> J. </w:t>
      </w:r>
      <w:proofErr w:type="spellStart"/>
      <w:r w:rsidRPr="00D01C8E">
        <w:rPr>
          <w:rFonts w:ascii="Book Antiqua" w:eastAsia="宋体" w:hAnsi="Book Antiqua" w:cs="宋体"/>
          <w:lang w:val="en-US" w:eastAsia="zh-CN"/>
        </w:rPr>
        <w:t>Abatacept</w:t>
      </w:r>
      <w:proofErr w:type="spellEnd"/>
      <w:r w:rsidRPr="00D01C8E">
        <w:rPr>
          <w:rFonts w:ascii="Book Antiqua" w:eastAsia="宋体" w:hAnsi="Book Antiqua" w:cs="宋体"/>
          <w:lang w:val="en-US" w:eastAsia="zh-CN"/>
        </w:rPr>
        <w:t xml:space="preserve"> in B7-1-positive </w:t>
      </w:r>
      <w:proofErr w:type="spellStart"/>
      <w:r w:rsidRPr="00D01C8E">
        <w:rPr>
          <w:rFonts w:ascii="Book Antiqua" w:eastAsia="宋体" w:hAnsi="Book Antiqua" w:cs="宋体"/>
          <w:lang w:val="en-US" w:eastAsia="zh-CN"/>
        </w:rPr>
        <w:t>proteinuric</w:t>
      </w:r>
      <w:proofErr w:type="spellEnd"/>
      <w:r w:rsidRPr="00D01C8E">
        <w:rPr>
          <w:rFonts w:ascii="Book Antiqua" w:eastAsia="宋体" w:hAnsi="Book Antiqua" w:cs="宋体"/>
          <w:lang w:val="en-US" w:eastAsia="zh-CN"/>
        </w:rPr>
        <w:t xml:space="preserve"> kidney disease.</w:t>
      </w:r>
      <w:proofErr w:type="gram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 xml:space="preserve">N </w:t>
      </w:r>
      <w:proofErr w:type="spellStart"/>
      <w:r w:rsidRPr="00D01C8E">
        <w:rPr>
          <w:rFonts w:ascii="Book Antiqua" w:eastAsia="宋体" w:hAnsi="Book Antiqua" w:cs="宋体"/>
          <w:i/>
          <w:iCs/>
          <w:lang w:val="en-US" w:eastAsia="zh-CN"/>
        </w:rPr>
        <w:t>Engl</w:t>
      </w:r>
      <w:proofErr w:type="spellEnd"/>
      <w:r w:rsidRPr="00D01C8E">
        <w:rPr>
          <w:rFonts w:ascii="Book Antiqua" w:eastAsia="宋体" w:hAnsi="Book Antiqua" w:cs="宋体"/>
          <w:i/>
          <w:iCs/>
          <w:lang w:val="en-US" w:eastAsia="zh-CN"/>
        </w:rPr>
        <w:t xml:space="preserve"> J Med</w:t>
      </w:r>
      <w:r w:rsidRPr="00D01C8E">
        <w:rPr>
          <w:rFonts w:ascii="Book Antiqua" w:eastAsia="宋体" w:hAnsi="Book Antiqua" w:cs="宋体"/>
          <w:lang w:val="en-US" w:eastAsia="zh-CN"/>
        </w:rPr>
        <w:t xml:space="preserve"> 2014; </w:t>
      </w:r>
      <w:r w:rsidRPr="00D01C8E">
        <w:rPr>
          <w:rFonts w:ascii="Book Antiqua" w:eastAsia="宋体" w:hAnsi="Book Antiqua" w:cs="宋体"/>
          <w:b/>
          <w:bCs/>
          <w:lang w:val="en-US" w:eastAsia="zh-CN"/>
        </w:rPr>
        <w:t>370</w:t>
      </w:r>
      <w:r w:rsidRPr="00D01C8E">
        <w:rPr>
          <w:rFonts w:ascii="Book Antiqua" w:eastAsia="宋体" w:hAnsi="Book Antiqua" w:cs="宋体"/>
          <w:lang w:val="en-US" w:eastAsia="zh-CN"/>
        </w:rPr>
        <w:t>: 1263-1264 [PMID: 24670180 DOI: 10.1056/NEJMc1400502#SA2]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lastRenderedPageBreak/>
        <w:t xml:space="preserve">105 </w:t>
      </w:r>
      <w:proofErr w:type="spellStart"/>
      <w:r w:rsidRPr="00D01C8E">
        <w:rPr>
          <w:rFonts w:ascii="Book Antiqua" w:eastAsia="宋体" w:hAnsi="Book Antiqua" w:cs="宋体"/>
          <w:b/>
          <w:bCs/>
          <w:lang w:val="en-US" w:eastAsia="zh-CN"/>
        </w:rPr>
        <w:t>Garin</w:t>
      </w:r>
      <w:proofErr w:type="spellEnd"/>
      <w:r w:rsidRPr="00D01C8E">
        <w:rPr>
          <w:rFonts w:ascii="Book Antiqua" w:eastAsia="宋体" w:hAnsi="Book Antiqua" w:cs="宋体"/>
          <w:b/>
          <w:bCs/>
          <w:lang w:val="en-US" w:eastAsia="zh-CN"/>
        </w:rPr>
        <w:t xml:space="preserve"> EH</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Reiser</w:t>
      </w:r>
      <w:proofErr w:type="spellEnd"/>
      <w:r w:rsidRPr="00D01C8E">
        <w:rPr>
          <w:rFonts w:ascii="Book Antiqua" w:eastAsia="宋体" w:hAnsi="Book Antiqua" w:cs="宋体"/>
          <w:lang w:val="en-US" w:eastAsia="zh-CN"/>
        </w:rPr>
        <w:t xml:space="preserve"> J, Cara-Fuentes G, Wei C, </w:t>
      </w:r>
      <w:proofErr w:type="spellStart"/>
      <w:r w:rsidRPr="00D01C8E">
        <w:rPr>
          <w:rFonts w:ascii="Book Antiqua" w:eastAsia="宋体" w:hAnsi="Book Antiqua" w:cs="宋体"/>
          <w:lang w:val="en-US" w:eastAsia="zh-CN"/>
        </w:rPr>
        <w:t>Matar</w:t>
      </w:r>
      <w:proofErr w:type="spellEnd"/>
      <w:r w:rsidRPr="00D01C8E">
        <w:rPr>
          <w:rFonts w:ascii="Book Antiqua" w:eastAsia="宋体" w:hAnsi="Book Antiqua" w:cs="宋体"/>
          <w:lang w:val="en-US" w:eastAsia="zh-CN"/>
        </w:rPr>
        <w:t xml:space="preserve"> D, Wang H, </w:t>
      </w:r>
      <w:proofErr w:type="spellStart"/>
      <w:r w:rsidRPr="00D01C8E">
        <w:rPr>
          <w:rFonts w:ascii="Book Antiqua" w:eastAsia="宋体" w:hAnsi="Book Antiqua" w:cs="宋体"/>
          <w:lang w:val="en-US" w:eastAsia="zh-CN"/>
        </w:rPr>
        <w:t>Alachkar</w:t>
      </w:r>
      <w:proofErr w:type="spellEnd"/>
      <w:r w:rsidRPr="00D01C8E">
        <w:rPr>
          <w:rFonts w:ascii="Book Antiqua" w:eastAsia="宋体" w:hAnsi="Book Antiqua" w:cs="宋体"/>
          <w:lang w:val="en-US" w:eastAsia="zh-CN"/>
        </w:rPr>
        <w:t xml:space="preserve"> N, Johnson RJ. Case series: CTLA4-IgG1 therapy in minimal change disease and focal segmental glomerulosclerosis.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2015; </w:t>
      </w:r>
      <w:r w:rsidRPr="00D01C8E">
        <w:rPr>
          <w:rFonts w:ascii="Book Antiqua" w:eastAsia="宋体" w:hAnsi="Book Antiqua" w:cs="宋体"/>
          <w:b/>
          <w:bCs/>
          <w:lang w:val="en-US" w:eastAsia="zh-CN"/>
        </w:rPr>
        <w:t>30</w:t>
      </w:r>
      <w:r w:rsidRPr="00D01C8E">
        <w:rPr>
          <w:rFonts w:ascii="Book Antiqua" w:eastAsia="宋体" w:hAnsi="Book Antiqua" w:cs="宋体"/>
          <w:lang w:val="en-US" w:eastAsia="zh-CN"/>
        </w:rPr>
        <w:t>: 469-477 [PMID: 25239302 DOI: 10.1007/s00467-014-2957-6]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106 </w:t>
      </w:r>
      <w:proofErr w:type="spellStart"/>
      <w:r w:rsidR="002E24D8" w:rsidRPr="00D92B63">
        <w:rPr>
          <w:rFonts w:ascii="Book Antiqua" w:hAnsi="Book Antiqua"/>
          <w:b/>
          <w:bCs/>
          <w:color w:val="000000"/>
          <w:lang w:val="en-US"/>
        </w:rPr>
        <w:t>Alkandari</w:t>
      </w:r>
      <w:proofErr w:type="spellEnd"/>
      <w:r w:rsidR="002E24D8" w:rsidRPr="00D92B63">
        <w:rPr>
          <w:rFonts w:ascii="Book Antiqua" w:hAnsi="Book Antiqua"/>
          <w:b/>
          <w:bCs/>
          <w:color w:val="000000"/>
          <w:lang w:val="en-US"/>
        </w:rPr>
        <w:t xml:space="preserve"> O</w:t>
      </w:r>
      <w:r w:rsidR="002E24D8" w:rsidRPr="00D92B63">
        <w:rPr>
          <w:rFonts w:ascii="Book Antiqua" w:hAnsi="Book Antiqua"/>
          <w:color w:val="000000"/>
          <w:lang w:val="en-US"/>
        </w:rPr>
        <w:t xml:space="preserve">, </w:t>
      </w:r>
      <w:proofErr w:type="spellStart"/>
      <w:r w:rsidR="002E24D8" w:rsidRPr="00D92B63">
        <w:rPr>
          <w:rFonts w:ascii="Book Antiqua" w:hAnsi="Book Antiqua"/>
          <w:color w:val="000000"/>
          <w:lang w:val="en-US"/>
        </w:rPr>
        <w:t>Nampoory</w:t>
      </w:r>
      <w:proofErr w:type="spellEnd"/>
      <w:r w:rsidR="002E24D8" w:rsidRPr="00D92B63">
        <w:rPr>
          <w:rFonts w:ascii="Book Antiqua" w:hAnsi="Book Antiqua"/>
          <w:color w:val="000000"/>
          <w:lang w:val="en-US"/>
        </w:rPr>
        <w:t xml:space="preserve"> N, Nair P, Atta A, </w:t>
      </w:r>
      <w:proofErr w:type="spellStart"/>
      <w:r w:rsidR="002E24D8" w:rsidRPr="00D92B63">
        <w:rPr>
          <w:rFonts w:ascii="Book Antiqua" w:hAnsi="Book Antiqua"/>
          <w:color w:val="000000"/>
          <w:lang w:val="en-US"/>
        </w:rPr>
        <w:t>Zakaria</w:t>
      </w:r>
      <w:proofErr w:type="spellEnd"/>
      <w:r w:rsidR="002E24D8" w:rsidRPr="00D92B63">
        <w:rPr>
          <w:rFonts w:ascii="Book Antiqua" w:hAnsi="Book Antiqua"/>
          <w:color w:val="000000"/>
          <w:lang w:val="en-US"/>
        </w:rPr>
        <w:t xml:space="preserve"> Z, Mossad A, </w:t>
      </w:r>
      <w:proofErr w:type="spellStart"/>
      <w:r w:rsidR="002E24D8" w:rsidRPr="00D92B63">
        <w:rPr>
          <w:rFonts w:ascii="Book Antiqua" w:hAnsi="Book Antiqua"/>
          <w:color w:val="000000"/>
          <w:lang w:val="en-US"/>
        </w:rPr>
        <w:t>Yagan</w:t>
      </w:r>
      <w:proofErr w:type="spellEnd"/>
      <w:r w:rsidR="002E24D8" w:rsidRPr="00D92B63">
        <w:rPr>
          <w:rFonts w:ascii="Book Antiqua" w:hAnsi="Book Antiqua"/>
          <w:color w:val="000000"/>
          <w:lang w:val="en-US"/>
        </w:rPr>
        <w:t xml:space="preserve"> J, Al-</w:t>
      </w:r>
      <w:proofErr w:type="spellStart"/>
      <w:r w:rsidR="002E24D8" w:rsidRPr="00D92B63">
        <w:rPr>
          <w:rFonts w:ascii="Book Antiqua" w:hAnsi="Book Antiqua"/>
          <w:color w:val="000000"/>
          <w:lang w:val="en-US"/>
        </w:rPr>
        <w:t>Otaibi</w:t>
      </w:r>
      <w:proofErr w:type="spellEnd"/>
      <w:r w:rsidR="002E24D8" w:rsidRPr="00D92B63">
        <w:rPr>
          <w:rFonts w:ascii="Book Antiqua" w:hAnsi="Book Antiqua"/>
          <w:color w:val="000000"/>
          <w:lang w:val="en-US"/>
        </w:rPr>
        <w:t xml:space="preserve"> T</w:t>
      </w:r>
      <w:r w:rsidRPr="00D01C8E">
        <w:rPr>
          <w:rFonts w:ascii="Book Antiqua" w:eastAsia="宋体" w:hAnsi="Book Antiqua" w:cs="宋体"/>
          <w:lang w:val="en-US" w:eastAsia="zh-CN"/>
        </w:rPr>
        <w:t xml:space="preserve">. Recurrent Focal Segmental Glomerulosclerosis and </w:t>
      </w:r>
      <w:proofErr w:type="spellStart"/>
      <w:r w:rsidRPr="00D01C8E">
        <w:rPr>
          <w:rFonts w:ascii="Book Antiqua" w:eastAsia="宋体" w:hAnsi="Book Antiqua" w:cs="宋体"/>
          <w:lang w:val="en-US" w:eastAsia="zh-CN"/>
        </w:rPr>
        <w:t>Abatacept</w:t>
      </w:r>
      <w:proofErr w:type="spellEnd"/>
      <w:r w:rsidRPr="00D01C8E">
        <w:rPr>
          <w:rFonts w:ascii="Book Antiqua" w:eastAsia="宋体" w:hAnsi="Book Antiqua" w:cs="宋体"/>
          <w:lang w:val="en-US" w:eastAsia="zh-CN"/>
        </w:rPr>
        <w:t xml:space="preserve">: Case Report. </w:t>
      </w:r>
      <w:proofErr w:type="spellStart"/>
      <w:r w:rsidRPr="00D01C8E">
        <w:rPr>
          <w:rFonts w:ascii="Book Antiqua" w:eastAsia="宋体" w:hAnsi="Book Antiqua" w:cs="宋体"/>
          <w:i/>
          <w:iCs/>
          <w:lang w:val="en-US" w:eastAsia="zh-CN"/>
        </w:rPr>
        <w:t>Exp</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Clin</w:t>
      </w:r>
      <w:proofErr w:type="spellEnd"/>
      <w:r w:rsidRPr="00D01C8E">
        <w:rPr>
          <w:rFonts w:ascii="Book Antiqua" w:eastAsia="宋体" w:hAnsi="Book Antiqua" w:cs="宋体"/>
          <w:i/>
          <w:iCs/>
          <w:lang w:val="en-US" w:eastAsia="zh-CN"/>
        </w:rPr>
        <w:t xml:space="preserve"> Transplant</w:t>
      </w:r>
      <w:r w:rsidRPr="00D01C8E">
        <w:rPr>
          <w:rFonts w:ascii="Book Antiqua" w:eastAsia="宋体" w:hAnsi="Book Antiqua" w:cs="宋体"/>
          <w:lang w:val="en-US" w:eastAsia="zh-CN"/>
        </w:rPr>
        <w:t xml:space="preserve"> 2014; </w:t>
      </w:r>
      <w:proofErr w:type="spellStart"/>
      <w:r w:rsidR="002E24D8" w:rsidRPr="00D92B63">
        <w:rPr>
          <w:rFonts w:ascii="Book Antiqua" w:hAnsi="Book Antiqua"/>
          <w:color w:val="000000"/>
          <w:lang w:val="en-US"/>
        </w:rPr>
        <w:t>Epub</w:t>
      </w:r>
      <w:proofErr w:type="spellEnd"/>
      <w:r w:rsidR="002E24D8" w:rsidRPr="00D92B63">
        <w:rPr>
          <w:rFonts w:ascii="Book Antiqua" w:hAnsi="Book Antiqua"/>
          <w:color w:val="000000"/>
          <w:lang w:val="en-US"/>
        </w:rPr>
        <w:t xml:space="preserve"> ahead of print</w:t>
      </w:r>
      <w:r w:rsidRPr="00D01C8E">
        <w:rPr>
          <w:rFonts w:ascii="Book Antiqua" w:eastAsia="宋体" w:hAnsi="Book Antiqua" w:cs="宋体"/>
          <w:lang w:val="en-US" w:eastAsia="zh-CN"/>
        </w:rPr>
        <w:t xml:space="preserve"> [PMID: 25432003 DOI: 10.6002/ect.2014.0154]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107 </w:t>
      </w:r>
      <w:proofErr w:type="spellStart"/>
      <w:r w:rsidRPr="00D01C8E">
        <w:rPr>
          <w:rFonts w:ascii="Book Antiqua" w:eastAsia="宋体" w:hAnsi="Book Antiqua" w:cs="宋体"/>
          <w:b/>
          <w:bCs/>
          <w:lang w:val="en-US" w:eastAsia="zh-CN"/>
        </w:rPr>
        <w:t>Grellier</w:t>
      </w:r>
      <w:proofErr w:type="spellEnd"/>
      <w:r w:rsidRPr="00D01C8E">
        <w:rPr>
          <w:rFonts w:ascii="Book Antiqua" w:eastAsia="宋体" w:hAnsi="Book Antiqua" w:cs="宋体"/>
          <w:b/>
          <w:bCs/>
          <w:lang w:val="en-US" w:eastAsia="zh-CN"/>
        </w:rPr>
        <w:t xml:space="preserve"> J</w:t>
      </w:r>
      <w:r w:rsidRPr="00D01C8E">
        <w:rPr>
          <w:rFonts w:ascii="Book Antiqua" w:eastAsia="宋体" w:hAnsi="Book Antiqua" w:cs="宋体"/>
          <w:lang w:val="en-US" w:eastAsia="zh-CN"/>
        </w:rPr>
        <w:t xml:space="preserve">, Del Bello A, </w:t>
      </w:r>
      <w:proofErr w:type="spellStart"/>
      <w:r w:rsidRPr="00D01C8E">
        <w:rPr>
          <w:rFonts w:ascii="Book Antiqua" w:eastAsia="宋体" w:hAnsi="Book Antiqua" w:cs="宋体"/>
          <w:lang w:val="en-US" w:eastAsia="zh-CN"/>
        </w:rPr>
        <w:t>Milongo</w:t>
      </w:r>
      <w:proofErr w:type="spellEnd"/>
      <w:r w:rsidRPr="00D01C8E">
        <w:rPr>
          <w:rFonts w:ascii="Book Antiqua" w:eastAsia="宋体" w:hAnsi="Book Antiqua" w:cs="宋体"/>
          <w:lang w:val="en-US" w:eastAsia="zh-CN"/>
        </w:rPr>
        <w:t xml:space="preserve"> D, </w:t>
      </w:r>
      <w:proofErr w:type="spellStart"/>
      <w:r w:rsidRPr="00D01C8E">
        <w:rPr>
          <w:rFonts w:ascii="Book Antiqua" w:eastAsia="宋体" w:hAnsi="Book Antiqua" w:cs="宋体"/>
          <w:lang w:val="en-US" w:eastAsia="zh-CN"/>
        </w:rPr>
        <w:t>Guilbeau-Frugier</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Rostaing</w:t>
      </w:r>
      <w:proofErr w:type="spellEnd"/>
      <w:r w:rsidRPr="00D01C8E">
        <w:rPr>
          <w:rFonts w:ascii="Book Antiqua" w:eastAsia="宋体" w:hAnsi="Book Antiqua" w:cs="宋体"/>
          <w:lang w:val="en-US" w:eastAsia="zh-CN"/>
        </w:rPr>
        <w:t xml:space="preserve"> L, </w:t>
      </w:r>
      <w:proofErr w:type="spellStart"/>
      <w:r w:rsidRPr="00D01C8E">
        <w:rPr>
          <w:rFonts w:ascii="Book Antiqua" w:eastAsia="宋体" w:hAnsi="Book Antiqua" w:cs="宋体"/>
          <w:lang w:val="en-US" w:eastAsia="zh-CN"/>
        </w:rPr>
        <w:t>Kamar</w:t>
      </w:r>
      <w:proofErr w:type="spellEnd"/>
      <w:r w:rsidRPr="00D01C8E">
        <w:rPr>
          <w:rFonts w:ascii="Book Antiqua" w:eastAsia="宋体" w:hAnsi="Book Antiqua" w:cs="宋体"/>
          <w:lang w:val="en-US" w:eastAsia="zh-CN"/>
        </w:rPr>
        <w:t xml:space="preserve"> N. </w:t>
      </w:r>
      <w:proofErr w:type="spellStart"/>
      <w:r w:rsidRPr="00D01C8E">
        <w:rPr>
          <w:rFonts w:ascii="Book Antiqua" w:eastAsia="宋体" w:hAnsi="Book Antiqua" w:cs="宋体"/>
          <w:lang w:val="en-US" w:eastAsia="zh-CN"/>
        </w:rPr>
        <w:t>Belatacept</w:t>
      </w:r>
      <w:proofErr w:type="spellEnd"/>
      <w:r w:rsidRPr="00D01C8E">
        <w:rPr>
          <w:rFonts w:ascii="Book Antiqua" w:eastAsia="宋体" w:hAnsi="Book Antiqua" w:cs="宋体"/>
          <w:lang w:val="en-US" w:eastAsia="zh-CN"/>
        </w:rPr>
        <w:t xml:space="preserve"> in recurrent focal segmental glomerulosclerosis after kidney transplantation. </w:t>
      </w:r>
      <w:proofErr w:type="spellStart"/>
      <w:r w:rsidRPr="00D01C8E">
        <w:rPr>
          <w:rFonts w:ascii="Book Antiqua" w:eastAsia="宋体" w:hAnsi="Book Antiqua" w:cs="宋体"/>
          <w:i/>
          <w:iCs/>
          <w:lang w:val="en-US" w:eastAsia="zh-CN"/>
        </w:rPr>
        <w:t>Transpl</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Int</w:t>
      </w:r>
      <w:proofErr w:type="spellEnd"/>
      <w:r w:rsidRPr="00D01C8E">
        <w:rPr>
          <w:rFonts w:ascii="Book Antiqua" w:eastAsia="宋体" w:hAnsi="Book Antiqua" w:cs="宋体"/>
          <w:lang w:val="en-US" w:eastAsia="zh-CN"/>
        </w:rPr>
        <w:t xml:space="preserve"> 2015; </w:t>
      </w:r>
      <w:r w:rsidRPr="00D01C8E">
        <w:rPr>
          <w:rFonts w:ascii="Book Antiqua" w:eastAsia="宋体" w:hAnsi="Book Antiqua" w:cs="宋体"/>
          <w:b/>
          <w:bCs/>
          <w:lang w:val="en-US" w:eastAsia="zh-CN"/>
        </w:rPr>
        <w:t>28</w:t>
      </w:r>
      <w:r w:rsidRPr="00D01C8E">
        <w:rPr>
          <w:rFonts w:ascii="Book Antiqua" w:eastAsia="宋体" w:hAnsi="Book Antiqua" w:cs="宋体"/>
          <w:lang w:val="en-US" w:eastAsia="zh-CN"/>
        </w:rPr>
        <w:t>: 1109-1110 [PMID: 25847461 DOI: 10.1111/tri.12574]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108 </w:t>
      </w:r>
      <w:r w:rsidRPr="00D01C8E">
        <w:rPr>
          <w:rFonts w:ascii="Book Antiqua" w:eastAsia="宋体" w:hAnsi="Book Antiqua" w:cs="宋体"/>
          <w:b/>
          <w:bCs/>
          <w:lang w:val="en-US" w:eastAsia="zh-CN"/>
        </w:rPr>
        <w:t>Choi SJ</w:t>
      </w:r>
      <w:r w:rsidRPr="00D01C8E">
        <w:rPr>
          <w:rFonts w:ascii="Book Antiqua" w:eastAsia="宋体" w:hAnsi="Book Antiqua" w:cs="宋体"/>
          <w:lang w:val="en-US" w:eastAsia="zh-CN"/>
        </w:rPr>
        <w:t xml:space="preserve">, Kim JK, Hwang SD. Mesenchymal stem cell therapy for chronic renal failure. </w:t>
      </w:r>
      <w:r w:rsidRPr="00D01C8E">
        <w:rPr>
          <w:rFonts w:ascii="Book Antiqua" w:eastAsia="宋体" w:hAnsi="Book Antiqua" w:cs="宋体"/>
          <w:i/>
          <w:iCs/>
          <w:lang w:val="en-US" w:eastAsia="zh-CN"/>
        </w:rPr>
        <w:t xml:space="preserve">Expert </w:t>
      </w:r>
      <w:proofErr w:type="spellStart"/>
      <w:r w:rsidRPr="00D01C8E">
        <w:rPr>
          <w:rFonts w:ascii="Book Antiqua" w:eastAsia="宋体" w:hAnsi="Book Antiqua" w:cs="宋体"/>
          <w:i/>
          <w:iCs/>
          <w:lang w:val="en-US" w:eastAsia="zh-CN"/>
        </w:rPr>
        <w:t>Opin</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Biol</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Ther</w:t>
      </w:r>
      <w:proofErr w:type="spellEnd"/>
      <w:r w:rsidRPr="00D01C8E">
        <w:rPr>
          <w:rFonts w:ascii="Book Antiqua" w:eastAsia="宋体" w:hAnsi="Book Antiqua" w:cs="宋体"/>
          <w:lang w:val="en-US" w:eastAsia="zh-CN"/>
        </w:rPr>
        <w:t xml:space="preserve"> 2010; </w:t>
      </w:r>
      <w:r w:rsidRPr="00D01C8E">
        <w:rPr>
          <w:rFonts w:ascii="Book Antiqua" w:eastAsia="宋体" w:hAnsi="Book Antiqua" w:cs="宋体"/>
          <w:b/>
          <w:bCs/>
          <w:lang w:val="en-US" w:eastAsia="zh-CN"/>
        </w:rPr>
        <w:t>10</w:t>
      </w:r>
      <w:r w:rsidRPr="00D01C8E">
        <w:rPr>
          <w:rFonts w:ascii="Book Antiqua" w:eastAsia="宋体" w:hAnsi="Book Antiqua" w:cs="宋体"/>
          <w:lang w:val="en-US" w:eastAsia="zh-CN"/>
        </w:rPr>
        <w:t>: 1217-1226 [PMID: 20560782 DOI: 10.1517/14712598.2010.500284]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109 </w:t>
      </w:r>
      <w:r w:rsidRPr="00D01C8E">
        <w:rPr>
          <w:rFonts w:ascii="Book Antiqua" w:eastAsia="宋体" w:hAnsi="Book Antiqua" w:cs="宋体"/>
          <w:b/>
          <w:bCs/>
          <w:lang w:val="en-US" w:eastAsia="zh-CN"/>
        </w:rPr>
        <w:t>Villanueva S</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Ewertz</w:t>
      </w:r>
      <w:proofErr w:type="spellEnd"/>
      <w:r w:rsidRPr="00D01C8E">
        <w:rPr>
          <w:rFonts w:ascii="Book Antiqua" w:eastAsia="宋体" w:hAnsi="Book Antiqua" w:cs="宋体"/>
          <w:lang w:val="en-US" w:eastAsia="zh-CN"/>
        </w:rPr>
        <w:t xml:space="preserve"> E, </w:t>
      </w:r>
      <w:proofErr w:type="spellStart"/>
      <w:r w:rsidRPr="00D01C8E">
        <w:rPr>
          <w:rFonts w:ascii="Book Antiqua" w:eastAsia="宋体" w:hAnsi="Book Antiqua" w:cs="宋体"/>
          <w:lang w:val="en-US" w:eastAsia="zh-CN"/>
        </w:rPr>
        <w:t>Carrión</w:t>
      </w:r>
      <w:proofErr w:type="spellEnd"/>
      <w:r w:rsidRPr="00D01C8E">
        <w:rPr>
          <w:rFonts w:ascii="Book Antiqua" w:eastAsia="宋体" w:hAnsi="Book Antiqua" w:cs="宋体"/>
          <w:lang w:val="en-US" w:eastAsia="zh-CN"/>
        </w:rPr>
        <w:t xml:space="preserve"> F, Tapia A, Vergara C, </w:t>
      </w:r>
      <w:proofErr w:type="spellStart"/>
      <w:r w:rsidRPr="00D01C8E">
        <w:rPr>
          <w:rFonts w:ascii="Book Antiqua" w:eastAsia="宋体" w:hAnsi="Book Antiqua" w:cs="宋体"/>
          <w:lang w:val="en-US" w:eastAsia="zh-CN"/>
        </w:rPr>
        <w:t>Céspedes</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Sáez</w:t>
      </w:r>
      <w:proofErr w:type="spellEnd"/>
      <w:r w:rsidRPr="00D01C8E">
        <w:rPr>
          <w:rFonts w:ascii="Book Antiqua" w:eastAsia="宋体" w:hAnsi="Book Antiqua" w:cs="宋体"/>
          <w:lang w:val="en-US" w:eastAsia="zh-CN"/>
        </w:rPr>
        <w:t xml:space="preserve"> PJ, Luz P, </w:t>
      </w:r>
      <w:proofErr w:type="spellStart"/>
      <w:r w:rsidRPr="00D01C8E">
        <w:rPr>
          <w:rFonts w:ascii="Book Antiqua" w:eastAsia="宋体" w:hAnsi="Book Antiqua" w:cs="宋体"/>
          <w:lang w:val="en-US" w:eastAsia="zh-CN"/>
        </w:rPr>
        <w:t>Irarrázabal</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Carreño</w:t>
      </w:r>
      <w:proofErr w:type="spellEnd"/>
      <w:r w:rsidRPr="00D01C8E">
        <w:rPr>
          <w:rFonts w:ascii="Book Antiqua" w:eastAsia="宋体" w:hAnsi="Book Antiqua" w:cs="宋体"/>
          <w:lang w:val="en-US" w:eastAsia="zh-CN"/>
        </w:rPr>
        <w:t xml:space="preserve"> JE, Figueroa F, </w:t>
      </w:r>
      <w:proofErr w:type="spellStart"/>
      <w:r w:rsidRPr="00D01C8E">
        <w:rPr>
          <w:rFonts w:ascii="Book Antiqua" w:eastAsia="宋体" w:hAnsi="Book Antiqua" w:cs="宋体"/>
          <w:lang w:val="en-US" w:eastAsia="zh-CN"/>
        </w:rPr>
        <w:t>Vio</w:t>
      </w:r>
      <w:proofErr w:type="spellEnd"/>
      <w:r w:rsidRPr="00D01C8E">
        <w:rPr>
          <w:rFonts w:ascii="Book Antiqua" w:eastAsia="宋体" w:hAnsi="Book Antiqua" w:cs="宋体"/>
          <w:lang w:val="en-US" w:eastAsia="zh-CN"/>
        </w:rPr>
        <w:t xml:space="preserve"> CP. Mesenchymal stem cell injection ameliorates chronic renal failure in a rat model. </w:t>
      </w:r>
      <w:proofErr w:type="spellStart"/>
      <w:r w:rsidRPr="00D01C8E">
        <w:rPr>
          <w:rFonts w:ascii="Book Antiqua" w:eastAsia="宋体" w:hAnsi="Book Antiqua" w:cs="宋体"/>
          <w:i/>
          <w:iCs/>
          <w:lang w:val="en-US" w:eastAsia="zh-CN"/>
        </w:rPr>
        <w:t>Clin</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Sci</w:t>
      </w:r>
      <w:proofErr w:type="spellEnd"/>
      <w:r w:rsidRPr="00D01C8E">
        <w:rPr>
          <w:rFonts w:ascii="Book Antiqua" w:eastAsia="宋体" w:hAnsi="Book Antiqua" w:cs="宋体"/>
          <w:i/>
          <w:iCs/>
          <w:lang w:val="en-US" w:eastAsia="zh-CN"/>
        </w:rPr>
        <w:t xml:space="preserve"> </w:t>
      </w:r>
      <w:r w:rsidRPr="00D01C8E">
        <w:rPr>
          <w:rFonts w:ascii="Book Antiqua" w:eastAsia="宋体" w:hAnsi="Book Antiqua" w:cs="宋体"/>
          <w:iCs/>
          <w:lang w:val="en-US" w:eastAsia="zh-CN"/>
        </w:rPr>
        <w:t>(</w:t>
      </w:r>
      <w:proofErr w:type="spellStart"/>
      <w:r w:rsidRPr="00D01C8E">
        <w:rPr>
          <w:rFonts w:ascii="Book Antiqua" w:eastAsia="宋体" w:hAnsi="Book Antiqua" w:cs="宋体"/>
          <w:iCs/>
          <w:lang w:val="en-US" w:eastAsia="zh-CN"/>
        </w:rPr>
        <w:t>Lond</w:t>
      </w:r>
      <w:proofErr w:type="spellEnd"/>
      <w:r w:rsidRPr="00D01C8E">
        <w:rPr>
          <w:rFonts w:ascii="Book Antiqua" w:eastAsia="宋体" w:hAnsi="Book Antiqua" w:cs="宋体"/>
          <w:iCs/>
          <w:lang w:val="en-US" w:eastAsia="zh-CN"/>
        </w:rPr>
        <w:t>)</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121</w:t>
      </w:r>
      <w:r w:rsidRPr="00D01C8E">
        <w:rPr>
          <w:rFonts w:ascii="Book Antiqua" w:eastAsia="宋体" w:hAnsi="Book Antiqua" w:cs="宋体"/>
          <w:lang w:val="en-US" w:eastAsia="zh-CN"/>
        </w:rPr>
        <w:t>: 489-499 [PMID: 21675962 DOI: 10.1042/CS20110108]</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110 </w:t>
      </w:r>
      <w:r w:rsidRPr="00D01C8E">
        <w:rPr>
          <w:rFonts w:ascii="Book Antiqua" w:eastAsia="宋体" w:hAnsi="Book Antiqua" w:cs="宋体"/>
          <w:b/>
          <w:bCs/>
          <w:lang w:val="en-US" w:eastAsia="zh-CN"/>
        </w:rPr>
        <w:t>Lee VW</w:t>
      </w:r>
      <w:r w:rsidRPr="00D01C8E">
        <w:rPr>
          <w:rFonts w:ascii="Book Antiqua" w:eastAsia="宋体" w:hAnsi="Book Antiqua" w:cs="宋体"/>
          <w:lang w:val="en-US" w:eastAsia="zh-CN"/>
        </w:rPr>
        <w:t>, Harris DC.</w:t>
      </w:r>
      <w:proofErr w:type="gramEnd"/>
      <w:r w:rsidRPr="00D01C8E">
        <w:rPr>
          <w:rFonts w:ascii="Book Antiqua" w:eastAsia="宋体" w:hAnsi="Book Antiqua" w:cs="宋体"/>
          <w:lang w:val="en-US" w:eastAsia="zh-CN"/>
        </w:rPr>
        <w:t xml:space="preserve"> Adriamycin nephropathy: a model of focal segmental glomerulosclerosis. </w:t>
      </w:r>
      <w:r w:rsidRPr="00D01C8E">
        <w:rPr>
          <w:rFonts w:ascii="Book Antiqua" w:eastAsia="宋体" w:hAnsi="Book Antiqua" w:cs="宋体"/>
          <w:i/>
          <w:iCs/>
          <w:lang w:val="en-US" w:eastAsia="zh-CN"/>
        </w:rPr>
        <w:t xml:space="preserve">Nephrology </w:t>
      </w:r>
      <w:r w:rsidRPr="00D01C8E">
        <w:rPr>
          <w:rFonts w:ascii="Book Antiqua" w:eastAsia="宋体" w:hAnsi="Book Antiqua" w:cs="宋体"/>
          <w:iCs/>
          <w:lang w:val="en-US" w:eastAsia="zh-CN"/>
        </w:rPr>
        <w:t>(Carlton)</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16</w:t>
      </w:r>
      <w:r w:rsidRPr="00D01C8E">
        <w:rPr>
          <w:rFonts w:ascii="Book Antiqua" w:eastAsia="宋体" w:hAnsi="Book Antiqua" w:cs="宋体"/>
          <w:lang w:val="en-US" w:eastAsia="zh-CN"/>
        </w:rPr>
        <w:t>: 30-38 [PMID: 21175974 DOI: 10.1111/j.1440-1797.2010.01383.x]</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111 </w:t>
      </w:r>
      <w:r w:rsidRPr="00D01C8E">
        <w:rPr>
          <w:rFonts w:ascii="Book Antiqua" w:eastAsia="宋体" w:hAnsi="Book Antiqua" w:cs="宋体"/>
          <w:b/>
          <w:bCs/>
          <w:lang w:val="en-US" w:eastAsia="zh-CN"/>
        </w:rPr>
        <w:t>Ma H</w:t>
      </w:r>
      <w:r w:rsidRPr="00D01C8E">
        <w:rPr>
          <w:rFonts w:ascii="Book Antiqua" w:eastAsia="宋体" w:hAnsi="Book Antiqua" w:cs="宋体"/>
          <w:lang w:val="en-US" w:eastAsia="zh-CN"/>
        </w:rPr>
        <w:t xml:space="preserve">, Wu Y, Xu Y, Sun L, Zhang X. Human umbilical mesenchymal stem cells attenuate the progression of focal segmental glomerulosclerosis. </w:t>
      </w:r>
      <w:r w:rsidRPr="00D01C8E">
        <w:rPr>
          <w:rFonts w:ascii="Book Antiqua" w:eastAsia="宋体" w:hAnsi="Book Antiqua" w:cs="宋体"/>
          <w:i/>
          <w:iCs/>
          <w:lang w:val="en-US" w:eastAsia="zh-CN"/>
        </w:rPr>
        <w:t xml:space="preserve">Am J Med </w:t>
      </w:r>
      <w:proofErr w:type="spellStart"/>
      <w:r w:rsidRPr="00D01C8E">
        <w:rPr>
          <w:rFonts w:ascii="Book Antiqua" w:eastAsia="宋体" w:hAnsi="Book Antiqua" w:cs="宋体"/>
          <w:i/>
          <w:iCs/>
          <w:lang w:val="en-US" w:eastAsia="zh-CN"/>
        </w:rPr>
        <w:t>Sci</w:t>
      </w:r>
      <w:proofErr w:type="spellEnd"/>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346</w:t>
      </w:r>
      <w:r w:rsidRPr="00D01C8E">
        <w:rPr>
          <w:rFonts w:ascii="Book Antiqua" w:eastAsia="宋体" w:hAnsi="Book Antiqua" w:cs="宋体"/>
          <w:lang w:val="en-US" w:eastAsia="zh-CN"/>
        </w:rPr>
        <w:t>: 486-493 [PMID: 23514668 DOI: 10.1097/MAJ.0b013e3182831777]</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112 </w:t>
      </w:r>
      <w:r w:rsidRPr="00D01C8E">
        <w:rPr>
          <w:rFonts w:ascii="Book Antiqua" w:eastAsia="宋体" w:hAnsi="Book Antiqua" w:cs="宋体"/>
          <w:b/>
          <w:bCs/>
          <w:lang w:val="en-US" w:eastAsia="zh-CN"/>
        </w:rPr>
        <w:t>Liang J</w:t>
      </w:r>
      <w:r w:rsidRPr="00D01C8E">
        <w:rPr>
          <w:rFonts w:ascii="Book Antiqua" w:eastAsia="宋体" w:hAnsi="Book Antiqua" w:cs="宋体"/>
          <w:lang w:val="en-US" w:eastAsia="zh-CN"/>
        </w:rPr>
        <w:t xml:space="preserve">, Zhang H, Hua B, Wang H, Lu L, Shi S, </w:t>
      </w:r>
      <w:proofErr w:type="spellStart"/>
      <w:r w:rsidRPr="00D01C8E">
        <w:rPr>
          <w:rFonts w:ascii="Book Antiqua" w:eastAsia="宋体" w:hAnsi="Book Antiqua" w:cs="宋体"/>
          <w:lang w:val="en-US" w:eastAsia="zh-CN"/>
        </w:rPr>
        <w:t>Hou</w:t>
      </w:r>
      <w:proofErr w:type="spellEnd"/>
      <w:r w:rsidRPr="00D01C8E">
        <w:rPr>
          <w:rFonts w:ascii="Book Antiqua" w:eastAsia="宋体" w:hAnsi="Book Antiqua" w:cs="宋体"/>
          <w:lang w:val="en-US" w:eastAsia="zh-CN"/>
        </w:rPr>
        <w:t xml:space="preserve"> Y, Zeng X, </w:t>
      </w:r>
      <w:proofErr w:type="spellStart"/>
      <w:r w:rsidRPr="00D01C8E">
        <w:rPr>
          <w:rFonts w:ascii="Book Antiqua" w:eastAsia="宋体" w:hAnsi="Book Antiqua" w:cs="宋体"/>
          <w:lang w:val="en-US" w:eastAsia="zh-CN"/>
        </w:rPr>
        <w:t>Gilkeson</w:t>
      </w:r>
      <w:proofErr w:type="spellEnd"/>
      <w:r w:rsidRPr="00D01C8E">
        <w:rPr>
          <w:rFonts w:ascii="Book Antiqua" w:eastAsia="宋体" w:hAnsi="Book Antiqua" w:cs="宋体"/>
          <w:lang w:val="en-US" w:eastAsia="zh-CN"/>
        </w:rPr>
        <w:t xml:space="preserve"> GS, Sun L. Allogenic mesenchymal stem cells transplantation in refractory systemic lupus erythematosus: a pilot clinical study. </w:t>
      </w:r>
      <w:r w:rsidRPr="00D01C8E">
        <w:rPr>
          <w:rFonts w:ascii="Book Antiqua" w:eastAsia="宋体" w:hAnsi="Book Antiqua" w:cs="宋体"/>
          <w:i/>
          <w:iCs/>
          <w:lang w:val="en-US" w:eastAsia="zh-CN"/>
        </w:rPr>
        <w:t>Ann Rheum Dis</w:t>
      </w:r>
      <w:r w:rsidRPr="00D01C8E">
        <w:rPr>
          <w:rFonts w:ascii="Book Antiqua" w:eastAsia="宋体" w:hAnsi="Book Antiqua" w:cs="宋体"/>
          <w:lang w:val="en-US" w:eastAsia="zh-CN"/>
        </w:rPr>
        <w:t xml:space="preserve"> 2010; </w:t>
      </w:r>
      <w:r w:rsidRPr="00D01C8E">
        <w:rPr>
          <w:rFonts w:ascii="Book Antiqua" w:eastAsia="宋体" w:hAnsi="Book Antiqua" w:cs="宋体"/>
          <w:b/>
          <w:bCs/>
          <w:lang w:val="en-US" w:eastAsia="zh-CN"/>
        </w:rPr>
        <w:t>69</w:t>
      </w:r>
      <w:r w:rsidRPr="00D01C8E">
        <w:rPr>
          <w:rFonts w:ascii="Book Antiqua" w:eastAsia="宋体" w:hAnsi="Book Antiqua" w:cs="宋体"/>
          <w:lang w:val="en-US" w:eastAsia="zh-CN"/>
        </w:rPr>
        <w:t>: 1423-1429 [PMID: 20650877 DOI: 10.1136/ard.2009.123463]</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113 </w:t>
      </w:r>
      <w:r w:rsidRPr="00D01C8E">
        <w:rPr>
          <w:rFonts w:ascii="Book Antiqua" w:eastAsia="宋体" w:hAnsi="Book Antiqua" w:cs="宋体"/>
          <w:b/>
          <w:bCs/>
          <w:lang w:val="en-US" w:eastAsia="zh-CN"/>
        </w:rPr>
        <w:t>Chang JW</w:t>
      </w:r>
      <w:r w:rsidRPr="00D01C8E">
        <w:rPr>
          <w:rFonts w:ascii="Book Antiqua" w:eastAsia="宋体" w:hAnsi="Book Antiqua" w:cs="宋体"/>
          <w:lang w:val="en-US" w:eastAsia="zh-CN"/>
        </w:rPr>
        <w:t xml:space="preserve">, Hung SP, Wu HH, Wu WM, Yang AH, Tsai HL, Yang LY, Lee OK. Therapeutic effects of umbilical cord blood-derived mesenchymal stem </w:t>
      </w:r>
      <w:r w:rsidRPr="00D01C8E">
        <w:rPr>
          <w:rFonts w:ascii="Book Antiqua" w:eastAsia="宋体" w:hAnsi="Book Antiqua" w:cs="宋体"/>
          <w:lang w:val="en-US" w:eastAsia="zh-CN"/>
        </w:rPr>
        <w:lastRenderedPageBreak/>
        <w:t xml:space="preserve">cell transplantation in experimental lupus nephritis. </w:t>
      </w:r>
      <w:r w:rsidRPr="00D01C8E">
        <w:rPr>
          <w:rFonts w:ascii="Book Antiqua" w:eastAsia="宋体" w:hAnsi="Book Antiqua" w:cs="宋体"/>
          <w:i/>
          <w:iCs/>
          <w:lang w:val="en-US" w:eastAsia="zh-CN"/>
        </w:rPr>
        <w:t>Cell Transplant</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20</w:t>
      </w:r>
      <w:r w:rsidRPr="00D01C8E">
        <w:rPr>
          <w:rFonts w:ascii="Book Antiqua" w:eastAsia="宋体" w:hAnsi="Book Antiqua" w:cs="宋体"/>
          <w:lang w:val="en-US" w:eastAsia="zh-CN"/>
        </w:rPr>
        <w:t>: 245-257 [PMID: 20719085 DOI: 10.3727/096368910X520056]</w:t>
      </w:r>
    </w:p>
    <w:p w:rsidR="00D01C8E" w:rsidRPr="00D01C8E" w:rsidRDefault="00D01C8E" w:rsidP="00D01C8E">
      <w:pPr>
        <w:suppressAutoHyphens w:val="0"/>
        <w:spacing w:line="360" w:lineRule="auto"/>
        <w:jc w:val="both"/>
        <w:rPr>
          <w:rFonts w:ascii="Book Antiqua" w:eastAsia="宋体" w:hAnsi="Book Antiqua" w:cs="宋体"/>
          <w:lang w:val="en-US" w:eastAsia="zh-CN"/>
        </w:rPr>
      </w:pPr>
      <w:proofErr w:type="gramStart"/>
      <w:r w:rsidRPr="00D01C8E">
        <w:rPr>
          <w:rFonts w:ascii="Book Antiqua" w:eastAsia="宋体" w:hAnsi="Book Antiqua" w:cs="宋体"/>
          <w:lang w:val="en-US" w:eastAsia="zh-CN"/>
        </w:rPr>
        <w:t xml:space="preserve">114 </w:t>
      </w:r>
      <w:r w:rsidRPr="00D01C8E">
        <w:rPr>
          <w:rFonts w:ascii="Book Antiqua" w:eastAsia="宋体" w:hAnsi="Book Antiqua" w:cs="宋体"/>
          <w:b/>
          <w:bCs/>
          <w:lang w:val="en-US" w:eastAsia="zh-CN"/>
        </w:rPr>
        <w:t>Pistoia V</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Raffaghello</w:t>
      </w:r>
      <w:proofErr w:type="spellEnd"/>
      <w:r w:rsidRPr="00D01C8E">
        <w:rPr>
          <w:rFonts w:ascii="Book Antiqua" w:eastAsia="宋体" w:hAnsi="Book Antiqua" w:cs="宋体"/>
          <w:lang w:val="en-US" w:eastAsia="zh-CN"/>
        </w:rPr>
        <w:t xml:space="preserve"> L. Potential of mesenchymal stem cells for the therapy of autoimmune diseases.</w:t>
      </w:r>
      <w:proofErr w:type="gram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 xml:space="preserve">Expert Rev </w:t>
      </w:r>
      <w:proofErr w:type="spellStart"/>
      <w:r w:rsidRPr="00D01C8E">
        <w:rPr>
          <w:rFonts w:ascii="Book Antiqua" w:eastAsia="宋体" w:hAnsi="Book Antiqua" w:cs="宋体"/>
          <w:i/>
          <w:iCs/>
          <w:lang w:val="en-US" w:eastAsia="zh-CN"/>
        </w:rPr>
        <w:t>Clin</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Immunol</w:t>
      </w:r>
      <w:proofErr w:type="spellEnd"/>
      <w:r w:rsidRPr="00D01C8E">
        <w:rPr>
          <w:rFonts w:ascii="Book Antiqua" w:eastAsia="宋体" w:hAnsi="Book Antiqua" w:cs="宋体"/>
          <w:lang w:val="en-US" w:eastAsia="zh-CN"/>
        </w:rPr>
        <w:t xml:space="preserve"> 2010; </w:t>
      </w:r>
      <w:r w:rsidRPr="00D01C8E">
        <w:rPr>
          <w:rFonts w:ascii="Book Antiqua" w:eastAsia="宋体" w:hAnsi="Book Antiqua" w:cs="宋体"/>
          <w:b/>
          <w:bCs/>
          <w:lang w:val="en-US" w:eastAsia="zh-CN"/>
        </w:rPr>
        <w:t>6</w:t>
      </w:r>
      <w:r w:rsidRPr="00D01C8E">
        <w:rPr>
          <w:rFonts w:ascii="Book Antiqua" w:eastAsia="宋体" w:hAnsi="Book Antiqua" w:cs="宋体"/>
          <w:lang w:val="en-US" w:eastAsia="zh-CN"/>
        </w:rPr>
        <w:t>: 211-218 [PMID: 20402384]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115 </w:t>
      </w:r>
      <w:proofErr w:type="spellStart"/>
      <w:r w:rsidRPr="00D01C8E">
        <w:rPr>
          <w:rFonts w:ascii="Book Antiqua" w:eastAsia="宋体" w:hAnsi="Book Antiqua" w:cs="宋体"/>
          <w:b/>
          <w:bCs/>
          <w:lang w:val="en-US" w:eastAsia="zh-CN"/>
        </w:rPr>
        <w:t>Belingheri</w:t>
      </w:r>
      <w:proofErr w:type="spellEnd"/>
      <w:r w:rsidRPr="00D01C8E">
        <w:rPr>
          <w:rFonts w:ascii="Book Antiqua" w:eastAsia="宋体" w:hAnsi="Book Antiqua" w:cs="宋体"/>
          <w:b/>
          <w:bCs/>
          <w:lang w:val="en-US" w:eastAsia="zh-CN"/>
        </w:rPr>
        <w:t xml:space="preserve"> M</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Lazzari</w:t>
      </w:r>
      <w:proofErr w:type="spellEnd"/>
      <w:r w:rsidRPr="00D01C8E">
        <w:rPr>
          <w:rFonts w:ascii="Book Antiqua" w:eastAsia="宋体" w:hAnsi="Book Antiqua" w:cs="宋体"/>
          <w:lang w:val="en-US" w:eastAsia="zh-CN"/>
        </w:rPr>
        <w:t xml:space="preserve"> L, </w:t>
      </w:r>
      <w:proofErr w:type="spellStart"/>
      <w:r w:rsidRPr="00D01C8E">
        <w:rPr>
          <w:rFonts w:ascii="Book Antiqua" w:eastAsia="宋体" w:hAnsi="Book Antiqua" w:cs="宋体"/>
          <w:lang w:val="en-US" w:eastAsia="zh-CN"/>
        </w:rPr>
        <w:t>Parazzi</w:t>
      </w:r>
      <w:proofErr w:type="spellEnd"/>
      <w:r w:rsidRPr="00D01C8E">
        <w:rPr>
          <w:rFonts w:ascii="Book Antiqua" w:eastAsia="宋体" w:hAnsi="Book Antiqua" w:cs="宋体"/>
          <w:lang w:val="en-US" w:eastAsia="zh-CN"/>
        </w:rPr>
        <w:t xml:space="preserve"> V, </w:t>
      </w:r>
      <w:proofErr w:type="spellStart"/>
      <w:r w:rsidRPr="00D01C8E">
        <w:rPr>
          <w:rFonts w:ascii="Book Antiqua" w:eastAsia="宋体" w:hAnsi="Book Antiqua" w:cs="宋体"/>
          <w:lang w:val="en-US" w:eastAsia="zh-CN"/>
        </w:rPr>
        <w:t>Groppali</w:t>
      </w:r>
      <w:proofErr w:type="spellEnd"/>
      <w:r w:rsidRPr="00D01C8E">
        <w:rPr>
          <w:rFonts w:ascii="Book Antiqua" w:eastAsia="宋体" w:hAnsi="Book Antiqua" w:cs="宋体"/>
          <w:lang w:val="en-US" w:eastAsia="zh-CN"/>
        </w:rPr>
        <w:t xml:space="preserve"> E, </w:t>
      </w:r>
      <w:proofErr w:type="spellStart"/>
      <w:r w:rsidRPr="00D01C8E">
        <w:rPr>
          <w:rFonts w:ascii="Book Antiqua" w:eastAsia="宋体" w:hAnsi="Book Antiqua" w:cs="宋体"/>
          <w:lang w:val="en-US" w:eastAsia="zh-CN"/>
        </w:rPr>
        <w:t>Biagi</w:t>
      </w:r>
      <w:proofErr w:type="spellEnd"/>
      <w:r w:rsidRPr="00D01C8E">
        <w:rPr>
          <w:rFonts w:ascii="Book Antiqua" w:eastAsia="宋体" w:hAnsi="Book Antiqua" w:cs="宋体"/>
          <w:lang w:val="en-US" w:eastAsia="zh-CN"/>
        </w:rPr>
        <w:t xml:space="preserve"> E, </w:t>
      </w:r>
      <w:proofErr w:type="spellStart"/>
      <w:r w:rsidRPr="00D01C8E">
        <w:rPr>
          <w:rFonts w:ascii="Book Antiqua" w:eastAsia="宋体" w:hAnsi="Book Antiqua" w:cs="宋体"/>
          <w:lang w:val="en-US" w:eastAsia="zh-CN"/>
        </w:rPr>
        <w:t>Gaipa</w:t>
      </w:r>
      <w:proofErr w:type="spellEnd"/>
      <w:r w:rsidRPr="00D01C8E">
        <w:rPr>
          <w:rFonts w:ascii="Book Antiqua" w:eastAsia="宋体" w:hAnsi="Book Antiqua" w:cs="宋体"/>
          <w:lang w:val="en-US" w:eastAsia="zh-CN"/>
        </w:rPr>
        <w:t xml:space="preserve"> G, Giordano R, </w:t>
      </w:r>
      <w:proofErr w:type="spellStart"/>
      <w:r w:rsidRPr="00D01C8E">
        <w:rPr>
          <w:rFonts w:ascii="Book Antiqua" w:eastAsia="宋体" w:hAnsi="Book Antiqua" w:cs="宋体"/>
          <w:lang w:val="en-US" w:eastAsia="zh-CN"/>
        </w:rPr>
        <w:t>Rastaldi</w:t>
      </w:r>
      <w:proofErr w:type="spellEnd"/>
      <w:r w:rsidRPr="00D01C8E">
        <w:rPr>
          <w:rFonts w:ascii="Book Antiqua" w:eastAsia="宋体" w:hAnsi="Book Antiqua" w:cs="宋体"/>
          <w:lang w:val="en-US" w:eastAsia="zh-CN"/>
        </w:rPr>
        <w:t xml:space="preserve"> MP, </w:t>
      </w:r>
      <w:proofErr w:type="spellStart"/>
      <w:r w:rsidRPr="00D01C8E">
        <w:rPr>
          <w:rFonts w:ascii="Book Antiqua" w:eastAsia="宋体" w:hAnsi="Book Antiqua" w:cs="宋体"/>
          <w:lang w:val="en-US" w:eastAsia="zh-CN"/>
        </w:rPr>
        <w:t>Croci</w:t>
      </w:r>
      <w:proofErr w:type="spellEnd"/>
      <w:r w:rsidRPr="00D01C8E">
        <w:rPr>
          <w:rFonts w:ascii="Book Antiqua" w:eastAsia="宋体" w:hAnsi="Book Antiqua" w:cs="宋体"/>
          <w:lang w:val="en-US" w:eastAsia="zh-CN"/>
        </w:rPr>
        <w:t xml:space="preserve"> D, Biondi A, </w:t>
      </w:r>
      <w:proofErr w:type="spellStart"/>
      <w:r w:rsidRPr="00D01C8E">
        <w:rPr>
          <w:rFonts w:ascii="Book Antiqua" w:eastAsia="宋体" w:hAnsi="Book Antiqua" w:cs="宋体"/>
          <w:lang w:val="en-US" w:eastAsia="zh-CN"/>
        </w:rPr>
        <w:t>Rebulla</w:t>
      </w:r>
      <w:proofErr w:type="spellEnd"/>
      <w:r w:rsidRPr="00D01C8E">
        <w:rPr>
          <w:rFonts w:ascii="Book Antiqua" w:eastAsia="宋体" w:hAnsi="Book Antiqua" w:cs="宋体"/>
          <w:lang w:val="en-US" w:eastAsia="zh-CN"/>
        </w:rPr>
        <w:t xml:space="preserve"> P, </w:t>
      </w:r>
      <w:proofErr w:type="spellStart"/>
      <w:r w:rsidRPr="00D01C8E">
        <w:rPr>
          <w:rFonts w:ascii="Book Antiqua" w:eastAsia="宋体" w:hAnsi="Book Antiqua" w:cs="宋体"/>
          <w:lang w:val="en-US" w:eastAsia="zh-CN"/>
        </w:rPr>
        <w:t>Edefonti</w:t>
      </w:r>
      <w:proofErr w:type="spellEnd"/>
      <w:r w:rsidRPr="00D01C8E">
        <w:rPr>
          <w:rFonts w:ascii="Book Antiqua" w:eastAsia="宋体" w:hAnsi="Book Antiqua" w:cs="宋体"/>
          <w:lang w:val="en-US" w:eastAsia="zh-CN"/>
        </w:rPr>
        <w:t xml:space="preserve"> A, </w:t>
      </w:r>
      <w:proofErr w:type="spellStart"/>
      <w:r w:rsidRPr="00D01C8E">
        <w:rPr>
          <w:rFonts w:ascii="Book Antiqua" w:eastAsia="宋体" w:hAnsi="Book Antiqua" w:cs="宋体"/>
          <w:lang w:val="en-US" w:eastAsia="zh-CN"/>
        </w:rPr>
        <w:t>Ghio</w:t>
      </w:r>
      <w:proofErr w:type="spellEnd"/>
      <w:r w:rsidRPr="00D01C8E">
        <w:rPr>
          <w:rFonts w:ascii="Book Antiqua" w:eastAsia="宋体" w:hAnsi="Book Antiqua" w:cs="宋体"/>
          <w:lang w:val="en-US" w:eastAsia="zh-CN"/>
        </w:rPr>
        <w:t xml:space="preserve"> L. Allogeneic mesenchymal stem cell infusion for the stabilization of focal segmental glomerulosclerosis. </w:t>
      </w:r>
      <w:r w:rsidRPr="00D01C8E">
        <w:rPr>
          <w:rFonts w:ascii="Book Antiqua" w:eastAsia="宋体" w:hAnsi="Book Antiqua" w:cs="宋体"/>
          <w:i/>
          <w:iCs/>
          <w:lang w:val="en-US" w:eastAsia="zh-CN"/>
        </w:rPr>
        <w:t>Biologicals</w:t>
      </w:r>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41</w:t>
      </w:r>
      <w:r w:rsidRPr="00D01C8E">
        <w:rPr>
          <w:rFonts w:ascii="Book Antiqua" w:eastAsia="宋体" w:hAnsi="Book Antiqua" w:cs="宋体"/>
          <w:lang w:val="en-US" w:eastAsia="zh-CN"/>
        </w:rPr>
        <w:t>: 439-445 [PMID: 24135082 DOI: 10.1016/j.biologicals.2013.09.004]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116 </w:t>
      </w:r>
      <w:r w:rsidRPr="00D01C8E">
        <w:rPr>
          <w:rFonts w:ascii="Book Antiqua" w:eastAsia="宋体" w:hAnsi="Book Antiqua" w:cs="宋体"/>
          <w:b/>
          <w:bCs/>
          <w:lang w:val="en-US" w:eastAsia="zh-CN"/>
        </w:rPr>
        <w:t>Araya CE</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Dharnidharka</w:t>
      </w:r>
      <w:proofErr w:type="spellEnd"/>
      <w:r w:rsidRPr="00D01C8E">
        <w:rPr>
          <w:rFonts w:ascii="Book Antiqua" w:eastAsia="宋体" w:hAnsi="Book Antiqua" w:cs="宋体"/>
          <w:lang w:val="en-US" w:eastAsia="zh-CN"/>
        </w:rPr>
        <w:t xml:space="preserve"> VR. The factors that may predict response to rituximab therapy in recurrent focal segmental glomerulosclerosis: a systematic review. </w:t>
      </w:r>
      <w:r w:rsidRPr="00D01C8E">
        <w:rPr>
          <w:rFonts w:ascii="Book Antiqua" w:eastAsia="宋体" w:hAnsi="Book Antiqua" w:cs="宋体"/>
          <w:i/>
          <w:iCs/>
          <w:lang w:val="en-US" w:eastAsia="zh-CN"/>
        </w:rPr>
        <w:t>J Transplant</w:t>
      </w:r>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2011</w:t>
      </w:r>
      <w:r w:rsidRPr="00D01C8E">
        <w:rPr>
          <w:rFonts w:ascii="Book Antiqua" w:eastAsia="宋体" w:hAnsi="Book Antiqua" w:cs="宋体"/>
          <w:lang w:val="en-US" w:eastAsia="zh-CN"/>
        </w:rPr>
        <w:t>: 374213 [PMID: 22174985 DOI: 10.1155/2011/374213]</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117 </w:t>
      </w:r>
      <w:r w:rsidRPr="00D01C8E">
        <w:rPr>
          <w:rFonts w:ascii="Book Antiqua" w:eastAsia="宋体" w:hAnsi="Book Antiqua" w:cs="宋体"/>
          <w:b/>
          <w:bCs/>
          <w:lang w:val="en-US" w:eastAsia="zh-CN"/>
        </w:rPr>
        <w:t>Kumar J</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Shatat</w:t>
      </w:r>
      <w:proofErr w:type="spellEnd"/>
      <w:r w:rsidRPr="00D01C8E">
        <w:rPr>
          <w:rFonts w:ascii="Book Antiqua" w:eastAsia="宋体" w:hAnsi="Book Antiqua" w:cs="宋体"/>
          <w:lang w:val="en-US" w:eastAsia="zh-CN"/>
        </w:rPr>
        <w:t xml:space="preserve"> IF, </w:t>
      </w:r>
      <w:proofErr w:type="spellStart"/>
      <w:r w:rsidRPr="00D01C8E">
        <w:rPr>
          <w:rFonts w:ascii="Book Antiqua" w:eastAsia="宋体" w:hAnsi="Book Antiqua" w:cs="宋体"/>
          <w:lang w:val="en-US" w:eastAsia="zh-CN"/>
        </w:rPr>
        <w:t>Skversky</w:t>
      </w:r>
      <w:proofErr w:type="spellEnd"/>
      <w:r w:rsidRPr="00D01C8E">
        <w:rPr>
          <w:rFonts w:ascii="Book Antiqua" w:eastAsia="宋体" w:hAnsi="Book Antiqua" w:cs="宋体"/>
          <w:lang w:val="en-US" w:eastAsia="zh-CN"/>
        </w:rPr>
        <w:t xml:space="preserve"> AL, </w:t>
      </w:r>
      <w:proofErr w:type="spellStart"/>
      <w:r w:rsidRPr="00D01C8E">
        <w:rPr>
          <w:rFonts w:ascii="Book Antiqua" w:eastAsia="宋体" w:hAnsi="Book Antiqua" w:cs="宋体"/>
          <w:lang w:val="en-US" w:eastAsia="zh-CN"/>
        </w:rPr>
        <w:t>Woroniecki</w:t>
      </w:r>
      <w:proofErr w:type="spellEnd"/>
      <w:r w:rsidRPr="00D01C8E">
        <w:rPr>
          <w:rFonts w:ascii="Book Antiqua" w:eastAsia="宋体" w:hAnsi="Book Antiqua" w:cs="宋体"/>
          <w:lang w:val="en-US" w:eastAsia="zh-CN"/>
        </w:rPr>
        <w:t xml:space="preserve"> RP, Del Rio M, </w:t>
      </w:r>
      <w:proofErr w:type="spellStart"/>
      <w:r w:rsidRPr="00D01C8E">
        <w:rPr>
          <w:rFonts w:ascii="Book Antiqua" w:eastAsia="宋体" w:hAnsi="Book Antiqua" w:cs="宋体"/>
          <w:lang w:val="en-US" w:eastAsia="zh-CN"/>
        </w:rPr>
        <w:t>Perelstein</w:t>
      </w:r>
      <w:proofErr w:type="spellEnd"/>
      <w:r w:rsidRPr="00D01C8E">
        <w:rPr>
          <w:rFonts w:ascii="Book Antiqua" w:eastAsia="宋体" w:hAnsi="Book Antiqua" w:cs="宋体"/>
          <w:lang w:val="en-US" w:eastAsia="zh-CN"/>
        </w:rPr>
        <w:t xml:space="preserve"> EM, Johnson VL, Mahesh S. Rituximab in post-transplant pediatric recurrent focal segmental glomerulosclerosis. </w:t>
      </w:r>
      <w:proofErr w:type="spellStart"/>
      <w:r w:rsidRPr="00D01C8E">
        <w:rPr>
          <w:rFonts w:ascii="Book Antiqua" w:eastAsia="宋体" w:hAnsi="Book Antiqua" w:cs="宋体"/>
          <w:i/>
          <w:iCs/>
          <w:lang w:val="en-US" w:eastAsia="zh-CN"/>
        </w:rPr>
        <w:t>Pediatr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28</w:t>
      </w:r>
      <w:r w:rsidRPr="00D01C8E">
        <w:rPr>
          <w:rFonts w:ascii="Book Antiqua" w:eastAsia="宋体" w:hAnsi="Book Antiqua" w:cs="宋体"/>
          <w:lang w:val="en-US" w:eastAsia="zh-CN"/>
        </w:rPr>
        <w:t>: 333-338 [PMID: 23052653 DOI: 10.1007/s00467-012-2314-6]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118 </w:t>
      </w:r>
      <w:proofErr w:type="spellStart"/>
      <w:r w:rsidRPr="00D01C8E">
        <w:rPr>
          <w:rFonts w:ascii="Book Antiqua" w:eastAsia="宋体" w:hAnsi="Book Antiqua" w:cs="宋体"/>
          <w:b/>
          <w:bCs/>
          <w:lang w:val="en-US" w:eastAsia="zh-CN"/>
        </w:rPr>
        <w:t>Reinders</w:t>
      </w:r>
      <w:proofErr w:type="spellEnd"/>
      <w:r w:rsidRPr="00D01C8E">
        <w:rPr>
          <w:rFonts w:ascii="Book Antiqua" w:eastAsia="宋体" w:hAnsi="Book Antiqua" w:cs="宋体"/>
          <w:b/>
          <w:bCs/>
          <w:lang w:val="en-US" w:eastAsia="zh-CN"/>
        </w:rPr>
        <w:t xml:space="preserve"> ME</w:t>
      </w:r>
      <w:r w:rsidRPr="00D01C8E">
        <w:rPr>
          <w:rFonts w:ascii="Book Antiqua" w:eastAsia="宋体" w:hAnsi="Book Antiqua" w:cs="宋体"/>
          <w:lang w:val="en-US" w:eastAsia="zh-CN"/>
        </w:rPr>
        <w:t xml:space="preserve">, de </w:t>
      </w:r>
      <w:proofErr w:type="spellStart"/>
      <w:r w:rsidRPr="00D01C8E">
        <w:rPr>
          <w:rFonts w:ascii="Book Antiqua" w:eastAsia="宋体" w:hAnsi="Book Antiqua" w:cs="宋体"/>
          <w:lang w:val="en-US" w:eastAsia="zh-CN"/>
        </w:rPr>
        <w:t>Fijter</w:t>
      </w:r>
      <w:proofErr w:type="spellEnd"/>
      <w:r w:rsidRPr="00D01C8E">
        <w:rPr>
          <w:rFonts w:ascii="Book Antiqua" w:eastAsia="宋体" w:hAnsi="Book Antiqua" w:cs="宋体"/>
          <w:lang w:val="en-US" w:eastAsia="zh-CN"/>
        </w:rPr>
        <w:t xml:space="preserve"> JW, </w:t>
      </w:r>
      <w:proofErr w:type="spellStart"/>
      <w:r w:rsidRPr="00D01C8E">
        <w:rPr>
          <w:rFonts w:ascii="Book Antiqua" w:eastAsia="宋体" w:hAnsi="Book Antiqua" w:cs="宋体"/>
          <w:lang w:val="en-US" w:eastAsia="zh-CN"/>
        </w:rPr>
        <w:t>Roelofs</w:t>
      </w:r>
      <w:proofErr w:type="spellEnd"/>
      <w:r w:rsidRPr="00D01C8E">
        <w:rPr>
          <w:rFonts w:ascii="Book Antiqua" w:eastAsia="宋体" w:hAnsi="Book Antiqua" w:cs="宋体"/>
          <w:lang w:val="en-US" w:eastAsia="zh-CN"/>
        </w:rPr>
        <w:t xml:space="preserve"> H, </w:t>
      </w:r>
      <w:proofErr w:type="spellStart"/>
      <w:r w:rsidRPr="00D01C8E">
        <w:rPr>
          <w:rFonts w:ascii="Book Antiqua" w:eastAsia="宋体" w:hAnsi="Book Antiqua" w:cs="宋体"/>
          <w:lang w:val="en-US" w:eastAsia="zh-CN"/>
        </w:rPr>
        <w:t>Bajema</w:t>
      </w:r>
      <w:proofErr w:type="spellEnd"/>
      <w:r w:rsidRPr="00D01C8E">
        <w:rPr>
          <w:rFonts w:ascii="Book Antiqua" w:eastAsia="宋体" w:hAnsi="Book Antiqua" w:cs="宋体"/>
          <w:lang w:val="en-US" w:eastAsia="zh-CN"/>
        </w:rPr>
        <w:t xml:space="preserve"> IM, de </w:t>
      </w:r>
      <w:proofErr w:type="spellStart"/>
      <w:r w:rsidRPr="00D01C8E">
        <w:rPr>
          <w:rFonts w:ascii="Book Antiqua" w:eastAsia="宋体" w:hAnsi="Book Antiqua" w:cs="宋体"/>
          <w:lang w:val="en-US" w:eastAsia="zh-CN"/>
        </w:rPr>
        <w:t>Vries</w:t>
      </w:r>
      <w:proofErr w:type="spellEnd"/>
      <w:r w:rsidRPr="00D01C8E">
        <w:rPr>
          <w:rFonts w:ascii="Book Antiqua" w:eastAsia="宋体" w:hAnsi="Book Antiqua" w:cs="宋体"/>
          <w:lang w:val="en-US" w:eastAsia="zh-CN"/>
        </w:rPr>
        <w:t xml:space="preserve"> DK, </w:t>
      </w:r>
      <w:proofErr w:type="spellStart"/>
      <w:r w:rsidRPr="00D01C8E">
        <w:rPr>
          <w:rFonts w:ascii="Book Antiqua" w:eastAsia="宋体" w:hAnsi="Book Antiqua" w:cs="宋体"/>
          <w:lang w:val="en-US" w:eastAsia="zh-CN"/>
        </w:rPr>
        <w:t>Schaapherder</w:t>
      </w:r>
      <w:proofErr w:type="spellEnd"/>
      <w:r w:rsidRPr="00D01C8E">
        <w:rPr>
          <w:rFonts w:ascii="Book Antiqua" w:eastAsia="宋体" w:hAnsi="Book Antiqua" w:cs="宋体"/>
          <w:lang w:val="en-US" w:eastAsia="zh-CN"/>
        </w:rPr>
        <w:t xml:space="preserve"> AF, </w:t>
      </w:r>
      <w:proofErr w:type="spellStart"/>
      <w:r w:rsidRPr="00D01C8E">
        <w:rPr>
          <w:rFonts w:ascii="Book Antiqua" w:eastAsia="宋体" w:hAnsi="Book Antiqua" w:cs="宋体"/>
          <w:lang w:val="en-US" w:eastAsia="zh-CN"/>
        </w:rPr>
        <w:t>Claas</w:t>
      </w:r>
      <w:proofErr w:type="spellEnd"/>
      <w:r w:rsidRPr="00D01C8E">
        <w:rPr>
          <w:rFonts w:ascii="Book Antiqua" w:eastAsia="宋体" w:hAnsi="Book Antiqua" w:cs="宋体"/>
          <w:lang w:val="en-US" w:eastAsia="zh-CN"/>
        </w:rPr>
        <w:t xml:space="preserve"> FH, van </w:t>
      </w:r>
      <w:proofErr w:type="spellStart"/>
      <w:r w:rsidRPr="00D01C8E">
        <w:rPr>
          <w:rFonts w:ascii="Book Antiqua" w:eastAsia="宋体" w:hAnsi="Book Antiqua" w:cs="宋体"/>
          <w:lang w:val="en-US" w:eastAsia="zh-CN"/>
        </w:rPr>
        <w:t>Miert</w:t>
      </w:r>
      <w:proofErr w:type="spellEnd"/>
      <w:r w:rsidRPr="00D01C8E">
        <w:rPr>
          <w:rFonts w:ascii="Book Antiqua" w:eastAsia="宋体" w:hAnsi="Book Antiqua" w:cs="宋体"/>
          <w:lang w:val="en-US" w:eastAsia="zh-CN"/>
        </w:rPr>
        <w:t xml:space="preserve"> PP, </w:t>
      </w:r>
      <w:proofErr w:type="spellStart"/>
      <w:r w:rsidRPr="00D01C8E">
        <w:rPr>
          <w:rFonts w:ascii="Book Antiqua" w:eastAsia="宋体" w:hAnsi="Book Antiqua" w:cs="宋体"/>
          <w:lang w:val="en-US" w:eastAsia="zh-CN"/>
        </w:rPr>
        <w:t>Roelen</w:t>
      </w:r>
      <w:proofErr w:type="spellEnd"/>
      <w:r w:rsidRPr="00D01C8E">
        <w:rPr>
          <w:rFonts w:ascii="Book Antiqua" w:eastAsia="宋体" w:hAnsi="Book Antiqua" w:cs="宋体"/>
          <w:lang w:val="en-US" w:eastAsia="zh-CN"/>
        </w:rPr>
        <w:t xml:space="preserve"> DL, van </w:t>
      </w:r>
      <w:proofErr w:type="spellStart"/>
      <w:r w:rsidRPr="00D01C8E">
        <w:rPr>
          <w:rFonts w:ascii="Book Antiqua" w:eastAsia="宋体" w:hAnsi="Book Antiqua" w:cs="宋体"/>
          <w:lang w:val="en-US" w:eastAsia="zh-CN"/>
        </w:rPr>
        <w:t>Kooten</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Fibbe</w:t>
      </w:r>
      <w:proofErr w:type="spellEnd"/>
      <w:r w:rsidRPr="00D01C8E">
        <w:rPr>
          <w:rFonts w:ascii="Book Antiqua" w:eastAsia="宋体" w:hAnsi="Book Antiqua" w:cs="宋体"/>
          <w:lang w:val="en-US" w:eastAsia="zh-CN"/>
        </w:rPr>
        <w:t xml:space="preserve"> WE, </w:t>
      </w:r>
      <w:proofErr w:type="spellStart"/>
      <w:r w:rsidRPr="00D01C8E">
        <w:rPr>
          <w:rFonts w:ascii="Book Antiqua" w:eastAsia="宋体" w:hAnsi="Book Antiqua" w:cs="宋体"/>
          <w:lang w:val="en-US" w:eastAsia="zh-CN"/>
        </w:rPr>
        <w:t>Rabelink</w:t>
      </w:r>
      <w:proofErr w:type="spellEnd"/>
      <w:r w:rsidRPr="00D01C8E">
        <w:rPr>
          <w:rFonts w:ascii="Book Antiqua" w:eastAsia="宋体" w:hAnsi="Book Antiqua" w:cs="宋体"/>
          <w:lang w:val="en-US" w:eastAsia="zh-CN"/>
        </w:rPr>
        <w:t xml:space="preserve"> TJ. Autologous bone marrow-derived mesenchymal stromal cells for the treatment of allograft rejection after renal transplantation: results of a phase I study. </w:t>
      </w:r>
      <w:r w:rsidRPr="00D01C8E">
        <w:rPr>
          <w:rFonts w:ascii="Book Antiqua" w:eastAsia="宋体" w:hAnsi="Book Antiqua" w:cs="宋体"/>
          <w:i/>
          <w:iCs/>
          <w:lang w:val="en-US" w:eastAsia="zh-CN"/>
        </w:rPr>
        <w:t xml:space="preserve">Stem Cells </w:t>
      </w:r>
      <w:proofErr w:type="spellStart"/>
      <w:r w:rsidRPr="00D01C8E">
        <w:rPr>
          <w:rFonts w:ascii="Book Antiqua" w:eastAsia="宋体" w:hAnsi="Book Antiqua" w:cs="宋体"/>
          <w:i/>
          <w:iCs/>
          <w:lang w:val="en-US" w:eastAsia="zh-CN"/>
        </w:rPr>
        <w:t>Transl</w:t>
      </w:r>
      <w:proofErr w:type="spellEnd"/>
      <w:r w:rsidRPr="00D01C8E">
        <w:rPr>
          <w:rFonts w:ascii="Book Antiqua" w:eastAsia="宋体" w:hAnsi="Book Antiqua" w:cs="宋体"/>
          <w:i/>
          <w:iCs/>
          <w:lang w:val="en-US" w:eastAsia="zh-CN"/>
        </w:rPr>
        <w:t xml:space="preserve"> Med</w:t>
      </w:r>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2</w:t>
      </w:r>
      <w:r w:rsidRPr="00D01C8E">
        <w:rPr>
          <w:rFonts w:ascii="Book Antiqua" w:eastAsia="宋体" w:hAnsi="Book Antiqua" w:cs="宋体"/>
          <w:lang w:val="en-US" w:eastAsia="zh-CN"/>
        </w:rPr>
        <w:t>: 107-111 [PMID: 23349326 DOI: 10.5966/sctm.2012-0114]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119 </w:t>
      </w:r>
      <w:r w:rsidRPr="00D01C8E">
        <w:rPr>
          <w:rFonts w:ascii="Book Antiqua" w:eastAsia="宋体" w:hAnsi="Book Antiqua" w:cs="宋体"/>
          <w:b/>
          <w:bCs/>
          <w:lang w:val="en-US" w:eastAsia="zh-CN"/>
        </w:rPr>
        <w:t>Seifert M</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Stolk</w:t>
      </w:r>
      <w:proofErr w:type="spellEnd"/>
      <w:r w:rsidRPr="00D01C8E">
        <w:rPr>
          <w:rFonts w:ascii="Book Antiqua" w:eastAsia="宋体" w:hAnsi="Book Antiqua" w:cs="宋体"/>
          <w:lang w:val="en-US" w:eastAsia="zh-CN"/>
        </w:rPr>
        <w:t xml:space="preserve"> M, </w:t>
      </w:r>
      <w:proofErr w:type="spellStart"/>
      <w:r w:rsidRPr="00D01C8E">
        <w:rPr>
          <w:rFonts w:ascii="Book Antiqua" w:eastAsia="宋体" w:hAnsi="Book Antiqua" w:cs="宋体"/>
          <w:lang w:val="en-US" w:eastAsia="zh-CN"/>
        </w:rPr>
        <w:t>Polenz</w:t>
      </w:r>
      <w:proofErr w:type="spellEnd"/>
      <w:r w:rsidRPr="00D01C8E">
        <w:rPr>
          <w:rFonts w:ascii="Book Antiqua" w:eastAsia="宋体" w:hAnsi="Book Antiqua" w:cs="宋体"/>
          <w:lang w:val="en-US" w:eastAsia="zh-CN"/>
        </w:rPr>
        <w:t xml:space="preserve"> D, Volk HD. Detrimental effects of rat mesenchymal stromal cell pre-treatment in a model of acute kidney rejection. </w:t>
      </w:r>
      <w:r w:rsidRPr="00D01C8E">
        <w:rPr>
          <w:rFonts w:ascii="Book Antiqua" w:eastAsia="宋体" w:hAnsi="Book Antiqua" w:cs="宋体"/>
          <w:i/>
          <w:iCs/>
          <w:lang w:val="en-US" w:eastAsia="zh-CN"/>
        </w:rPr>
        <w:t xml:space="preserve">Front </w:t>
      </w:r>
      <w:proofErr w:type="spellStart"/>
      <w:r w:rsidRPr="00D01C8E">
        <w:rPr>
          <w:rFonts w:ascii="Book Antiqua" w:eastAsia="宋体" w:hAnsi="Book Antiqua" w:cs="宋体"/>
          <w:i/>
          <w:iCs/>
          <w:lang w:val="en-US" w:eastAsia="zh-CN"/>
        </w:rPr>
        <w:t>Immunol</w:t>
      </w:r>
      <w:proofErr w:type="spellEnd"/>
      <w:r w:rsidRPr="00D01C8E">
        <w:rPr>
          <w:rFonts w:ascii="Book Antiqua" w:eastAsia="宋体" w:hAnsi="Book Antiqua" w:cs="宋体"/>
          <w:lang w:val="en-US" w:eastAsia="zh-CN"/>
        </w:rPr>
        <w:t xml:space="preserve"> 2012; </w:t>
      </w:r>
      <w:r w:rsidRPr="00D01C8E">
        <w:rPr>
          <w:rFonts w:ascii="Book Antiqua" w:eastAsia="宋体" w:hAnsi="Book Antiqua" w:cs="宋体"/>
          <w:b/>
          <w:bCs/>
          <w:lang w:val="en-US" w:eastAsia="zh-CN"/>
        </w:rPr>
        <w:t>3</w:t>
      </w:r>
      <w:r w:rsidRPr="00D01C8E">
        <w:rPr>
          <w:rFonts w:ascii="Book Antiqua" w:eastAsia="宋体" w:hAnsi="Book Antiqua" w:cs="宋体"/>
          <w:lang w:val="en-US" w:eastAsia="zh-CN"/>
        </w:rPr>
        <w:t>: 202 [PMID: 22826709 DOI: 10.3389/fimmu.2012.00202]</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120 </w:t>
      </w:r>
      <w:r w:rsidRPr="00D01C8E">
        <w:rPr>
          <w:rFonts w:ascii="Book Antiqua" w:eastAsia="宋体" w:hAnsi="Book Antiqua" w:cs="宋体"/>
          <w:b/>
          <w:bCs/>
          <w:lang w:val="en-US" w:eastAsia="zh-CN"/>
        </w:rPr>
        <w:t>Ren G</w:t>
      </w:r>
      <w:r w:rsidRPr="00D01C8E">
        <w:rPr>
          <w:rFonts w:ascii="Book Antiqua" w:eastAsia="宋体" w:hAnsi="Book Antiqua" w:cs="宋体"/>
          <w:lang w:val="en-US" w:eastAsia="zh-CN"/>
        </w:rPr>
        <w:t xml:space="preserve">, Zhao X, Wang Y, Zhang X, Chen X, Xu C, Yuan ZR, Roberts AI, Zhang L, Zheng B, Wen T, Han Y, </w:t>
      </w:r>
      <w:proofErr w:type="spellStart"/>
      <w:r w:rsidRPr="00D01C8E">
        <w:rPr>
          <w:rFonts w:ascii="Book Antiqua" w:eastAsia="宋体" w:hAnsi="Book Antiqua" w:cs="宋体"/>
          <w:lang w:val="en-US" w:eastAsia="zh-CN"/>
        </w:rPr>
        <w:t>Rabson</w:t>
      </w:r>
      <w:proofErr w:type="spellEnd"/>
      <w:r w:rsidRPr="00D01C8E">
        <w:rPr>
          <w:rFonts w:ascii="Book Antiqua" w:eastAsia="宋体" w:hAnsi="Book Antiqua" w:cs="宋体"/>
          <w:lang w:val="en-US" w:eastAsia="zh-CN"/>
        </w:rPr>
        <w:t xml:space="preserve"> AB, </w:t>
      </w:r>
      <w:proofErr w:type="spellStart"/>
      <w:r w:rsidRPr="00D01C8E">
        <w:rPr>
          <w:rFonts w:ascii="Book Antiqua" w:eastAsia="宋体" w:hAnsi="Book Antiqua" w:cs="宋体"/>
          <w:lang w:val="en-US" w:eastAsia="zh-CN"/>
        </w:rPr>
        <w:t>Tischfield</w:t>
      </w:r>
      <w:proofErr w:type="spellEnd"/>
      <w:r w:rsidRPr="00D01C8E">
        <w:rPr>
          <w:rFonts w:ascii="Book Antiqua" w:eastAsia="宋体" w:hAnsi="Book Antiqua" w:cs="宋体"/>
          <w:lang w:val="en-US" w:eastAsia="zh-CN"/>
        </w:rPr>
        <w:t xml:space="preserve"> JA, Shao C, Shi Y. CCR2-dependent recruitment of macrophages by tumor-educated mesenchymal stromal cells promotes tumor development and is mimicked by </w:t>
      </w:r>
      <w:r w:rsidRPr="00D01C8E">
        <w:rPr>
          <w:rFonts w:ascii="Book Antiqua" w:eastAsia="宋体" w:hAnsi="Book Antiqua" w:cs="宋体"/>
          <w:lang w:val="en-US" w:eastAsia="zh-CN"/>
        </w:rPr>
        <w:lastRenderedPageBreak/>
        <w:t xml:space="preserve">TNFα. </w:t>
      </w:r>
      <w:r w:rsidRPr="00D01C8E">
        <w:rPr>
          <w:rFonts w:ascii="Book Antiqua" w:eastAsia="宋体" w:hAnsi="Book Antiqua" w:cs="宋体"/>
          <w:i/>
          <w:iCs/>
          <w:lang w:val="en-US" w:eastAsia="zh-CN"/>
        </w:rPr>
        <w:t>Cell Stem Cell</w:t>
      </w:r>
      <w:r w:rsidRPr="00D01C8E">
        <w:rPr>
          <w:rFonts w:ascii="Book Antiqua" w:eastAsia="宋体" w:hAnsi="Book Antiqua" w:cs="宋体"/>
          <w:lang w:val="en-US" w:eastAsia="zh-CN"/>
        </w:rPr>
        <w:t xml:space="preserve"> 2012; </w:t>
      </w:r>
      <w:r w:rsidRPr="00D01C8E">
        <w:rPr>
          <w:rFonts w:ascii="Book Antiqua" w:eastAsia="宋体" w:hAnsi="Book Antiqua" w:cs="宋体"/>
          <w:b/>
          <w:bCs/>
          <w:lang w:val="en-US" w:eastAsia="zh-CN"/>
        </w:rPr>
        <w:t>11</w:t>
      </w:r>
      <w:r w:rsidRPr="00D01C8E">
        <w:rPr>
          <w:rFonts w:ascii="Book Antiqua" w:eastAsia="宋体" w:hAnsi="Book Antiqua" w:cs="宋体"/>
          <w:lang w:val="en-US" w:eastAsia="zh-CN"/>
        </w:rPr>
        <w:t>: 812-824 [PMID: 23168163 DOI: 10.1016/j.stem.2012.08.013]</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121 </w:t>
      </w:r>
      <w:proofErr w:type="spellStart"/>
      <w:r w:rsidRPr="00D01C8E">
        <w:rPr>
          <w:rFonts w:ascii="Book Antiqua" w:eastAsia="宋体" w:hAnsi="Book Antiqua" w:cs="宋体"/>
          <w:b/>
          <w:bCs/>
          <w:lang w:val="en-US" w:eastAsia="zh-CN"/>
        </w:rPr>
        <w:t>Mantovani</w:t>
      </w:r>
      <w:proofErr w:type="spellEnd"/>
      <w:r w:rsidRPr="00D01C8E">
        <w:rPr>
          <w:rFonts w:ascii="Book Antiqua" w:eastAsia="宋体" w:hAnsi="Book Antiqua" w:cs="宋体"/>
          <w:b/>
          <w:bCs/>
          <w:lang w:val="en-US" w:eastAsia="zh-CN"/>
        </w:rPr>
        <w:t xml:space="preserve"> A</w:t>
      </w:r>
      <w:r w:rsidRPr="00D01C8E">
        <w:rPr>
          <w:rFonts w:ascii="Book Antiqua" w:eastAsia="宋体" w:hAnsi="Book Antiqua" w:cs="宋体"/>
          <w:lang w:val="en-US" w:eastAsia="zh-CN"/>
        </w:rPr>
        <w:t xml:space="preserve">. MSCs, macrophages, and cancer: a dangerous ménage-à-trois. </w:t>
      </w:r>
      <w:r w:rsidRPr="00D01C8E">
        <w:rPr>
          <w:rFonts w:ascii="Book Antiqua" w:eastAsia="宋体" w:hAnsi="Book Antiqua" w:cs="宋体"/>
          <w:i/>
          <w:iCs/>
          <w:lang w:val="en-US" w:eastAsia="zh-CN"/>
        </w:rPr>
        <w:t>Cell Stem Cell</w:t>
      </w:r>
      <w:r w:rsidRPr="00D01C8E">
        <w:rPr>
          <w:rFonts w:ascii="Book Antiqua" w:eastAsia="宋体" w:hAnsi="Book Antiqua" w:cs="宋体"/>
          <w:lang w:val="en-US" w:eastAsia="zh-CN"/>
        </w:rPr>
        <w:t xml:space="preserve"> 2012; </w:t>
      </w:r>
      <w:r w:rsidRPr="00D01C8E">
        <w:rPr>
          <w:rFonts w:ascii="Book Antiqua" w:eastAsia="宋体" w:hAnsi="Book Antiqua" w:cs="宋体"/>
          <w:b/>
          <w:bCs/>
          <w:lang w:val="en-US" w:eastAsia="zh-CN"/>
        </w:rPr>
        <w:t>11</w:t>
      </w:r>
      <w:r w:rsidRPr="00D01C8E">
        <w:rPr>
          <w:rFonts w:ascii="Book Antiqua" w:eastAsia="宋体" w:hAnsi="Book Antiqua" w:cs="宋体"/>
          <w:lang w:val="en-US" w:eastAsia="zh-CN"/>
        </w:rPr>
        <w:t>: 730-732 [PMID: 23217416 DOI: 10.1016/j.stem.2012.11.016]</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122 </w:t>
      </w:r>
      <w:proofErr w:type="spellStart"/>
      <w:r w:rsidRPr="00D01C8E">
        <w:rPr>
          <w:rFonts w:ascii="Book Antiqua" w:eastAsia="宋体" w:hAnsi="Book Antiqua" w:cs="宋体"/>
          <w:b/>
          <w:bCs/>
          <w:lang w:val="en-US" w:eastAsia="zh-CN"/>
        </w:rPr>
        <w:t>Shankland</w:t>
      </w:r>
      <w:proofErr w:type="spellEnd"/>
      <w:r w:rsidRPr="00D01C8E">
        <w:rPr>
          <w:rFonts w:ascii="Book Antiqua" w:eastAsia="宋体" w:hAnsi="Book Antiqua" w:cs="宋体"/>
          <w:b/>
          <w:bCs/>
          <w:lang w:val="en-US" w:eastAsia="zh-CN"/>
        </w:rPr>
        <w:t xml:space="preserve"> SJ</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Smeets</w:t>
      </w:r>
      <w:proofErr w:type="spellEnd"/>
      <w:r w:rsidRPr="00D01C8E">
        <w:rPr>
          <w:rFonts w:ascii="Book Antiqua" w:eastAsia="宋体" w:hAnsi="Book Antiqua" w:cs="宋体"/>
          <w:lang w:val="en-US" w:eastAsia="zh-CN"/>
        </w:rPr>
        <w:t xml:space="preserve"> B, Pippin JW, Moeller MJ. </w:t>
      </w:r>
      <w:proofErr w:type="gramStart"/>
      <w:r w:rsidRPr="00D01C8E">
        <w:rPr>
          <w:rFonts w:ascii="Book Antiqua" w:eastAsia="宋体" w:hAnsi="Book Antiqua" w:cs="宋体"/>
          <w:lang w:val="en-US" w:eastAsia="zh-CN"/>
        </w:rPr>
        <w:t>The emergence of the glomerular parietal epithelial cell.</w:t>
      </w:r>
      <w:proofErr w:type="gramEnd"/>
      <w:r w:rsidRPr="00D01C8E">
        <w:rPr>
          <w:rFonts w:ascii="Book Antiqua" w:eastAsia="宋体" w:hAnsi="Book Antiqua" w:cs="宋体"/>
          <w:lang w:val="en-US" w:eastAsia="zh-CN"/>
        </w:rPr>
        <w:t xml:space="preserve"> </w:t>
      </w:r>
      <w:r w:rsidRPr="00D01C8E">
        <w:rPr>
          <w:rFonts w:ascii="Book Antiqua" w:eastAsia="宋体" w:hAnsi="Book Antiqua" w:cs="宋体"/>
          <w:i/>
          <w:iCs/>
          <w:lang w:val="en-US" w:eastAsia="zh-CN"/>
        </w:rPr>
        <w:t xml:space="preserve">Nat Rev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2014; </w:t>
      </w:r>
      <w:r w:rsidRPr="00D01C8E">
        <w:rPr>
          <w:rFonts w:ascii="Book Antiqua" w:eastAsia="宋体" w:hAnsi="Book Antiqua" w:cs="宋体"/>
          <w:b/>
          <w:bCs/>
          <w:lang w:val="en-US" w:eastAsia="zh-CN"/>
        </w:rPr>
        <w:t>10</w:t>
      </w:r>
      <w:r w:rsidRPr="00D01C8E">
        <w:rPr>
          <w:rFonts w:ascii="Book Antiqua" w:eastAsia="宋体" w:hAnsi="Book Antiqua" w:cs="宋体"/>
          <w:lang w:val="en-US" w:eastAsia="zh-CN"/>
        </w:rPr>
        <w:t>: 158-173 [PMID: 24468766 DOI: 10.1038/nrneph.2014.1]</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123 </w:t>
      </w:r>
      <w:proofErr w:type="spellStart"/>
      <w:r w:rsidRPr="00D01C8E">
        <w:rPr>
          <w:rFonts w:ascii="Book Antiqua" w:eastAsia="宋体" w:hAnsi="Book Antiqua" w:cs="宋体"/>
          <w:b/>
          <w:bCs/>
          <w:lang w:val="en-US" w:eastAsia="zh-CN"/>
        </w:rPr>
        <w:t>Shankland</w:t>
      </w:r>
      <w:proofErr w:type="spellEnd"/>
      <w:r w:rsidRPr="00D01C8E">
        <w:rPr>
          <w:rFonts w:ascii="Book Antiqua" w:eastAsia="宋体" w:hAnsi="Book Antiqua" w:cs="宋体"/>
          <w:b/>
          <w:bCs/>
          <w:lang w:val="en-US" w:eastAsia="zh-CN"/>
        </w:rPr>
        <w:t xml:space="preserve"> SJ</w:t>
      </w:r>
      <w:r w:rsidRPr="00D01C8E">
        <w:rPr>
          <w:rFonts w:ascii="Book Antiqua" w:eastAsia="宋体" w:hAnsi="Book Antiqua" w:cs="宋体"/>
          <w:lang w:val="en-US" w:eastAsia="zh-CN"/>
        </w:rPr>
        <w:t xml:space="preserve">, Anders HJ, </w:t>
      </w:r>
      <w:proofErr w:type="spellStart"/>
      <w:r w:rsidRPr="00D01C8E">
        <w:rPr>
          <w:rFonts w:ascii="Book Antiqua" w:eastAsia="宋体" w:hAnsi="Book Antiqua" w:cs="宋体"/>
          <w:lang w:val="en-US" w:eastAsia="zh-CN"/>
        </w:rPr>
        <w:t>Romagnani</w:t>
      </w:r>
      <w:proofErr w:type="spellEnd"/>
      <w:r w:rsidRPr="00D01C8E">
        <w:rPr>
          <w:rFonts w:ascii="Book Antiqua" w:eastAsia="宋体" w:hAnsi="Book Antiqua" w:cs="宋体"/>
          <w:lang w:val="en-US" w:eastAsia="zh-CN"/>
        </w:rPr>
        <w:t xml:space="preserve"> P. Glomerular parietal epithelial cells in kidney physiology, pathology, and repair. </w:t>
      </w:r>
      <w:proofErr w:type="spellStart"/>
      <w:r w:rsidRPr="00D01C8E">
        <w:rPr>
          <w:rFonts w:ascii="Book Antiqua" w:eastAsia="宋体" w:hAnsi="Book Antiqua" w:cs="宋体"/>
          <w:i/>
          <w:iCs/>
          <w:lang w:val="en-US" w:eastAsia="zh-CN"/>
        </w:rPr>
        <w:t>Curr</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Opin</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Hypertens</w:t>
      </w:r>
      <w:proofErr w:type="spellEnd"/>
      <w:r w:rsidRPr="00D01C8E">
        <w:rPr>
          <w:rFonts w:ascii="Book Antiqua" w:eastAsia="宋体" w:hAnsi="Book Antiqua" w:cs="宋体"/>
          <w:lang w:val="en-US" w:eastAsia="zh-CN"/>
        </w:rPr>
        <w:t xml:space="preserve"> 2013; </w:t>
      </w:r>
      <w:r w:rsidRPr="00D01C8E">
        <w:rPr>
          <w:rFonts w:ascii="Book Antiqua" w:eastAsia="宋体" w:hAnsi="Book Antiqua" w:cs="宋体"/>
          <w:b/>
          <w:bCs/>
          <w:lang w:val="en-US" w:eastAsia="zh-CN"/>
        </w:rPr>
        <w:t>22</w:t>
      </w:r>
      <w:r w:rsidRPr="00D01C8E">
        <w:rPr>
          <w:rFonts w:ascii="Book Antiqua" w:eastAsia="宋体" w:hAnsi="Book Antiqua" w:cs="宋体"/>
          <w:lang w:val="en-US" w:eastAsia="zh-CN"/>
        </w:rPr>
        <w:t>: 302-309 [PMID: 23518463 DOI: 10.1097/MNH.0b013e32835fefd4]</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124 </w:t>
      </w:r>
      <w:proofErr w:type="spellStart"/>
      <w:r w:rsidRPr="00D01C8E">
        <w:rPr>
          <w:rFonts w:ascii="Book Antiqua" w:eastAsia="宋体" w:hAnsi="Book Antiqua" w:cs="宋体"/>
          <w:b/>
          <w:bCs/>
          <w:lang w:val="en-US" w:eastAsia="zh-CN"/>
        </w:rPr>
        <w:t>Smeets</w:t>
      </w:r>
      <w:proofErr w:type="spellEnd"/>
      <w:r w:rsidRPr="00D01C8E">
        <w:rPr>
          <w:rFonts w:ascii="Book Antiqua" w:eastAsia="宋体" w:hAnsi="Book Antiqua" w:cs="宋体"/>
          <w:b/>
          <w:bCs/>
          <w:lang w:val="en-US" w:eastAsia="zh-CN"/>
        </w:rPr>
        <w:t xml:space="preserve"> B</w:t>
      </w:r>
      <w:r w:rsidRPr="00D01C8E">
        <w:rPr>
          <w:rFonts w:ascii="Book Antiqua" w:eastAsia="宋体" w:hAnsi="Book Antiqua" w:cs="宋体"/>
          <w:lang w:val="en-US" w:eastAsia="zh-CN"/>
        </w:rPr>
        <w:t xml:space="preserve">, </w:t>
      </w:r>
      <w:proofErr w:type="spellStart"/>
      <w:r w:rsidRPr="00D01C8E">
        <w:rPr>
          <w:rFonts w:ascii="Book Antiqua" w:eastAsia="宋体" w:hAnsi="Book Antiqua" w:cs="宋体"/>
          <w:lang w:val="en-US" w:eastAsia="zh-CN"/>
        </w:rPr>
        <w:t>Kuppe</w:t>
      </w:r>
      <w:proofErr w:type="spellEnd"/>
      <w:r w:rsidRPr="00D01C8E">
        <w:rPr>
          <w:rFonts w:ascii="Book Antiqua" w:eastAsia="宋体" w:hAnsi="Book Antiqua" w:cs="宋体"/>
          <w:lang w:val="en-US" w:eastAsia="zh-CN"/>
        </w:rPr>
        <w:t xml:space="preserve"> C, </w:t>
      </w:r>
      <w:proofErr w:type="spellStart"/>
      <w:r w:rsidRPr="00D01C8E">
        <w:rPr>
          <w:rFonts w:ascii="Book Antiqua" w:eastAsia="宋体" w:hAnsi="Book Antiqua" w:cs="宋体"/>
          <w:lang w:val="en-US" w:eastAsia="zh-CN"/>
        </w:rPr>
        <w:t>Sicking</w:t>
      </w:r>
      <w:proofErr w:type="spellEnd"/>
      <w:r w:rsidRPr="00D01C8E">
        <w:rPr>
          <w:rFonts w:ascii="Book Antiqua" w:eastAsia="宋体" w:hAnsi="Book Antiqua" w:cs="宋体"/>
          <w:lang w:val="en-US" w:eastAsia="zh-CN"/>
        </w:rPr>
        <w:t xml:space="preserve"> EM, Fuss A, </w:t>
      </w:r>
      <w:proofErr w:type="spellStart"/>
      <w:r w:rsidRPr="00D01C8E">
        <w:rPr>
          <w:rFonts w:ascii="Book Antiqua" w:eastAsia="宋体" w:hAnsi="Book Antiqua" w:cs="宋体"/>
          <w:lang w:val="en-US" w:eastAsia="zh-CN"/>
        </w:rPr>
        <w:t>Jirak</w:t>
      </w:r>
      <w:proofErr w:type="spellEnd"/>
      <w:r w:rsidRPr="00D01C8E">
        <w:rPr>
          <w:rFonts w:ascii="Book Antiqua" w:eastAsia="宋体" w:hAnsi="Book Antiqua" w:cs="宋体"/>
          <w:lang w:val="en-US" w:eastAsia="zh-CN"/>
        </w:rPr>
        <w:t xml:space="preserve"> P, van </w:t>
      </w:r>
      <w:proofErr w:type="spellStart"/>
      <w:r w:rsidRPr="00D01C8E">
        <w:rPr>
          <w:rFonts w:ascii="Book Antiqua" w:eastAsia="宋体" w:hAnsi="Book Antiqua" w:cs="宋体"/>
          <w:lang w:val="en-US" w:eastAsia="zh-CN"/>
        </w:rPr>
        <w:t>Kuppevelt</w:t>
      </w:r>
      <w:proofErr w:type="spellEnd"/>
      <w:r w:rsidRPr="00D01C8E">
        <w:rPr>
          <w:rFonts w:ascii="Book Antiqua" w:eastAsia="宋体" w:hAnsi="Book Antiqua" w:cs="宋体"/>
          <w:lang w:val="en-US" w:eastAsia="zh-CN"/>
        </w:rPr>
        <w:t xml:space="preserve"> TH, </w:t>
      </w:r>
      <w:proofErr w:type="spellStart"/>
      <w:r w:rsidRPr="00D01C8E">
        <w:rPr>
          <w:rFonts w:ascii="Book Antiqua" w:eastAsia="宋体" w:hAnsi="Book Antiqua" w:cs="宋体"/>
          <w:lang w:val="en-US" w:eastAsia="zh-CN"/>
        </w:rPr>
        <w:t>Endlich</w:t>
      </w:r>
      <w:proofErr w:type="spellEnd"/>
      <w:r w:rsidRPr="00D01C8E">
        <w:rPr>
          <w:rFonts w:ascii="Book Antiqua" w:eastAsia="宋体" w:hAnsi="Book Antiqua" w:cs="宋体"/>
          <w:lang w:val="en-US" w:eastAsia="zh-CN"/>
        </w:rPr>
        <w:t xml:space="preserve"> K, </w:t>
      </w:r>
      <w:proofErr w:type="spellStart"/>
      <w:r w:rsidRPr="00D01C8E">
        <w:rPr>
          <w:rFonts w:ascii="Book Antiqua" w:eastAsia="宋体" w:hAnsi="Book Antiqua" w:cs="宋体"/>
          <w:lang w:val="en-US" w:eastAsia="zh-CN"/>
        </w:rPr>
        <w:t>Wetzels</w:t>
      </w:r>
      <w:proofErr w:type="spellEnd"/>
      <w:r w:rsidRPr="00D01C8E">
        <w:rPr>
          <w:rFonts w:ascii="Book Antiqua" w:eastAsia="宋体" w:hAnsi="Book Antiqua" w:cs="宋体"/>
          <w:lang w:val="en-US" w:eastAsia="zh-CN"/>
        </w:rPr>
        <w:t xml:space="preserve"> JF, </w:t>
      </w:r>
      <w:proofErr w:type="spellStart"/>
      <w:r w:rsidRPr="00D01C8E">
        <w:rPr>
          <w:rFonts w:ascii="Book Antiqua" w:eastAsia="宋体" w:hAnsi="Book Antiqua" w:cs="宋体"/>
          <w:lang w:val="en-US" w:eastAsia="zh-CN"/>
        </w:rPr>
        <w:t>Gröne</w:t>
      </w:r>
      <w:proofErr w:type="spellEnd"/>
      <w:r w:rsidRPr="00D01C8E">
        <w:rPr>
          <w:rFonts w:ascii="Book Antiqua" w:eastAsia="宋体" w:hAnsi="Book Antiqua" w:cs="宋体"/>
          <w:lang w:val="en-US" w:eastAsia="zh-CN"/>
        </w:rPr>
        <w:t xml:space="preserve"> HJ, </w:t>
      </w:r>
      <w:proofErr w:type="spellStart"/>
      <w:r w:rsidRPr="00D01C8E">
        <w:rPr>
          <w:rFonts w:ascii="Book Antiqua" w:eastAsia="宋体" w:hAnsi="Book Antiqua" w:cs="宋体"/>
          <w:lang w:val="en-US" w:eastAsia="zh-CN"/>
        </w:rPr>
        <w:t>Floege</w:t>
      </w:r>
      <w:proofErr w:type="spellEnd"/>
      <w:r w:rsidRPr="00D01C8E">
        <w:rPr>
          <w:rFonts w:ascii="Book Antiqua" w:eastAsia="宋体" w:hAnsi="Book Antiqua" w:cs="宋体"/>
          <w:lang w:val="en-US" w:eastAsia="zh-CN"/>
        </w:rPr>
        <w:t xml:space="preserve"> J, Moeller MJ. Parietal epithelial cells participate in the formation of sclerotic lesions in focal segmental glomerulosclerosis. </w:t>
      </w:r>
      <w:r w:rsidRPr="00D01C8E">
        <w:rPr>
          <w:rFonts w:ascii="Book Antiqua" w:eastAsia="宋体" w:hAnsi="Book Antiqua" w:cs="宋体"/>
          <w:i/>
          <w:iCs/>
          <w:lang w:val="en-US" w:eastAsia="zh-CN"/>
        </w:rPr>
        <w:t xml:space="preserve">J Am </w:t>
      </w:r>
      <w:proofErr w:type="spellStart"/>
      <w:r w:rsidRPr="00D01C8E">
        <w:rPr>
          <w:rFonts w:ascii="Book Antiqua" w:eastAsia="宋体" w:hAnsi="Book Antiqua" w:cs="宋体"/>
          <w:i/>
          <w:iCs/>
          <w:lang w:val="en-US" w:eastAsia="zh-CN"/>
        </w:rPr>
        <w:t>Soc</w:t>
      </w:r>
      <w:proofErr w:type="spellEnd"/>
      <w:r w:rsidRPr="00D01C8E">
        <w:rPr>
          <w:rFonts w:ascii="Book Antiqua" w:eastAsia="宋体" w:hAnsi="Book Antiqua" w:cs="宋体"/>
          <w:i/>
          <w:iCs/>
          <w:lang w:val="en-US" w:eastAsia="zh-CN"/>
        </w:rPr>
        <w:t xml:space="preserve"> </w:t>
      </w:r>
      <w:proofErr w:type="spellStart"/>
      <w:r w:rsidRPr="00D01C8E">
        <w:rPr>
          <w:rFonts w:ascii="Book Antiqua" w:eastAsia="宋体" w:hAnsi="Book Antiqua" w:cs="宋体"/>
          <w:i/>
          <w:iCs/>
          <w:lang w:val="en-US" w:eastAsia="zh-CN"/>
        </w:rPr>
        <w:t>Nephrol</w:t>
      </w:r>
      <w:proofErr w:type="spellEnd"/>
      <w:r w:rsidRPr="00D01C8E">
        <w:rPr>
          <w:rFonts w:ascii="Book Antiqua" w:eastAsia="宋体" w:hAnsi="Book Antiqua" w:cs="宋体"/>
          <w:lang w:val="en-US" w:eastAsia="zh-CN"/>
        </w:rPr>
        <w:t xml:space="preserve"> 2011; </w:t>
      </w:r>
      <w:r w:rsidRPr="00D01C8E">
        <w:rPr>
          <w:rFonts w:ascii="Book Antiqua" w:eastAsia="宋体" w:hAnsi="Book Antiqua" w:cs="宋体"/>
          <w:b/>
          <w:bCs/>
          <w:lang w:val="en-US" w:eastAsia="zh-CN"/>
        </w:rPr>
        <w:t>22</w:t>
      </w:r>
      <w:r w:rsidRPr="00D01C8E">
        <w:rPr>
          <w:rFonts w:ascii="Book Antiqua" w:eastAsia="宋体" w:hAnsi="Book Antiqua" w:cs="宋体"/>
          <w:lang w:val="en-US" w:eastAsia="zh-CN"/>
        </w:rPr>
        <w:t>: 1262-1274 [PMID: 21719782 DOI: 10.1681/ASN.2010090970]</w:t>
      </w:r>
    </w:p>
    <w:p w:rsidR="00D01C8E" w:rsidRPr="00D01C8E" w:rsidRDefault="00D01C8E" w:rsidP="00D01C8E">
      <w:pPr>
        <w:suppressAutoHyphens w:val="0"/>
        <w:spacing w:line="360" w:lineRule="auto"/>
        <w:jc w:val="both"/>
        <w:rPr>
          <w:rFonts w:ascii="Book Antiqua" w:eastAsia="宋体" w:hAnsi="Book Antiqua" w:cs="宋体"/>
          <w:lang w:val="en-US" w:eastAsia="zh-CN"/>
        </w:rPr>
      </w:pPr>
      <w:r w:rsidRPr="00D01C8E">
        <w:rPr>
          <w:rFonts w:ascii="Book Antiqua" w:eastAsia="宋体" w:hAnsi="Book Antiqua" w:cs="宋体"/>
          <w:lang w:val="en-US" w:eastAsia="zh-CN"/>
        </w:rPr>
        <w:t xml:space="preserve">125 </w:t>
      </w:r>
      <w:proofErr w:type="spellStart"/>
      <w:r w:rsidR="00553D96" w:rsidRPr="00D92B63">
        <w:rPr>
          <w:rFonts w:ascii="Book Antiqua" w:hAnsi="Book Antiqua"/>
          <w:b/>
          <w:bCs/>
          <w:color w:val="000000"/>
          <w:lang w:val="en-US"/>
        </w:rPr>
        <w:t>Askanase</w:t>
      </w:r>
      <w:proofErr w:type="spellEnd"/>
      <w:r w:rsidR="00553D96" w:rsidRPr="00D92B63">
        <w:rPr>
          <w:rFonts w:ascii="Book Antiqua" w:hAnsi="Book Antiqua"/>
          <w:b/>
          <w:bCs/>
          <w:color w:val="000000"/>
          <w:lang w:val="en-US"/>
        </w:rPr>
        <w:t xml:space="preserve"> AD</w:t>
      </w:r>
      <w:r w:rsidR="00553D96" w:rsidRPr="00D92B63">
        <w:rPr>
          <w:rFonts w:ascii="Book Antiqua" w:hAnsi="Book Antiqua"/>
          <w:color w:val="000000"/>
          <w:lang w:val="en-US"/>
        </w:rPr>
        <w:t>, Byron M, Keyes-</w:t>
      </w:r>
      <w:proofErr w:type="spellStart"/>
      <w:r w:rsidR="00553D96" w:rsidRPr="00D92B63">
        <w:rPr>
          <w:rFonts w:ascii="Book Antiqua" w:hAnsi="Book Antiqua"/>
          <w:color w:val="000000"/>
          <w:lang w:val="en-US"/>
        </w:rPr>
        <w:t>Elstein</w:t>
      </w:r>
      <w:proofErr w:type="spellEnd"/>
      <w:r w:rsidR="00553D96" w:rsidRPr="00D92B63">
        <w:rPr>
          <w:rFonts w:ascii="Book Antiqua" w:hAnsi="Book Antiqua"/>
          <w:color w:val="000000"/>
          <w:lang w:val="en-US"/>
        </w:rPr>
        <w:t xml:space="preserve"> LL, </w:t>
      </w:r>
      <w:proofErr w:type="spellStart"/>
      <w:r w:rsidR="00553D96" w:rsidRPr="00D92B63">
        <w:rPr>
          <w:rFonts w:ascii="Book Antiqua" w:hAnsi="Book Antiqua"/>
          <w:color w:val="000000"/>
          <w:lang w:val="en-US"/>
        </w:rPr>
        <w:t>Cagnoli</w:t>
      </w:r>
      <w:proofErr w:type="spellEnd"/>
      <w:r w:rsidR="00553D96" w:rsidRPr="00D92B63">
        <w:rPr>
          <w:rFonts w:ascii="Book Antiqua" w:hAnsi="Book Antiqua"/>
          <w:color w:val="000000"/>
          <w:lang w:val="en-US"/>
        </w:rPr>
        <w:t xml:space="preserve"> PC, McCune W, Chatham W, Contreras G, </w:t>
      </w:r>
      <w:proofErr w:type="spellStart"/>
      <w:r w:rsidR="00553D96" w:rsidRPr="00D92B63">
        <w:rPr>
          <w:rFonts w:ascii="Book Antiqua" w:hAnsi="Book Antiqua"/>
          <w:color w:val="000000"/>
          <w:lang w:val="en-US"/>
        </w:rPr>
        <w:t>Daikh</w:t>
      </w:r>
      <w:proofErr w:type="spellEnd"/>
      <w:r w:rsidR="00553D96" w:rsidRPr="00D92B63">
        <w:rPr>
          <w:rFonts w:ascii="Book Antiqua" w:hAnsi="Book Antiqua"/>
          <w:color w:val="000000"/>
          <w:lang w:val="en-US"/>
        </w:rPr>
        <w:t xml:space="preserve"> DI, Dall</w:t>
      </w:r>
      <w:r w:rsidR="00553D96">
        <w:rPr>
          <w:rFonts w:ascii="Book Antiqua" w:hAnsi="Book Antiqua"/>
          <w:color w:val="000000"/>
          <w:lang w:val="en-US"/>
        </w:rPr>
        <w:t>’</w:t>
      </w:r>
      <w:r w:rsidR="00553D96" w:rsidRPr="00D92B63">
        <w:rPr>
          <w:rFonts w:ascii="Book Antiqua" w:hAnsi="Book Antiqua"/>
          <w:color w:val="000000"/>
          <w:lang w:val="en-US"/>
        </w:rPr>
        <w:t xml:space="preserve"> Era M, </w:t>
      </w:r>
      <w:proofErr w:type="spellStart"/>
      <w:r w:rsidR="00553D96" w:rsidRPr="00D92B63">
        <w:rPr>
          <w:rFonts w:ascii="Book Antiqua" w:hAnsi="Book Antiqua"/>
          <w:color w:val="000000"/>
          <w:lang w:val="en-US"/>
        </w:rPr>
        <w:t>Wofsy</w:t>
      </w:r>
      <w:proofErr w:type="spellEnd"/>
      <w:r w:rsidR="00553D96" w:rsidRPr="00D92B63">
        <w:rPr>
          <w:rFonts w:ascii="Book Antiqua" w:hAnsi="Book Antiqua"/>
          <w:color w:val="000000"/>
          <w:lang w:val="en-US"/>
        </w:rPr>
        <w:t xml:space="preserve"> D, Davidson A, Diamond B, Mackay M, Ding L, Gao W, Dooley MA, </w:t>
      </w:r>
      <w:proofErr w:type="spellStart"/>
      <w:r w:rsidR="00553D96" w:rsidRPr="00D92B63">
        <w:rPr>
          <w:rFonts w:ascii="Book Antiqua" w:hAnsi="Book Antiqua"/>
          <w:color w:val="000000"/>
          <w:lang w:val="en-US"/>
        </w:rPr>
        <w:t>Fragoso-Loyo</w:t>
      </w:r>
      <w:proofErr w:type="spellEnd"/>
      <w:r w:rsidR="00553D96" w:rsidRPr="00D92B63">
        <w:rPr>
          <w:rFonts w:ascii="Book Antiqua" w:hAnsi="Book Antiqua"/>
          <w:color w:val="000000"/>
          <w:lang w:val="en-US"/>
        </w:rPr>
        <w:t xml:space="preserve"> H, Sanchez-Guerrero J, Karp DR, Olsen NJ, Jolly M, </w:t>
      </w:r>
      <w:proofErr w:type="spellStart"/>
      <w:r w:rsidR="00553D96" w:rsidRPr="00D92B63">
        <w:rPr>
          <w:rFonts w:ascii="Book Antiqua" w:hAnsi="Book Antiqua"/>
          <w:color w:val="000000"/>
          <w:lang w:val="en-US"/>
        </w:rPr>
        <w:t>Kalunian</w:t>
      </w:r>
      <w:proofErr w:type="spellEnd"/>
      <w:r w:rsidR="00553D96" w:rsidRPr="00D92B63">
        <w:rPr>
          <w:rFonts w:ascii="Book Antiqua" w:hAnsi="Book Antiqua"/>
          <w:color w:val="000000"/>
          <w:lang w:val="en-US"/>
        </w:rPr>
        <w:t xml:space="preserve"> K, </w:t>
      </w:r>
      <w:proofErr w:type="spellStart"/>
      <w:r w:rsidR="00553D96" w:rsidRPr="00D92B63">
        <w:rPr>
          <w:rFonts w:ascii="Book Antiqua" w:hAnsi="Book Antiqua"/>
          <w:color w:val="000000"/>
          <w:lang w:val="en-US"/>
        </w:rPr>
        <w:t>Kamen</w:t>
      </w:r>
      <w:proofErr w:type="spellEnd"/>
      <w:r w:rsidR="00553D96" w:rsidRPr="00D92B63">
        <w:rPr>
          <w:rFonts w:ascii="Book Antiqua" w:hAnsi="Book Antiqua"/>
          <w:color w:val="000000"/>
          <w:lang w:val="en-US"/>
        </w:rPr>
        <w:t xml:space="preserve"> D, Lee I, Levesque MC, Lim S, Ramos-Remus C, </w:t>
      </w:r>
      <w:proofErr w:type="spellStart"/>
      <w:r w:rsidR="00553D96" w:rsidRPr="00D92B63">
        <w:rPr>
          <w:rFonts w:ascii="Book Antiqua" w:hAnsi="Book Antiqua"/>
          <w:color w:val="000000"/>
          <w:lang w:val="en-US"/>
        </w:rPr>
        <w:t>Rovin</w:t>
      </w:r>
      <w:proofErr w:type="spellEnd"/>
      <w:r w:rsidR="00553D96" w:rsidRPr="00D92B63">
        <w:rPr>
          <w:rFonts w:ascii="Book Antiqua" w:hAnsi="Book Antiqua"/>
          <w:color w:val="000000"/>
          <w:lang w:val="en-US"/>
        </w:rPr>
        <w:t xml:space="preserve"> BH, Sayre PH, </w:t>
      </w:r>
      <w:proofErr w:type="spellStart"/>
      <w:r w:rsidR="00553D96" w:rsidRPr="00D92B63">
        <w:rPr>
          <w:rFonts w:ascii="Book Antiqua" w:hAnsi="Book Antiqua"/>
          <w:color w:val="000000"/>
          <w:lang w:val="en-US"/>
        </w:rPr>
        <w:t>Smilek</w:t>
      </w:r>
      <w:proofErr w:type="spellEnd"/>
      <w:r w:rsidR="00553D96" w:rsidRPr="00D92B63">
        <w:rPr>
          <w:rFonts w:ascii="Book Antiqua" w:hAnsi="Book Antiqua"/>
          <w:color w:val="000000"/>
          <w:lang w:val="en-US"/>
        </w:rPr>
        <w:t xml:space="preserve"> DE, </w:t>
      </w:r>
      <w:proofErr w:type="spellStart"/>
      <w:r w:rsidR="00553D96" w:rsidRPr="00D92B63">
        <w:rPr>
          <w:rFonts w:ascii="Book Antiqua" w:hAnsi="Book Antiqua"/>
          <w:color w:val="000000"/>
          <w:lang w:val="en-US"/>
        </w:rPr>
        <w:t>Tosta</w:t>
      </w:r>
      <w:proofErr w:type="spellEnd"/>
      <w:r w:rsidR="00553D96" w:rsidRPr="00D92B63">
        <w:rPr>
          <w:rFonts w:ascii="Book Antiqua" w:hAnsi="Book Antiqua"/>
          <w:color w:val="000000"/>
          <w:lang w:val="en-US"/>
        </w:rPr>
        <w:t xml:space="preserve"> P, </w:t>
      </w:r>
      <w:proofErr w:type="spellStart"/>
      <w:r w:rsidR="00553D96" w:rsidRPr="00D92B63">
        <w:rPr>
          <w:rFonts w:ascii="Book Antiqua" w:hAnsi="Book Antiqua"/>
          <w:color w:val="000000"/>
          <w:lang w:val="en-US"/>
        </w:rPr>
        <w:t>Utset</w:t>
      </w:r>
      <w:proofErr w:type="spellEnd"/>
      <w:r w:rsidR="00553D96" w:rsidRPr="00D92B63">
        <w:rPr>
          <w:rFonts w:ascii="Book Antiqua" w:hAnsi="Book Antiqua"/>
          <w:color w:val="000000"/>
          <w:lang w:val="en-US"/>
        </w:rPr>
        <w:t xml:space="preserve"> TO, </w:t>
      </w:r>
      <w:proofErr w:type="spellStart"/>
      <w:r w:rsidR="00553D96" w:rsidRPr="00D92B63">
        <w:rPr>
          <w:rFonts w:ascii="Book Antiqua" w:hAnsi="Book Antiqua"/>
          <w:color w:val="000000"/>
          <w:lang w:val="en-US"/>
        </w:rPr>
        <w:t>Venuturupalli</w:t>
      </w:r>
      <w:proofErr w:type="spellEnd"/>
      <w:r w:rsidR="00553D96" w:rsidRPr="00D92B63">
        <w:rPr>
          <w:rFonts w:ascii="Book Antiqua" w:hAnsi="Book Antiqua"/>
          <w:color w:val="000000"/>
          <w:lang w:val="en-US"/>
        </w:rPr>
        <w:t xml:space="preserve"> S, Winchester R, </w:t>
      </w:r>
      <w:proofErr w:type="spellStart"/>
      <w:r w:rsidR="00553D96" w:rsidRPr="00D92B63">
        <w:rPr>
          <w:rFonts w:ascii="Book Antiqua" w:hAnsi="Book Antiqua"/>
          <w:color w:val="000000"/>
          <w:lang w:val="en-US"/>
        </w:rPr>
        <w:t>Aranow</w:t>
      </w:r>
      <w:proofErr w:type="spellEnd"/>
      <w:r w:rsidR="00553D96" w:rsidRPr="00D92B63">
        <w:rPr>
          <w:rFonts w:ascii="Book Antiqua" w:hAnsi="Book Antiqua"/>
          <w:color w:val="000000"/>
          <w:lang w:val="en-US"/>
        </w:rPr>
        <w:t xml:space="preserve"> C</w:t>
      </w:r>
      <w:r w:rsidRPr="00D01C8E">
        <w:rPr>
          <w:rFonts w:ascii="Book Antiqua" w:eastAsia="宋体" w:hAnsi="Book Antiqua" w:cs="宋体"/>
          <w:lang w:val="en-US" w:eastAsia="zh-CN"/>
        </w:rPr>
        <w:t xml:space="preserve">. Treatment of lupus nephritis with </w:t>
      </w:r>
      <w:proofErr w:type="spellStart"/>
      <w:r w:rsidRPr="00D01C8E">
        <w:rPr>
          <w:rFonts w:ascii="Book Antiqua" w:eastAsia="宋体" w:hAnsi="Book Antiqua" w:cs="宋体"/>
          <w:lang w:val="en-US" w:eastAsia="zh-CN"/>
        </w:rPr>
        <w:t>abatacept</w:t>
      </w:r>
      <w:proofErr w:type="spellEnd"/>
      <w:r w:rsidRPr="00D01C8E">
        <w:rPr>
          <w:rFonts w:ascii="Book Antiqua" w:eastAsia="宋体" w:hAnsi="Book Antiqua" w:cs="宋体"/>
          <w:lang w:val="en-US" w:eastAsia="zh-CN"/>
        </w:rPr>
        <w:t xml:space="preserve">: the </w:t>
      </w:r>
      <w:proofErr w:type="spellStart"/>
      <w:r w:rsidRPr="00D01C8E">
        <w:rPr>
          <w:rFonts w:ascii="Book Antiqua" w:eastAsia="宋体" w:hAnsi="Book Antiqua" w:cs="宋体"/>
          <w:lang w:val="en-US" w:eastAsia="zh-CN"/>
        </w:rPr>
        <w:t>Abatacept</w:t>
      </w:r>
      <w:proofErr w:type="spellEnd"/>
      <w:r w:rsidRPr="00D01C8E">
        <w:rPr>
          <w:rFonts w:ascii="Book Antiqua" w:eastAsia="宋体" w:hAnsi="Book Antiqua" w:cs="宋体"/>
          <w:lang w:val="en-US" w:eastAsia="zh-CN"/>
        </w:rPr>
        <w:t xml:space="preserve"> and Cyclophosphamide Combination Efficacy and Safety Study. </w:t>
      </w:r>
      <w:r w:rsidRPr="00D01C8E">
        <w:rPr>
          <w:rFonts w:ascii="Book Antiqua" w:eastAsia="宋体" w:hAnsi="Book Antiqua" w:cs="宋体"/>
          <w:i/>
          <w:iCs/>
          <w:lang w:val="en-US" w:eastAsia="zh-CN"/>
        </w:rPr>
        <w:t xml:space="preserve">Arthritis </w:t>
      </w:r>
      <w:proofErr w:type="spellStart"/>
      <w:r w:rsidRPr="00D01C8E">
        <w:rPr>
          <w:rFonts w:ascii="Book Antiqua" w:eastAsia="宋体" w:hAnsi="Book Antiqua" w:cs="宋体"/>
          <w:i/>
          <w:iCs/>
          <w:lang w:val="en-US" w:eastAsia="zh-CN"/>
        </w:rPr>
        <w:t>Rheumatol</w:t>
      </w:r>
      <w:proofErr w:type="spellEnd"/>
      <w:r w:rsidRPr="00D01C8E">
        <w:rPr>
          <w:rFonts w:ascii="Book Antiqua" w:eastAsia="宋体" w:hAnsi="Book Antiqua" w:cs="宋体"/>
          <w:lang w:val="en-US" w:eastAsia="zh-CN"/>
        </w:rPr>
        <w:t xml:space="preserve"> 2014; </w:t>
      </w:r>
      <w:r w:rsidRPr="00D01C8E">
        <w:rPr>
          <w:rFonts w:ascii="Book Antiqua" w:eastAsia="宋体" w:hAnsi="Book Antiqua" w:cs="宋体"/>
          <w:b/>
          <w:bCs/>
          <w:lang w:val="en-US" w:eastAsia="zh-CN"/>
        </w:rPr>
        <w:t>66</w:t>
      </w:r>
      <w:r w:rsidRPr="00D01C8E">
        <w:rPr>
          <w:rFonts w:ascii="Book Antiqua" w:eastAsia="宋体" w:hAnsi="Book Antiqua" w:cs="宋体"/>
          <w:lang w:val="en-US" w:eastAsia="zh-CN"/>
        </w:rPr>
        <w:t>: 3096-3104 [PMID: 25403681 DOI: 10.1002/art.38790]</w:t>
      </w:r>
    </w:p>
    <w:p w:rsidR="002F2987" w:rsidRPr="00553D96" w:rsidRDefault="002F2987" w:rsidP="00553D96">
      <w:pPr>
        <w:spacing w:line="360" w:lineRule="auto"/>
        <w:jc w:val="right"/>
        <w:rPr>
          <w:rFonts w:ascii="Book Antiqua" w:hAnsi="Book Antiqua"/>
          <w:bCs/>
          <w:lang w:val="en-US" w:eastAsia="zh-CN"/>
        </w:rPr>
      </w:pPr>
    </w:p>
    <w:p w:rsidR="00B37BF3" w:rsidRPr="00553D96" w:rsidRDefault="008259F2" w:rsidP="00553D96">
      <w:pPr>
        <w:tabs>
          <w:tab w:val="left" w:pos="0"/>
          <w:tab w:val="left" w:pos="1440"/>
        </w:tabs>
        <w:spacing w:line="360" w:lineRule="auto"/>
        <w:jc w:val="right"/>
        <w:rPr>
          <w:rFonts w:ascii="Book Antiqua" w:hAnsi="Book Antiqua"/>
          <w:b/>
          <w:bCs/>
          <w:lang w:val="en-US"/>
        </w:rPr>
      </w:pPr>
      <w:r w:rsidRPr="00553D96">
        <w:rPr>
          <w:rFonts w:ascii="Book Antiqua" w:hAnsi="Book Antiqua"/>
          <w:b/>
        </w:rPr>
        <w:t>P-Reviewer:</w:t>
      </w:r>
      <w:r w:rsidRPr="00553D96">
        <w:rPr>
          <w:rFonts w:ascii="Book Antiqua" w:hAnsi="Book Antiqua" w:cs="Tahoma"/>
          <w:color w:val="000000"/>
        </w:rPr>
        <w:t xml:space="preserve"> Saeki</w:t>
      </w:r>
      <w:r w:rsidRPr="00553D96">
        <w:rPr>
          <w:rFonts w:ascii="Book Antiqua" w:hAnsi="Book Antiqua" w:cs="Tahoma"/>
          <w:color w:val="000000"/>
          <w:lang w:eastAsia="zh-CN"/>
        </w:rPr>
        <w:t xml:space="preserve"> K, </w:t>
      </w:r>
      <w:r w:rsidRPr="00553D96">
        <w:rPr>
          <w:rFonts w:ascii="Book Antiqua" w:hAnsi="Book Antiqua" w:cs="Tahoma"/>
          <w:color w:val="000000"/>
        </w:rPr>
        <w:t>Song</w:t>
      </w:r>
      <w:r w:rsidRPr="00553D96">
        <w:rPr>
          <w:rFonts w:ascii="Book Antiqua" w:hAnsi="Book Antiqua" w:cs="Tahoma"/>
          <w:color w:val="000000"/>
          <w:lang w:eastAsia="zh-CN"/>
        </w:rPr>
        <w:t xml:space="preserve"> GB, </w:t>
      </w:r>
      <w:r w:rsidRPr="00553D96">
        <w:rPr>
          <w:rFonts w:ascii="Book Antiqua" w:hAnsi="Book Antiqua" w:cs="Tahoma"/>
          <w:color w:val="000000"/>
        </w:rPr>
        <w:t>Wang</w:t>
      </w:r>
      <w:r w:rsidRPr="00553D96">
        <w:rPr>
          <w:rFonts w:ascii="Book Antiqua" w:hAnsi="Book Antiqua" w:cs="Tahoma"/>
          <w:color w:val="000000"/>
          <w:lang w:eastAsia="zh-CN"/>
        </w:rPr>
        <w:t xml:space="preserve"> F</w:t>
      </w:r>
      <w:r w:rsidRPr="00553D96">
        <w:rPr>
          <w:rFonts w:ascii="Book Antiqua" w:hAnsi="Book Antiqua"/>
          <w:b/>
        </w:rPr>
        <w:t xml:space="preserve"> S-Editor: </w:t>
      </w:r>
      <w:r w:rsidRPr="00553D96">
        <w:rPr>
          <w:rFonts w:ascii="Book Antiqua" w:hAnsi="Book Antiqua"/>
        </w:rPr>
        <w:t>Ji FF</w:t>
      </w:r>
      <w:r w:rsidRPr="00553D96">
        <w:rPr>
          <w:rFonts w:ascii="Book Antiqua" w:hAnsi="Book Antiqua"/>
          <w:b/>
        </w:rPr>
        <w:t xml:space="preserve"> L-Editor: E-Editor:</w:t>
      </w:r>
    </w:p>
    <w:p w:rsidR="008259F2" w:rsidRPr="00D01C8E" w:rsidRDefault="008259F2" w:rsidP="00D01C8E">
      <w:pPr>
        <w:suppressAutoHyphens w:val="0"/>
        <w:spacing w:line="360" w:lineRule="auto"/>
        <w:jc w:val="both"/>
        <w:rPr>
          <w:rFonts w:ascii="Book Antiqua" w:hAnsi="Book Antiqua"/>
          <w:b/>
          <w:bCs/>
          <w:lang w:val="en-US"/>
        </w:rPr>
      </w:pPr>
      <w:r w:rsidRPr="00D01C8E">
        <w:rPr>
          <w:rFonts w:ascii="Book Antiqua" w:hAnsi="Book Antiqua"/>
          <w:b/>
          <w:bCs/>
          <w:lang w:val="en-US"/>
        </w:rPr>
        <w:br w:type="page"/>
      </w:r>
    </w:p>
    <w:p w:rsidR="00B37BF3" w:rsidRPr="00A71E3B" w:rsidRDefault="00B37BF3" w:rsidP="00B30536">
      <w:pPr>
        <w:tabs>
          <w:tab w:val="left" w:pos="0"/>
          <w:tab w:val="left" w:pos="1440"/>
        </w:tabs>
        <w:spacing w:line="360" w:lineRule="auto"/>
        <w:jc w:val="both"/>
        <w:rPr>
          <w:rFonts w:ascii="Book Antiqua" w:hAnsi="Book Antiqua"/>
          <w:lang w:val="en-US" w:eastAsia="zh-CN"/>
        </w:rPr>
      </w:pPr>
    </w:p>
    <w:p w:rsidR="00B37BF3" w:rsidRPr="00A71E3B" w:rsidRDefault="00B37BF3" w:rsidP="00B30536">
      <w:pPr>
        <w:tabs>
          <w:tab w:val="left" w:pos="0"/>
          <w:tab w:val="left" w:pos="1440"/>
        </w:tabs>
        <w:spacing w:line="360" w:lineRule="auto"/>
        <w:jc w:val="both"/>
        <w:rPr>
          <w:rFonts w:ascii="Book Antiqua" w:hAnsi="Book Antiqua"/>
          <w:lang w:val="en-US"/>
        </w:rPr>
      </w:pPr>
      <w:r w:rsidRPr="00A71E3B">
        <w:rPr>
          <w:rFonts w:ascii="Book Antiqua" w:hAnsi="Book Antiqua" w:cs="Arial"/>
          <w:b/>
          <w:bCs/>
          <w:noProof/>
          <w:lang w:val="en-US" w:eastAsia="en-US"/>
        </w:rPr>
        <w:drawing>
          <wp:inline distT="0" distB="0" distL="0" distR="0" wp14:anchorId="7912C4B3" wp14:editId="60110548">
            <wp:extent cx="6120765" cy="33712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371215"/>
                    </a:xfrm>
                    <a:prstGeom prst="rect">
                      <a:avLst/>
                    </a:prstGeom>
                    <a:solidFill>
                      <a:srgbClr val="FFFFFF"/>
                    </a:solidFill>
                    <a:ln>
                      <a:noFill/>
                    </a:ln>
                  </pic:spPr>
                </pic:pic>
              </a:graphicData>
            </a:graphic>
          </wp:inline>
        </w:drawing>
      </w:r>
    </w:p>
    <w:p w:rsidR="00B37BF3" w:rsidRPr="00A71E3B" w:rsidRDefault="00B37BF3" w:rsidP="00B30536">
      <w:pPr>
        <w:spacing w:line="360" w:lineRule="auto"/>
        <w:jc w:val="both"/>
        <w:rPr>
          <w:rFonts w:ascii="Book Antiqua" w:hAnsi="Book Antiqua"/>
          <w:b/>
          <w:bCs/>
          <w:lang w:val="en-US"/>
        </w:rPr>
      </w:pPr>
    </w:p>
    <w:p w:rsidR="00B37BF3" w:rsidRPr="00A71E3B" w:rsidRDefault="00B37BF3" w:rsidP="00B30536">
      <w:pPr>
        <w:pStyle w:val="WW-Standard"/>
        <w:spacing w:line="360" w:lineRule="auto"/>
        <w:jc w:val="both"/>
        <w:rPr>
          <w:rFonts w:ascii="Book Antiqua" w:hAnsi="Book Antiqua"/>
          <w:lang w:val="en-US"/>
        </w:rPr>
      </w:pPr>
      <w:r w:rsidRPr="00A71E3B">
        <w:rPr>
          <w:rFonts w:ascii="Book Antiqua" w:hAnsi="Book Antiqua"/>
          <w:b/>
          <w:lang w:val="en-US"/>
        </w:rPr>
        <w:t xml:space="preserve">Figure 1 Evolution of the therapeutic approaches for </w:t>
      </w:r>
      <w:r w:rsidRPr="00A71E3B">
        <w:rPr>
          <w:rFonts w:ascii="Book Antiqua" w:hAnsi="Book Antiqua"/>
          <w:b/>
          <w:lang w:val="en-US" w:eastAsia="it-IT"/>
        </w:rPr>
        <w:t>focal segmental glomerulosclerosis</w:t>
      </w:r>
      <w:r w:rsidRPr="00A71E3B">
        <w:rPr>
          <w:rFonts w:ascii="Book Antiqua" w:hAnsi="Book Antiqua"/>
          <w:b/>
          <w:lang w:val="en-US"/>
        </w:rPr>
        <w:t xml:space="preserve"> recurrence and related recent perspectives.</w:t>
      </w:r>
      <w:r w:rsidRPr="00A71E3B">
        <w:rPr>
          <w:rFonts w:ascii="Book Antiqua" w:hAnsi="Book Antiqua"/>
          <w:lang w:val="en-US"/>
        </w:rPr>
        <w:t xml:space="preserve"> The various treatments and their mechanisms are represented by the star shapes. </w:t>
      </w:r>
      <w:proofErr w:type="spellStart"/>
      <w:r w:rsidRPr="00A71E3B">
        <w:rPr>
          <w:rFonts w:ascii="Book Antiqua" w:hAnsi="Book Antiqua"/>
          <w:lang w:val="en-US"/>
        </w:rPr>
        <w:t>CyA</w:t>
      </w:r>
      <w:proofErr w:type="spellEnd"/>
      <w:r w:rsidR="00390ED2">
        <w:rPr>
          <w:rFonts w:ascii="Book Antiqua" w:eastAsiaTheme="minorEastAsia" w:hAnsi="Book Antiqua" w:hint="eastAsia"/>
          <w:lang w:val="en-US" w:eastAsia="zh-CN"/>
        </w:rPr>
        <w:t>:</w:t>
      </w:r>
      <w:r w:rsidRPr="00A71E3B">
        <w:rPr>
          <w:rFonts w:ascii="Book Antiqua" w:hAnsi="Book Antiqua"/>
          <w:lang w:val="en-US"/>
        </w:rPr>
        <w:t xml:space="preserve"> Cyclosporine; PE</w:t>
      </w:r>
      <w:r w:rsidR="00390ED2">
        <w:rPr>
          <w:rFonts w:ascii="Book Antiqua" w:eastAsiaTheme="minorEastAsia" w:hAnsi="Book Antiqua" w:hint="eastAsia"/>
          <w:lang w:val="en-US" w:eastAsia="zh-CN"/>
        </w:rPr>
        <w:t>:</w:t>
      </w:r>
      <w:r w:rsidRPr="00A71E3B">
        <w:rPr>
          <w:rFonts w:ascii="Book Antiqua" w:hAnsi="Book Antiqua"/>
          <w:lang w:val="en-US"/>
        </w:rPr>
        <w:t xml:space="preserve"> Plasma exchange; MMF</w:t>
      </w:r>
      <w:r w:rsidR="00390ED2">
        <w:rPr>
          <w:rFonts w:ascii="Book Antiqua" w:eastAsiaTheme="minorEastAsia" w:hAnsi="Book Antiqua" w:hint="eastAsia"/>
          <w:lang w:val="en-US" w:eastAsia="zh-CN"/>
        </w:rPr>
        <w:t>:</w:t>
      </w:r>
      <w:r w:rsidRPr="00A71E3B">
        <w:rPr>
          <w:rFonts w:ascii="Book Antiqua" w:hAnsi="Book Antiqua"/>
          <w:lang w:val="en-US"/>
        </w:rPr>
        <w:t xml:space="preserve"> Mycophenolate </w:t>
      </w:r>
      <w:proofErr w:type="spellStart"/>
      <w:r w:rsidRPr="00A71E3B">
        <w:rPr>
          <w:rFonts w:ascii="Book Antiqua" w:hAnsi="Book Antiqua"/>
          <w:lang w:val="en-US"/>
        </w:rPr>
        <w:t>mofetil</w:t>
      </w:r>
      <w:proofErr w:type="spellEnd"/>
      <w:r w:rsidRPr="00A71E3B">
        <w:rPr>
          <w:rFonts w:ascii="Book Antiqua" w:hAnsi="Book Antiqua"/>
          <w:lang w:val="en-US"/>
        </w:rPr>
        <w:t xml:space="preserve">; </w:t>
      </w:r>
      <w:proofErr w:type="spellStart"/>
      <w:r w:rsidRPr="00A71E3B">
        <w:rPr>
          <w:rFonts w:ascii="Book Antiqua" w:hAnsi="Book Antiqua"/>
          <w:lang w:val="en-US"/>
        </w:rPr>
        <w:t>suPAR</w:t>
      </w:r>
      <w:proofErr w:type="spellEnd"/>
      <w:r w:rsidR="00390ED2">
        <w:rPr>
          <w:rFonts w:ascii="Book Antiqua" w:eastAsiaTheme="minorEastAsia" w:hAnsi="Book Antiqua" w:hint="eastAsia"/>
          <w:lang w:val="en-US" w:eastAsia="zh-CN"/>
        </w:rPr>
        <w:t>:</w:t>
      </w:r>
      <w:r w:rsidRPr="00A71E3B">
        <w:rPr>
          <w:rFonts w:ascii="Book Antiqua" w:hAnsi="Book Antiqua"/>
          <w:lang w:val="en-US"/>
        </w:rPr>
        <w:t xml:space="preserve"> Soluble form of the </w:t>
      </w:r>
      <w:proofErr w:type="spellStart"/>
      <w:r w:rsidRPr="00A71E3B">
        <w:rPr>
          <w:rFonts w:ascii="Book Antiqua" w:hAnsi="Book Antiqua"/>
          <w:lang w:val="en-US"/>
        </w:rPr>
        <w:t>urokinase</w:t>
      </w:r>
      <w:proofErr w:type="spellEnd"/>
      <w:r w:rsidRPr="00A71E3B">
        <w:rPr>
          <w:rFonts w:ascii="Book Antiqua" w:hAnsi="Book Antiqua"/>
          <w:lang w:val="en-US"/>
        </w:rPr>
        <w:t xml:space="preserve"> type plasminogen activator receptor; CYC</w:t>
      </w:r>
      <w:r w:rsidR="00390ED2">
        <w:rPr>
          <w:rFonts w:ascii="Book Antiqua" w:eastAsiaTheme="minorEastAsia" w:hAnsi="Book Antiqua" w:hint="eastAsia"/>
          <w:lang w:val="en-US" w:eastAsia="zh-CN"/>
        </w:rPr>
        <w:t>:</w:t>
      </w:r>
      <w:r w:rsidRPr="00A71E3B">
        <w:rPr>
          <w:rFonts w:ascii="Book Antiqua" w:hAnsi="Book Antiqua"/>
          <w:lang w:val="en-US"/>
        </w:rPr>
        <w:t xml:space="preserve"> Cyclophosphamide; RTX</w:t>
      </w:r>
      <w:r w:rsidR="00390ED2">
        <w:rPr>
          <w:rFonts w:ascii="Book Antiqua" w:eastAsiaTheme="minorEastAsia" w:hAnsi="Book Antiqua" w:hint="eastAsia"/>
          <w:lang w:val="en-US" w:eastAsia="zh-CN"/>
        </w:rPr>
        <w:t>:</w:t>
      </w:r>
      <w:r w:rsidRPr="00A71E3B">
        <w:rPr>
          <w:rFonts w:ascii="Book Antiqua" w:hAnsi="Book Antiqua"/>
          <w:lang w:val="en-US"/>
        </w:rPr>
        <w:t xml:space="preserve"> Rituximab</w:t>
      </w:r>
      <w:r w:rsidR="00B1092A" w:rsidRPr="00A71E3B">
        <w:rPr>
          <w:rFonts w:ascii="Book Antiqua" w:hAnsi="Book Antiqua"/>
          <w:vertAlign w:val="superscript"/>
          <w:lang w:val="en-US"/>
        </w:rPr>
        <w:t>®</w:t>
      </w:r>
      <w:r w:rsidRPr="00A71E3B">
        <w:rPr>
          <w:rFonts w:ascii="Book Antiqua" w:hAnsi="Book Antiqua"/>
          <w:lang w:val="en-US"/>
        </w:rPr>
        <w:t>; IA</w:t>
      </w:r>
      <w:r w:rsidR="00390ED2">
        <w:rPr>
          <w:rFonts w:ascii="Book Antiqua" w:eastAsiaTheme="minorEastAsia" w:hAnsi="Book Antiqua" w:hint="eastAsia"/>
          <w:lang w:val="en-US" w:eastAsia="zh-CN"/>
        </w:rPr>
        <w:t>:</w:t>
      </w:r>
      <w:r w:rsidRPr="00A71E3B">
        <w:rPr>
          <w:rFonts w:ascii="Book Antiqua" w:hAnsi="Book Antiqua"/>
          <w:lang w:val="en-US"/>
        </w:rPr>
        <w:t xml:space="preserve"> Immuno-adsorption; </w:t>
      </w:r>
      <w:proofErr w:type="spellStart"/>
      <w:r w:rsidRPr="00A71E3B">
        <w:rPr>
          <w:rFonts w:ascii="Book Antiqua" w:hAnsi="Book Antiqua"/>
          <w:lang w:val="en-US"/>
        </w:rPr>
        <w:t>Synpo</w:t>
      </w:r>
      <w:proofErr w:type="spellEnd"/>
      <w:r w:rsidR="00390ED2">
        <w:rPr>
          <w:rFonts w:ascii="Book Antiqua" w:eastAsiaTheme="minorEastAsia" w:hAnsi="Book Antiqua" w:hint="eastAsia"/>
          <w:lang w:val="en-US" w:eastAsia="zh-CN"/>
        </w:rPr>
        <w:t>:</w:t>
      </w:r>
      <w:r w:rsidRPr="00A71E3B">
        <w:rPr>
          <w:rFonts w:ascii="Book Antiqua" w:hAnsi="Book Antiqua"/>
          <w:lang w:val="en-US"/>
        </w:rPr>
        <w:t xml:space="preserve"> </w:t>
      </w:r>
      <w:proofErr w:type="spellStart"/>
      <w:r w:rsidRPr="00A71E3B">
        <w:rPr>
          <w:rFonts w:ascii="Book Antiqua" w:hAnsi="Book Antiqua"/>
          <w:lang w:val="en-US"/>
        </w:rPr>
        <w:t>Synaptopodine</w:t>
      </w:r>
      <w:proofErr w:type="spellEnd"/>
      <w:r w:rsidRPr="00A71E3B">
        <w:rPr>
          <w:rFonts w:ascii="Book Antiqua" w:hAnsi="Book Antiqua"/>
          <w:lang w:val="en-US"/>
        </w:rPr>
        <w:t>; SMLPD-3b</w:t>
      </w:r>
      <w:r w:rsidR="00390ED2">
        <w:rPr>
          <w:rFonts w:ascii="Book Antiqua" w:eastAsiaTheme="minorEastAsia" w:hAnsi="Book Antiqua" w:hint="eastAsia"/>
          <w:lang w:val="en-US" w:eastAsia="zh-CN"/>
        </w:rPr>
        <w:t>:</w:t>
      </w:r>
      <w:r w:rsidRPr="00A71E3B">
        <w:rPr>
          <w:rFonts w:ascii="Book Antiqua" w:hAnsi="Book Antiqua"/>
          <w:lang w:val="en-US"/>
        </w:rPr>
        <w:t xml:space="preserve"> Sphingomyelin-phosphodiesterase-acid-like-3b protein. Note: Steroids also regulate the podocyte activity of stabilizing the actin cytoskeleton, preserving glomerular </w:t>
      </w:r>
      <w:proofErr w:type="spellStart"/>
      <w:r w:rsidRPr="00A71E3B">
        <w:rPr>
          <w:rFonts w:ascii="Book Antiqua" w:hAnsi="Book Antiqua"/>
          <w:lang w:val="en-US"/>
        </w:rPr>
        <w:t>permeselectivity</w:t>
      </w:r>
      <w:proofErr w:type="spellEnd"/>
      <w:r w:rsidRPr="00A71E3B">
        <w:rPr>
          <w:rFonts w:ascii="Book Antiqua" w:hAnsi="Book Antiqua"/>
          <w:lang w:val="en-US"/>
        </w:rPr>
        <w:t xml:space="preserve">, and directly reducing apoptosis </w:t>
      </w:r>
      <w:r w:rsidR="00256FDF" w:rsidRPr="00256FDF">
        <w:rPr>
          <w:rFonts w:ascii="Book Antiqua" w:hAnsi="Book Antiqua"/>
          <w:i/>
          <w:lang w:val="en-US"/>
        </w:rPr>
        <w:t>via</w:t>
      </w:r>
      <w:r w:rsidRPr="00A71E3B">
        <w:rPr>
          <w:rFonts w:ascii="Book Antiqua" w:hAnsi="Book Antiqua"/>
          <w:lang w:val="en-US"/>
        </w:rPr>
        <w:t xml:space="preserve"> the PI3K/</w:t>
      </w:r>
      <w:proofErr w:type="spellStart"/>
      <w:r w:rsidRPr="00A71E3B">
        <w:rPr>
          <w:rFonts w:ascii="Book Antiqua" w:hAnsi="Book Antiqua"/>
          <w:lang w:val="en-US"/>
        </w:rPr>
        <w:t>Akt</w:t>
      </w:r>
      <w:proofErr w:type="spellEnd"/>
      <w:r w:rsidRPr="00A71E3B">
        <w:rPr>
          <w:rFonts w:ascii="Book Antiqua" w:hAnsi="Book Antiqua"/>
          <w:lang w:val="en-US"/>
        </w:rPr>
        <w:t xml:space="preserve"> signaling pathway.</w:t>
      </w:r>
    </w:p>
    <w:p w:rsidR="00B37BF3" w:rsidRPr="00390ED2" w:rsidRDefault="00B37BF3" w:rsidP="00B30536">
      <w:pPr>
        <w:pStyle w:val="WW-Standard"/>
        <w:spacing w:line="360" w:lineRule="auto"/>
        <w:jc w:val="both"/>
        <w:rPr>
          <w:rFonts w:ascii="Book Antiqua" w:eastAsiaTheme="minorEastAsia" w:hAnsi="Book Antiqua"/>
          <w:lang w:val="en-US" w:eastAsia="zh-CN"/>
        </w:rPr>
      </w:pPr>
    </w:p>
    <w:p w:rsidR="00B37BF3" w:rsidRPr="004E5D94" w:rsidRDefault="00B37BF3" w:rsidP="00B30536">
      <w:pPr>
        <w:pStyle w:val="WW-Standard"/>
        <w:spacing w:line="360" w:lineRule="auto"/>
        <w:jc w:val="both"/>
        <w:rPr>
          <w:rFonts w:ascii="Book Antiqua" w:eastAsiaTheme="minorEastAsia" w:hAnsi="Book Antiqua"/>
          <w:b/>
          <w:lang w:val="en-US" w:eastAsia="zh-CN"/>
        </w:rPr>
      </w:pPr>
    </w:p>
    <w:p w:rsidR="00B37BF3" w:rsidRPr="00A71E3B" w:rsidRDefault="00B37BF3" w:rsidP="00B30536">
      <w:pPr>
        <w:spacing w:line="360" w:lineRule="auto"/>
        <w:jc w:val="both"/>
        <w:rPr>
          <w:rFonts w:ascii="Book Antiqua" w:hAnsi="Book Antiqua"/>
          <w:b/>
          <w:lang w:val="en-US" w:eastAsia="it-IT"/>
        </w:rPr>
      </w:pPr>
      <w:r w:rsidRPr="00A71E3B">
        <w:rPr>
          <w:rFonts w:ascii="Book Antiqua" w:hAnsi="Book Antiqua"/>
          <w:b/>
          <w:lang w:val="en-US"/>
        </w:rPr>
        <w:br w:type="page"/>
      </w:r>
      <w:r w:rsidRPr="00A71E3B">
        <w:rPr>
          <w:rFonts w:ascii="Book Antiqua" w:hAnsi="Book Antiqua"/>
          <w:b/>
          <w:lang w:val="en-US"/>
        </w:rPr>
        <w:lastRenderedPageBreak/>
        <w:t>Table 1</w:t>
      </w:r>
      <w:r w:rsidRPr="00A71E3B">
        <w:rPr>
          <w:rFonts w:ascii="Book Antiqua" w:hAnsi="Book Antiqua"/>
          <w:lang w:val="en-US"/>
        </w:rPr>
        <w:t xml:space="preserve"> </w:t>
      </w:r>
      <w:r w:rsidRPr="00A71E3B">
        <w:rPr>
          <w:rFonts w:ascii="Book Antiqua" w:hAnsi="Book Antiqua"/>
          <w:b/>
          <w:lang w:val="en-US" w:eastAsia="it-IT"/>
        </w:rPr>
        <w:t xml:space="preserve">Therapeutic </w:t>
      </w:r>
      <w:proofErr w:type="gramStart"/>
      <w:r w:rsidRPr="00A71E3B">
        <w:rPr>
          <w:rFonts w:ascii="Book Antiqua" w:hAnsi="Book Antiqua"/>
          <w:b/>
          <w:lang w:val="en-US" w:eastAsia="it-IT"/>
        </w:rPr>
        <w:t>strateg</w:t>
      </w:r>
      <w:bookmarkStart w:id="4" w:name="_GoBack"/>
      <w:bookmarkEnd w:id="4"/>
      <w:r w:rsidRPr="00A71E3B">
        <w:rPr>
          <w:rFonts w:ascii="Book Antiqua" w:hAnsi="Book Antiqua"/>
          <w:b/>
          <w:lang w:val="en-US" w:eastAsia="it-IT"/>
        </w:rPr>
        <w:t>ies</w:t>
      </w:r>
      <w:proofErr w:type="gramEnd"/>
      <w:r w:rsidRPr="00A71E3B">
        <w:rPr>
          <w:rFonts w:ascii="Book Antiqua" w:hAnsi="Book Antiqua"/>
          <w:b/>
          <w:lang w:val="en-US" w:eastAsia="it-IT"/>
        </w:rPr>
        <w:t xml:space="preserve"> for focal segmental glomerulosclerosis in renal transplantation</w:t>
      </w:r>
    </w:p>
    <w:p w:rsidR="00B37BF3" w:rsidRPr="00A71E3B" w:rsidRDefault="00B37BF3" w:rsidP="00B30536">
      <w:pPr>
        <w:spacing w:line="360" w:lineRule="auto"/>
        <w:jc w:val="both"/>
        <w:rPr>
          <w:rFonts w:ascii="Book Antiqua" w:hAnsi="Book Antiqua"/>
          <w:b/>
          <w:lang w:val="en-US" w:eastAsia="it-I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62"/>
        <w:gridCol w:w="1673"/>
        <w:gridCol w:w="2244"/>
        <w:gridCol w:w="2551"/>
      </w:tblGrid>
      <w:tr w:rsidR="00E0252C" w:rsidRPr="00A71E3B" w:rsidTr="004E5D94">
        <w:tc>
          <w:tcPr>
            <w:tcW w:w="1384" w:type="dxa"/>
            <w:shd w:val="clear" w:color="auto" w:fill="auto"/>
            <w:hideMark/>
          </w:tcPr>
          <w:p w:rsidR="00B37BF3" w:rsidRPr="00A71E3B" w:rsidRDefault="00B37BF3" w:rsidP="00B30536">
            <w:pPr>
              <w:suppressAutoHyphens w:val="0"/>
              <w:spacing w:line="360" w:lineRule="auto"/>
              <w:jc w:val="both"/>
              <w:rPr>
                <w:rFonts w:ascii="Book Antiqua" w:hAnsi="Book Antiqua"/>
                <w:b/>
                <w:bCs/>
                <w:lang w:val="en-US" w:eastAsia="it-IT"/>
              </w:rPr>
            </w:pPr>
            <w:r w:rsidRPr="00A71E3B">
              <w:rPr>
                <w:rFonts w:ascii="Book Antiqua" w:hAnsi="Book Antiqua"/>
                <w:b/>
                <w:bCs/>
                <w:lang w:val="en-US" w:eastAsia="it-IT"/>
              </w:rPr>
              <w:br w:type="page"/>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b/>
                <w:bCs/>
                <w:lang w:val="en-US" w:eastAsia="it-IT"/>
              </w:rPr>
            </w:pPr>
            <w:r w:rsidRPr="00A71E3B">
              <w:rPr>
                <w:rFonts w:ascii="Book Antiqua" w:hAnsi="Book Antiqua"/>
                <w:b/>
                <w:bCs/>
                <w:lang w:val="en-US" w:eastAsia="it-IT"/>
              </w:rPr>
              <w:t>Treatment schedule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b/>
                <w:bCs/>
                <w:lang w:val="en-US" w:eastAsia="it-IT"/>
              </w:rPr>
            </w:pPr>
            <w:r w:rsidRPr="00A71E3B">
              <w:rPr>
                <w:rFonts w:ascii="Book Antiqua" w:hAnsi="Book Antiqua"/>
                <w:b/>
                <w:bCs/>
                <w:lang w:val="en-US" w:eastAsia="it-IT"/>
              </w:rPr>
              <w:t>Patients</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b/>
                <w:bCs/>
                <w:lang w:val="en-US" w:eastAsia="it-IT"/>
              </w:rPr>
            </w:pPr>
            <w:r w:rsidRPr="00A71E3B">
              <w:rPr>
                <w:rFonts w:ascii="Book Antiqua" w:hAnsi="Book Antiqua"/>
                <w:b/>
                <w:bCs/>
                <w:lang w:val="en-US" w:eastAsia="it-IT"/>
              </w:rPr>
              <w:t>Outcome</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b/>
                <w:bCs/>
                <w:lang w:val="en-US" w:eastAsia="it-IT"/>
              </w:rPr>
            </w:pPr>
            <w:r w:rsidRPr="00A71E3B">
              <w:rPr>
                <w:rFonts w:ascii="Book Antiqua" w:hAnsi="Book Antiqua"/>
                <w:b/>
                <w:bCs/>
                <w:lang w:val="en-US" w:eastAsia="it-IT"/>
              </w:rPr>
              <w:t>Adjunctive information</w:t>
            </w:r>
          </w:p>
        </w:tc>
      </w:tr>
      <w:tr w:rsidR="00E0252C" w:rsidRPr="00A71E3B" w:rsidTr="004E5D94">
        <w:tc>
          <w:tcPr>
            <w:tcW w:w="7763" w:type="dxa"/>
            <w:gridSpan w:val="4"/>
            <w:shd w:val="clear" w:color="auto" w:fill="auto"/>
            <w:hideMark/>
          </w:tcPr>
          <w:p w:rsidR="00B37BF3" w:rsidRPr="00B40B12" w:rsidRDefault="00B37BF3" w:rsidP="00B30536">
            <w:pPr>
              <w:suppressAutoHyphens w:val="0"/>
              <w:spacing w:line="360" w:lineRule="auto"/>
              <w:jc w:val="both"/>
              <w:rPr>
                <w:rFonts w:ascii="Book Antiqua" w:hAnsi="Book Antiqua"/>
                <w:b/>
                <w:bCs/>
                <w:lang w:val="en-US" w:eastAsia="it-IT"/>
              </w:rPr>
            </w:pPr>
            <w:r w:rsidRPr="00B40B12">
              <w:rPr>
                <w:rFonts w:ascii="Book Antiqua" w:hAnsi="Book Antiqua"/>
                <w:b/>
                <w:bCs/>
                <w:iCs/>
                <w:lang w:val="en-US" w:eastAsia="it-IT"/>
              </w:rPr>
              <w:t>Plasma exchange</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Ponticelli</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B40B12">
              <w:rPr>
                <w:rFonts w:ascii="Book Antiqua" w:hAnsi="Book Antiqua"/>
                <w:b/>
                <w:bCs/>
                <w:vertAlign w:val="superscript"/>
                <w:lang w:val="en-US" w:eastAsia="it-IT"/>
              </w:rPr>
              <w:t>[4]</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Analysis of PE response in 22 studies</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144 patients (70 &lt;</w:t>
            </w:r>
            <w:r w:rsidR="00B40B12">
              <w:rPr>
                <w:rFonts w:ascii="Book Antiqua" w:hAnsi="Book Antiqua" w:hint="eastAsia"/>
                <w:lang w:val="en-US" w:eastAsia="zh-CN"/>
              </w:rPr>
              <w:t xml:space="preserve"> </w:t>
            </w:r>
            <w:r w:rsidR="00B40B12">
              <w:rPr>
                <w:rFonts w:ascii="Book Antiqua" w:hAnsi="Book Antiqua"/>
                <w:lang w:val="en-US" w:eastAsia="it-IT"/>
              </w:rPr>
              <w:t xml:space="preserve">18 </w:t>
            </w:r>
            <w:proofErr w:type="spellStart"/>
            <w:r w:rsidR="00B40B12">
              <w:rPr>
                <w:rFonts w:ascii="Book Antiqua" w:hAnsi="Book Antiqua"/>
                <w:lang w:val="en-US" w:eastAsia="it-IT"/>
              </w:rPr>
              <w:t>y</w:t>
            </w:r>
            <w:r w:rsidRPr="00A71E3B">
              <w:rPr>
                <w:rFonts w:ascii="Book Antiqua" w:hAnsi="Book Antiqua"/>
                <w:lang w:val="en-US" w:eastAsia="it-IT"/>
              </w:rPr>
              <w:t>r</w:t>
            </w:r>
            <w:proofErr w:type="spellEnd"/>
            <w:r w:rsidR="00B40B12">
              <w:rPr>
                <w:rFonts w:ascii="Book Antiqua" w:hAnsi="Book Antiqua"/>
                <w:lang w:val="en-US" w:eastAsia="it-IT"/>
              </w:rPr>
              <w:t>, 77 ≥</w:t>
            </w:r>
            <w:r w:rsidR="00B40B12">
              <w:rPr>
                <w:rFonts w:ascii="Book Antiqua" w:hAnsi="Book Antiqua" w:hint="eastAsia"/>
                <w:lang w:val="en-US" w:eastAsia="zh-CN"/>
              </w:rPr>
              <w:t xml:space="preserve"> </w:t>
            </w:r>
            <w:r w:rsidR="00B40B12">
              <w:rPr>
                <w:rFonts w:ascii="Book Antiqua" w:hAnsi="Book Antiqua"/>
                <w:lang w:val="en-US" w:eastAsia="it-IT"/>
              </w:rPr>
              <w:t xml:space="preserve">18 </w:t>
            </w:r>
            <w:proofErr w:type="spellStart"/>
            <w:r w:rsidR="00B40B12">
              <w:rPr>
                <w:rFonts w:ascii="Book Antiqua" w:hAnsi="Book Antiqua"/>
                <w:lang w:val="en-US" w:eastAsia="it-IT"/>
              </w:rPr>
              <w:t>yr</w:t>
            </w:r>
            <w:proofErr w:type="spellEnd"/>
            <w:r w:rsidRPr="00A71E3B">
              <w:rPr>
                <w:rFonts w:ascii="Book Antiqua" w:hAnsi="Book Antiqua"/>
                <w:lang w:val="en-US" w:eastAsia="it-IT"/>
              </w:rPr>
              <w:t xml:space="preserve">) </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Partial/complete remission of proteinuria in 49/70 (70%) children and 49/77 (63%) adults</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Analysis also includes </w:t>
            </w:r>
            <w:proofErr w:type="spellStart"/>
            <w:r w:rsidRPr="00A71E3B">
              <w:rPr>
                <w:rFonts w:ascii="Book Antiqua" w:hAnsi="Book Antiqua"/>
                <w:lang w:val="en-US" w:eastAsia="it-IT"/>
              </w:rPr>
              <w:t>Canaud</w:t>
            </w:r>
            <w:proofErr w:type="spellEnd"/>
            <w:r w:rsidRPr="00A71E3B">
              <w:rPr>
                <w:rFonts w:ascii="Book Antiqua" w:hAnsi="Book Antiqua"/>
                <w:lang w:val="en-US" w:eastAsia="it-IT"/>
              </w:rPr>
              <w:t xml:space="preserve"> </w:t>
            </w:r>
            <w:r w:rsidRPr="00A71E3B">
              <w:rPr>
                <w:rFonts w:ascii="Book Antiqua" w:hAnsi="Book Antiqua"/>
                <w:i/>
                <w:lang w:val="en-US" w:eastAsia="it-IT"/>
              </w:rPr>
              <w:t>et al</w:t>
            </w:r>
            <w:r w:rsidRPr="00A71E3B">
              <w:rPr>
                <w:rFonts w:ascii="Book Antiqua" w:hAnsi="Book Antiqua"/>
                <w:vertAlign w:val="superscript"/>
                <w:lang w:val="en-US" w:eastAsia="it-IT"/>
              </w:rPr>
              <w:t>[33]</w:t>
            </w:r>
            <w:r w:rsidRPr="00A71E3B">
              <w:rPr>
                <w:rFonts w:ascii="Book Antiqua" w:hAnsi="Book Antiqua"/>
                <w:lang w:val="en-US" w:eastAsia="it-IT"/>
              </w:rPr>
              <w:t xml:space="preserve"> 10 patients</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Gohn</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B40B12">
              <w:rPr>
                <w:rFonts w:ascii="Book Antiqua" w:hAnsi="Book Antiqua"/>
                <w:b/>
                <w:bCs/>
                <w:vertAlign w:val="superscript"/>
                <w:lang w:val="en-US" w:eastAsia="it-IT"/>
              </w:rPr>
              <w:t>[31]</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Prophylactic course of 8 PE sessions in the </w:t>
            </w:r>
            <w:proofErr w:type="spellStart"/>
            <w:r w:rsidRPr="00A71E3B">
              <w:rPr>
                <w:rFonts w:ascii="Book Antiqua" w:hAnsi="Book Antiqua"/>
                <w:lang w:val="en-US" w:eastAsia="it-IT"/>
              </w:rPr>
              <w:t>peri</w:t>
            </w:r>
            <w:proofErr w:type="spellEnd"/>
            <w:r w:rsidRPr="00A71E3B">
              <w:rPr>
                <w:rFonts w:ascii="Book Antiqua" w:hAnsi="Book Antiqua"/>
                <w:lang w:val="en-US" w:eastAsia="it-IT"/>
              </w:rPr>
              <w:t>-operative period in patients at high risk of recurrence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10 patients (1 &lt;</w:t>
            </w:r>
            <w:r w:rsidR="00B40B12">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B40B12">
              <w:rPr>
                <w:rFonts w:ascii="Book Antiqua" w:hAnsi="Book Antiqua"/>
                <w:lang w:val="en-US" w:eastAsia="it-IT"/>
              </w:rPr>
              <w:t>yr</w:t>
            </w:r>
            <w:proofErr w:type="spellEnd"/>
            <w:r w:rsidRPr="00A71E3B">
              <w:rPr>
                <w:rFonts w:ascii="Book Antiqua" w:hAnsi="Book Antiqua"/>
                <w:lang w:val="en-US" w:eastAsia="it-IT"/>
              </w:rPr>
              <w:t>, 9 ≥</w:t>
            </w:r>
            <w:r w:rsidR="00B40B12">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B40B12">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7/10 free of recurrence</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Chikamoto</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B40B12">
              <w:rPr>
                <w:rFonts w:ascii="Book Antiqua" w:hAnsi="Book Antiqua"/>
                <w:b/>
                <w:bCs/>
                <w:vertAlign w:val="superscript"/>
                <w:lang w:val="en-US" w:eastAsia="it-IT"/>
              </w:rPr>
              <w:t>[32]</w:t>
            </w:r>
          </w:p>
        </w:tc>
        <w:tc>
          <w:tcPr>
            <w:tcW w:w="2462" w:type="dxa"/>
            <w:shd w:val="clear" w:color="auto" w:fill="auto"/>
            <w:hideMark/>
          </w:tcPr>
          <w:p w:rsidR="00B37BF3" w:rsidRPr="00A71E3B" w:rsidRDefault="00B37BF3" w:rsidP="00B1092A">
            <w:pPr>
              <w:suppressAutoHyphens w:val="0"/>
              <w:spacing w:line="360" w:lineRule="auto"/>
              <w:jc w:val="both"/>
              <w:rPr>
                <w:rFonts w:ascii="Book Antiqua" w:hAnsi="Book Antiqua"/>
                <w:lang w:val="en-US" w:eastAsia="it-IT"/>
              </w:rPr>
            </w:pPr>
            <w:r w:rsidRPr="00A71E3B">
              <w:rPr>
                <w:rFonts w:ascii="Book Antiqua" w:hAnsi="Book Antiqua"/>
                <w:lang w:val="en-US" w:eastAsia="it-IT"/>
              </w:rPr>
              <w:t>Prophylactic course of 4 PE sessions 12 d before transplantation in a high risk patient</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w:t>
            </w:r>
            <w:r w:rsidR="00B1092A">
              <w:rPr>
                <w:rFonts w:ascii="Book Antiqua" w:hAnsi="Book Antiqua"/>
                <w:lang w:val="en-US" w:eastAsia="it-IT"/>
              </w:rPr>
              <w:t xml:space="preserve"> patient (&lt;</w:t>
            </w:r>
            <w:r w:rsidR="00B40B12">
              <w:rPr>
                <w:rFonts w:ascii="Book Antiqua" w:hAnsi="Book Antiqua" w:hint="eastAsia"/>
                <w:lang w:val="en-US" w:eastAsia="zh-CN"/>
              </w:rPr>
              <w:t xml:space="preserve"> </w:t>
            </w:r>
            <w:r w:rsidR="00B1092A">
              <w:rPr>
                <w:rFonts w:ascii="Book Antiqua" w:hAnsi="Book Antiqua"/>
                <w:lang w:val="en-US" w:eastAsia="it-IT"/>
              </w:rPr>
              <w:t xml:space="preserve">18 </w:t>
            </w:r>
            <w:proofErr w:type="spellStart"/>
            <w:r w:rsidR="00B1092A">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1092A">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No recurrence after 8 </w:t>
            </w:r>
            <w:proofErr w:type="spellStart"/>
            <w:r w:rsidRPr="00A71E3B">
              <w:rPr>
                <w:rFonts w:ascii="Book Antiqua" w:hAnsi="Book Antiqua"/>
                <w:lang w:val="en-US" w:eastAsia="it-IT"/>
              </w:rPr>
              <w:t>mo</w:t>
            </w:r>
            <w:proofErr w:type="spellEnd"/>
          </w:p>
        </w:tc>
        <w:tc>
          <w:tcPr>
            <w:tcW w:w="2551" w:type="dxa"/>
            <w:shd w:val="clear" w:color="auto" w:fill="auto"/>
            <w:hideMark/>
          </w:tcPr>
          <w:p w:rsidR="00B37BF3" w:rsidRPr="00A71E3B" w:rsidRDefault="00B37BF3" w:rsidP="00B1092A">
            <w:pPr>
              <w:spacing w:line="360" w:lineRule="auto"/>
              <w:jc w:val="both"/>
              <w:rPr>
                <w:rFonts w:ascii="Book Antiqua" w:hAnsi="Book Antiqua"/>
                <w:lang w:val="en-US" w:eastAsia="it-IT"/>
              </w:rPr>
            </w:pPr>
            <w:r w:rsidRPr="00A71E3B">
              <w:rPr>
                <w:rFonts w:ascii="Book Antiqua" w:hAnsi="Book Antiqua"/>
                <w:lang w:val="en-US" w:eastAsia="it-IT"/>
              </w:rPr>
              <w:t>Patient also received 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(375 mg/m</w:t>
            </w:r>
            <w:r w:rsidRPr="00A71E3B">
              <w:rPr>
                <w:rFonts w:ascii="Book Antiqua" w:hAnsi="Book Antiqua"/>
                <w:vertAlign w:val="superscript"/>
                <w:lang w:val="en-US" w:eastAsia="it-IT"/>
              </w:rPr>
              <w:t>2</w:t>
            </w:r>
            <w:r w:rsidRPr="00A71E3B">
              <w:rPr>
                <w:rFonts w:ascii="Book Antiqua" w:hAnsi="Book Antiqua"/>
                <w:lang w:val="en-US" w:eastAsia="it-IT"/>
              </w:rPr>
              <w:t>; 2 doses), methylprednisolone (1 mg/kg</w:t>
            </w:r>
            <w:r w:rsidR="00B1092A">
              <w:rPr>
                <w:rFonts w:ascii="Book Antiqua" w:hAnsi="Book Antiqua" w:hint="eastAsia"/>
                <w:lang w:val="en-US" w:eastAsia="zh-CN"/>
              </w:rPr>
              <w:t xml:space="preserve"> per </w:t>
            </w:r>
            <w:r w:rsidRPr="00A71E3B">
              <w:rPr>
                <w:rFonts w:ascii="Book Antiqua" w:hAnsi="Book Antiqua"/>
                <w:lang w:val="en-US" w:eastAsia="it-IT"/>
              </w:rPr>
              <w:t xml:space="preserve">day), tacrolimus (10 ng/mL) and mycophenolate </w:t>
            </w:r>
            <w:proofErr w:type="spellStart"/>
            <w:r w:rsidRPr="00A71E3B">
              <w:rPr>
                <w:rFonts w:ascii="Book Antiqua" w:hAnsi="Book Antiqua"/>
                <w:lang w:val="en-US" w:eastAsia="it-IT"/>
              </w:rPr>
              <w:t>mofetil</w:t>
            </w:r>
            <w:proofErr w:type="spellEnd"/>
            <w:r w:rsidRPr="00A71E3B">
              <w:rPr>
                <w:rFonts w:ascii="Book Antiqua" w:hAnsi="Book Antiqua"/>
                <w:lang w:val="en-US" w:eastAsia="it-IT"/>
              </w:rPr>
              <w:t xml:space="preserve"> (600 mg/m</w:t>
            </w:r>
            <w:r w:rsidRPr="00A71E3B">
              <w:rPr>
                <w:rFonts w:ascii="Book Antiqua" w:hAnsi="Book Antiqua"/>
                <w:vertAlign w:val="superscript"/>
                <w:lang w:val="en-US" w:eastAsia="it-IT"/>
              </w:rPr>
              <w:t>2</w:t>
            </w:r>
            <w:r w:rsidR="00B1092A">
              <w:rPr>
                <w:rFonts w:ascii="Book Antiqua" w:hAnsi="Book Antiqua" w:hint="eastAsia"/>
                <w:lang w:val="en-US" w:eastAsia="zh-CN"/>
              </w:rPr>
              <w:t xml:space="preserve"> per</w:t>
            </w:r>
            <w:r w:rsidR="00B1092A">
              <w:rPr>
                <w:rFonts w:ascii="Book Antiqua" w:hAnsi="Book Antiqua"/>
                <w:lang w:val="en-US" w:eastAsia="it-IT"/>
              </w:rPr>
              <w:t xml:space="preserve"> day) 2 </w:t>
            </w:r>
            <w:proofErr w:type="spellStart"/>
            <w:r w:rsidR="00B1092A">
              <w:rPr>
                <w:rFonts w:ascii="Book Antiqua" w:hAnsi="Book Antiqua"/>
                <w:lang w:val="en-US" w:eastAsia="it-IT"/>
              </w:rPr>
              <w:t>wk</w:t>
            </w:r>
            <w:proofErr w:type="spellEnd"/>
            <w:r w:rsidRPr="00A71E3B">
              <w:rPr>
                <w:rFonts w:ascii="Book Antiqua" w:hAnsi="Book Antiqua"/>
                <w:lang w:val="en-US" w:eastAsia="it-IT"/>
              </w:rPr>
              <w:t xml:space="preserve"> before transplantation</w:t>
            </w:r>
          </w:p>
        </w:tc>
      </w:tr>
      <w:tr w:rsidR="00E0252C" w:rsidRPr="00A71E3B" w:rsidTr="004E5D94">
        <w:tc>
          <w:tcPr>
            <w:tcW w:w="7763" w:type="dxa"/>
            <w:gridSpan w:val="4"/>
            <w:shd w:val="clear" w:color="auto" w:fill="auto"/>
            <w:hideMark/>
          </w:tcPr>
          <w:p w:rsidR="00B37BF3" w:rsidRPr="00B40B12" w:rsidRDefault="00B37BF3" w:rsidP="00B30536">
            <w:pPr>
              <w:suppressAutoHyphens w:val="0"/>
              <w:spacing w:line="360" w:lineRule="auto"/>
              <w:jc w:val="both"/>
              <w:rPr>
                <w:rFonts w:ascii="Book Antiqua" w:hAnsi="Book Antiqua"/>
                <w:b/>
                <w:bCs/>
                <w:lang w:val="en-US" w:eastAsia="it-IT"/>
              </w:rPr>
            </w:pPr>
            <w:r w:rsidRPr="00B40B12">
              <w:rPr>
                <w:rFonts w:ascii="Book Antiqua" w:hAnsi="Book Antiqua"/>
                <w:b/>
                <w:bCs/>
                <w:iCs/>
                <w:lang w:val="en-US" w:eastAsia="it-IT"/>
              </w:rPr>
              <w:t>Glucocorticoids</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Shishido</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lastRenderedPageBreak/>
              <w:t>et al</w:t>
            </w:r>
            <w:r w:rsidRPr="00B40B12">
              <w:rPr>
                <w:rFonts w:ascii="Book Antiqua" w:hAnsi="Book Antiqua"/>
                <w:b/>
                <w:bCs/>
                <w:vertAlign w:val="superscript"/>
                <w:lang w:val="en-US" w:eastAsia="it-IT"/>
              </w:rPr>
              <w:t>[41]</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lastRenderedPageBreak/>
              <w:t xml:space="preserve">Methylprednisolone </w:t>
            </w:r>
            <w:r w:rsidRPr="00A71E3B">
              <w:rPr>
                <w:rFonts w:ascii="Book Antiqua" w:hAnsi="Book Antiqua"/>
                <w:lang w:val="en-US" w:eastAsia="it-IT"/>
              </w:rPr>
              <w:lastRenderedPageBreak/>
              <w:t xml:space="preserve">pulses (20 mg/kg on three consecutive days in weeks 1, 3 and 5) and increasing </w:t>
            </w:r>
            <w:proofErr w:type="spellStart"/>
            <w:r w:rsidRPr="00A71E3B">
              <w:rPr>
                <w:rFonts w:ascii="Book Antiqua" w:hAnsi="Book Antiqua"/>
                <w:lang w:val="en-US" w:eastAsia="it-IT"/>
              </w:rPr>
              <w:t>CyA</w:t>
            </w:r>
            <w:proofErr w:type="spellEnd"/>
            <w:r w:rsidRPr="00A71E3B">
              <w:rPr>
                <w:rFonts w:ascii="Book Antiqua" w:hAnsi="Book Antiqua"/>
                <w:lang w:val="en-US" w:eastAsia="it-IT"/>
              </w:rPr>
              <w:t xml:space="preserve"> target levels</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lastRenderedPageBreak/>
              <w:t xml:space="preserve">10 patients (8 </w:t>
            </w:r>
            <w:r w:rsidRPr="00A71E3B">
              <w:rPr>
                <w:rFonts w:ascii="Book Antiqua" w:hAnsi="Book Antiqua"/>
                <w:lang w:val="en-US" w:eastAsia="it-IT"/>
              </w:rPr>
              <w:lastRenderedPageBreak/>
              <w:t>&lt;</w:t>
            </w:r>
            <w:r w:rsidR="004E056D">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4E056D">
              <w:rPr>
                <w:rFonts w:ascii="Book Antiqua" w:hAnsi="Book Antiqua"/>
                <w:lang w:val="en-US" w:eastAsia="it-IT"/>
              </w:rPr>
              <w:t>yr</w:t>
            </w:r>
            <w:proofErr w:type="spellEnd"/>
            <w:r w:rsidRPr="00A71E3B">
              <w:rPr>
                <w:rFonts w:ascii="Book Antiqua" w:hAnsi="Book Antiqua"/>
                <w:lang w:val="en-US" w:eastAsia="it-IT"/>
              </w:rPr>
              <w:t>, 2 ≥</w:t>
            </w:r>
            <w:r w:rsidR="004E056D">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4E056D">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lastRenderedPageBreak/>
              <w:t xml:space="preserve">Complete </w:t>
            </w:r>
            <w:r w:rsidRPr="00A71E3B">
              <w:rPr>
                <w:rFonts w:ascii="Book Antiqua" w:hAnsi="Book Antiqua"/>
                <w:lang w:val="en-US" w:eastAsia="it-IT"/>
              </w:rPr>
              <w:lastRenderedPageBreak/>
              <w:t>remission in 7/10</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lastRenderedPageBreak/>
              <w:br w:type="page"/>
            </w:r>
          </w:p>
        </w:tc>
      </w:tr>
      <w:tr w:rsidR="00E0252C" w:rsidRPr="00A71E3B" w:rsidTr="004E5D94">
        <w:tc>
          <w:tcPr>
            <w:tcW w:w="7763" w:type="dxa"/>
            <w:gridSpan w:val="4"/>
            <w:shd w:val="clear" w:color="auto" w:fill="auto"/>
            <w:hideMark/>
          </w:tcPr>
          <w:p w:rsidR="00B37BF3" w:rsidRPr="004E056D" w:rsidRDefault="004E056D" w:rsidP="00B30536">
            <w:pPr>
              <w:suppressAutoHyphens w:val="0"/>
              <w:spacing w:line="360" w:lineRule="auto"/>
              <w:jc w:val="both"/>
              <w:rPr>
                <w:rFonts w:ascii="Book Antiqua" w:hAnsi="Book Antiqua"/>
                <w:b/>
                <w:bCs/>
                <w:lang w:val="en-US" w:eastAsia="zh-CN"/>
              </w:rPr>
            </w:pPr>
            <w:proofErr w:type="spellStart"/>
            <w:r>
              <w:rPr>
                <w:rFonts w:ascii="Book Antiqua" w:hAnsi="Book Antiqua"/>
                <w:b/>
                <w:bCs/>
                <w:iCs/>
                <w:lang w:val="en-US" w:eastAsia="it-IT"/>
              </w:rPr>
              <w:lastRenderedPageBreak/>
              <w:t>CyA</w:t>
            </w:r>
            <w:proofErr w:type="spellEnd"/>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Canaud</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4E056D">
              <w:rPr>
                <w:rFonts w:ascii="Book Antiqua" w:hAnsi="Book Antiqua"/>
                <w:b/>
                <w:bCs/>
                <w:vertAlign w:val="superscript"/>
                <w:lang w:val="en-US" w:eastAsia="it-IT"/>
              </w:rPr>
              <w:t>[33]</w:t>
            </w:r>
          </w:p>
        </w:tc>
        <w:tc>
          <w:tcPr>
            <w:tcW w:w="2462" w:type="dxa"/>
            <w:shd w:val="clear" w:color="auto" w:fill="auto"/>
            <w:hideMark/>
          </w:tcPr>
          <w:p w:rsidR="00B37BF3" w:rsidRPr="00A71E3B" w:rsidRDefault="00B37BF3" w:rsidP="00B1092A">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Intravenous </w:t>
            </w:r>
            <w:proofErr w:type="spellStart"/>
            <w:r w:rsidRPr="00A71E3B">
              <w:rPr>
                <w:rFonts w:ascii="Book Antiqua" w:hAnsi="Book Antiqua"/>
                <w:lang w:val="en-US" w:eastAsia="it-IT"/>
              </w:rPr>
              <w:t>CyA</w:t>
            </w:r>
            <w:proofErr w:type="spellEnd"/>
            <w:r w:rsidRPr="00A71E3B">
              <w:rPr>
                <w:rFonts w:ascii="Book Antiqua" w:hAnsi="Book Antiqua"/>
                <w:lang w:val="en-US" w:eastAsia="it-IT"/>
              </w:rPr>
              <w:t xml:space="preserve"> (C</w:t>
            </w:r>
            <w:r w:rsidRPr="00A71E3B">
              <w:rPr>
                <w:rFonts w:ascii="Book Antiqua" w:hAnsi="Book Antiqua"/>
                <w:vertAlign w:val="subscript"/>
                <w:lang w:val="en-US" w:eastAsia="it-IT"/>
              </w:rPr>
              <w:t>0</w:t>
            </w:r>
            <w:r w:rsidRPr="00A71E3B">
              <w:rPr>
                <w:rFonts w:ascii="Book Antiqua" w:hAnsi="Book Antiqua"/>
                <w:lang w:val="en-US" w:eastAsia="it-IT"/>
              </w:rPr>
              <w:t xml:space="preserve"> levels between 200-400 ng/m</w:t>
            </w:r>
            <w:r w:rsidR="004E056D" w:rsidRPr="00A71E3B">
              <w:rPr>
                <w:rFonts w:ascii="Book Antiqua" w:hAnsi="Book Antiqua"/>
                <w:lang w:val="en-US" w:eastAsia="it-IT"/>
              </w:rPr>
              <w:t>L</w:t>
            </w:r>
            <w:r w:rsidRPr="00A71E3B">
              <w:rPr>
                <w:rFonts w:ascii="Book Antiqua" w:hAnsi="Book Antiqua"/>
                <w:lang w:val="en-US" w:eastAsia="it-IT"/>
              </w:rPr>
              <w:t xml:space="preserve">), followed by oral </w:t>
            </w:r>
            <w:proofErr w:type="spellStart"/>
            <w:r w:rsidRPr="00A71E3B">
              <w:rPr>
                <w:rFonts w:ascii="Book Antiqua" w:hAnsi="Book Antiqua"/>
                <w:lang w:val="en-US" w:eastAsia="it-IT"/>
              </w:rPr>
              <w:t>CyA</w:t>
            </w:r>
            <w:proofErr w:type="spellEnd"/>
            <w:r w:rsidRPr="00A71E3B">
              <w:rPr>
                <w:rFonts w:ascii="Book Antiqua" w:hAnsi="Book Antiqua"/>
                <w:lang w:val="en-US" w:eastAsia="it-IT"/>
              </w:rPr>
              <w:t xml:space="preserve"> (C</w:t>
            </w:r>
            <w:r w:rsidRPr="00A71E3B">
              <w:rPr>
                <w:rFonts w:ascii="Book Antiqua" w:hAnsi="Book Antiqua"/>
                <w:vertAlign w:val="subscript"/>
                <w:lang w:val="en-US" w:eastAsia="it-IT"/>
              </w:rPr>
              <w:t>2</w:t>
            </w:r>
            <w:r w:rsidRPr="00A71E3B">
              <w:rPr>
                <w:rFonts w:ascii="Book Antiqua" w:hAnsi="Book Antiqua"/>
                <w:lang w:val="en-US" w:eastAsia="it-IT"/>
              </w:rPr>
              <w:t xml:space="preserve"> levels 1200-1400 ng/mL), high dose oral steroids (1 mg/k</w:t>
            </w:r>
            <w:r w:rsidR="00B1092A">
              <w:rPr>
                <w:rFonts w:ascii="Book Antiqua" w:hAnsi="Book Antiqua"/>
                <w:lang w:val="en-US" w:eastAsia="it-IT"/>
              </w:rPr>
              <w:t>g</w:t>
            </w:r>
            <w:r w:rsidR="00B1092A">
              <w:rPr>
                <w:rFonts w:ascii="Book Antiqua" w:hAnsi="Book Antiqua" w:hint="eastAsia"/>
                <w:lang w:val="en-US" w:eastAsia="zh-CN"/>
              </w:rPr>
              <w:t xml:space="preserve"> per</w:t>
            </w:r>
            <w:r w:rsidR="00B1092A">
              <w:rPr>
                <w:rFonts w:ascii="Book Antiqua" w:hAnsi="Book Antiqua"/>
                <w:lang w:val="en-US" w:eastAsia="it-IT"/>
              </w:rPr>
              <w:t xml:space="preserve"> day for the first 4 </w:t>
            </w:r>
            <w:proofErr w:type="spellStart"/>
            <w:r w:rsidR="00B1092A">
              <w:rPr>
                <w:rFonts w:ascii="Book Antiqua" w:hAnsi="Book Antiqua"/>
                <w:lang w:val="en-US" w:eastAsia="it-IT"/>
              </w:rPr>
              <w:t>wk</w:t>
            </w:r>
            <w:proofErr w:type="spellEnd"/>
            <w:r w:rsidRPr="00A71E3B">
              <w:rPr>
                <w:rFonts w:ascii="Book Antiqua" w:hAnsi="Book Antiqua"/>
                <w:lang w:val="en-US" w:eastAsia="it-IT"/>
              </w:rPr>
              <w:t xml:space="preserve">, then progressively tapered) and a course of PE sessions for 9 </w:t>
            </w:r>
            <w:proofErr w:type="spellStart"/>
            <w:r w:rsidRPr="00A71E3B">
              <w:rPr>
                <w:rFonts w:ascii="Book Antiqua" w:hAnsi="Book Antiqua"/>
                <w:lang w:val="en-US" w:eastAsia="it-IT"/>
              </w:rPr>
              <w:t>mo</w:t>
            </w:r>
            <w:proofErr w:type="spellEnd"/>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10 patients (≥</w:t>
            </w:r>
            <w:r w:rsidR="004E056D">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4E056D">
              <w:rPr>
                <w:rFonts w:ascii="Book Antiqua" w:hAnsi="Book Antiqua"/>
                <w:lang w:val="en-US" w:eastAsia="it-IT"/>
              </w:rPr>
              <w:t>yr</w:t>
            </w:r>
            <w:proofErr w:type="spellEnd"/>
            <w:r w:rsidRPr="00A71E3B">
              <w:rPr>
                <w:rFonts w:ascii="Book Antiqua" w:hAnsi="Book Antiqua"/>
                <w:lang w:val="en-US" w:eastAsia="it-IT"/>
              </w:rPr>
              <w:t xml:space="preserve">) </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of proteinuria in 10/10; proteinuria relapse in 1/10 successfully treated with 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(2 doses)</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Ingulli</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4E056D">
              <w:rPr>
                <w:rFonts w:ascii="Book Antiqua" w:hAnsi="Book Antiqua"/>
                <w:b/>
                <w:bCs/>
                <w:vertAlign w:val="superscript"/>
                <w:lang w:val="en-US" w:eastAsia="it-IT"/>
              </w:rPr>
              <w:t>[44]</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Progressive up-titration of </w:t>
            </w:r>
            <w:proofErr w:type="spellStart"/>
            <w:r w:rsidRPr="00A71E3B">
              <w:rPr>
                <w:rFonts w:ascii="Book Antiqua" w:hAnsi="Book Antiqua"/>
                <w:lang w:val="en-US" w:eastAsia="it-IT"/>
              </w:rPr>
              <w:t>CyA</w:t>
            </w:r>
            <w:proofErr w:type="spellEnd"/>
            <w:r w:rsidRPr="00A71E3B">
              <w:rPr>
                <w:rFonts w:ascii="Book Antiqua" w:hAnsi="Book Antiqua"/>
                <w:lang w:val="en-US" w:eastAsia="it-IT"/>
              </w:rPr>
              <w:t xml:space="preserve"> oral doses</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2 patients (&lt;</w:t>
            </w:r>
            <w:r w:rsidR="004E056D">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4E056D">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1; partial remission in 1</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Salomon </w:t>
            </w:r>
            <w:r w:rsidRPr="00A71E3B">
              <w:rPr>
                <w:rFonts w:ascii="Book Antiqua" w:hAnsi="Book Antiqua"/>
                <w:b/>
                <w:bCs/>
                <w:i/>
                <w:lang w:val="en-US" w:eastAsia="it-IT"/>
              </w:rPr>
              <w:t>et al</w:t>
            </w:r>
            <w:r w:rsidRPr="004E056D">
              <w:rPr>
                <w:rFonts w:ascii="Book Antiqua" w:hAnsi="Book Antiqua"/>
                <w:b/>
                <w:bCs/>
                <w:vertAlign w:val="superscript"/>
                <w:lang w:val="en-US" w:eastAsia="it-IT"/>
              </w:rPr>
              <w:t>[45]</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Intravenous </w:t>
            </w:r>
            <w:proofErr w:type="spellStart"/>
            <w:r w:rsidRPr="00A71E3B">
              <w:rPr>
                <w:rFonts w:ascii="Book Antiqua" w:hAnsi="Book Antiqua"/>
                <w:lang w:val="en-US" w:eastAsia="it-IT"/>
              </w:rPr>
              <w:t>CyA</w:t>
            </w:r>
            <w:proofErr w:type="spellEnd"/>
            <w:r w:rsidRPr="00A71E3B">
              <w:rPr>
                <w:rFonts w:ascii="Book Antiqua" w:hAnsi="Book Antiqua"/>
                <w:lang w:val="en-US" w:eastAsia="it-IT"/>
              </w:rPr>
              <w:t xml:space="preserve"> (through levels: 250-350 ng/mL)</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16 patients (&lt;</w:t>
            </w:r>
            <w:r w:rsidR="004E056D">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4E056D">
              <w:rPr>
                <w:rFonts w:ascii="Book Antiqua" w:hAnsi="Book Antiqua"/>
                <w:lang w:val="en-US" w:eastAsia="it-IT"/>
              </w:rPr>
              <w:t>yr</w:t>
            </w:r>
            <w:proofErr w:type="spellEnd"/>
            <w:r w:rsidRPr="00A71E3B">
              <w:rPr>
                <w:rFonts w:ascii="Book Antiqua" w:hAnsi="Book Antiqua"/>
                <w:lang w:val="en-US" w:eastAsia="it-IT"/>
              </w:rPr>
              <w:t>; 1 re-grafted with a subsequent recurrence)</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14/17 (82%); partial remission in 2/17 (12%)</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lastRenderedPageBreak/>
              <w:t>Raafat</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4E056D">
              <w:rPr>
                <w:rFonts w:ascii="Book Antiqua" w:hAnsi="Book Antiqua"/>
                <w:b/>
                <w:bCs/>
                <w:vertAlign w:val="superscript"/>
                <w:lang w:val="en-US" w:eastAsia="it-IT"/>
              </w:rPr>
              <w:t>[46]</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Progressive up-titration of </w:t>
            </w:r>
            <w:proofErr w:type="spellStart"/>
            <w:r w:rsidRPr="00A71E3B">
              <w:rPr>
                <w:rFonts w:ascii="Book Antiqua" w:hAnsi="Book Antiqua"/>
                <w:lang w:val="en-US" w:eastAsia="it-IT"/>
              </w:rPr>
              <w:t>CyA</w:t>
            </w:r>
            <w:proofErr w:type="spellEnd"/>
            <w:r w:rsidRPr="00A71E3B">
              <w:rPr>
                <w:rFonts w:ascii="Book Antiqua" w:hAnsi="Book Antiqua"/>
                <w:lang w:val="en-US" w:eastAsia="it-IT"/>
              </w:rPr>
              <w:t xml:space="preserve"> oral doses until proteinuria reduction/serum creatinine elevation (</w:t>
            </w:r>
            <w:proofErr w:type="spellStart"/>
            <w:r w:rsidRPr="00A71E3B">
              <w:rPr>
                <w:rFonts w:ascii="Book Antiqua" w:hAnsi="Book Antiqua"/>
                <w:lang w:val="en-US" w:eastAsia="it-IT"/>
              </w:rPr>
              <w:t>CyA</w:t>
            </w:r>
            <w:proofErr w:type="spellEnd"/>
            <w:r w:rsidRPr="00A71E3B">
              <w:rPr>
                <w:rFonts w:ascii="Book Antiqua" w:hAnsi="Book Antiqua"/>
                <w:lang w:val="en-US" w:eastAsia="it-IT"/>
              </w:rPr>
              <w:t xml:space="preserve"> doses from 6 to 25 mg/kg</w:t>
            </w:r>
            <w:r w:rsidR="00B1092A">
              <w:rPr>
                <w:rFonts w:ascii="Book Antiqua" w:hAnsi="Book Antiqua" w:hint="eastAsia"/>
                <w:lang w:val="en-US" w:eastAsia="zh-CN"/>
              </w:rPr>
              <w:t xml:space="preserve"> per</w:t>
            </w:r>
            <w:r w:rsidR="00B1092A" w:rsidRPr="00A71E3B">
              <w:rPr>
                <w:rFonts w:ascii="Book Antiqua" w:hAnsi="Book Antiqua"/>
                <w:lang w:val="en-US" w:eastAsia="it-IT"/>
              </w:rPr>
              <w:t xml:space="preserve"> </w:t>
            </w:r>
            <w:r w:rsidRPr="00A71E3B">
              <w:rPr>
                <w:rFonts w:ascii="Book Antiqua" w:hAnsi="Book Antiqua"/>
                <w:lang w:val="en-US" w:eastAsia="it-IT"/>
              </w:rPr>
              <w:t>day)</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16 patients (&lt;</w:t>
            </w:r>
            <w:r w:rsidR="004E056D">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4E056D">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11/16 (69%); partial remission in 2/16 (12%)</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7763" w:type="dxa"/>
            <w:gridSpan w:val="4"/>
            <w:shd w:val="clear" w:color="auto" w:fill="auto"/>
            <w:hideMark/>
          </w:tcPr>
          <w:p w:rsidR="00B37BF3" w:rsidRPr="004E056D" w:rsidRDefault="004E056D" w:rsidP="004E056D">
            <w:pPr>
              <w:suppressAutoHyphens w:val="0"/>
              <w:spacing w:line="360" w:lineRule="auto"/>
              <w:jc w:val="both"/>
              <w:rPr>
                <w:rFonts w:ascii="Book Antiqua" w:hAnsi="Book Antiqua"/>
                <w:b/>
                <w:bCs/>
                <w:lang w:val="en-US" w:eastAsia="zh-CN"/>
              </w:rPr>
            </w:pPr>
            <w:r>
              <w:rPr>
                <w:rFonts w:ascii="Book Antiqua" w:hAnsi="Book Antiqua"/>
                <w:b/>
                <w:bCs/>
                <w:iCs/>
                <w:lang w:val="en-US" w:eastAsia="it-IT"/>
              </w:rPr>
              <w:t>CYC</w:t>
            </w:r>
            <w:r w:rsidR="00B37BF3" w:rsidRPr="004E056D">
              <w:rPr>
                <w:rFonts w:ascii="Book Antiqua" w:hAnsi="Book Antiqua"/>
                <w:b/>
                <w:bCs/>
                <w:iCs/>
                <w:lang w:val="en-US" w:eastAsia="it-IT"/>
              </w:rPr>
              <w:t>/</w:t>
            </w:r>
            <w:r>
              <w:rPr>
                <w:rFonts w:ascii="Book Antiqua" w:hAnsi="Book Antiqua"/>
                <w:b/>
                <w:bCs/>
                <w:iCs/>
                <w:lang w:val="en-US" w:eastAsia="it-IT"/>
              </w:rPr>
              <w:t>MMF</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Kershaw </w:t>
            </w:r>
            <w:r w:rsidRPr="00A71E3B">
              <w:rPr>
                <w:rFonts w:ascii="Book Antiqua" w:hAnsi="Book Antiqua"/>
                <w:b/>
                <w:bCs/>
                <w:i/>
                <w:lang w:val="en-US" w:eastAsia="it-IT"/>
              </w:rPr>
              <w:t>et al</w:t>
            </w:r>
            <w:r w:rsidRPr="004E056D">
              <w:rPr>
                <w:rFonts w:ascii="Book Antiqua" w:hAnsi="Book Antiqua"/>
                <w:b/>
                <w:bCs/>
                <w:vertAlign w:val="superscript"/>
                <w:lang w:val="en-US" w:eastAsia="it-IT"/>
              </w:rPr>
              <w:t>[53]</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zh-CN"/>
              </w:rPr>
            </w:pPr>
            <w:r w:rsidRPr="00A71E3B">
              <w:rPr>
                <w:rFonts w:ascii="Book Antiqua" w:hAnsi="Book Antiqua"/>
                <w:lang w:val="en-US" w:eastAsia="it-IT"/>
              </w:rPr>
              <w:t>CYC (1-2 mg/kg</w:t>
            </w:r>
            <w:r w:rsidR="00B1092A">
              <w:rPr>
                <w:rFonts w:ascii="Book Antiqua" w:hAnsi="Book Antiqua" w:hint="eastAsia"/>
                <w:lang w:val="en-US" w:eastAsia="zh-CN"/>
              </w:rPr>
              <w:t xml:space="preserve"> per</w:t>
            </w:r>
            <w:r w:rsidR="00B1092A" w:rsidRPr="00A71E3B">
              <w:rPr>
                <w:rFonts w:ascii="Book Antiqua" w:hAnsi="Book Antiqua"/>
                <w:lang w:val="en-US" w:eastAsia="it-IT"/>
              </w:rPr>
              <w:t xml:space="preserve"> </w:t>
            </w:r>
            <w:r w:rsidRPr="00A71E3B">
              <w:rPr>
                <w:rFonts w:ascii="Book Antiqua" w:hAnsi="Book Antiqua"/>
                <w:lang w:val="en-US" w:eastAsia="it-IT"/>
              </w:rPr>
              <w:t xml:space="preserve">day, adjusted for white </w:t>
            </w:r>
            <w:r w:rsidR="00B1092A">
              <w:rPr>
                <w:rFonts w:ascii="Book Antiqua" w:hAnsi="Book Antiqua"/>
                <w:lang w:val="en-US" w:eastAsia="it-IT"/>
              </w:rPr>
              <w:t xml:space="preserve">blood cell count) for 8-12 </w:t>
            </w:r>
            <w:proofErr w:type="spellStart"/>
            <w:r w:rsidR="00B1092A">
              <w:rPr>
                <w:rFonts w:ascii="Book Antiqua" w:hAnsi="Book Antiqua"/>
                <w:lang w:val="en-US" w:eastAsia="it-IT"/>
              </w:rPr>
              <w:t>wk</w:t>
            </w:r>
            <w:proofErr w:type="spellEnd"/>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3 patients (&lt;</w:t>
            </w:r>
            <w:r w:rsidR="004E056D">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4E056D">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2/3; partial remission in 1/3</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Cheong </w:t>
            </w:r>
            <w:r w:rsidRPr="00A71E3B">
              <w:rPr>
                <w:rFonts w:ascii="Book Antiqua" w:hAnsi="Book Antiqua"/>
                <w:b/>
                <w:bCs/>
                <w:i/>
                <w:lang w:val="en-US" w:eastAsia="it-IT"/>
              </w:rPr>
              <w:t>et al</w:t>
            </w:r>
            <w:r w:rsidRPr="004E056D">
              <w:rPr>
                <w:rFonts w:ascii="Book Antiqua" w:hAnsi="Book Antiqua"/>
                <w:b/>
                <w:bCs/>
                <w:vertAlign w:val="superscript"/>
                <w:lang w:val="en-US" w:eastAsia="it-IT"/>
              </w:rPr>
              <w:t>[54]</w:t>
            </w:r>
          </w:p>
        </w:tc>
        <w:tc>
          <w:tcPr>
            <w:tcW w:w="2462" w:type="dxa"/>
            <w:shd w:val="clear" w:color="auto" w:fill="auto"/>
            <w:hideMark/>
          </w:tcPr>
          <w:p w:rsidR="00B37BF3" w:rsidRPr="00A71E3B" w:rsidRDefault="00B37BF3" w:rsidP="00B1092A">
            <w:pPr>
              <w:spacing w:line="360" w:lineRule="auto"/>
              <w:jc w:val="both"/>
              <w:rPr>
                <w:rFonts w:ascii="Book Antiqua" w:hAnsi="Book Antiqua"/>
                <w:lang w:val="en-US" w:eastAsia="it-IT"/>
              </w:rPr>
            </w:pPr>
            <w:r w:rsidRPr="00A71E3B">
              <w:rPr>
                <w:rFonts w:ascii="Book Antiqua" w:hAnsi="Book Antiqua"/>
                <w:lang w:val="en-US" w:eastAsia="it-IT"/>
              </w:rPr>
              <w:t>CYC (2 mg/kg</w:t>
            </w:r>
            <w:r w:rsidR="00B1092A">
              <w:rPr>
                <w:rFonts w:ascii="Book Antiqua" w:hAnsi="Book Antiqua" w:hint="eastAsia"/>
                <w:lang w:val="en-US" w:eastAsia="zh-CN"/>
              </w:rPr>
              <w:t xml:space="preserve"> per</w:t>
            </w:r>
            <w:r w:rsidR="00B1092A" w:rsidRPr="00A71E3B">
              <w:rPr>
                <w:rFonts w:ascii="Book Antiqua" w:hAnsi="Book Antiqua"/>
                <w:lang w:val="en-US" w:eastAsia="it-IT"/>
              </w:rPr>
              <w:t xml:space="preserve"> </w:t>
            </w:r>
            <w:r w:rsidRPr="00A71E3B">
              <w:rPr>
                <w:rFonts w:ascii="Book Antiqua" w:hAnsi="Book Antiqua"/>
                <w:lang w:val="en-US" w:eastAsia="it-IT"/>
              </w:rPr>
              <w:t>day</w:t>
            </w:r>
            <w:r w:rsidR="00B1092A">
              <w:rPr>
                <w:rFonts w:ascii="Book Antiqua" w:hAnsi="Book Antiqua"/>
                <w:lang w:val="en-US" w:eastAsia="it-IT"/>
              </w:rPr>
              <w:t xml:space="preserve">) + PE (10 sessions over 2 </w:t>
            </w:r>
            <w:proofErr w:type="spellStart"/>
            <w:r w:rsidR="00B1092A">
              <w:rPr>
                <w:rFonts w:ascii="Book Antiqua" w:hAnsi="Book Antiqua"/>
                <w:lang w:val="en-US" w:eastAsia="it-IT"/>
              </w:rPr>
              <w:t>wk</w:t>
            </w:r>
            <w:proofErr w:type="spellEnd"/>
            <w:r w:rsidRPr="00A71E3B">
              <w:rPr>
                <w:rFonts w:ascii="Book Antiqua" w:hAnsi="Book Antiqua"/>
                <w:lang w:val="en-US" w:eastAsia="it-IT"/>
              </w:rPr>
              <w:t xml:space="preserve"> followed by one session per week for 2 </w:t>
            </w:r>
            <w:proofErr w:type="spellStart"/>
            <w:r w:rsidRPr="00A71E3B">
              <w:rPr>
                <w:rFonts w:ascii="Book Antiqua" w:hAnsi="Book Antiqua"/>
                <w:lang w:val="en-US" w:eastAsia="it-IT"/>
              </w:rPr>
              <w:t>mo</w:t>
            </w:r>
            <w:proofErr w:type="spellEnd"/>
            <w:r w:rsidRPr="00A71E3B">
              <w:rPr>
                <w:rFonts w:ascii="Book Antiqua" w:hAnsi="Book Antiqua"/>
                <w:lang w:val="en-US" w:eastAsia="it-IT"/>
              </w:rPr>
              <w:t xml:space="preserve">) </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6 patients (&lt;</w:t>
            </w:r>
            <w:r w:rsidR="00B1092A">
              <w:rPr>
                <w:rFonts w:ascii="Book Antiqua" w:hAnsi="Book Antiqua" w:hint="eastAsia"/>
                <w:lang w:val="en-US" w:eastAsia="zh-CN"/>
              </w:rPr>
              <w:t xml:space="preserve"> </w:t>
            </w:r>
            <w:r w:rsidR="00B1092A">
              <w:rPr>
                <w:rFonts w:ascii="Book Antiqua" w:hAnsi="Book Antiqua"/>
                <w:lang w:val="en-US" w:eastAsia="it-IT"/>
              </w:rPr>
              <w:t xml:space="preserve">18 </w:t>
            </w:r>
            <w:proofErr w:type="spellStart"/>
            <w:r w:rsidR="00B1092A">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3/6; partial remission in 3/6</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Dall’Amico</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4E056D">
              <w:rPr>
                <w:rFonts w:ascii="Book Antiqua" w:hAnsi="Book Antiqua"/>
                <w:b/>
                <w:bCs/>
                <w:vertAlign w:val="superscript"/>
                <w:lang w:val="en-US" w:eastAsia="it-IT"/>
              </w:rPr>
              <w:t>[55]</w:t>
            </w:r>
          </w:p>
        </w:tc>
        <w:tc>
          <w:tcPr>
            <w:tcW w:w="2462" w:type="dxa"/>
            <w:shd w:val="clear" w:color="auto" w:fill="auto"/>
            <w:hideMark/>
          </w:tcPr>
          <w:p w:rsidR="00B37BF3" w:rsidRPr="00A71E3B" w:rsidRDefault="00B37BF3" w:rsidP="00B1092A">
            <w:pPr>
              <w:suppressAutoHyphens w:val="0"/>
              <w:spacing w:line="360" w:lineRule="auto"/>
              <w:jc w:val="both"/>
              <w:rPr>
                <w:rFonts w:ascii="Book Antiqua" w:hAnsi="Book Antiqua"/>
                <w:lang w:val="en-US" w:eastAsia="it-IT"/>
              </w:rPr>
            </w:pPr>
            <w:r w:rsidRPr="00A71E3B">
              <w:rPr>
                <w:rFonts w:ascii="Book Antiqua" w:hAnsi="Book Antiqua"/>
                <w:lang w:val="en-US" w:eastAsia="it-IT"/>
              </w:rPr>
              <w:t>CYC</w:t>
            </w:r>
            <w:r w:rsidRPr="00A71E3B" w:rsidDel="007231C8">
              <w:rPr>
                <w:rFonts w:ascii="Book Antiqua" w:hAnsi="Book Antiqua"/>
                <w:lang w:val="en-US" w:eastAsia="it-IT"/>
              </w:rPr>
              <w:t xml:space="preserve"> </w:t>
            </w:r>
            <w:r w:rsidRPr="00A71E3B">
              <w:rPr>
                <w:rFonts w:ascii="Book Antiqua" w:hAnsi="Book Antiqua"/>
                <w:lang w:val="en-US" w:eastAsia="it-IT"/>
              </w:rPr>
              <w:t>(2-mo course, 2 mg/kg</w:t>
            </w:r>
            <w:r w:rsidR="00B1092A">
              <w:rPr>
                <w:rFonts w:ascii="Book Antiqua" w:hAnsi="Book Antiqua" w:hint="eastAsia"/>
                <w:lang w:val="en-US" w:eastAsia="zh-CN"/>
              </w:rPr>
              <w:t xml:space="preserve"> per</w:t>
            </w:r>
            <w:r w:rsidR="00B1092A" w:rsidRPr="00A71E3B">
              <w:rPr>
                <w:rFonts w:ascii="Book Antiqua" w:hAnsi="Book Antiqua"/>
                <w:lang w:val="en-US" w:eastAsia="it-IT"/>
              </w:rPr>
              <w:t xml:space="preserve"> </w:t>
            </w:r>
            <w:r w:rsidRPr="00A71E3B">
              <w:rPr>
                <w:rFonts w:ascii="Book Antiqua" w:hAnsi="Book Antiqua"/>
                <w:lang w:val="en-US" w:eastAsia="it-IT"/>
              </w:rPr>
              <w:t>day) and PE sessions</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11 patients (&lt;</w:t>
            </w:r>
            <w:r w:rsidR="004E056D">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4E056D">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9/11 (persistent remission in 7/9)</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Gipson </w:t>
            </w:r>
            <w:r w:rsidRPr="00A71E3B">
              <w:rPr>
                <w:rFonts w:ascii="Book Antiqua" w:hAnsi="Book Antiqua"/>
                <w:b/>
                <w:bCs/>
                <w:i/>
                <w:lang w:val="en-US" w:eastAsia="it-IT"/>
              </w:rPr>
              <w:t>et al</w:t>
            </w:r>
            <w:r w:rsidRPr="004E056D">
              <w:rPr>
                <w:rFonts w:ascii="Book Antiqua" w:hAnsi="Book Antiqua"/>
                <w:b/>
                <w:bCs/>
                <w:vertAlign w:val="superscript"/>
                <w:lang w:val="en-US" w:eastAsia="it-IT"/>
              </w:rPr>
              <w:t>[57]</w:t>
            </w:r>
          </w:p>
        </w:tc>
        <w:tc>
          <w:tcPr>
            <w:tcW w:w="2462" w:type="dxa"/>
            <w:shd w:val="clear" w:color="auto" w:fill="auto"/>
            <w:hideMark/>
          </w:tcPr>
          <w:p w:rsidR="00B37BF3" w:rsidRPr="00A71E3B" w:rsidRDefault="00B37BF3" w:rsidP="00B1092A">
            <w:pPr>
              <w:suppressAutoHyphens w:val="0"/>
              <w:spacing w:line="360" w:lineRule="auto"/>
              <w:jc w:val="both"/>
              <w:rPr>
                <w:rFonts w:ascii="Book Antiqua" w:hAnsi="Book Antiqua"/>
                <w:lang w:val="en-US" w:eastAsia="it-IT"/>
              </w:rPr>
            </w:pPr>
            <w:r w:rsidRPr="00A71E3B">
              <w:rPr>
                <w:rFonts w:ascii="Book Antiqua" w:hAnsi="Book Antiqua"/>
                <w:lang w:val="en-US" w:eastAsia="it-IT"/>
              </w:rPr>
              <w:t>12-mo course of CYC</w:t>
            </w:r>
            <w:r w:rsidRPr="00A71E3B" w:rsidDel="007231C8">
              <w:rPr>
                <w:rFonts w:ascii="Book Antiqua" w:hAnsi="Book Antiqua"/>
                <w:lang w:val="en-US" w:eastAsia="it-IT"/>
              </w:rPr>
              <w:t xml:space="preserve"> </w:t>
            </w:r>
            <w:r w:rsidRPr="00A71E3B">
              <w:rPr>
                <w:rFonts w:ascii="Book Antiqua" w:hAnsi="Book Antiqua"/>
                <w:lang w:val="en-US" w:eastAsia="it-IT"/>
              </w:rPr>
              <w:t xml:space="preserve"> </w:t>
            </w:r>
            <w:r w:rsidRPr="00A71E3B">
              <w:rPr>
                <w:rFonts w:ascii="Book Antiqua" w:hAnsi="Book Antiqua"/>
                <w:i/>
                <w:lang w:val="en-US" w:eastAsia="it-IT"/>
              </w:rPr>
              <w:t>vs</w:t>
            </w:r>
            <w:r w:rsidRPr="00A71E3B">
              <w:rPr>
                <w:rFonts w:ascii="Book Antiqua" w:hAnsi="Book Antiqua"/>
                <w:lang w:val="en-US" w:eastAsia="it-IT"/>
              </w:rPr>
              <w:t xml:space="preserve"> MMF + dexamethasone</w:t>
            </w:r>
          </w:p>
        </w:tc>
        <w:tc>
          <w:tcPr>
            <w:tcW w:w="1673" w:type="dxa"/>
            <w:shd w:val="clear" w:color="auto" w:fill="auto"/>
            <w:hideMark/>
          </w:tcPr>
          <w:p w:rsidR="00B37BF3" w:rsidRPr="00A71E3B" w:rsidRDefault="00B37BF3" w:rsidP="004E056D">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138 patients </w:t>
            </w:r>
            <w:r w:rsidR="004E056D">
              <w:rPr>
                <w:rFonts w:ascii="Book Antiqua" w:hAnsi="Book Antiqua" w:hint="eastAsia"/>
                <w:lang w:val="en-US" w:eastAsia="zh-CN"/>
              </w:rPr>
              <w:t>[</w:t>
            </w:r>
            <w:r w:rsidRPr="00A71E3B">
              <w:rPr>
                <w:rFonts w:ascii="Book Antiqua" w:hAnsi="Book Antiqua"/>
                <w:lang w:val="en-US" w:eastAsia="it-IT"/>
              </w:rPr>
              <w:t xml:space="preserve">93/168 </w:t>
            </w:r>
            <w:r w:rsidR="004E056D">
              <w:rPr>
                <w:rFonts w:ascii="Book Antiqua" w:hAnsi="Book Antiqua" w:hint="eastAsia"/>
                <w:lang w:val="en-US" w:eastAsia="zh-CN"/>
              </w:rPr>
              <w:t>(</w:t>
            </w:r>
            <w:r w:rsidRPr="00A71E3B">
              <w:rPr>
                <w:rFonts w:ascii="Book Antiqua" w:hAnsi="Book Antiqua"/>
                <w:lang w:val="en-US" w:eastAsia="it-IT"/>
              </w:rPr>
              <w:t>67%</w:t>
            </w:r>
            <w:r w:rsidR="004E056D">
              <w:rPr>
                <w:rFonts w:ascii="Book Antiqua" w:hAnsi="Book Antiqua" w:hint="eastAsia"/>
                <w:lang w:val="en-US" w:eastAsia="zh-CN"/>
              </w:rPr>
              <w:t>)</w:t>
            </w:r>
            <w:r w:rsidRPr="00A71E3B">
              <w:rPr>
                <w:rFonts w:ascii="Book Antiqua" w:hAnsi="Book Antiqua"/>
                <w:lang w:val="en-US" w:eastAsia="it-IT"/>
              </w:rPr>
              <w:t xml:space="preserve"> &lt;</w:t>
            </w:r>
            <w:r w:rsidR="004E056D">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4E056D">
              <w:rPr>
                <w:rFonts w:ascii="Book Antiqua" w:hAnsi="Book Antiqua"/>
                <w:lang w:val="en-US" w:eastAsia="it-IT"/>
              </w:rPr>
              <w:t>yr</w:t>
            </w:r>
            <w:proofErr w:type="spellEnd"/>
            <w:r w:rsidR="004E056D">
              <w:rPr>
                <w:rFonts w:ascii="Book Antiqua" w:hAnsi="Book Antiqua" w:hint="eastAsia"/>
                <w:lang w:val="en-US" w:eastAsia="zh-CN"/>
              </w:rPr>
              <w:t>]</w:t>
            </w:r>
            <w:r w:rsidRPr="00A71E3B">
              <w:rPr>
                <w:rFonts w:ascii="Book Antiqua" w:hAnsi="Book Antiqua"/>
                <w:lang w:val="en-US" w:eastAsia="it-IT"/>
              </w:rPr>
              <w:t xml:space="preserve"> </w:t>
            </w:r>
          </w:p>
        </w:tc>
        <w:tc>
          <w:tcPr>
            <w:tcW w:w="2244" w:type="dxa"/>
            <w:shd w:val="clear" w:color="auto" w:fill="auto"/>
            <w:hideMark/>
          </w:tcPr>
          <w:p w:rsidR="00B37BF3" w:rsidRPr="00A71E3B" w:rsidRDefault="00B37BF3" w:rsidP="00B30536">
            <w:pPr>
              <w:spacing w:line="360" w:lineRule="auto"/>
              <w:jc w:val="both"/>
              <w:rPr>
                <w:rFonts w:ascii="Book Antiqua" w:hAnsi="Book Antiqua"/>
                <w:lang w:val="en-US" w:eastAsia="it-IT"/>
              </w:rPr>
            </w:pPr>
            <w:proofErr w:type="spellStart"/>
            <w:r w:rsidRPr="00A71E3B">
              <w:rPr>
                <w:rFonts w:ascii="Book Antiqua" w:hAnsi="Book Antiqua"/>
                <w:lang w:val="en-US" w:eastAsia="it-IT"/>
              </w:rPr>
              <w:t>CyA</w:t>
            </w:r>
            <w:proofErr w:type="spellEnd"/>
            <w:r w:rsidRPr="00A71E3B">
              <w:rPr>
                <w:rFonts w:ascii="Book Antiqua" w:hAnsi="Book Antiqua"/>
                <w:lang w:val="en-US" w:eastAsia="it-IT"/>
              </w:rPr>
              <w:t xml:space="preserve"> arm: complete remission in 14/72 (19%), partial remission in 19/72 (26%)</w:t>
            </w:r>
          </w:p>
          <w:p w:rsidR="00B37BF3" w:rsidRPr="00A71E3B" w:rsidRDefault="00B37BF3" w:rsidP="00B30536">
            <w:pPr>
              <w:spacing w:line="360" w:lineRule="auto"/>
              <w:jc w:val="both"/>
              <w:rPr>
                <w:rFonts w:ascii="Book Antiqua" w:hAnsi="Book Antiqua"/>
                <w:lang w:val="en-US" w:eastAsia="it-IT"/>
              </w:rPr>
            </w:pPr>
            <w:r w:rsidRPr="00A71E3B">
              <w:rPr>
                <w:rFonts w:ascii="Book Antiqua" w:hAnsi="Book Antiqua"/>
                <w:lang w:val="en-US" w:eastAsia="it-IT"/>
              </w:rPr>
              <w:t xml:space="preserve">MMF + </w:t>
            </w:r>
            <w:r w:rsidRPr="00A71E3B">
              <w:rPr>
                <w:rFonts w:ascii="Book Antiqua" w:hAnsi="Book Antiqua"/>
                <w:lang w:val="en-US" w:eastAsia="it-IT"/>
              </w:rPr>
              <w:lastRenderedPageBreak/>
              <w:t>dexamethasone arm: complete remission in 6/66 (9%), partial remission in 16/66 (24%)</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lastRenderedPageBreak/>
              <w:br w:type="page"/>
            </w:r>
          </w:p>
        </w:tc>
      </w:tr>
      <w:tr w:rsidR="00E0252C" w:rsidRPr="00A71E3B" w:rsidTr="004E5D94">
        <w:tc>
          <w:tcPr>
            <w:tcW w:w="7763" w:type="dxa"/>
            <w:gridSpan w:val="4"/>
            <w:shd w:val="clear" w:color="auto" w:fill="auto"/>
            <w:hideMark/>
          </w:tcPr>
          <w:p w:rsidR="00B37BF3" w:rsidRPr="00847DF2" w:rsidRDefault="00B37BF3" w:rsidP="00B30536">
            <w:pPr>
              <w:suppressAutoHyphens w:val="0"/>
              <w:spacing w:line="360" w:lineRule="auto"/>
              <w:jc w:val="both"/>
              <w:rPr>
                <w:rFonts w:ascii="Book Antiqua" w:hAnsi="Book Antiqua"/>
                <w:b/>
                <w:bCs/>
                <w:lang w:val="en-US" w:eastAsia="it-IT"/>
              </w:rPr>
            </w:pPr>
            <w:r w:rsidRPr="00847DF2">
              <w:rPr>
                <w:rFonts w:ascii="Book Antiqua" w:hAnsi="Book Antiqua"/>
                <w:b/>
                <w:bCs/>
                <w:iCs/>
                <w:lang w:val="en-US" w:eastAsia="it-IT"/>
              </w:rPr>
              <w:lastRenderedPageBreak/>
              <w:t>Renin angiotensin system blockers</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Freiberger</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47DF2">
              <w:rPr>
                <w:rFonts w:ascii="Book Antiqua" w:hAnsi="Book Antiqua"/>
                <w:b/>
                <w:bCs/>
                <w:vertAlign w:val="superscript"/>
                <w:lang w:val="en-US" w:eastAsia="it-IT"/>
              </w:rPr>
              <w:t>[62]</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Ramipril (10 mg) + candesartan (64 mg) + </w:t>
            </w:r>
            <w:proofErr w:type="spellStart"/>
            <w:r w:rsidRPr="00A71E3B">
              <w:rPr>
                <w:rFonts w:ascii="Book Antiqua" w:hAnsi="Book Antiqua"/>
                <w:lang w:val="en-US" w:eastAsia="it-IT"/>
              </w:rPr>
              <w:t>aliskiren</w:t>
            </w:r>
            <w:proofErr w:type="spellEnd"/>
            <w:r w:rsidRPr="00A71E3B">
              <w:rPr>
                <w:rFonts w:ascii="Book Antiqua" w:hAnsi="Book Antiqua"/>
                <w:lang w:val="en-US" w:eastAsia="it-IT"/>
              </w:rPr>
              <w:t xml:space="preserve"> (300 mg)</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w:t>
            </w:r>
            <w:r w:rsidR="00847DF2">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47DF2">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Partial remission</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Patient was previously treated with 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(375 mg/m</w:t>
            </w:r>
            <w:r w:rsidRPr="00A71E3B">
              <w:rPr>
                <w:rFonts w:ascii="Book Antiqua" w:hAnsi="Book Antiqua"/>
                <w:vertAlign w:val="superscript"/>
                <w:lang w:val="en-US" w:eastAsia="it-IT"/>
              </w:rPr>
              <w:t>2</w:t>
            </w:r>
            <w:r w:rsidRPr="00A71E3B">
              <w:rPr>
                <w:rFonts w:ascii="Book Antiqua" w:hAnsi="Book Antiqua"/>
                <w:lang w:val="en-US" w:eastAsia="it-IT"/>
              </w:rPr>
              <w:t>; 3 doses) and PE without response</w:t>
            </w:r>
          </w:p>
        </w:tc>
      </w:tr>
      <w:tr w:rsidR="00E0252C" w:rsidRPr="00A71E3B" w:rsidTr="004E5D94">
        <w:tc>
          <w:tcPr>
            <w:tcW w:w="7763" w:type="dxa"/>
            <w:gridSpan w:val="4"/>
            <w:shd w:val="clear" w:color="auto" w:fill="auto"/>
            <w:hideMark/>
          </w:tcPr>
          <w:p w:rsidR="00B37BF3" w:rsidRPr="00847DF2" w:rsidRDefault="00B37BF3" w:rsidP="00B30536">
            <w:pPr>
              <w:suppressAutoHyphens w:val="0"/>
              <w:spacing w:line="360" w:lineRule="auto"/>
              <w:jc w:val="both"/>
              <w:rPr>
                <w:rFonts w:ascii="Book Antiqua" w:hAnsi="Book Antiqua"/>
                <w:b/>
                <w:bCs/>
                <w:lang w:val="en-US" w:eastAsia="it-IT"/>
              </w:rPr>
            </w:pPr>
            <w:r w:rsidRPr="00847DF2">
              <w:rPr>
                <w:rFonts w:ascii="Book Antiqua" w:hAnsi="Book Antiqua"/>
                <w:b/>
                <w:bCs/>
                <w:iCs/>
                <w:lang w:val="en-US" w:eastAsia="it-IT"/>
              </w:rPr>
              <w:t>Galactose</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Jhaveri</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47DF2">
              <w:rPr>
                <w:rFonts w:ascii="Book Antiqua" w:hAnsi="Book Antiqua"/>
                <w:b/>
                <w:bCs/>
                <w:vertAlign w:val="superscript"/>
                <w:lang w:val="en-US" w:eastAsia="it-IT"/>
              </w:rPr>
              <w:t>[64]</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High galactose diet + supplemental powder galactose (0.2 g/kg orally 2 times per day) one month later</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w:t>
            </w:r>
            <w:r w:rsidR="00847DF2">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47DF2">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w:t>
            </w:r>
          </w:p>
        </w:tc>
        <w:tc>
          <w:tcPr>
            <w:tcW w:w="2551" w:type="dxa"/>
            <w:shd w:val="clear" w:color="auto" w:fill="auto"/>
            <w:hideMark/>
          </w:tcPr>
          <w:p w:rsidR="00B37BF3" w:rsidRPr="00A71E3B" w:rsidRDefault="00B37BF3" w:rsidP="00B30536">
            <w:pPr>
              <w:shd w:val="clear" w:color="auto" w:fill="FFFFFF"/>
              <w:suppressAutoHyphens w:val="0"/>
              <w:spacing w:line="360" w:lineRule="auto"/>
              <w:jc w:val="both"/>
              <w:rPr>
                <w:rFonts w:ascii="Book Antiqua" w:hAnsi="Book Antiqua"/>
                <w:lang w:val="en-US" w:eastAsia="it-IT"/>
              </w:rPr>
            </w:pPr>
            <w:r w:rsidRPr="00A71E3B">
              <w:rPr>
                <w:rFonts w:ascii="Book Antiqua" w:hAnsi="Book Antiqua"/>
                <w:lang w:val="en-US" w:eastAsia="it-IT"/>
              </w:rPr>
              <w:t>No apparent response with previous treatments including 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(1 g, 2 doses), PE (15 sessions) and </w:t>
            </w:r>
            <w:proofErr w:type="spellStart"/>
            <w:r w:rsidRPr="00A71E3B">
              <w:rPr>
                <w:rFonts w:ascii="Book Antiqua" w:hAnsi="Book Antiqua"/>
                <w:lang w:val="en-US" w:eastAsia="it-IT"/>
              </w:rPr>
              <w:t>IgEv</w:t>
            </w:r>
            <w:proofErr w:type="spellEnd"/>
            <w:r w:rsidRPr="00A71E3B">
              <w:rPr>
                <w:rFonts w:ascii="Book Antiqua" w:hAnsi="Book Antiqua"/>
                <w:lang w:val="en-US" w:eastAsia="it-IT"/>
              </w:rPr>
              <w:t xml:space="preserve"> (2 doses)</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Robson </w:t>
            </w:r>
            <w:r w:rsidRPr="00A71E3B">
              <w:rPr>
                <w:rFonts w:ascii="Book Antiqua" w:hAnsi="Book Antiqua"/>
                <w:b/>
                <w:bCs/>
                <w:i/>
                <w:lang w:val="en-US" w:eastAsia="it-IT"/>
              </w:rPr>
              <w:t>et al</w:t>
            </w:r>
            <w:r w:rsidRPr="00847DF2">
              <w:rPr>
                <w:rFonts w:ascii="Book Antiqua" w:hAnsi="Book Antiqua"/>
                <w:b/>
                <w:bCs/>
                <w:vertAlign w:val="superscript"/>
                <w:lang w:val="en-US" w:eastAsia="it-IT"/>
              </w:rPr>
              <w:t>[65]</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High galactose diet (14 g twice daily in patient 1, 10 g twice daily in patient 2)</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2 patients (≥</w:t>
            </w:r>
            <w:r w:rsidR="00847DF2">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47DF2">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1; partial remission in 1</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Sgambat</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47DF2">
              <w:rPr>
                <w:rFonts w:ascii="Book Antiqua" w:hAnsi="Book Antiqua"/>
                <w:b/>
                <w:bCs/>
                <w:vertAlign w:val="superscript"/>
                <w:lang w:val="en-US" w:eastAsia="it-IT"/>
              </w:rPr>
              <w:t>[66]</w:t>
            </w:r>
          </w:p>
        </w:tc>
        <w:tc>
          <w:tcPr>
            <w:tcW w:w="2462" w:type="dxa"/>
            <w:shd w:val="clear" w:color="auto" w:fill="auto"/>
            <w:hideMark/>
          </w:tcPr>
          <w:p w:rsidR="00B37BF3" w:rsidRPr="00A71E3B" w:rsidRDefault="00B37BF3" w:rsidP="00847DF2">
            <w:pPr>
              <w:suppressAutoHyphens w:val="0"/>
              <w:spacing w:line="360" w:lineRule="auto"/>
              <w:jc w:val="both"/>
              <w:rPr>
                <w:rFonts w:ascii="Book Antiqua" w:hAnsi="Book Antiqua"/>
                <w:lang w:val="en-US" w:eastAsia="it-IT"/>
              </w:rPr>
            </w:pPr>
            <w:r w:rsidRPr="00A71E3B">
              <w:rPr>
                <w:rFonts w:ascii="Book Antiqua" w:hAnsi="Book Antiqua"/>
                <w:lang w:val="en-US" w:eastAsia="it-IT"/>
              </w:rPr>
              <w:t>High galactose diet (0.2 g/kg</w:t>
            </w:r>
            <w:r w:rsidR="00847DF2">
              <w:rPr>
                <w:rFonts w:ascii="Book Antiqua" w:hAnsi="Book Antiqua" w:hint="eastAsia"/>
                <w:lang w:val="en-US" w:eastAsia="zh-CN"/>
              </w:rPr>
              <w:t xml:space="preserve"> per </w:t>
            </w:r>
            <w:r w:rsidRPr="00A71E3B">
              <w:rPr>
                <w:rFonts w:ascii="Book Antiqua" w:hAnsi="Book Antiqua"/>
                <w:lang w:val="en-US" w:eastAsia="it-IT"/>
              </w:rPr>
              <w:t>dose twice daily orally)</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7 patients (&lt;</w:t>
            </w:r>
            <w:r w:rsidR="00847DF2">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47DF2">
              <w:rPr>
                <w:rFonts w:ascii="Book Antiqua" w:hAnsi="Book Antiqua"/>
                <w:lang w:val="en-US" w:eastAsia="it-IT"/>
              </w:rPr>
              <w:t>yr</w:t>
            </w:r>
            <w:proofErr w:type="spellEnd"/>
            <w:r w:rsidRPr="00A71E3B">
              <w:rPr>
                <w:rFonts w:ascii="Book Antiqua" w:hAnsi="Book Antiqua"/>
                <w:lang w:val="en-US" w:eastAsia="it-IT"/>
              </w:rPr>
              <w:t xml:space="preserve">) with steroid-resistant </w:t>
            </w:r>
            <w:r w:rsidRPr="00A71E3B">
              <w:rPr>
                <w:rFonts w:ascii="Book Antiqua" w:hAnsi="Book Antiqua"/>
                <w:lang w:val="en-US"/>
              </w:rPr>
              <w:t xml:space="preserve">nephrotic syndrome </w:t>
            </w:r>
            <w:r w:rsidRPr="00A71E3B">
              <w:rPr>
                <w:rFonts w:ascii="Book Antiqua" w:hAnsi="Book Antiqua"/>
                <w:lang w:val="en-US" w:eastAsia="it-IT"/>
              </w:rPr>
              <w:t xml:space="preserve"> (2/7 with recurrent </w:t>
            </w:r>
            <w:r w:rsidRPr="00A71E3B">
              <w:rPr>
                <w:rFonts w:ascii="Book Antiqua" w:hAnsi="Book Antiqua"/>
                <w:lang w:val="en-US" w:eastAsia="it-IT"/>
              </w:rPr>
              <w:lastRenderedPageBreak/>
              <w:t>FSGS)</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lastRenderedPageBreak/>
              <w:t>Reduction in permeability factor without effect on proteinuria values</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7763" w:type="dxa"/>
            <w:gridSpan w:val="4"/>
            <w:shd w:val="clear" w:color="auto" w:fill="auto"/>
            <w:hideMark/>
          </w:tcPr>
          <w:p w:rsidR="00B37BF3" w:rsidRPr="00847DF2" w:rsidRDefault="00B37BF3" w:rsidP="00847DF2">
            <w:pPr>
              <w:suppressAutoHyphens w:val="0"/>
              <w:spacing w:line="360" w:lineRule="auto"/>
              <w:jc w:val="both"/>
              <w:rPr>
                <w:rFonts w:ascii="Book Antiqua" w:hAnsi="Book Antiqua"/>
                <w:b/>
                <w:bCs/>
                <w:lang w:val="en-US" w:eastAsia="it-IT"/>
              </w:rPr>
            </w:pPr>
            <w:r w:rsidRPr="00847DF2">
              <w:rPr>
                <w:rFonts w:ascii="Book Antiqua" w:hAnsi="Book Antiqua"/>
                <w:b/>
                <w:bCs/>
                <w:iCs/>
                <w:lang w:val="en-US" w:eastAsia="it-IT"/>
              </w:rPr>
              <w:lastRenderedPageBreak/>
              <w:t>Anti-TNF-</w:t>
            </w:r>
            <w:r w:rsidR="00847DF2" w:rsidRPr="00847DF2">
              <w:rPr>
                <w:rFonts w:ascii="Book Antiqua" w:hAnsi="Book Antiqua"/>
                <w:b/>
                <w:bCs/>
                <w:iCs/>
                <w:lang w:val="en-US" w:eastAsia="it-IT"/>
              </w:rPr>
              <w:t></w:t>
            </w:r>
            <w:r w:rsidRPr="00847DF2">
              <w:rPr>
                <w:rFonts w:ascii="Book Antiqua" w:hAnsi="Book Antiqua"/>
                <w:b/>
                <w:bCs/>
                <w:iCs/>
                <w:lang w:val="en-US" w:eastAsia="it-IT"/>
              </w:rPr>
              <w:t xml:space="preserve"> agents</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Leroy </w:t>
            </w:r>
            <w:r w:rsidRPr="00A71E3B">
              <w:rPr>
                <w:rFonts w:ascii="Book Antiqua" w:hAnsi="Book Antiqua"/>
                <w:b/>
                <w:bCs/>
                <w:i/>
                <w:lang w:val="en-US" w:eastAsia="it-IT"/>
              </w:rPr>
              <w:t>et al</w:t>
            </w:r>
            <w:r w:rsidRPr="00847DF2">
              <w:rPr>
                <w:rFonts w:ascii="Book Antiqua" w:hAnsi="Book Antiqua"/>
                <w:b/>
                <w:bCs/>
                <w:vertAlign w:val="superscript"/>
                <w:lang w:val="en-US" w:eastAsia="it-IT"/>
              </w:rPr>
              <w:t>[69]</w:t>
            </w:r>
          </w:p>
        </w:tc>
        <w:tc>
          <w:tcPr>
            <w:tcW w:w="2462" w:type="dxa"/>
            <w:shd w:val="clear" w:color="auto" w:fill="auto"/>
            <w:hideMark/>
          </w:tcPr>
          <w:p w:rsidR="00B37BF3" w:rsidRPr="00A71E3B" w:rsidRDefault="00B37BF3" w:rsidP="00B30536">
            <w:pPr>
              <w:spacing w:line="360" w:lineRule="auto"/>
              <w:jc w:val="both"/>
              <w:rPr>
                <w:rFonts w:ascii="Book Antiqua" w:hAnsi="Book Antiqua"/>
                <w:lang w:val="en-US" w:eastAsia="it-IT"/>
              </w:rPr>
            </w:pPr>
            <w:r w:rsidRPr="00A71E3B">
              <w:rPr>
                <w:rFonts w:ascii="Book Antiqua" w:hAnsi="Book Antiqua"/>
                <w:lang w:val="en-US" w:eastAsia="it-IT"/>
              </w:rPr>
              <w:t>Infliximab (3 mg/kg twice monthly)</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(&lt;</w:t>
            </w:r>
            <w:r w:rsidR="00847DF2">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47DF2">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w:t>
            </w:r>
          </w:p>
        </w:tc>
        <w:tc>
          <w:tcPr>
            <w:tcW w:w="2551" w:type="dxa"/>
            <w:shd w:val="clear" w:color="auto" w:fill="auto"/>
            <w:hideMark/>
          </w:tcPr>
          <w:p w:rsidR="00B37BF3" w:rsidRPr="00A71E3B" w:rsidRDefault="00B37BF3" w:rsidP="00B1092A">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No apparent response with previous treatments including reinforced immunosuppression, </w:t>
            </w:r>
            <w:proofErr w:type="spellStart"/>
            <w:r w:rsidRPr="00A71E3B">
              <w:rPr>
                <w:rFonts w:ascii="Book Antiqua" w:hAnsi="Book Antiqua"/>
                <w:lang w:val="en-US" w:eastAsia="it-IT"/>
              </w:rPr>
              <w:t>CyA</w:t>
            </w:r>
            <w:proofErr w:type="spellEnd"/>
            <w:r w:rsidRPr="00A71E3B">
              <w:rPr>
                <w:rFonts w:ascii="Book Antiqua" w:hAnsi="Book Antiqua"/>
                <w:lang w:val="en-US" w:eastAsia="it-IT"/>
              </w:rPr>
              <w:t xml:space="preserve"> (5 mg/kg per day in continuous </w:t>
            </w:r>
            <w:proofErr w:type="spellStart"/>
            <w:r w:rsidRPr="00A71E3B">
              <w:rPr>
                <w:rFonts w:ascii="Book Antiqua" w:hAnsi="Book Antiqua"/>
                <w:lang w:val="en-US" w:eastAsia="it-IT"/>
              </w:rPr>
              <w:t>i.v.</w:t>
            </w:r>
            <w:proofErr w:type="spellEnd"/>
            <w:r w:rsidRPr="00A71E3B">
              <w:rPr>
                <w:rFonts w:ascii="Book Antiqua" w:hAnsi="Book Antiqua"/>
                <w:lang w:val="en-US" w:eastAsia="it-IT"/>
              </w:rPr>
              <w:t xml:space="preserve"> perfusion) followed by oral high dose </w:t>
            </w:r>
            <w:proofErr w:type="spellStart"/>
            <w:r w:rsidRPr="00A71E3B">
              <w:rPr>
                <w:rFonts w:ascii="Book Antiqua" w:hAnsi="Book Antiqua"/>
                <w:lang w:val="en-US" w:eastAsia="it-IT"/>
              </w:rPr>
              <w:t>CyA</w:t>
            </w:r>
            <w:proofErr w:type="spellEnd"/>
            <w:r w:rsidRPr="00A71E3B">
              <w:rPr>
                <w:rFonts w:ascii="Book Antiqua" w:hAnsi="Book Antiqua"/>
                <w:lang w:val="en-US" w:eastAsia="it-IT"/>
              </w:rPr>
              <w:t xml:space="preserve"> (10 mg/kg per day), methylprednisolone pulses followed by high dose oral prednisone (60 mg/1.73 m</w:t>
            </w:r>
            <w:r w:rsidRPr="00A71E3B">
              <w:rPr>
                <w:rFonts w:ascii="Book Antiqua" w:hAnsi="Book Antiqua"/>
                <w:vertAlign w:val="superscript"/>
                <w:lang w:val="en-US" w:eastAsia="it-IT"/>
              </w:rPr>
              <w:t>2</w:t>
            </w:r>
            <w:r w:rsidR="00B1092A">
              <w:rPr>
                <w:rFonts w:ascii="Book Antiqua" w:hAnsi="Book Antiqua" w:hint="eastAsia"/>
                <w:lang w:val="en-US" w:eastAsia="zh-CN"/>
              </w:rPr>
              <w:t xml:space="preserve"> per</w:t>
            </w:r>
            <w:r w:rsidR="00B1092A" w:rsidRPr="00A71E3B">
              <w:rPr>
                <w:rFonts w:ascii="Book Antiqua" w:hAnsi="Book Antiqua"/>
                <w:lang w:val="en-US" w:eastAsia="it-IT"/>
              </w:rPr>
              <w:t xml:space="preserve"> </w:t>
            </w:r>
            <w:r w:rsidRPr="00A71E3B">
              <w:rPr>
                <w:rFonts w:ascii="Book Antiqua" w:hAnsi="Book Antiqua"/>
                <w:lang w:val="en-US" w:eastAsia="it-IT"/>
              </w:rPr>
              <w:t>day), MMF (600 mg/1.73 m</w:t>
            </w:r>
            <w:r w:rsidRPr="00A71E3B">
              <w:rPr>
                <w:rFonts w:ascii="Book Antiqua" w:hAnsi="Book Antiqua"/>
                <w:vertAlign w:val="superscript"/>
                <w:lang w:val="en-US" w:eastAsia="it-IT"/>
              </w:rPr>
              <w:t>2</w:t>
            </w:r>
            <w:r w:rsidRPr="00A71E3B">
              <w:rPr>
                <w:rFonts w:ascii="Book Antiqua" w:hAnsi="Book Antiqua"/>
                <w:lang w:val="en-US" w:eastAsia="it-IT"/>
              </w:rPr>
              <w:t xml:space="preserve"> </w:t>
            </w:r>
            <w:r w:rsidR="00B1092A">
              <w:rPr>
                <w:rFonts w:ascii="Book Antiqua" w:hAnsi="Book Antiqua" w:hint="eastAsia"/>
                <w:lang w:val="en-US" w:eastAsia="zh-CN"/>
              </w:rPr>
              <w:t>per</w:t>
            </w:r>
            <w:r w:rsidR="00B1092A" w:rsidRPr="00A71E3B">
              <w:rPr>
                <w:rFonts w:ascii="Book Antiqua" w:hAnsi="Book Antiqua"/>
                <w:lang w:val="en-US" w:eastAsia="it-IT"/>
              </w:rPr>
              <w:t xml:space="preserve"> </w:t>
            </w:r>
            <w:r w:rsidRPr="00A71E3B">
              <w:rPr>
                <w:rFonts w:ascii="Book Antiqua" w:hAnsi="Book Antiqua"/>
                <w:lang w:val="en-US" w:eastAsia="it-IT"/>
              </w:rPr>
              <w:t>day) switch to cyclophosphamide (100 mg/</w:t>
            </w:r>
            <w:r w:rsidR="00B1092A">
              <w:rPr>
                <w:rFonts w:ascii="Book Antiqua" w:hAnsi="Book Antiqua"/>
                <w:lang w:val="en-US" w:eastAsia="it-IT"/>
              </w:rPr>
              <w:t>d</w:t>
            </w:r>
            <w:r w:rsidRPr="00A71E3B">
              <w:rPr>
                <w:rFonts w:ascii="Book Antiqua" w:hAnsi="Book Antiqua"/>
                <w:lang w:val="en-US" w:eastAsia="it-IT"/>
              </w:rPr>
              <w:t xml:space="preserve">, interrupted for hematologic toxicity) and PE (15 sessions within 1 </w:t>
            </w:r>
            <w:proofErr w:type="spellStart"/>
            <w:r w:rsidRPr="00A71E3B">
              <w:rPr>
                <w:rFonts w:ascii="Book Antiqua" w:hAnsi="Book Antiqua"/>
                <w:lang w:val="en-US" w:eastAsia="it-IT"/>
              </w:rPr>
              <w:t>mo</w:t>
            </w:r>
            <w:proofErr w:type="spellEnd"/>
            <w:r w:rsidRPr="00A71E3B">
              <w:rPr>
                <w:rFonts w:ascii="Book Antiqua" w:hAnsi="Book Antiqua"/>
                <w:lang w:val="en-US" w:eastAsia="it-IT"/>
              </w:rPr>
              <w:t>)</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Bitzan</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47DF2">
              <w:rPr>
                <w:rFonts w:ascii="Book Antiqua" w:hAnsi="Book Antiqua"/>
                <w:b/>
                <w:bCs/>
                <w:vertAlign w:val="superscript"/>
                <w:lang w:val="en-US" w:eastAsia="it-IT"/>
              </w:rPr>
              <w:t>[70]</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proofErr w:type="spellStart"/>
            <w:r w:rsidRPr="00A71E3B">
              <w:rPr>
                <w:rFonts w:ascii="Book Antiqua" w:hAnsi="Book Antiqua"/>
                <w:lang w:val="en-US" w:eastAsia="it-IT"/>
              </w:rPr>
              <w:t>Etanercept</w:t>
            </w:r>
            <w:proofErr w:type="spellEnd"/>
            <w:r w:rsidRPr="00A71E3B">
              <w:rPr>
                <w:rFonts w:ascii="Book Antiqua" w:hAnsi="Book Antiqua"/>
                <w:lang w:val="en-US" w:eastAsia="it-IT"/>
              </w:rPr>
              <w:t xml:space="preserve"> (twice weekly)</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(&lt;</w:t>
            </w:r>
            <w:r w:rsidR="00847DF2">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47DF2">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Partial remission</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7763" w:type="dxa"/>
            <w:gridSpan w:val="4"/>
            <w:shd w:val="clear" w:color="auto" w:fill="auto"/>
            <w:hideMark/>
          </w:tcPr>
          <w:p w:rsidR="00B37BF3" w:rsidRPr="00847DF2" w:rsidRDefault="00B37BF3" w:rsidP="00B30536">
            <w:pPr>
              <w:suppressAutoHyphens w:val="0"/>
              <w:spacing w:line="360" w:lineRule="auto"/>
              <w:jc w:val="both"/>
              <w:rPr>
                <w:rFonts w:ascii="Book Antiqua" w:hAnsi="Book Antiqua"/>
                <w:b/>
                <w:bCs/>
                <w:lang w:val="en-US" w:eastAsia="it-IT"/>
              </w:rPr>
            </w:pPr>
            <w:r w:rsidRPr="00847DF2">
              <w:rPr>
                <w:rFonts w:ascii="Book Antiqua" w:hAnsi="Book Antiqua"/>
                <w:b/>
                <w:bCs/>
                <w:iCs/>
                <w:lang w:val="en-US" w:eastAsia="it-IT"/>
              </w:rPr>
              <w:t>Rituximab</w:t>
            </w:r>
            <w:r w:rsidR="00B1092A" w:rsidRPr="00847DF2">
              <w:rPr>
                <w:rFonts w:ascii="Book Antiqua" w:hAnsi="Book Antiqua"/>
                <w:vertAlign w:val="superscript"/>
                <w:lang w:val="en-US"/>
              </w:rPr>
              <w:t>®</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Pescovitz</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47DF2">
              <w:rPr>
                <w:rFonts w:ascii="Book Antiqua" w:hAnsi="Book Antiqua"/>
                <w:b/>
                <w:bCs/>
                <w:vertAlign w:val="superscript"/>
                <w:lang w:val="en-US" w:eastAsia="it-IT"/>
              </w:rPr>
              <w:t>[28]</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(6 doses, 375 mg/m</w:t>
            </w:r>
            <w:r w:rsidRPr="00A71E3B">
              <w:rPr>
                <w:rFonts w:ascii="Book Antiqua" w:hAnsi="Book Antiqua"/>
                <w:vertAlign w:val="superscript"/>
                <w:lang w:val="en-US" w:eastAsia="it-IT"/>
              </w:rPr>
              <w:t>2</w:t>
            </w:r>
            <w:r w:rsidRPr="00A71E3B">
              <w:rPr>
                <w:rFonts w:ascii="Book Antiqua" w:hAnsi="Book Antiqua"/>
                <w:lang w:val="en-US" w:eastAsia="it-IT"/>
              </w:rPr>
              <w:t>)</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lastRenderedPageBreak/>
              <w:t>Hristea</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47DF2">
              <w:rPr>
                <w:rFonts w:ascii="Book Antiqua" w:hAnsi="Book Antiqua"/>
                <w:b/>
                <w:bCs/>
                <w:vertAlign w:val="superscript"/>
                <w:lang w:val="en-US" w:eastAsia="it-IT"/>
              </w:rPr>
              <w:t xml:space="preserve">[74] </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(2 doses, 375 mg/m</w:t>
            </w:r>
            <w:r w:rsidRPr="00A71E3B">
              <w:rPr>
                <w:rFonts w:ascii="Book Antiqua" w:hAnsi="Book Antiqua"/>
                <w:vertAlign w:val="superscript"/>
                <w:lang w:val="en-US" w:eastAsia="it-IT"/>
              </w:rPr>
              <w:t>2</w:t>
            </w:r>
            <w:r w:rsidRPr="00A71E3B">
              <w:rPr>
                <w:rFonts w:ascii="Book Antiqua" w:hAnsi="Book Antiqua"/>
                <w:lang w:val="en-US" w:eastAsia="it-IT"/>
              </w:rPr>
              <w:t>)</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w:t>
            </w:r>
            <w:r w:rsidR="0086652C">
              <w:rPr>
                <w:rFonts w:ascii="Book Antiqua" w:hAnsi="Book Antiqua" w:hint="eastAsia"/>
                <w:lang w:val="en-US" w:eastAsia="zh-CN"/>
              </w:rPr>
              <w:t xml:space="preserve"> </w:t>
            </w:r>
            <w:r w:rsidRPr="00A71E3B">
              <w:rPr>
                <w:rFonts w:ascii="Book Antiqua" w:hAnsi="Book Antiqua"/>
                <w:lang w:val="en-US" w:eastAsia="it-IT"/>
              </w:rPr>
              <w:t>18</w:t>
            </w:r>
            <w:r w:rsidR="0086652C">
              <w:rPr>
                <w:rFonts w:ascii="Book Antiqua" w:hAnsi="Book Antiqua"/>
                <w:lang w:val="en-US" w:eastAsia="it-IT"/>
              </w:rPr>
              <w:t xml:space="preserve">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Patient also received a short course of oral cy</w:t>
            </w:r>
            <w:r w:rsidR="00B1092A">
              <w:rPr>
                <w:rFonts w:ascii="Book Antiqua" w:hAnsi="Book Antiqua"/>
                <w:lang w:val="en-US" w:eastAsia="it-IT"/>
              </w:rPr>
              <w:t>clophosphamide (100 mg/d</w:t>
            </w:r>
            <w:r w:rsidRPr="00A71E3B">
              <w:rPr>
                <w:rFonts w:ascii="Book Antiqua" w:hAnsi="Book Antiqua"/>
                <w:lang w:val="en-US" w:eastAsia="it-IT"/>
              </w:rPr>
              <w:t>, days 22-40) and 3 additional PE sessions (days 34, 39, 49)</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Gossmann</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[75]</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(2 doses, 375 mg/m</w:t>
            </w:r>
            <w:r w:rsidRPr="00A71E3B">
              <w:rPr>
                <w:rFonts w:ascii="Book Antiqua" w:hAnsi="Book Antiqua"/>
                <w:vertAlign w:val="superscript"/>
                <w:lang w:val="en-US" w:eastAsia="it-IT"/>
              </w:rPr>
              <w:t>2</w:t>
            </w:r>
            <w:r w:rsidRPr="00A71E3B">
              <w:rPr>
                <w:rFonts w:ascii="Book Antiqua" w:hAnsi="Book Antiqua"/>
                <w:lang w:val="en-US" w:eastAsia="it-IT"/>
              </w:rPr>
              <w:t>)</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w:t>
            </w:r>
            <w:r w:rsidR="00F95920">
              <w:rPr>
                <w:rFonts w:ascii="Book Antiqua" w:hAnsi="Book Antiqua" w:hint="eastAsia"/>
                <w:lang w:val="en-US" w:eastAsia="zh-CN"/>
              </w:rPr>
              <w:t xml:space="preserve"> </w:t>
            </w:r>
            <w:r w:rsidR="00F95920">
              <w:rPr>
                <w:rFonts w:ascii="Book Antiqua" w:hAnsi="Book Antiqua"/>
                <w:lang w:val="en-US" w:eastAsia="it-IT"/>
              </w:rPr>
              <w:t xml:space="preserve">18 </w:t>
            </w:r>
            <w:proofErr w:type="spellStart"/>
            <w:r w:rsidR="00F95920">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Fornoni</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[21]</w:t>
            </w:r>
          </w:p>
        </w:tc>
        <w:tc>
          <w:tcPr>
            <w:tcW w:w="2462" w:type="dxa"/>
            <w:shd w:val="clear" w:color="auto" w:fill="auto"/>
            <w:hideMark/>
          </w:tcPr>
          <w:p w:rsidR="00B37BF3" w:rsidRPr="00A71E3B" w:rsidRDefault="00B37BF3" w:rsidP="00B1092A">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within 24 h after surgery (1 dose, 375 mg/m</w:t>
            </w:r>
            <w:r w:rsidRPr="00A71E3B">
              <w:rPr>
                <w:rFonts w:ascii="Book Antiqua" w:hAnsi="Book Antiqua"/>
                <w:vertAlign w:val="superscript"/>
                <w:lang w:val="en-US" w:eastAsia="it-IT"/>
              </w:rPr>
              <w:t>2</w:t>
            </w:r>
            <w:r w:rsidRPr="00A71E3B">
              <w:rPr>
                <w:rFonts w:ascii="Book Antiqua" w:hAnsi="Book Antiqua"/>
                <w:lang w:val="en-US" w:eastAsia="it-IT"/>
              </w:rPr>
              <w:t>) in patients at high risk of recurrence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41 patients (14 controls </w:t>
            </w:r>
            <w:r w:rsidRPr="00A71E3B">
              <w:rPr>
                <w:rFonts w:ascii="Book Antiqua" w:hAnsi="Book Antiqua"/>
                <w:i/>
                <w:lang w:val="en-US" w:eastAsia="it-IT"/>
              </w:rPr>
              <w:t>vs</w:t>
            </w:r>
            <w:r w:rsidRPr="00A71E3B">
              <w:rPr>
                <w:rFonts w:ascii="Book Antiqua" w:hAnsi="Book Antiqua"/>
                <w:lang w:val="en-US" w:eastAsia="it-IT"/>
              </w:rPr>
              <w:t xml:space="preserve"> 27 treated) </w:t>
            </w:r>
          </w:p>
        </w:tc>
        <w:tc>
          <w:tcPr>
            <w:tcW w:w="2244" w:type="dxa"/>
            <w:shd w:val="clear" w:color="auto" w:fill="auto"/>
            <w:hideMark/>
          </w:tcPr>
          <w:p w:rsidR="00B37BF3" w:rsidRPr="00A71E3B" w:rsidRDefault="00B37BF3" w:rsidP="00B1092A">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Nephrotic proteinuria within 1 </w:t>
            </w:r>
            <w:proofErr w:type="spellStart"/>
            <w:r w:rsidRPr="00A71E3B">
              <w:rPr>
                <w:rFonts w:ascii="Book Antiqua" w:hAnsi="Book Antiqua"/>
                <w:lang w:val="en-US" w:eastAsia="it-IT"/>
              </w:rPr>
              <w:t>mo</w:t>
            </w:r>
            <w:proofErr w:type="spellEnd"/>
            <w:r w:rsidRPr="00A71E3B">
              <w:rPr>
                <w:rFonts w:ascii="Book Antiqua" w:hAnsi="Book Antiqua"/>
                <w:lang w:val="en-US" w:eastAsia="it-IT"/>
              </w:rPr>
              <w:t xml:space="preserve"> in 7/27 patients in 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group </w:t>
            </w:r>
            <w:r w:rsidRPr="00A71E3B">
              <w:rPr>
                <w:rFonts w:ascii="Book Antiqua" w:hAnsi="Book Antiqua"/>
                <w:i/>
                <w:lang w:val="en-US" w:eastAsia="it-IT"/>
              </w:rPr>
              <w:t>vs</w:t>
            </w:r>
            <w:r w:rsidRPr="00A71E3B">
              <w:rPr>
                <w:rFonts w:ascii="Book Antiqua" w:hAnsi="Book Antiqua"/>
                <w:lang w:val="en-US" w:eastAsia="it-IT"/>
              </w:rPr>
              <w:t xml:space="preserve"> 9/14 patients in control group (</w:t>
            </w:r>
            <w:r w:rsidRPr="00A71E3B">
              <w:rPr>
                <w:rFonts w:ascii="Book Antiqua" w:hAnsi="Book Antiqua"/>
                <w:i/>
                <w:lang w:val="en-US" w:eastAsia="it-IT"/>
              </w:rPr>
              <w:t>P</w:t>
            </w:r>
            <w:r w:rsidRPr="00A71E3B">
              <w:rPr>
                <w:rFonts w:ascii="Book Antiqua" w:hAnsi="Book Antiqua"/>
                <w:lang w:val="en-US" w:eastAsia="it-IT"/>
              </w:rPr>
              <w:t xml:space="preserve"> &lt; 0.005)</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Patient mean age: 12.3 ± 5.2 </w:t>
            </w:r>
            <w:proofErr w:type="spellStart"/>
            <w:r w:rsidR="0086652C">
              <w:rPr>
                <w:rFonts w:ascii="Book Antiqua" w:hAnsi="Book Antiqua"/>
                <w:lang w:val="en-US" w:eastAsia="it-IT"/>
              </w:rPr>
              <w:t>yr</w:t>
            </w:r>
            <w:proofErr w:type="spellEnd"/>
            <w:r w:rsidRPr="00A71E3B">
              <w:rPr>
                <w:rFonts w:ascii="Book Antiqua" w:hAnsi="Book Antiqua"/>
                <w:lang w:val="en-US" w:eastAsia="it-IT"/>
              </w:rPr>
              <w:t xml:space="preserve"> (control group), 15.0 ± 5.5 </w:t>
            </w:r>
            <w:proofErr w:type="spellStart"/>
            <w:r w:rsidR="0086652C">
              <w:rPr>
                <w:rFonts w:ascii="Book Antiqua" w:hAnsi="Book Antiqua"/>
                <w:lang w:val="en-US" w:eastAsia="it-IT"/>
              </w:rPr>
              <w:t>yr</w:t>
            </w:r>
            <w:proofErr w:type="spellEnd"/>
            <w:r w:rsidRPr="00A71E3B">
              <w:rPr>
                <w:rFonts w:ascii="Book Antiqua" w:hAnsi="Book Antiqua"/>
                <w:lang w:val="en-US" w:eastAsia="it-IT"/>
              </w:rPr>
              <w:t xml:space="preserve"> (Rituximab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group)</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Audard</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[76]</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induction</w:t>
            </w:r>
            <w:r w:rsidRPr="00A71E3B">
              <w:rPr>
                <w:rFonts w:ascii="Book Antiqua" w:hAnsi="Book Antiqua"/>
                <w:vertAlign w:val="superscript"/>
                <w:lang w:val="en-US" w:eastAsia="it-IT"/>
              </w:rPr>
              <w:t xml:space="preserve"> </w:t>
            </w:r>
            <w:r w:rsidRPr="00A71E3B">
              <w:rPr>
                <w:rFonts w:ascii="Book Antiqua" w:hAnsi="Book Antiqua"/>
                <w:lang w:val="en-US" w:eastAsia="it-IT"/>
              </w:rPr>
              <w:t xml:space="preserve">in patients at high risk of recurrence (first graft lost due to recurrence) </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4 patients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No evidence of significant proteinuria at the end of follow-up</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Single dose of 75 mg/m</w:t>
            </w:r>
            <w:r w:rsidRPr="00A71E3B">
              <w:rPr>
                <w:rFonts w:ascii="Book Antiqua" w:hAnsi="Book Antiqua"/>
                <w:vertAlign w:val="superscript"/>
                <w:lang w:val="en-US" w:eastAsia="it-IT"/>
              </w:rPr>
              <w:t xml:space="preserve">2 </w:t>
            </w:r>
            <w:r w:rsidRPr="00A71E3B">
              <w:rPr>
                <w:rFonts w:ascii="Book Antiqua" w:hAnsi="Book Antiqua"/>
                <w:lang w:val="en-US" w:eastAsia="it-IT"/>
              </w:rPr>
              <w:t>in 2/4 patients, repeated dose of 375 mg/m</w:t>
            </w:r>
            <w:r w:rsidRPr="00A71E3B">
              <w:rPr>
                <w:rFonts w:ascii="Book Antiqua" w:hAnsi="Book Antiqua"/>
                <w:vertAlign w:val="superscript"/>
                <w:lang w:val="en-US" w:eastAsia="it-IT"/>
              </w:rPr>
              <w:t>2</w:t>
            </w:r>
            <w:r w:rsidRPr="00A71E3B">
              <w:rPr>
                <w:rFonts w:ascii="Book Antiqua" w:hAnsi="Book Antiqua"/>
                <w:lang w:val="en-US" w:eastAsia="it-IT"/>
              </w:rPr>
              <w:t xml:space="preserve"> on day 7 in the remaining 2 patients; associated PE sessions (6 and 15, respectively) in 2/4 patients</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Hickson</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[77]</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(375 mg/m</w:t>
            </w:r>
            <w:r w:rsidRPr="00A71E3B">
              <w:rPr>
                <w:rFonts w:ascii="Book Antiqua" w:hAnsi="Book Antiqua"/>
                <w:vertAlign w:val="superscript"/>
                <w:lang w:val="en-US" w:eastAsia="it-IT"/>
              </w:rPr>
              <w:t>2</w:t>
            </w:r>
            <w:r w:rsidRPr="00A71E3B">
              <w:rPr>
                <w:rFonts w:ascii="Book Antiqua" w:hAnsi="Book Antiqua"/>
                <w:lang w:val="en-US" w:eastAsia="it-IT"/>
              </w:rPr>
              <w:t>; 2-4 doses)</w:t>
            </w:r>
            <w:r w:rsidRPr="00A71E3B">
              <w:rPr>
                <w:rFonts w:ascii="Book Antiqua" w:hAnsi="Book Antiqua"/>
                <w:vertAlign w:val="superscript"/>
                <w:lang w:val="en-US" w:eastAsia="it-IT"/>
              </w:rPr>
              <w:t xml:space="preserve"> </w:t>
            </w:r>
            <w:r w:rsidRPr="00A71E3B">
              <w:rPr>
                <w:rFonts w:ascii="Book Antiqua" w:hAnsi="Book Antiqua"/>
                <w:lang w:val="en-US" w:eastAsia="it-IT"/>
              </w:rPr>
              <w:t>+ PE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4 patients (3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 1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remissions in 4/4 patients</w:t>
            </w:r>
          </w:p>
        </w:tc>
        <w:tc>
          <w:tcPr>
            <w:tcW w:w="2551" w:type="dxa"/>
            <w:shd w:val="clear" w:color="auto" w:fill="auto"/>
            <w:hideMark/>
          </w:tcPr>
          <w:p w:rsidR="00B37BF3" w:rsidRPr="00A71E3B" w:rsidRDefault="00B37BF3" w:rsidP="00B1092A">
            <w:pPr>
              <w:suppressAutoHyphens w:val="0"/>
              <w:spacing w:line="360" w:lineRule="auto"/>
              <w:jc w:val="both"/>
              <w:rPr>
                <w:rFonts w:ascii="Book Antiqua" w:hAnsi="Book Antiqua"/>
                <w:lang w:val="en-US" w:eastAsia="it-IT"/>
              </w:rPr>
            </w:pPr>
            <w:r w:rsidRPr="00A71E3B">
              <w:rPr>
                <w:rFonts w:ascii="Book Antiqua" w:hAnsi="Book Antiqua"/>
                <w:lang w:val="en-US" w:eastAsia="it-IT"/>
              </w:rPr>
              <w:t>Early 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treatment in 3/4 (7–63 d post-transplantation), late treatment in 1/4 </w:t>
            </w:r>
            <w:r w:rsidRPr="00A71E3B">
              <w:rPr>
                <w:rFonts w:ascii="Book Antiqua" w:hAnsi="Book Antiqua"/>
                <w:lang w:val="en-US" w:eastAsia="it-IT"/>
              </w:rPr>
              <w:lastRenderedPageBreak/>
              <w:t>(982 d post-transplantation during a prolonged PE-dependent remission)</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lastRenderedPageBreak/>
              <w:t>Dello</w:t>
            </w:r>
            <w:proofErr w:type="spellEnd"/>
            <w:r w:rsidRPr="00A71E3B">
              <w:rPr>
                <w:rFonts w:ascii="Book Antiqua" w:hAnsi="Book Antiqua"/>
                <w:b/>
                <w:bCs/>
                <w:lang w:val="en-US" w:eastAsia="it-IT"/>
              </w:rPr>
              <w:t xml:space="preserve"> </w:t>
            </w:r>
            <w:proofErr w:type="spellStart"/>
            <w:r w:rsidRPr="00A71E3B">
              <w:rPr>
                <w:rFonts w:ascii="Book Antiqua" w:hAnsi="Book Antiqua"/>
                <w:b/>
                <w:bCs/>
                <w:lang w:val="en-US" w:eastAsia="it-IT"/>
              </w:rPr>
              <w:t>Strologo</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[78]</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(375 mg/m</w:t>
            </w:r>
            <w:r w:rsidRPr="00A71E3B">
              <w:rPr>
                <w:rFonts w:ascii="Book Antiqua" w:hAnsi="Book Antiqua"/>
                <w:vertAlign w:val="superscript"/>
                <w:lang w:val="en-US" w:eastAsia="it-IT"/>
              </w:rPr>
              <w:t>2</w:t>
            </w:r>
            <w:r w:rsidRPr="00A71E3B">
              <w:rPr>
                <w:rFonts w:ascii="Book Antiqua" w:hAnsi="Book Antiqua"/>
                <w:lang w:val="en-US" w:eastAsia="it-IT"/>
              </w:rPr>
              <w:t>; 1-4 doses) + PE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6 patients (4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 2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r w:rsidRPr="00A71E3B">
              <w:rPr>
                <w:rFonts w:ascii="Book Antiqua" w:hAnsi="Book Antiqua"/>
                <w:vertAlign w:val="superscript"/>
                <w:lang w:val="en-US" w:eastAsia="it-IT"/>
              </w:rPr>
              <w:t>e</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3; partial remission in 2; no response in 1</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1/7 patients received one dose, 4/7 patients received 2 doses, and 1/7 received 4 doses; 1/7 patients experienced a severe reaction during first infusion and was excluded from the analysis</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Tsagalis</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[79]</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(1 g, 2 doses)</w:t>
            </w:r>
            <w:r w:rsidRPr="00A71E3B">
              <w:rPr>
                <w:rFonts w:ascii="Book Antiqua" w:hAnsi="Book Antiqua"/>
                <w:vertAlign w:val="superscript"/>
                <w:lang w:val="en-US" w:eastAsia="it-IT"/>
              </w:rPr>
              <w:t xml:space="preserve"> </w:t>
            </w:r>
            <w:r w:rsidRPr="00A71E3B">
              <w:rPr>
                <w:rFonts w:ascii="Book Antiqua" w:hAnsi="Book Antiqua"/>
                <w:lang w:val="en-US" w:eastAsia="it-IT"/>
              </w:rPr>
              <w:t>+ PE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4 patients (2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 2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2; partial remission in 2</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Cho </w:t>
            </w:r>
            <w:r w:rsidRPr="00A71E3B">
              <w:rPr>
                <w:rFonts w:ascii="Book Antiqua" w:hAnsi="Book Antiqua"/>
                <w:b/>
                <w:bCs/>
                <w:i/>
                <w:lang w:val="en-US" w:eastAsia="it-IT"/>
              </w:rPr>
              <w:t>et al</w:t>
            </w:r>
            <w:r w:rsidRPr="0086652C">
              <w:rPr>
                <w:rFonts w:ascii="Book Antiqua" w:hAnsi="Book Antiqua"/>
                <w:b/>
                <w:bCs/>
                <w:vertAlign w:val="superscript"/>
                <w:lang w:val="en-US" w:eastAsia="it-IT"/>
              </w:rPr>
              <w:t>[80]</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(100 mg, 1 dose)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Yabu</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[87]</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 PE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4 patients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No response or proteinuria relapse after Rituximab</w:t>
            </w:r>
            <w:r w:rsidR="00B1092A" w:rsidRPr="00A71E3B">
              <w:rPr>
                <w:rFonts w:ascii="Book Antiqua" w:hAnsi="Book Antiqua"/>
                <w:vertAlign w:val="superscript"/>
                <w:lang w:val="en-US"/>
              </w:rPr>
              <w:t>®</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schedule: 1 g, 2 doses in 1/4; 375 mg/m</w:t>
            </w:r>
            <w:r w:rsidRPr="00A71E3B">
              <w:rPr>
                <w:rFonts w:ascii="Book Antiqua" w:hAnsi="Book Antiqua"/>
                <w:vertAlign w:val="superscript"/>
                <w:lang w:val="en-US" w:eastAsia="it-IT"/>
              </w:rPr>
              <w:t>2</w:t>
            </w:r>
            <w:r w:rsidRPr="00A71E3B">
              <w:rPr>
                <w:rFonts w:ascii="Book Antiqua" w:hAnsi="Book Antiqua"/>
                <w:lang w:val="en-US" w:eastAsia="it-IT"/>
              </w:rPr>
              <w:t>, 4 doses in 1/4; 375 mg/m</w:t>
            </w:r>
            <w:r w:rsidRPr="00A71E3B">
              <w:rPr>
                <w:rFonts w:ascii="Book Antiqua" w:hAnsi="Book Antiqua"/>
                <w:vertAlign w:val="superscript"/>
                <w:lang w:val="en-US" w:eastAsia="it-IT"/>
              </w:rPr>
              <w:t>2</w:t>
            </w:r>
            <w:r w:rsidRPr="00A71E3B">
              <w:rPr>
                <w:rFonts w:ascii="Book Antiqua" w:hAnsi="Book Antiqua"/>
                <w:lang w:val="en-US" w:eastAsia="it-IT"/>
              </w:rPr>
              <w:t>, 6 doses in 2/4</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Kumar </w:t>
            </w:r>
            <w:r w:rsidRPr="00A71E3B">
              <w:rPr>
                <w:rFonts w:ascii="Book Antiqua" w:hAnsi="Book Antiqua"/>
                <w:b/>
                <w:bCs/>
                <w:i/>
                <w:lang w:val="en-US" w:eastAsia="it-IT"/>
              </w:rPr>
              <w:t>et al</w:t>
            </w:r>
            <w:r w:rsidRPr="0086652C">
              <w:rPr>
                <w:rFonts w:ascii="Book Antiqua" w:hAnsi="Book Antiqua"/>
                <w:b/>
                <w:bCs/>
                <w:vertAlign w:val="superscript"/>
                <w:lang w:val="en-US" w:eastAsia="it-IT"/>
              </w:rPr>
              <w:t>[117]</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 PE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8 patients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2/8; partial remission in 4/8; no response in 2/8</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schedule: 375 mg/m</w:t>
            </w:r>
            <w:r w:rsidRPr="00A71E3B">
              <w:rPr>
                <w:rFonts w:ascii="Book Antiqua" w:hAnsi="Book Antiqua"/>
                <w:vertAlign w:val="superscript"/>
                <w:lang w:val="en-US" w:eastAsia="it-IT"/>
              </w:rPr>
              <w:t>2</w:t>
            </w:r>
            <w:r w:rsidRPr="00A71E3B">
              <w:rPr>
                <w:rFonts w:ascii="Book Antiqua" w:hAnsi="Book Antiqua"/>
                <w:lang w:val="en-US" w:eastAsia="it-IT"/>
              </w:rPr>
              <w:t>, 4 doses in 4/8; 375 mg/m</w:t>
            </w:r>
            <w:r w:rsidRPr="00A71E3B">
              <w:rPr>
                <w:rFonts w:ascii="Book Antiqua" w:hAnsi="Book Antiqua"/>
                <w:vertAlign w:val="superscript"/>
                <w:lang w:val="en-US" w:eastAsia="it-IT"/>
              </w:rPr>
              <w:t>2</w:t>
            </w:r>
            <w:r w:rsidRPr="00A71E3B">
              <w:rPr>
                <w:rFonts w:ascii="Book Antiqua" w:hAnsi="Book Antiqua"/>
                <w:lang w:val="en-US" w:eastAsia="it-IT"/>
              </w:rPr>
              <w:t>, 1 doses in 1/8; 375 mg/m</w:t>
            </w:r>
            <w:r w:rsidRPr="00A71E3B">
              <w:rPr>
                <w:rFonts w:ascii="Book Antiqua" w:hAnsi="Book Antiqua"/>
                <w:vertAlign w:val="superscript"/>
                <w:lang w:val="en-US" w:eastAsia="it-IT"/>
              </w:rPr>
              <w:t>2</w:t>
            </w:r>
            <w:r w:rsidRPr="00A71E3B">
              <w:rPr>
                <w:rFonts w:ascii="Book Antiqua" w:hAnsi="Book Antiqua"/>
                <w:lang w:val="en-US" w:eastAsia="it-IT"/>
              </w:rPr>
              <w:t xml:space="preserve">, 3 doses in </w:t>
            </w:r>
            <w:r w:rsidRPr="00A71E3B">
              <w:rPr>
                <w:rFonts w:ascii="Book Antiqua" w:hAnsi="Book Antiqua"/>
                <w:lang w:val="en-US" w:eastAsia="it-IT"/>
              </w:rPr>
              <w:lastRenderedPageBreak/>
              <w:t>1/8; 375 mg/m</w:t>
            </w:r>
            <w:r w:rsidRPr="00A71E3B">
              <w:rPr>
                <w:rFonts w:ascii="Book Antiqua" w:hAnsi="Book Antiqua"/>
                <w:vertAlign w:val="superscript"/>
                <w:lang w:val="en-US" w:eastAsia="it-IT"/>
              </w:rPr>
              <w:t>2</w:t>
            </w:r>
            <w:r w:rsidRPr="00A71E3B">
              <w:rPr>
                <w:rFonts w:ascii="Book Antiqua" w:hAnsi="Book Antiqua"/>
                <w:lang w:val="en-US" w:eastAsia="it-IT"/>
              </w:rPr>
              <w:t>, 8 doses in 1/8; 375 mg/m</w:t>
            </w:r>
            <w:r w:rsidRPr="00A71E3B">
              <w:rPr>
                <w:rFonts w:ascii="Book Antiqua" w:hAnsi="Book Antiqua"/>
                <w:vertAlign w:val="superscript"/>
                <w:lang w:val="en-US" w:eastAsia="it-IT"/>
              </w:rPr>
              <w:t>2</w:t>
            </w:r>
            <w:r w:rsidRPr="00A71E3B">
              <w:rPr>
                <w:rFonts w:ascii="Book Antiqua" w:hAnsi="Book Antiqua"/>
                <w:lang w:val="en-US" w:eastAsia="it-IT"/>
              </w:rPr>
              <w:t>, 10 doses in 1/8</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lastRenderedPageBreak/>
              <w:t xml:space="preserve">Park </w:t>
            </w:r>
            <w:r w:rsidRPr="00A71E3B">
              <w:rPr>
                <w:rFonts w:ascii="Book Antiqua" w:hAnsi="Book Antiqua"/>
                <w:b/>
                <w:bCs/>
                <w:i/>
                <w:lang w:val="en-US" w:eastAsia="it-IT"/>
              </w:rPr>
              <w:t>et al</w:t>
            </w:r>
            <w:r w:rsidRPr="0086652C">
              <w:rPr>
                <w:rFonts w:ascii="Book Antiqua" w:hAnsi="Book Antiqua"/>
                <w:b/>
                <w:bCs/>
                <w:vertAlign w:val="superscript"/>
                <w:lang w:val="en-US" w:eastAsia="it-IT"/>
              </w:rPr>
              <w:t>[88]</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(375 mg/m</w:t>
            </w:r>
            <w:r w:rsidRPr="00A71E3B">
              <w:rPr>
                <w:rFonts w:ascii="Book Antiqua" w:hAnsi="Book Antiqua"/>
                <w:vertAlign w:val="superscript"/>
                <w:lang w:val="en-US" w:eastAsia="it-IT"/>
              </w:rPr>
              <w:t>2</w:t>
            </w:r>
            <w:r w:rsidRPr="00A71E3B">
              <w:rPr>
                <w:rFonts w:ascii="Book Antiqua" w:hAnsi="Book Antiqua"/>
                <w:lang w:val="en-US" w:eastAsia="it-IT"/>
              </w:rPr>
              <w:t>, 1 or 2 doses) before transplantation</w:t>
            </w:r>
            <w:r w:rsidRPr="00A71E3B">
              <w:rPr>
                <w:rFonts w:ascii="Book Antiqua" w:hAnsi="Book Antiqua"/>
                <w:vertAlign w:val="superscript"/>
                <w:lang w:val="en-US" w:eastAsia="it-IT"/>
              </w:rPr>
              <w:t xml:space="preserve"> </w:t>
            </w:r>
          </w:p>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with or without PE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9 patients PE </w:t>
            </w:r>
            <w:r w:rsidR="0086652C" w:rsidRPr="00A03C60">
              <w:rPr>
                <w:rFonts w:ascii="Book Antiqua" w:hAnsi="Book Antiqua" w:cs="Arial"/>
                <w:color w:val="000000"/>
              </w:rPr>
              <w:t>±</w:t>
            </w:r>
            <w:r w:rsidRPr="00A71E3B">
              <w:rPr>
                <w:rFonts w:ascii="Book Antiqua" w:hAnsi="Book Antiqua"/>
                <w:lang w:val="en-US" w:eastAsia="it-IT"/>
              </w:rPr>
              <w:t xml:space="preserve"> 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treated (Rituximab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group) </w:t>
            </w:r>
            <w:r w:rsidRPr="00A71E3B">
              <w:rPr>
                <w:rFonts w:ascii="Book Antiqua" w:hAnsi="Book Antiqua"/>
                <w:i/>
                <w:lang w:val="en-US" w:eastAsia="it-IT"/>
              </w:rPr>
              <w:t>vs</w:t>
            </w:r>
            <w:r w:rsidRPr="00A71E3B">
              <w:rPr>
                <w:rFonts w:ascii="Book Antiqua" w:hAnsi="Book Antiqua"/>
                <w:lang w:val="en-US" w:eastAsia="it-IT"/>
              </w:rPr>
              <w:t xml:space="preserve"> 18 patients (control group) </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No statistical difference in the prevention of recurrence between PE </w:t>
            </w:r>
            <w:r w:rsidR="0086652C" w:rsidRPr="00A03C60">
              <w:rPr>
                <w:rFonts w:ascii="Book Antiqua" w:hAnsi="Book Antiqua" w:cs="Arial"/>
                <w:color w:val="000000"/>
              </w:rPr>
              <w:t>±</w:t>
            </w:r>
            <w:r w:rsidRPr="00A71E3B">
              <w:rPr>
                <w:rFonts w:ascii="Book Antiqua" w:hAnsi="Book Antiqua"/>
                <w:lang w:val="en-US" w:eastAsia="it-IT"/>
              </w:rPr>
              <w:t xml:space="preserve"> 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group (2/9, 22%) </w:t>
            </w:r>
            <w:r w:rsidRPr="00A71E3B">
              <w:rPr>
                <w:rFonts w:ascii="Book Antiqua" w:hAnsi="Book Antiqua"/>
                <w:i/>
                <w:lang w:val="en-US" w:eastAsia="it-IT"/>
              </w:rPr>
              <w:t>vs</w:t>
            </w:r>
            <w:r w:rsidRPr="00A71E3B">
              <w:rPr>
                <w:rFonts w:ascii="Book Antiqua" w:hAnsi="Book Antiqua"/>
                <w:lang w:val="en-US" w:eastAsia="it-IT"/>
              </w:rPr>
              <w:t xml:space="preserve"> control group (5/18, 28%)</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schedule: 375 mg/m</w:t>
            </w:r>
            <w:r w:rsidRPr="00A71E3B">
              <w:rPr>
                <w:rFonts w:ascii="Book Antiqua" w:hAnsi="Book Antiqua"/>
                <w:vertAlign w:val="superscript"/>
                <w:lang w:val="en-US" w:eastAsia="it-IT"/>
              </w:rPr>
              <w:t>2</w:t>
            </w:r>
            <w:r w:rsidRPr="00A71E3B">
              <w:rPr>
                <w:rFonts w:ascii="Book Antiqua" w:hAnsi="Book Antiqua"/>
                <w:lang w:val="en-US" w:eastAsia="it-IT"/>
              </w:rPr>
              <w:t>, 1 dose for desensitization in high risk patients; 375 mg/m</w:t>
            </w:r>
            <w:r w:rsidRPr="00A71E3B">
              <w:rPr>
                <w:rFonts w:ascii="Book Antiqua" w:hAnsi="Book Antiqua"/>
                <w:vertAlign w:val="superscript"/>
                <w:lang w:val="en-US" w:eastAsia="it-IT"/>
              </w:rPr>
              <w:t>2</w:t>
            </w:r>
            <w:r w:rsidRPr="00A71E3B">
              <w:rPr>
                <w:rFonts w:ascii="Book Antiqua" w:hAnsi="Book Antiqua"/>
                <w:lang w:val="en-US" w:eastAsia="it-IT"/>
              </w:rPr>
              <w:t>, 2 doses in ABO-incompatible transplantation; data not shown for recurrence prevention</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Kamar</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[89]</w:t>
            </w:r>
          </w:p>
        </w:tc>
        <w:tc>
          <w:tcPr>
            <w:tcW w:w="2462" w:type="dxa"/>
            <w:shd w:val="clear" w:color="auto" w:fill="auto"/>
            <w:hideMark/>
          </w:tcPr>
          <w:p w:rsidR="00B37BF3" w:rsidRPr="00A71E3B" w:rsidRDefault="00B37BF3" w:rsidP="003C6D1C">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(2-4 doses, 375 mg/m</w:t>
            </w:r>
            <w:r w:rsidRPr="00A71E3B">
              <w:rPr>
                <w:rFonts w:ascii="Book Antiqua" w:hAnsi="Book Antiqua"/>
                <w:vertAlign w:val="superscript"/>
                <w:lang w:val="en-US" w:eastAsia="it-IT"/>
              </w:rPr>
              <w:t>2</w:t>
            </w:r>
            <w:r w:rsidRPr="00A71E3B">
              <w:rPr>
                <w:rFonts w:ascii="Book Antiqua" w:hAnsi="Book Antiqua"/>
                <w:lang w:val="en-US" w:eastAsia="it-IT"/>
              </w:rPr>
              <w:t>)</w:t>
            </w:r>
            <w:r w:rsidR="00837352" w:rsidRPr="00A71E3B">
              <w:rPr>
                <w:rFonts w:ascii="Book Antiqua" w:hAnsi="Book Antiqua"/>
                <w:lang w:val="en-US" w:eastAsia="it-IT"/>
              </w:rPr>
              <w:t xml:space="preserve"> </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2 patients (≥</w:t>
            </w:r>
            <w:r w:rsidR="0086652C">
              <w:rPr>
                <w:rFonts w:ascii="Book Antiqua" w:hAnsi="Book Antiqua" w:hint="eastAsia"/>
                <w:lang w:val="en-US" w:eastAsia="zh-CN"/>
              </w:rPr>
              <w:t xml:space="preserve"> </w:t>
            </w:r>
            <w:r w:rsidR="0086652C">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1 patient; no response in 1 patient</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schedule: 75 mg/m</w:t>
            </w:r>
            <w:r w:rsidRPr="00A71E3B">
              <w:rPr>
                <w:rFonts w:ascii="Book Antiqua" w:hAnsi="Book Antiqua"/>
                <w:vertAlign w:val="superscript"/>
                <w:lang w:val="en-US" w:eastAsia="it-IT"/>
              </w:rPr>
              <w:t>2</w:t>
            </w:r>
            <w:r w:rsidRPr="00A71E3B">
              <w:rPr>
                <w:rFonts w:ascii="Book Antiqua" w:hAnsi="Book Antiqua"/>
                <w:lang w:val="en-US" w:eastAsia="it-IT"/>
              </w:rPr>
              <w:t>, 2 doses in the first patient (a supplemental dose was repeated after proteinuria relapse in association with PE sessions, achieving a new complete remission); 375 mg/m</w:t>
            </w:r>
            <w:r w:rsidRPr="00A71E3B">
              <w:rPr>
                <w:rFonts w:ascii="Book Antiqua" w:hAnsi="Book Antiqua"/>
                <w:vertAlign w:val="superscript"/>
                <w:lang w:val="en-US" w:eastAsia="it-IT"/>
              </w:rPr>
              <w:t>2</w:t>
            </w:r>
            <w:r w:rsidRPr="00A71E3B">
              <w:rPr>
                <w:rFonts w:ascii="Book Antiqua" w:hAnsi="Book Antiqua"/>
                <w:lang w:val="en-US" w:eastAsia="it-IT"/>
              </w:rPr>
              <w:t>, 4 doses in the second patient</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El-</w:t>
            </w:r>
            <w:proofErr w:type="spellStart"/>
            <w:r w:rsidRPr="00A71E3B">
              <w:rPr>
                <w:rFonts w:ascii="Book Antiqua" w:hAnsi="Book Antiqua"/>
                <w:b/>
                <w:bCs/>
                <w:lang w:val="en-US" w:eastAsia="it-IT"/>
              </w:rPr>
              <w:t>Firjani</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[90]</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(6 doses, 375 mg/m</w:t>
            </w:r>
            <w:r w:rsidRPr="00A71E3B">
              <w:rPr>
                <w:rFonts w:ascii="Book Antiqua" w:hAnsi="Book Antiqua"/>
                <w:vertAlign w:val="superscript"/>
                <w:lang w:val="en-US" w:eastAsia="it-IT"/>
              </w:rPr>
              <w:t>2</w:t>
            </w:r>
            <w:r w:rsidRPr="00A71E3B">
              <w:rPr>
                <w:rFonts w:ascii="Book Antiqua" w:hAnsi="Book Antiqua"/>
                <w:lang w:val="en-US" w:eastAsia="it-IT"/>
              </w:rPr>
              <w:t>)</w:t>
            </w:r>
            <w:r w:rsidRPr="00A71E3B">
              <w:rPr>
                <w:rFonts w:ascii="Book Antiqua" w:hAnsi="Book Antiqua"/>
                <w:vertAlign w:val="superscript"/>
                <w:lang w:val="en-US" w:eastAsia="it-IT"/>
              </w:rPr>
              <w:t xml:space="preserve"> </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No response</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Apeland</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[81]</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(3 doses, 375 mg/m</w:t>
            </w:r>
            <w:r w:rsidRPr="00A71E3B">
              <w:rPr>
                <w:rFonts w:ascii="Book Antiqua" w:hAnsi="Book Antiqua"/>
                <w:vertAlign w:val="superscript"/>
                <w:lang w:val="en-US" w:eastAsia="it-IT"/>
              </w:rPr>
              <w:t>2</w:t>
            </w:r>
            <w:r w:rsidRPr="00A71E3B">
              <w:rPr>
                <w:rFonts w:ascii="Book Antiqua" w:hAnsi="Book Antiqua"/>
                <w:lang w:val="en-US" w:eastAsia="it-IT"/>
              </w:rPr>
              <w:t>)</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Grenda</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 xml:space="preserve">et </w:t>
            </w:r>
            <w:r w:rsidRPr="00A71E3B">
              <w:rPr>
                <w:rFonts w:ascii="Book Antiqua" w:hAnsi="Book Antiqua"/>
                <w:b/>
                <w:bCs/>
                <w:i/>
                <w:lang w:val="en-US" w:eastAsia="it-IT"/>
              </w:rPr>
              <w:lastRenderedPageBreak/>
              <w:t>al</w:t>
            </w:r>
            <w:r w:rsidRPr="0086652C">
              <w:rPr>
                <w:rFonts w:ascii="Book Antiqua" w:hAnsi="Book Antiqua"/>
                <w:b/>
                <w:bCs/>
                <w:vertAlign w:val="superscript"/>
                <w:lang w:val="en-US" w:eastAsia="it-IT"/>
              </w:rPr>
              <w:t>[82]</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lastRenderedPageBreak/>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(4 doses, </w:t>
            </w:r>
            <w:r w:rsidRPr="00A71E3B">
              <w:rPr>
                <w:rFonts w:ascii="Book Antiqua" w:hAnsi="Book Antiqua"/>
                <w:lang w:val="en-US" w:eastAsia="it-IT"/>
              </w:rPr>
              <w:lastRenderedPageBreak/>
              <w:t>375 mg/m</w:t>
            </w:r>
            <w:r w:rsidRPr="00A71E3B">
              <w:rPr>
                <w:rFonts w:ascii="Book Antiqua" w:hAnsi="Book Antiqua"/>
                <w:vertAlign w:val="superscript"/>
                <w:lang w:val="en-US" w:eastAsia="it-IT"/>
              </w:rPr>
              <w:t>2</w:t>
            </w:r>
            <w:r w:rsidRPr="00A71E3B">
              <w:rPr>
                <w:rFonts w:ascii="Book Antiqua" w:hAnsi="Book Antiqua"/>
                <w:lang w:val="en-US" w:eastAsia="it-IT"/>
              </w:rPr>
              <w:t>)</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lastRenderedPageBreak/>
              <w:t>1 patient (&lt;</w:t>
            </w:r>
            <w:r w:rsidR="0086652C">
              <w:rPr>
                <w:rFonts w:ascii="Book Antiqua" w:hAnsi="Book Antiqua" w:hint="eastAsia"/>
                <w:lang w:val="en-US" w:eastAsia="zh-CN"/>
              </w:rPr>
              <w:t xml:space="preserve"> </w:t>
            </w:r>
            <w:r w:rsidRPr="00A71E3B">
              <w:rPr>
                <w:rFonts w:ascii="Book Antiqua" w:hAnsi="Book Antiqua"/>
                <w:lang w:val="en-US" w:eastAsia="it-IT"/>
              </w:rPr>
              <w:lastRenderedPageBreak/>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lastRenderedPageBreak/>
              <w:t xml:space="preserve">Complete </w:t>
            </w:r>
            <w:r w:rsidRPr="00A71E3B">
              <w:rPr>
                <w:rFonts w:ascii="Book Antiqua" w:hAnsi="Book Antiqua"/>
                <w:lang w:val="en-US" w:eastAsia="it-IT"/>
              </w:rPr>
              <w:lastRenderedPageBreak/>
              <w:t>remission</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lastRenderedPageBreak/>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lastRenderedPageBreak/>
              <w:t>Sethna</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[83]</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(4 doses, 375 mg/m</w:t>
            </w:r>
            <w:r w:rsidRPr="00A71E3B">
              <w:rPr>
                <w:rFonts w:ascii="Book Antiqua" w:hAnsi="Book Antiqua"/>
                <w:vertAlign w:val="superscript"/>
                <w:lang w:val="en-US" w:eastAsia="it-IT"/>
              </w:rPr>
              <w:t>2</w:t>
            </w:r>
            <w:r w:rsidRPr="00A71E3B">
              <w:rPr>
                <w:rFonts w:ascii="Book Antiqua" w:hAnsi="Book Antiqua"/>
                <w:lang w:val="en-US" w:eastAsia="it-IT"/>
              </w:rPr>
              <w:t>) + PE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4 patients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Complete remission in 3/4; partial and </w:t>
            </w:r>
            <w:proofErr w:type="spellStart"/>
            <w:r w:rsidRPr="00A71E3B">
              <w:rPr>
                <w:rFonts w:ascii="Book Antiqua" w:hAnsi="Book Antiqua"/>
                <w:lang w:val="en-US" w:eastAsia="it-IT"/>
              </w:rPr>
              <w:t>unsustained</w:t>
            </w:r>
            <w:proofErr w:type="spellEnd"/>
            <w:r w:rsidRPr="00A71E3B">
              <w:rPr>
                <w:rFonts w:ascii="Book Antiqua" w:hAnsi="Book Antiqua"/>
                <w:lang w:val="en-US" w:eastAsia="it-IT"/>
              </w:rPr>
              <w:t xml:space="preserve"> response in 1/4</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Proteinuria relapse in 1/3 patients with complete remission response to PE sessions intensification + an adjunctive dose of Rituximab</w:t>
            </w:r>
            <w:r w:rsidR="00B1092A" w:rsidRPr="00A71E3B">
              <w:rPr>
                <w:rFonts w:ascii="Book Antiqua" w:hAnsi="Book Antiqua"/>
                <w:vertAlign w:val="superscript"/>
                <w:lang w:val="en-US"/>
              </w:rPr>
              <w:t>®</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Prytula</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[91]</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(1-5 doses, 375 mg/m</w:t>
            </w:r>
            <w:r w:rsidRPr="00A71E3B">
              <w:rPr>
                <w:rFonts w:ascii="Book Antiqua" w:hAnsi="Book Antiqua"/>
                <w:vertAlign w:val="superscript"/>
                <w:lang w:val="en-US" w:eastAsia="it-IT"/>
              </w:rPr>
              <w:t>2</w:t>
            </w:r>
            <w:r w:rsidRPr="00A71E3B">
              <w:rPr>
                <w:rFonts w:ascii="Book Antiqua" w:hAnsi="Book Antiqua"/>
                <w:lang w:val="en-US" w:eastAsia="it-IT"/>
              </w:rPr>
              <w:t>)</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14 patients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 xml:space="preserve">) </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6/14; partial remission in 3/14; no response in 5/14</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Stewart </w:t>
            </w:r>
            <w:r w:rsidRPr="00A71E3B">
              <w:rPr>
                <w:rFonts w:ascii="Book Antiqua" w:hAnsi="Book Antiqua"/>
                <w:b/>
                <w:bCs/>
                <w:i/>
                <w:lang w:val="en-US" w:eastAsia="it-IT"/>
              </w:rPr>
              <w:t>et al</w:t>
            </w:r>
            <w:r w:rsidRPr="0086652C">
              <w:rPr>
                <w:rFonts w:ascii="Book Antiqua" w:hAnsi="Book Antiqua"/>
                <w:b/>
                <w:bCs/>
                <w:vertAlign w:val="superscript"/>
                <w:lang w:val="en-US" w:eastAsia="it-IT"/>
              </w:rPr>
              <w:t>[92]</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(4 doses, 375 mg/m</w:t>
            </w:r>
            <w:r w:rsidRPr="00A71E3B">
              <w:rPr>
                <w:rFonts w:ascii="Book Antiqua" w:hAnsi="Book Antiqua"/>
                <w:vertAlign w:val="superscript"/>
                <w:lang w:val="en-US" w:eastAsia="it-IT"/>
              </w:rPr>
              <w:t>2</w:t>
            </w:r>
            <w:r w:rsidRPr="00A71E3B">
              <w:rPr>
                <w:rFonts w:ascii="Book Antiqua" w:hAnsi="Book Antiqua"/>
                <w:lang w:val="en-US" w:eastAsia="it-IT"/>
              </w:rPr>
              <w:t>)</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Nozu</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[84]</w:t>
            </w:r>
          </w:p>
        </w:tc>
        <w:tc>
          <w:tcPr>
            <w:tcW w:w="2462" w:type="dxa"/>
            <w:shd w:val="clear" w:color="auto" w:fill="auto"/>
            <w:hideMark/>
          </w:tcPr>
          <w:p w:rsidR="00B37BF3" w:rsidRPr="00A71E3B" w:rsidRDefault="00B37BF3" w:rsidP="00B30536">
            <w:pPr>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(4 doses, 375 mg/m</w:t>
            </w:r>
            <w:r w:rsidRPr="00A71E3B">
              <w:rPr>
                <w:rFonts w:ascii="Book Antiqua" w:hAnsi="Book Antiqua"/>
                <w:vertAlign w:val="superscript"/>
                <w:lang w:val="en-US" w:eastAsia="it-IT"/>
              </w:rPr>
              <w:t>2</w:t>
            </w:r>
            <w:r w:rsidRPr="00A71E3B">
              <w:rPr>
                <w:rFonts w:ascii="Book Antiqua" w:hAnsi="Book Antiqua"/>
                <w:lang w:val="en-US" w:eastAsia="it-IT"/>
              </w:rPr>
              <w:t>)</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Treatment was adopted after a diagnosis of post-transplant lymphoproliferative disorder </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Nakayama  </w:t>
            </w:r>
            <w:r w:rsidRPr="00A71E3B">
              <w:rPr>
                <w:rFonts w:ascii="Book Antiqua" w:hAnsi="Book Antiqua"/>
                <w:b/>
                <w:bCs/>
                <w:i/>
                <w:lang w:val="en-US" w:eastAsia="it-IT"/>
              </w:rPr>
              <w:t>et al</w:t>
            </w:r>
            <w:r w:rsidRPr="0086652C">
              <w:rPr>
                <w:rFonts w:ascii="Book Antiqua" w:hAnsi="Book Antiqua"/>
                <w:b/>
                <w:bCs/>
                <w:vertAlign w:val="superscript"/>
                <w:lang w:val="en-US" w:eastAsia="it-IT"/>
              </w:rPr>
              <w:t>[85]</w:t>
            </w:r>
          </w:p>
        </w:tc>
        <w:tc>
          <w:tcPr>
            <w:tcW w:w="2462" w:type="dxa"/>
            <w:shd w:val="clear" w:color="auto" w:fill="auto"/>
            <w:hideMark/>
          </w:tcPr>
          <w:p w:rsidR="00B37BF3" w:rsidRPr="00A71E3B" w:rsidRDefault="00B37BF3" w:rsidP="00B30536">
            <w:pPr>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(1-2 doses, 375 mg/m</w:t>
            </w:r>
            <w:r w:rsidRPr="00A71E3B">
              <w:rPr>
                <w:rFonts w:ascii="Book Antiqua" w:hAnsi="Book Antiqua"/>
                <w:vertAlign w:val="superscript"/>
                <w:lang w:val="en-US" w:eastAsia="it-IT"/>
              </w:rPr>
              <w:t>2</w:t>
            </w:r>
            <w:r w:rsidRPr="00A71E3B">
              <w:rPr>
                <w:rFonts w:ascii="Book Antiqua" w:hAnsi="Book Antiqua"/>
                <w:lang w:val="en-US" w:eastAsia="it-IT"/>
              </w:rPr>
              <w:t>)</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2 patients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2 patients</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One patient received a single dose; the other patient, after achieving a complete remission with the first dose, experienced a proteinuria relapse and rapidly </w:t>
            </w:r>
            <w:r w:rsidRPr="00A71E3B">
              <w:rPr>
                <w:rFonts w:ascii="Book Antiqua" w:hAnsi="Book Antiqua"/>
                <w:lang w:val="en-US" w:eastAsia="it-IT"/>
              </w:rPr>
              <w:lastRenderedPageBreak/>
              <w:t>responded to a second 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dose</w:t>
            </w:r>
          </w:p>
        </w:tc>
      </w:tr>
      <w:tr w:rsidR="00E0252C" w:rsidRPr="00A71E3B" w:rsidTr="004E5D94">
        <w:tc>
          <w:tcPr>
            <w:tcW w:w="1384" w:type="dxa"/>
            <w:shd w:val="clear" w:color="auto" w:fill="auto"/>
            <w:hideMark/>
          </w:tcPr>
          <w:p w:rsidR="00B37BF3" w:rsidRPr="00A71E3B" w:rsidRDefault="00B37BF3" w:rsidP="0086652C">
            <w:pPr>
              <w:spacing w:line="360" w:lineRule="auto"/>
              <w:jc w:val="both"/>
              <w:rPr>
                <w:rFonts w:ascii="Book Antiqua" w:hAnsi="Book Antiqua"/>
                <w:b/>
                <w:bCs/>
                <w:lang w:val="en-US" w:eastAsia="it-IT"/>
              </w:rPr>
            </w:pPr>
            <w:r w:rsidRPr="00A71E3B">
              <w:rPr>
                <w:rFonts w:ascii="Book Antiqua" w:hAnsi="Book Antiqua"/>
                <w:b/>
                <w:bCs/>
                <w:lang w:val="en-US" w:eastAsia="it-IT"/>
              </w:rPr>
              <w:lastRenderedPageBreak/>
              <w:t>Marks</w:t>
            </w:r>
            <w:r w:rsidR="0086652C">
              <w:rPr>
                <w:rFonts w:ascii="Book Antiqua" w:hAnsi="Book Antiqua" w:hint="eastAsia"/>
                <w:b/>
                <w:bCs/>
                <w:lang w:val="en-US" w:eastAsia="zh-CN"/>
              </w:rPr>
              <w:t xml:space="preserve"> and</w:t>
            </w:r>
            <w:r w:rsidRPr="00A71E3B">
              <w:rPr>
                <w:rFonts w:ascii="Book Antiqua" w:hAnsi="Book Antiqua"/>
                <w:b/>
                <w:bCs/>
                <w:lang w:val="en-US" w:eastAsia="it-IT"/>
              </w:rPr>
              <w:t xml:space="preserve"> McGraw </w:t>
            </w:r>
            <w:r w:rsidRPr="0086652C">
              <w:rPr>
                <w:rFonts w:ascii="Book Antiqua" w:hAnsi="Book Antiqua"/>
                <w:b/>
                <w:bCs/>
                <w:vertAlign w:val="superscript"/>
                <w:lang w:val="en-US" w:eastAsia="it-IT"/>
              </w:rPr>
              <w:t>[93]</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(4 doses, 375 mg/m</w:t>
            </w:r>
            <w:r w:rsidRPr="00A71E3B">
              <w:rPr>
                <w:rFonts w:ascii="Book Antiqua" w:hAnsi="Book Antiqua"/>
                <w:vertAlign w:val="superscript"/>
                <w:lang w:val="en-US" w:eastAsia="it-IT"/>
              </w:rPr>
              <w:t>2</w:t>
            </w:r>
            <w:r w:rsidRPr="00A71E3B">
              <w:rPr>
                <w:rFonts w:ascii="Book Antiqua" w:hAnsi="Book Antiqua"/>
                <w:lang w:val="en-US" w:eastAsia="it-IT"/>
              </w:rPr>
              <w:t xml:space="preserve"> in one case; 2 doses 750 mg/m</w:t>
            </w:r>
            <w:r w:rsidRPr="00A71E3B">
              <w:rPr>
                <w:rFonts w:ascii="Book Antiqua" w:hAnsi="Book Antiqua"/>
                <w:vertAlign w:val="superscript"/>
                <w:lang w:val="en-US" w:eastAsia="it-IT"/>
              </w:rPr>
              <w:t>2</w:t>
            </w:r>
            <w:r w:rsidRPr="00A71E3B">
              <w:rPr>
                <w:rFonts w:ascii="Book Antiqua" w:hAnsi="Book Antiqua"/>
                <w:lang w:val="en-US" w:eastAsia="it-IT"/>
              </w:rPr>
              <w:t xml:space="preserve"> in the other one)</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2 patients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No response</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Bayrakci</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[86]</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(4 doses, 375 mg/m</w:t>
            </w:r>
            <w:r w:rsidRPr="00A71E3B">
              <w:rPr>
                <w:rFonts w:ascii="Book Antiqua" w:hAnsi="Book Antiqua"/>
                <w:vertAlign w:val="superscript"/>
                <w:lang w:val="en-US" w:eastAsia="it-IT"/>
              </w:rPr>
              <w:t>2</w:t>
            </w:r>
            <w:r w:rsidRPr="00A71E3B">
              <w:rPr>
                <w:rFonts w:ascii="Book Antiqua" w:hAnsi="Book Antiqua"/>
                <w:lang w:val="en-US" w:eastAsia="it-IT"/>
              </w:rPr>
              <w:t>)</w:t>
            </w:r>
          </w:p>
        </w:tc>
        <w:tc>
          <w:tcPr>
            <w:tcW w:w="1673" w:type="dxa"/>
            <w:shd w:val="clear" w:color="auto" w:fill="auto"/>
            <w:hideMark/>
          </w:tcPr>
          <w:p w:rsidR="00B37BF3" w:rsidRPr="00A71E3B" w:rsidRDefault="00B37BF3" w:rsidP="0086652C">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(&lt;</w:t>
            </w:r>
            <w:r w:rsidR="0086652C">
              <w:rPr>
                <w:rFonts w:ascii="Book Antiqua" w:hAnsi="Book Antiqua" w:hint="eastAsia"/>
                <w:lang w:val="en-US" w:eastAsia="zh-CN"/>
              </w:rPr>
              <w:t xml:space="preserve"> </w:t>
            </w:r>
            <w:r w:rsidR="0086652C">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Rodriguez-Ferrero </w:t>
            </w:r>
            <w:r w:rsidRPr="00A71E3B">
              <w:rPr>
                <w:rFonts w:ascii="Book Antiqua" w:hAnsi="Book Antiqua"/>
                <w:b/>
                <w:bCs/>
                <w:i/>
                <w:lang w:val="en-US" w:eastAsia="it-IT"/>
              </w:rPr>
              <w:t>et al</w:t>
            </w:r>
            <w:r w:rsidRPr="0086652C">
              <w:rPr>
                <w:rFonts w:ascii="Book Antiqua" w:hAnsi="Book Antiqua"/>
                <w:b/>
                <w:bCs/>
                <w:vertAlign w:val="superscript"/>
                <w:lang w:val="en-US" w:eastAsia="it-IT"/>
              </w:rPr>
              <w:t>[94]</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Rituximab</w:t>
            </w:r>
            <w:r w:rsidR="00B1092A" w:rsidRPr="00A71E3B">
              <w:rPr>
                <w:rFonts w:ascii="Book Antiqua" w:hAnsi="Book Antiqua"/>
                <w:vertAlign w:val="superscript"/>
                <w:lang w:val="en-US"/>
              </w:rPr>
              <w:t>®</w:t>
            </w:r>
            <w:r w:rsidRPr="00A71E3B">
              <w:rPr>
                <w:rFonts w:ascii="Book Antiqua" w:hAnsi="Book Antiqua"/>
                <w:lang w:val="en-US" w:eastAsia="it-IT"/>
              </w:rPr>
              <w:t xml:space="preserve"> (4 doses, 375 mg/m</w:t>
            </w:r>
            <w:r w:rsidRPr="00A71E3B">
              <w:rPr>
                <w:rFonts w:ascii="Book Antiqua" w:hAnsi="Book Antiqua"/>
                <w:vertAlign w:val="superscript"/>
                <w:lang w:val="en-US" w:eastAsia="it-IT"/>
              </w:rPr>
              <w:t>2</w:t>
            </w:r>
            <w:r w:rsidRPr="00A71E3B">
              <w:rPr>
                <w:rFonts w:ascii="Book Antiqua" w:hAnsi="Book Antiqua"/>
                <w:lang w:val="en-US" w:eastAsia="it-IT"/>
              </w:rPr>
              <w:t>)</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3 patients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Partial remission in 2/3; no response in 1/3</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7763" w:type="dxa"/>
            <w:gridSpan w:val="4"/>
            <w:shd w:val="clear" w:color="auto" w:fill="auto"/>
            <w:hideMark/>
          </w:tcPr>
          <w:p w:rsidR="00B37BF3" w:rsidRPr="0086652C" w:rsidRDefault="00B37BF3" w:rsidP="00B30536">
            <w:pPr>
              <w:suppressAutoHyphens w:val="0"/>
              <w:spacing w:line="360" w:lineRule="auto"/>
              <w:jc w:val="both"/>
              <w:rPr>
                <w:rFonts w:ascii="Book Antiqua" w:hAnsi="Book Antiqua"/>
                <w:b/>
                <w:bCs/>
                <w:lang w:val="en-US" w:eastAsia="it-IT"/>
              </w:rPr>
            </w:pPr>
            <w:r w:rsidRPr="0086652C">
              <w:rPr>
                <w:rFonts w:ascii="Book Antiqua" w:hAnsi="Book Antiqua"/>
                <w:b/>
                <w:bCs/>
                <w:iCs/>
                <w:lang w:val="en-US" w:eastAsia="it-IT"/>
              </w:rPr>
              <w:t>CTLA4-Ig (considered as the prevalent treatment)</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r w:rsidRPr="00A71E3B">
              <w:rPr>
                <w:rFonts w:ascii="Book Antiqua" w:hAnsi="Book Antiqua"/>
                <w:b/>
                <w:bCs/>
                <w:lang w:val="en-US" w:eastAsia="it-IT"/>
              </w:rPr>
              <w:t xml:space="preserve">Yu </w:t>
            </w:r>
            <w:r w:rsidRPr="00A71E3B">
              <w:rPr>
                <w:rFonts w:ascii="Book Antiqua" w:hAnsi="Book Antiqua"/>
                <w:b/>
                <w:bCs/>
                <w:i/>
                <w:lang w:val="en-US" w:eastAsia="it-IT"/>
              </w:rPr>
              <w:t>et al</w:t>
            </w:r>
            <w:r w:rsidRPr="0086652C">
              <w:rPr>
                <w:rFonts w:ascii="Book Antiqua" w:hAnsi="Book Antiqua"/>
                <w:b/>
                <w:bCs/>
                <w:vertAlign w:val="superscript"/>
                <w:lang w:val="en-US" w:eastAsia="it-IT"/>
              </w:rPr>
              <w:t>[103]</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proofErr w:type="spellStart"/>
            <w:r w:rsidRPr="00A71E3B">
              <w:rPr>
                <w:rFonts w:ascii="Book Antiqua" w:hAnsi="Book Antiqua"/>
                <w:lang w:val="en-US" w:eastAsia="it-IT"/>
              </w:rPr>
              <w:t>Abatacept</w:t>
            </w:r>
            <w:proofErr w:type="spellEnd"/>
            <w:r w:rsidRPr="00A71E3B">
              <w:rPr>
                <w:rFonts w:ascii="Book Antiqua" w:hAnsi="Book Antiqua"/>
                <w:lang w:val="en-US" w:eastAsia="it-IT"/>
              </w:rPr>
              <w:t xml:space="preserve"> </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4 patients (2/4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 2/4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 with FSGS recurrence; 1 patient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 with FSGS on native kidneys</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Complete remission in 2/5; partial remission in 3/5</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Patients 1 and 2 received a single dose; patients 3 and 4 received 2 doses; patient 5 (the only one with FSGS on native kidneys) received 3 doses (days 1, 15, 30) and a dose monthly thereafter</w:t>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Alachkar</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[104]</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proofErr w:type="spellStart"/>
            <w:r w:rsidRPr="00A71E3B">
              <w:rPr>
                <w:rFonts w:ascii="Book Antiqua" w:hAnsi="Book Antiqua"/>
                <w:lang w:val="en-US" w:eastAsia="it-IT"/>
              </w:rPr>
              <w:t>Abatacept</w:t>
            </w:r>
            <w:proofErr w:type="spellEnd"/>
            <w:r w:rsidRPr="00A71E3B">
              <w:rPr>
                <w:rFonts w:ascii="Book Antiqua" w:hAnsi="Book Antiqua"/>
                <w:lang w:val="en-US" w:eastAsia="it-IT"/>
              </w:rPr>
              <w:t xml:space="preserve"> (1 dose; 10 mg/kg) in patient 1; </w:t>
            </w:r>
            <w:proofErr w:type="spellStart"/>
            <w:r w:rsidRPr="00A71E3B">
              <w:rPr>
                <w:rFonts w:ascii="Book Antiqua" w:hAnsi="Book Antiqua"/>
                <w:lang w:val="en-US" w:eastAsia="it-IT"/>
              </w:rPr>
              <w:t>belatacept</w:t>
            </w:r>
            <w:proofErr w:type="spellEnd"/>
            <w:r w:rsidRPr="00A71E3B">
              <w:rPr>
                <w:rFonts w:ascii="Book Antiqua" w:hAnsi="Book Antiqua"/>
                <w:lang w:val="en-US" w:eastAsia="it-IT"/>
              </w:rPr>
              <w:t xml:space="preserve"> (3 doses 10 mg/kg or continuative treatment) in </w:t>
            </w:r>
            <w:r w:rsidRPr="00A71E3B">
              <w:rPr>
                <w:rFonts w:ascii="Book Antiqua" w:hAnsi="Book Antiqua"/>
                <w:lang w:val="en-US" w:eastAsia="it-IT"/>
              </w:rPr>
              <w:lastRenderedPageBreak/>
              <w:t>patients 2-5</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lastRenderedPageBreak/>
              <w:t>5 patients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No response</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lastRenderedPageBreak/>
              <w:t>Garin</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[105]</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proofErr w:type="spellStart"/>
            <w:r w:rsidRPr="00A71E3B">
              <w:rPr>
                <w:rFonts w:ascii="Book Antiqua" w:hAnsi="Book Antiqua"/>
                <w:lang w:val="en-US" w:eastAsia="it-IT"/>
              </w:rPr>
              <w:t>Abatacept</w:t>
            </w:r>
            <w:proofErr w:type="spellEnd"/>
            <w:r w:rsidRPr="00A71E3B">
              <w:rPr>
                <w:rFonts w:ascii="Book Antiqua" w:hAnsi="Book Antiqua"/>
                <w:lang w:val="en-US" w:eastAsia="it-IT"/>
              </w:rPr>
              <w:t xml:space="preserve"> (1 or 2 doses; 10 mg/kg) or </w:t>
            </w:r>
            <w:proofErr w:type="spellStart"/>
            <w:r w:rsidRPr="00A71E3B">
              <w:rPr>
                <w:rFonts w:ascii="Book Antiqua" w:hAnsi="Book Antiqua"/>
                <w:lang w:val="en-US" w:eastAsia="it-IT"/>
              </w:rPr>
              <w:t>belatacept</w:t>
            </w:r>
            <w:proofErr w:type="spellEnd"/>
            <w:r w:rsidRPr="00A71E3B">
              <w:rPr>
                <w:rFonts w:ascii="Book Antiqua" w:hAnsi="Book Antiqua"/>
                <w:lang w:val="en-US" w:eastAsia="it-IT"/>
              </w:rPr>
              <w:t xml:space="preserve"> (16 doses 5 mg/kg)</w:t>
            </w:r>
            <w:r w:rsidRPr="00A71E3B">
              <w:rPr>
                <w:rFonts w:ascii="Book Antiqua" w:hAnsi="Book Antiqua"/>
                <w:vertAlign w:val="superscript"/>
                <w:lang w:val="en-US" w:eastAsia="it-IT"/>
              </w:rPr>
              <w:t xml:space="preserve"> </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5 patients (2/5 &lt;18 </w:t>
            </w:r>
            <w:proofErr w:type="spellStart"/>
            <w:r w:rsidR="0086652C">
              <w:rPr>
                <w:rFonts w:ascii="Book Antiqua" w:hAnsi="Book Antiqua"/>
                <w:lang w:val="en-US" w:eastAsia="it-IT"/>
              </w:rPr>
              <w:t>yr</w:t>
            </w:r>
            <w:proofErr w:type="spellEnd"/>
            <w:r w:rsidRPr="00A71E3B">
              <w:rPr>
                <w:rFonts w:ascii="Book Antiqua" w:hAnsi="Book Antiqua"/>
                <w:lang w:val="en-US" w:eastAsia="it-IT"/>
              </w:rPr>
              <w:t xml:space="preserve"> with minimal change in disease or FSGS on native kidneys; 3/5 with FSGS recurrence (1/3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 2/3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Partial response in minimal change disease patient; no response in primary FSGS patient; partial remission in 1/3 with FSGS recurrence (</w:t>
            </w:r>
            <w:proofErr w:type="spellStart"/>
            <w:r w:rsidRPr="00A71E3B">
              <w:rPr>
                <w:rFonts w:ascii="Book Antiqua" w:hAnsi="Book Antiqua"/>
                <w:lang w:val="en-US" w:eastAsia="it-IT"/>
              </w:rPr>
              <w:t>abatacept</w:t>
            </w:r>
            <w:proofErr w:type="spellEnd"/>
            <w:r w:rsidRPr="00A71E3B">
              <w:rPr>
                <w:rFonts w:ascii="Book Antiqua" w:hAnsi="Book Antiqua"/>
                <w:lang w:val="en-US" w:eastAsia="it-IT"/>
              </w:rPr>
              <w:t xml:space="preserve"> treated); no response in 2/3 (</w:t>
            </w:r>
            <w:proofErr w:type="spellStart"/>
            <w:r w:rsidRPr="00A71E3B">
              <w:rPr>
                <w:rFonts w:ascii="Book Antiqua" w:hAnsi="Book Antiqua"/>
                <w:lang w:val="en-US" w:eastAsia="it-IT"/>
              </w:rPr>
              <w:t>abatacept</w:t>
            </w:r>
            <w:proofErr w:type="spellEnd"/>
            <w:r w:rsidRPr="00A71E3B">
              <w:rPr>
                <w:rFonts w:ascii="Book Antiqua" w:hAnsi="Book Antiqua"/>
                <w:lang w:val="en-US" w:eastAsia="it-IT"/>
              </w:rPr>
              <w:t xml:space="preserve">/ </w:t>
            </w:r>
            <w:proofErr w:type="spellStart"/>
            <w:r w:rsidRPr="00A71E3B">
              <w:rPr>
                <w:rFonts w:ascii="Book Antiqua" w:hAnsi="Book Antiqua"/>
                <w:lang w:val="en-US" w:eastAsia="it-IT"/>
              </w:rPr>
              <w:t>belatacept</w:t>
            </w:r>
            <w:proofErr w:type="spellEnd"/>
            <w:r w:rsidRPr="00A71E3B">
              <w:rPr>
                <w:rFonts w:ascii="Book Antiqua" w:hAnsi="Book Antiqua"/>
                <w:lang w:val="en-US" w:eastAsia="it-IT"/>
              </w:rPr>
              <w:t xml:space="preserve"> treated respectively)</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 xml:space="preserve">Patients 1, 2 and 4 received 2 </w:t>
            </w:r>
            <w:proofErr w:type="spellStart"/>
            <w:r w:rsidRPr="00A71E3B">
              <w:rPr>
                <w:rFonts w:ascii="Book Antiqua" w:hAnsi="Book Antiqua"/>
                <w:lang w:val="en-US" w:eastAsia="it-IT"/>
              </w:rPr>
              <w:t>abatacept</w:t>
            </w:r>
            <w:proofErr w:type="spellEnd"/>
            <w:r w:rsidRPr="00A71E3B">
              <w:rPr>
                <w:rFonts w:ascii="Book Antiqua" w:hAnsi="Book Antiqua"/>
                <w:lang w:val="en-US" w:eastAsia="it-IT"/>
              </w:rPr>
              <w:t xml:space="preserve"> doses: patient 3 received 1 </w:t>
            </w:r>
            <w:proofErr w:type="spellStart"/>
            <w:r w:rsidRPr="00A71E3B">
              <w:rPr>
                <w:rFonts w:ascii="Book Antiqua" w:hAnsi="Book Antiqua"/>
                <w:lang w:val="en-US" w:eastAsia="it-IT"/>
              </w:rPr>
              <w:t>abatacept</w:t>
            </w:r>
            <w:proofErr w:type="spellEnd"/>
            <w:r w:rsidRPr="00A71E3B">
              <w:rPr>
                <w:rFonts w:ascii="Book Antiqua" w:hAnsi="Book Antiqua"/>
                <w:lang w:val="en-US" w:eastAsia="it-IT"/>
              </w:rPr>
              <w:t xml:space="preserve"> dose; patient 5 was treated with </w:t>
            </w:r>
            <w:proofErr w:type="spellStart"/>
            <w:r w:rsidRPr="00A71E3B">
              <w:rPr>
                <w:rFonts w:ascii="Book Antiqua" w:hAnsi="Book Antiqua"/>
                <w:lang w:val="en-US" w:eastAsia="it-IT"/>
              </w:rPr>
              <w:t>belatacept</w:t>
            </w:r>
            <w:proofErr w:type="spellEnd"/>
          </w:p>
        </w:tc>
      </w:tr>
      <w:tr w:rsidR="00E0252C"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Alkandari</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[106]</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proofErr w:type="spellStart"/>
            <w:r w:rsidRPr="00A71E3B">
              <w:rPr>
                <w:rFonts w:ascii="Book Antiqua" w:hAnsi="Book Antiqua"/>
                <w:lang w:val="en-US" w:eastAsia="it-IT"/>
              </w:rPr>
              <w:t>Abatacept</w:t>
            </w:r>
            <w:proofErr w:type="spellEnd"/>
            <w:r w:rsidRPr="00A71E3B">
              <w:rPr>
                <w:rFonts w:ascii="Book Antiqua" w:hAnsi="Book Antiqua"/>
                <w:lang w:val="en-US" w:eastAsia="it-IT"/>
              </w:rPr>
              <w:t xml:space="preserve"> (3 doses; 10 mg/kg)</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1 patient (&lt;</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No response</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r w:rsidR="00B37BF3" w:rsidRPr="00A71E3B" w:rsidTr="004E5D94">
        <w:tc>
          <w:tcPr>
            <w:tcW w:w="1384" w:type="dxa"/>
            <w:shd w:val="clear" w:color="auto" w:fill="auto"/>
            <w:hideMark/>
          </w:tcPr>
          <w:p w:rsidR="00B37BF3" w:rsidRPr="00A71E3B" w:rsidRDefault="00B37BF3" w:rsidP="00B30536">
            <w:pPr>
              <w:spacing w:line="360" w:lineRule="auto"/>
              <w:jc w:val="both"/>
              <w:rPr>
                <w:rFonts w:ascii="Book Antiqua" w:hAnsi="Book Antiqua"/>
                <w:b/>
                <w:bCs/>
                <w:lang w:val="en-US" w:eastAsia="it-IT"/>
              </w:rPr>
            </w:pPr>
            <w:proofErr w:type="spellStart"/>
            <w:r w:rsidRPr="00A71E3B">
              <w:rPr>
                <w:rFonts w:ascii="Book Antiqua" w:hAnsi="Book Antiqua"/>
                <w:b/>
                <w:bCs/>
                <w:lang w:val="en-US" w:eastAsia="it-IT"/>
              </w:rPr>
              <w:t>Grellier</w:t>
            </w:r>
            <w:proofErr w:type="spellEnd"/>
            <w:r w:rsidRPr="00A71E3B">
              <w:rPr>
                <w:rFonts w:ascii="Book Antiqua" w:hAnsi="Book Antiqua"/>
                <w:b/>
                <w:bCs/>
                <w:lang w:val="en-US" w:eastAsia="it-IT"/>
              </w:rPr>
              <w:t xml:space="preserve"> </w:t>
            </w:r>
            <w:r w:rsidRPr="00A71E3B">
              <w:rPr>
                <w:rFonts w:ascii="Book Antiqua" w:hAnsi="Book Antiqua"/>
                <w:b/>
                <w:bCs/>
                <w:i/>
                <w:lang w:val="en-US" w:eastAsia="it-IT"/>
              </w:rPr>
              <w:t>et al</w:t>
            </w:r>
            <w:r w:rsidRPr="0086652C">
              <w:rPr>
                <w:rFonts w:ascii="Book Antiqua" w:hAnsi="Book Antiqua"/>
                <w:b/>
                <w:bCs/>
                <w:vertAlign w:val="superscript"/>
                <w:lang w:val="en-US" w:eastAsia="it-IT"/>
              </w:rPr>
              <w:t>[107]</w:t>
            </w:r>
          </w:p>
        </w:tc>
        <w:tc>
          <w:tcPr>
            <w:tcW w:w="2462"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proofErr w:type="spellStart"/>
            <w:r w:rsidRPr="00A71E3B">
              <w:rPr>
                <w:rFonts w:ascii="Book Antiqua" w:hAnsi="Book Antiqua"/>
                <w:lang w:val="en-US" w:eastAsia="it-IT"/>
              </w:rPr>
              <w:t>Belatacept</w:t>
            </w:r>
            <w:proofErr w:type="spellEnd"/>
            <w:r w:rsidRPr="00A71E3B">
              <w:rPr>
                <w:rFonts w:ascii="Book Antiqua" w:hAnsi="Book Antiqua"/>
                <w:lang w:val="en-US" w:eastAsia="it-IT"/>
              </w:rPr>
              <w:t xml:space="preserve"> (days 1, 15, 30 and monthly thereafter, 5 mg/kg)</w:t>
            </w:r>
          </w:p>
        </w:tc>
        <w:tc>
          <w:tcPr>
            <w:tcW w:w="1673"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5 patients (≥</w:t>
            </w:r>
            <w:r w:rsidR="0086652C">
              <w:rPr>
                <w:rFonts w:ascii="Book Antiqua" w:hAnsi="Book Antiqua" w:hint="eastAsia"/>
                <w:lang w:val="en-US" w:eastAsia="zh-CN"/>
              </w:rPr>
              <w:t xml:space="preserve"> </w:t>
            </w:r>
            <w:r w:rsidRPr="00A71E3B">
              <w:rPr>
                <w:rFonts w:ascii="Book Antiqua" w:hAnsi="Book Antiqua"/>
                <w:lang w:val="en-US" w:eastAsia="it-IT"/>
              </w:rPr>
              <w:t xml:space="preserve">18 </w:t>
            </w:r>
            <w:proofErr w:type="spellStart"/>
            <w:r w:rsidR="0086652C">
              <w:rPr>
                <w:rFonts w:ascii="Book Antiqua" w:hAnsi="Book Antiqua"/>
                <w:lang w:val="en-US" w:eastAsia="it-IT"/>
              </w:rPr>
              <w:t>yr</w:t>
            </w:r>
            <w:proofErr w:type="spellEnd"/>
            <w:r w:rsidRPr="00A71E3B">
              <w:rPr>
                <w:rFonts w:ascii="Book Antiqua" w:hAnsi="Book Antiqua"/>
                <w:lang w:val="en-US" w:eastAsia="it-IT"/>
              </w:rPr>
              <w:t>)</w:t>
            </w:r>
          </w:p>
        </w:tc>
        <w:tc>
          <w:tcPr>
            <w:tcW w:w="2244"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t>Partial response in 2/5; no response in 3/5 (no worsening in proteinuria values pre- and post-</w:t>
            </w:r>
            <w:proofErr w:type="spellStart"/>
            <w:r w:rsidRPr="00A71E3B">
              <w:rPr>
                <w:rFonts w:ascii="Book Antiqua" w:hAnsi="Book Antiqua"/>
                <w:lang w:val="en-US" w:eastAsia="it-IT"/>
              </w:rPr>
              <w:t>belatacept</w:t>
            </w:r>
            <w:proofErr w:type="spellEnd"/>
            <w:r w:rsidRPr="00A71E3B">
              <w:rPr>
                <w:rFonts w:ascii="Book Antiqua" w:hAnsi="Book Antiqua"/>
                <w:lang w:val="en-US" w:eastAsia="it-IT"/>
              </w:rPr>
              <w:t xml:space="preserve"> therapy in 1/3)</w:t>
            </w:r>
          </w:p>
        </w:tc>
        <w:tc>
          <w:tcPr>
            <w:tcW w:w="2551" w:type="dxa"/>
            <w:shd w:val="clear" w:color="auto" w:fill="auto"/>
            <w:hideMark/>
          </w:tcPr>
          <w:p w:rsidR="00B37BF3" w:rsidRPr="00A71E3B" w:rsidRDefault="00B37BF3" w:rsidP="00B30536">
            <w:pPr>
              <w:suppressAutoHyphens w:val="0"/>
              <w:spacing w:line="360" w:lineRule="auto"/>
              <w:jc w:val="both"/>
              <w:rPr>
                <w:rFonts w:ascii="Book Antiqua" w:hAnsi="Book Antiqua"/>
                <w:lang w:val="en-US" w:eastAsia="it-IT"/>
              </w:rPr>
            </w:pPr>
            <w:r w:rsidRPr="00A71E3B">
              <w:rPr>
                <w:rFonts w:ascii="Book Antiqua" w:hAnsi="Book Antiqua"/>
                <w:lang w:val="en-US" w:eastAsia="it-IT"/>
              </w:rPr>
              <w:br w:type="page"/>
            </w:r>
          </w:p>
        </w:tc>
      </w:tr>
    </w:tbl>
    <w:p w:rsidR="00B37BF3" w:rsidRPr="00A71E3B" w:rsidRDefault="00B37BF3" w:rsidP="00B30536">
      <w:pPr>
        <w:spacing w:line="360" w:lineRule="auto"/>
        <w:jc w:val="both"/>
        <w:rPr>
          <w:rFonts w:ascii="Book Antiqua" w:hAnsi="Book Antiqua"/>
          <w:b/>
          <w:lang w:val="en-US" w:eastAsia="it-IT"/>
        </w:rPr>
      </w:pPr>
    </w:p>
    <w:p w:rsidR="00B1092A" w:rsidRPr="00626F72" w:rsidRDefault="00626F72" w:rsidP="00B30536">
      <w:pPr>
        <w:spacing w:line="360" w:lineRule="auto"/>
        <w:jc w:val="both"/>
        <w:rPr>
          <w:rFonts w:ascii="Book Antiqua" w:hAnsi="Book Antiqua"/>
          <w:lang w:eastAsia="zh-CN"/>
        </w:rPr>
      </w:pPr>
      <w:r w:rsidRPr="00A71E3B">
        <w:rPr>
          <w:rFonts w:ascii="Book Antiqua" w:hAnsi="Book Antiqua"/>
          <w:lang w:val="en-US"/>
        </w:rPr>
        <w:t>PE</w:t>
      </w:r>
      <w:r>
        <w:rPr>
          <w:rFonts w:ascii="Book Antiqua" w:hAnsi="Book Antiqua" w:hint="eastAsia"/>
          <w:lang w:val="en-US" w:eastAsia="zh-CN"/>
        </w:rPr>
        <w:t>:</w:t>
      </w:r>
      <w:r w:rsidRPr="00A71E3B">
        <w:rPr>
          <w:rFonts w:ascii="Book Antiqua" w:hAnsi="Book Antiqua"/>
          <w:lang w:val="en-US"/>
        </w:rPr>
        <w:t xml:space="preserve"> Plasma exchange</w:t>
      </w:r>
      <w:r>
        <w:rPr>
          <w:rFonts w:ascii="Book Antiqua" w:hAnsi="Book Antiqua" w:hint="eastAsia"/>
          <w:lang w:val="en-US" w:eastAsia="zh-CN"/>
        </w:rPr>
        <w:t xml:space="preserve">; </w:t>
      </w:r>
      <w:proofErr w:type="spellStart"/>
      <w:r w:rsidRPr="00A71E3B">
        <w:rPr>
          <w:rFonts w:ascii="Book Antiqua" w:hAnsi="Book Antiqua"/>
          <w:lang w:val="en-US"/>
        </w:rPr>
        <w:t>CyA</w:t>
      </w:r>
      <w:proofErr w:type="spellEnd"/>
      <w:r>
        <w:rPr>
          <w:rFonts w:ascii="Book Antiqua" w:hAnsi="Book Antiqua" w:hint="eastAsia"/>
          <w:lang w:val="en-US" w:eastAsia="zh-CN"/>
        </w:rPr>
        <w:t>:</w:t>
      </w:r>
      <w:r w:rsidRPr="00626F72">
        <w:rPr>
          <w:rFonts w:ascii="Book Antiqua" w:hAnsi="Book Antiqua"/>
          <w:lang w:val="en-US"/>
        </w:rPr>
        <w:t xml:space="preserve"> </w:t>
      </w:r>
      <w:r w:rsidRPr="00A71E3B">
        <w:rPr>
          <w:rFonts w:ascii="Book Antiqua" w:hAnsi="Book Antiqua"/>
          <w:lang w:val="en-US"/>
        </w:rPr>
        <w:t>Cyclosporine</w:t>
      </w:r>
      <w:r>
        <w:rPr>
          <w:rFonts w:ascii="Book Antiqua" w:hAnsi="Book Antiqua" w:hint="eastAsia"/>
          <w:lang w:val="en-US" w:eastAsia="zh-CN"/>
        </w:rPr>
        <w:t xml:space="preserve">; CYC: </w:t>
      </w:r>
      <w:r w:rsidRPr="00A71E3B">
        <w:rPr>
          <w:rFonts w:ascii="Book Antiqua" w:hAnsi="Book Antiqua" w:cs="Arial"/>
          <w:lang w:val="en-US"/>
        </w:rPr>
        <w:t>Cyclophosphamide</w:t>
      </w:r>
      <w:r>
        <w:rPr>
          <w:rFonts w:ascii="Book Antiqua" w:hAnsi="Book Antiqua" w:cs="Arial" w:hint="eastAsia"/>
          <w:lang w:val="en-US" w:eastAsia="zh-CN"/>
        </w:rPr>
        <w:t xml:space="preserve">; </w:t>
      </w:r>
      <w:r w:rsidRPr="00A71E3B">
        <w:rPr>
          <w:rFonts w:ascii="Book Antiqua" w:hAnsi="Book Antiqua"/>
          <w:lang w:val="en-US"/>
        </w:rPr>
        <w:t>FSGS</w:t>
      </w:r>
      <w:r>
        <w:rPr>
          <w:rFonts w:ascii="Book Antiqua" w:hAnsi="Book Antiqua" w:hint="eastAsia"/>
          <w:lang w:val="en-US" w:eastAsia="zh-CN"/>
        </w:rPr>
        <w:t>:</w:t>
      </w:r>
      <w:r w:rsidRPr="00626F72">
        <w:rPr>
          <w:rFonts w:ascii="Book Antiqua" w:hAnsi="Book Antiqua"/>
          <w:lang w:val="en-US"/>
        </w:rPr>
        <w:t xml:space="preserve"> </w:t>
      </w:r>
      <w:r w:rsidRPr="00A71E3B">
        <w:rPr>
          <w:rFonts w:ascii="Book Antiqua" w:hAnsi="Book Antiqua"/>
          <w:lang w:val="en-US"/>
        </w:rPr>
        <w:t>Focal segmental glomerulosclerosis</w:t>
      </w:r>
      <w:r>
        <w:rPr>
          <w:rFonts w:ascii="Book Antiqua" w:hAnsi="Book Antiqua" w:hint="eastAsia"/>
          <w:lang w:val="en-US" w:eastAsia="zh-CN"/>
        </w:rPr>
        <w:t xml:space="preserve">; </w:t>
      </w:r>
      <w:r w:rsidRPr="00956F45">
        <w:rPr>
          <w:rFonts w:ascii="Book Antiqua" w:hAnsi="Book Antiqua"/>
          <w:bCs/>
          <w:iCs/>
          <w:lang w:val="en-US" w:eastAsia="it-IT"/>
        </w:rPr>
        <w:t>TNF-</w:t>
      </w:r>
      <w:r w:rsidRPr="00956F45">
        <w:rPr>
          <w:rFonts w:ascii="Book Antiqua" w:hAnsi="Book Antiqua" w:hint="eastAsia"/>
          <w:bCs/>
          <w:iCs/>
        </w:rPr>
        <w:t>:</w:t>
      </w:r>
      <w:r w:rsidRPr="00956F45">
        <w:rPr>
          <w:rFonts w:ascii="Book Antiqua" w:hAnsi="Book Antiqua"/>
          <w:bCs/>
        </w:rPr>
        <w:t xml:space="preserve"> T</w:t>
      </w:r>
      <w:proofErr w:type="spellStart"/>
      <w:r w:rsidRPr="00956F45">
        <w:rPr>
          <w:rFonts w:ascii="Book Antiqua" w:hAnsi="Book Antiqua"/>
          <w:bCs/>
          <w:lang w:val="en-US"/>
        </w:rPr>
        <w:t>umor</w:t>
      </w:r>
      <w:proofErr w:type="spellEnd"/>
      <w:r w:rsidRPr="00956F45">
        <w:rPr>
          <w:rFonts w:ascii="Book Antiqua" w:hAnsi="Book Antiqua"/>
          <w:bCs/>
          <w:lang w:val="en-US"/>
        </w:rPr>
        <w:t xml:space="preserve"> necrosis factor-alpha</w:t>
      </w:r>
      <w:r w:rsidRPr="00956F45">
        <w:rPr>
          <w:rFonts w:ascii="Book Antiqua" w:hAnsi="Book Antiqua" w:hint="eastAsia"/>
          <w:bCs/>
        </w:rPr>
        <w:t>;</w:t>
      </w:r>
      <w:r w:rsidRPr="00956F45">
        <w:rPr>
          <w:rFonts w:ascii="Book Antiqua" w:hAnsi="Book Antiqua"/>
          <w:bCs/>
          <w:iCs/>
          <w:lang w:eastAsia="it-IT"/>
        </w:rPr>
        <w:t xml:space="preserve"> </w:t>
      </w:r>
      <w:r w:rsidRPr="00956F45">
        <w:rPr>
          <w:rFonts w:ascii="Book Antiqua" w:hAnsi="Book Antiqua"/>
          <w:bCs/>
          <w:iCs/>
          <w:lang w:val="en-US" w:eastAsia="it-IT"/>
        </w:rPr>
        <w:t>MMF</w:t>
      </w:r>
      <w:r w:rsidRPr="00956F45">
        <w:rPr>
          <w:rFonts w:ascii="Book Antiqua" w:hAnsi="Book Antiqua" w:hint="eastAsia"/>
          <w:bCs/>
          <w:iCs/>
        </w:rPr>
        <w:t xml:space="preserve">: </w:t>
      </w:r>
      <w:r w:rsidRPr="00956F45">
        <w:rPr>
          <w:rFonts w:ascii="Book Antiqua" w:hAnsi="Book Antiqua"/>
        </w:rPr>
        <w:t>M</w:t>
      </w:r>
      <w:proofErr w:type="spellStart"/>
      <w:r w:rsidRPr="00956F45">
        <w:rPr>
          <w:rFonts w:ascii="Book Antiqua" w:hAnsi="Book Antiqua"/>
          <w:lang w:val="en-US"/>
        </w:rPr>
        <w:t>ycophenolate</w:t>
      </w:r>
      <w:proofErr w:type="spellEnd"/>
      <w:r w:rsidRPr="00956F45">
        <w:rPr>
          <w:rFonts w:ascii="Book Antiqua" w:hAnsi="Book Antiqua"/>
          <w:lang w:val="en-US"/>
        </w:rPr>
        <w:t xml:space="preserve"> </w:t>
      </w:r>
      <w:proofErr w:type="spellStart"/>
      <w:r w:rsidRPr="00956F45">
        <w:rPr>
          <w:rFonts w:ascii="Book Antiqua" w:hAnsi="Book Antiqua"/>
          <w:lang w:val="en-US"/>
        </w:rPr>
        <w:t>mofetil</w:t>
      </w:r>
      <w:proofErr w:type="spellEnd"/>
      <w:r w:rsidRPr="00956F45">
        <w:rPr>
          <w:rFonts w:ascii="Book Antiqua" w:hAnsi="Book Antiqua" w:hint="eastAsia"/>
        </w:rPr>
        <w:t>.</w:t>
      </w:r>
    </w:p>
    <w:sectPr w:rsidR="00B1092A" w:rsidRPr="00626F72" w:rsidSect="006A7C70">
      <w:footerReference w:type="default" r:id="rId10"/>
      <w:pgSz w:w="11906" w:h="16838"/>
      <w:pgMar w:top="1440" w:right="1800" w:bottom="1440" w:left="1800"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F2" w:rsidRDefault="005762F2">
      <w:r>
        <w:separator/>
      </w:r>
    </w:p>
  </w:endnote>
  <w:endnote w:type="continuationSeparator" w:id="0">
    <w:p w:rsidR="005762F2" w:rsidRDefault="005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微软雅黑">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ITC Franklin Gothic Std Bk Cd">
    <w:altName w:val="Arial"/>
    <w:charset w:val="00"/>
    <w:family w:val="swiss"/>
    <w:pitch w:val="default"/>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Pr="008A5F2C" w:rsidRDefault="00B1092A">
    <w:pPr>
      <w:pStyle w:val="Footer"/>
      <w:jc w:val="center"/>
      <w:rPr>
        <w:rFonts w:ascii="Book Antiqua" w:hAnsi="Book Antiqua"/>
      </w:rPr>
    </w:pPr>
    <w:r w:rsidRPr="008A5F2C">
      <w:rPr>
        <w:rFonts w:ascii="Book Antiqua" w:hAnsi="Book Antiqua"/>
      </w:rPr>
      <w:fldChar w:fldCharType="begin"/>
    </w:r>
    <w:r w:rsidRPr="008A5F2C">
      <w:rPr>
        <w:rFonts w:ascii="Book Antiqua" w:hAnsi="Book Antiqua"/>
      </w:rPr>
      <w:instrText>PAGE   \* MERGEFORMAT</w:instrText>
    </w:r>
    <w:r w:rsidRPr="008A5F2C">
      <w:rPr>
        <w:rFonts w:ascii="Book Antiqua" w:hAnsi="Book Antiqua"/>
      </w:rPr>
      <w:fldChar w:fldCharType="separate"/>
    </w:r>
    <w:r w:rsidR="00C25011">
      <w:rPr>
        <w:rFonts w:ascii="Book Antiqua" w:hAnsi="Book Antiqua"/>
        <w:noProof/>
      </w:rPr>
      <w:t>49</w:t>
    </w:r>
    <w:r w:rsidRPr="008A5F2C">
      <w:rPr>
        <w:rFonts w:ascii="Book Antiqua" w:hAnsi="Book Antiqua"/>
      </w:rPr>
      <w:fldChar w:fldCharType="end"/>
    </w:r>
  </w:p>
  <w:p w:rsidR="00B1092A" w:rsidRDefault="00B109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F2" w:rsidRDefault="005762F2">
      <w:r>
        <w:separator/>
      </w:r>
    </w:p>
  </w:footnote>
  <w:footnote w:type="continuationSeparator" w:id="0">
    <w:p w:rsidR="005762F2" w:rsidRDefault="005762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900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6F"/>
    <w:rsid w:val="00186985"/>
    <w:rsid w:val="001A3CF5"/>
    <w:rsid w:val="00211724"/>
    <w:rsid w:val="00222DF3"/>
    <w:rsid w:val="00256FDF"/>
    <w:rsid w:val="002E24D8"/>
    <w:rsid w:val="002F2987"/>
    <w:rsid w:val="002F61DF"/>
    <w:rsid w:val="00390ED2"/>
    <w:rsid w:val="003C6D1C"/>
    <w:rsid w:val="004E056D"/>
    <w:rsid w:val="004E5D94"/>
    <w:rsid w:val="00542E62"/>
    <w:rsid w:val="00553D96"/>
    <w:rsid w:val="005762F2"/>
    <w:rsid w:val="005B5171"/>
    <w:rsid w:val="00626F72"/>
    <w:rsid w:val="006A7C70"/>
    <w:rsid w:val="00715A3B"/>
    <w:rsid w:val="007273E8"/>
    <w:rsid w:val="008259F2"/>
    <w:rsid w:val="00837352"/>
    <w:rsid w:val="00847DF2"/>
    <w:rsid w:val="0086652C"/>
    <w:rsid w:val="00870827"/>
    <w:rsid w:val="0094056C"/>
    <w:rsid w:val="00A71E3B"/>
    <w:rsid w:val="00B1092A"/>
    <w:rsid w:val="00B30536"/>
    <w:rsid w:val="00B37BF3"/>
    <w:rsid w:val="00B40B12"/>
    <w:rsid w:val="00B6681C"/>
    <w:rsid w:val="00BA0F1F"/>
    <w:rsid w:val="00C25011"/>
    <w:rsid w:val="00CC3A6A"/>
    <w:rsid w:val="00CF688A"/>
    <w:rsid w:val="00D01C8E"/>
    <w:rsid w:val="00D63E96"/>
    <w:rsid w:val="00DA756C"/>
    <w:rsid w:val="00E00288"/>
    <w:rsid w:val="00E0252C"/>
    <w:rsid w:val="00E12B6F"/>
    <w:rsid w:val="00E978C4"/>
    <w:rsid w:val="00F55B8C"/>
    <w:rsid w:val="00F95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F3"/>
    <w:pPr>
      <w:suppressAutoHyphens/>
      <w:spacing w:line="240" w:lineRule="auto"/>
      <w:jc w:val="left"/>
    </w:pPr>
    <w:rPr>
      <w:rFonts w:ascii="Times New Roman" w:hAnsi="Times New Roman" w:cs="Times New Roman"/>
      <w:kern w:val="0"/>
      <w:sz w:val="24"/>
      <w:szCs w:val="24"/>
      <w:lang w:val="it-IT" w:eastAsia="ar-SA"/>
    </w:rPr>
  </w:style>
  <w:style w:type="paragraph" w:styleId="Heading1">
    <w:name w:val="heading 1"/>
    <w:basedOn w:val="Normal"/>
    <w:next w:val="Normal"/>
    <w:link w:val="Heading1Char"/>
    <w:qFormat/>
    <w:rsid w:val="00B37BF3"/>
    <w:pPr>
      <w:keepNext/>
      <w:tabs>
        <w:tab w:val="num" w:pos="0"/>
      </w:tabs>
      <w:autoSpaceDE w:val="0"/>
      <w:spacing w:before="120"/>
      <w:jc w:val="center"/>
      <w:outlineLvl w:val="0"/>
    </w:pPr>
    <w:rPr>
      <w:b/>
      <w:bCs/>
      <w:color w:val="FF0000"/>
      <w:lang w:val="en-GB"/>
    </w:rPr>
  </w:style>
  <w:style w:type="paragraph" w:styleId="Heading4">
    <w:name w:val="heading 4"/>
    <w:basedOn w:val="Normal"/>
    <w:next w:val="Normal"/>
    <w:link w:val="Heading4Char"/>
    <w:qFormat/>
    <w:rsid w:val="00B37BF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BF3"/>
    <w:rPr>
      <w:rFonts w:ascii="Times New Roman" w:hAnsi="Times New Roman" w:cs="Times New Roman"/>
      <w:b/>
      <w:bCs/>
      <w:color w:val="FF0000"/>
      <w:kern w:val="0"/>
      <w:sz w:val="24"/>
      <w:szCs w:val="24"/>
      <w:lang w:val="en-GB" w:eastAsia="ar-SA"/>
    </w:rPr>
  </w:style>
  <w:style w:type="character" w:customStyle="1" w:styleId="Heading4Char">
    <w:name w:val="Heading 4 Char"/>
    <w:basedOn w:val="DefaultParagraphFont"/>
    <w:link w:val="Heading4"/>
    <w:rsid w:val="00B37BF3"/>
    <w:rPr>
      <w:rFonts w:ascii="Calibri" w:eastAsia="Times New Roman" w:hAnsi="Calibri" w:cs="Times New Roman"/>
      <w:b/>
      <w:bCs/>
      <w:kern w:val="0"/>
      <w:sz w:val="28"/>
      <w:szCs w:val="28"/>
      <w:lang w:val="it-IT" w:eastAsia="ar-SA"/>
    </w:rPr>
  </w:style>
  <w:style w:type="character" w:customStyle="1" w:styleId="WW8Num1z0">
    <w:name w:val="WW8Num1z0"/>
    <w:rsid w:val="00B37BF3"/>
    <w:rPr>
      <w:rFonts w:ascii="Symbol" w:hAnsi="Symbol" w:cs="Symbol"/>
    </w:rPr>
  </w:style>
  <w:style w:type="character" w:customStyle="1" w:styleId="WW8Num1z1">
    <w:name w:val="WW8Num1z1"/>
    <w:rsid w:val="00B37BF3"/>
  </w:style>
  <w:style w:type="character" w:customStyle="1" w:styleId="WW8Num1z2">
    <w:name w:val="WW8Num1z2"/>
    <w:rsid w:val="00B37BF3"/>
  </w:style>
  <w:style w:type="character" w:customStyle="1" w:styleId="WW8Num1z3">
    <w:name w:val="WW8Num1z3"/>
    <w:rsid w:val="00B37BF3"/>
  </w:style>
  <w:style w:type="character" w:customStyle="1" w:styleId="WW8Num1z4">
    <w:name w:val="WW8Num1z4"/>
    <w:rsid w:val="00B37BF3"/>
  </w:style>
  <w:style w:type="character" w:customStyle="1" w:styleId="WW8Num1z5">
    <w:name w:val="WW8Num1z5"/>
    <w:rsid w:val="00B37BF3"/>
  </w:style>
  <w:style w:type="character" w:customStyle="1" w:styleId="WW8Num1z6">
    <w:name w:val="WW8Num1z6"/>
    <w:rsid w:val="00B37BF3"/>
  </w:style>
  <w:style w:type="character" w:customStyle="1" w:styleId="WW8Num1z7">
    <w:name w:val="WW8Num1z7"/>
    <w:rsid w:val="00B37BF3"/>
  </w:style>
  <w:style w:type="character" w:customStyle="1" w:styleId="WW8Num1z8">
    <w:name w:val="WW8Num1z8"/>
    <w:rsid w:val="00B37BF3"/>
  </w:style>
  <w:style w:type="character" w:customStyle="1" w:styleId="Absatz-Standardschriftart">
    <w:name w:val="Absatz-Standardschriftart"/>
    <w:rsid w:val="00B37BF3"/>
  </w:style>
  <w:style w:type="character" w:customStyle="1" w:styleId="Carpredefinitoparagrafo11">
    <w:name w:val="Car. predefinito paragrafo11"/>
    <w:rsid w:val="00B37BF3"/>
  </w:style>
  <w:style w:type="character" w:customStyle="1" w:styleId="WW-Absatz-Standardschriftart">
    <w:name w:val="WW-Absatz-Standardschriftart"/>
    <w:rsid w:val="00B37BF3"/>
  </w:style>
  <w:style w:type="character" w:customStyle="1" w:styleId="Carpredefinitoparagrafo10">
    <w:name w:val="Car. predefinito paragrafo10"/>
    <w:rsid w:val="00B37BF3"/>
  </w:style>
  <w:style w:type="character" w:customStyle="1" w:styleId="Carpredefinitoparagrafo9">
    <w:name w:val="Car. predefinito paragrafo9"/>
    <w:rsid w:val="00B37BF3"/>
  </w:style>
  <w:style w:type="character" w:customStyle="1" w:styleId="Carpredefinitoparagrafo8">
    <w:name w:val="Car. predefinito paragrafo8"/>
    <w:rsid w:val="00B37BF3"/>
  </w:style>
  <w:style w:type="character" w:customStyle="1" w:styleId="WW-Absatz-Standardschriftart1">
    <w:name w:val="WW-Absatz-Standardschriftart1"/>
    <w:rsid w:val="00B37BF3"/>
  </w:style>
  <w:style w:type="character" w:customStyle="1" w:styleId="WW-Absatz-Standardschriftart11">
    <w:name w:val="WW-Absatz-Standardschriftart11"/>
    <w:rsid w:val="00B37BF3"/>
  </w:style>
  <w:style w:type="character" w:customStyle="1" w:styleId="Carpredefinitoparagrafo7">
    <w:name w:val="Car. predefinito paragrafo7"/>
    <w:rsid w:val="00B37BF3"/>
  </w:style>
  <w:style w:type="character" w:customStyle="1" w:styleId="WW-Absatz-Standardschriftart111">
    <w:name w:val="WW-Absatz-Standardschriftart111"/>
    <w:rsid w:val="00B37BF3"/>
  </w:style>
  <w:style w:type="character" w:customStyle="1" w:styleId="WW-Absatz-Standardschriftart1111">
    <w:name w:val="WW-Absatz-Standardschriftart1111"/>
    <w:rsid w:val="00B37BF3"/>
  </w:style>
  <w:style w:type="character" w:customStyle="1" w:styleId="WW-Absatz-Standardschriftart11111">
    <w:name w:val="WW-Absatz-Standardschriftart11111"/>
    <w:rsid w:val="00B37BF3"/>
  </w:style>
  <w:style w:type="character" w:customStyle="1" w:styleId="WW-Absatz-Standardschriftart111111">
    <w:name w:val="WW-Absatz-Standardschriftart111111"/>
    <w:rsid w:val="00B37BF3"/>
  </w:style>
  <w:style w:type="character" w:customStyle="1" w:styleId="WW-Absatz-Standardschriftart1111111">
    <w:name w:val="WW-Absatz-Standardschriftart1111111"/>
    <w:rsid w:val="00B37BF3"/>
  </w:style>
  <w:style w:type="character" w:customStyle="1" w:styleId="Carpredefinitoparagrafo6">
    <w:name w:val="Car. predefinito paragrafo6"/>
    <w:rsid w:val="00B37BF3"/>
  </w:style>
  <w:style w:type="character" w:customStyle="1" w:styleId="WW8Num2z0">
    <w:name w:val="WW8Num2z0"/>
    <w:rsid w:val="00B37BF3"/>
    <w:rPr>
      <w:rFonts w:ascii="Symbol" w:hAnsi="Symbol" w:cs="Symbol"/>
    </w:rPr>
  </w:style>
  <w:style w:type="character" w:customStyle="1" w:styleId="WW8Num2z1">
    <w:name w:val="WW8Num2z1"/>
    <w:rsid w:val="00B37BF3"/>
  </w:style>
  <w:style w:type="character" w:customStyle="1" w:styleId="WW8Num2z2">
    <w:name w:val="WW8Num2z2"/>
    <w:rsid w:val="00B37BF3"/>
  </w:style>
  <w:style w:type="character" w:customStyle="1" w:styleId="WW8Num2z3">
    <w:name w:val="WW8Num2z3"/>
    <w:rsid w:val="00B37BF3"/>
  </w:style>
  <w:style w:type="character" w:customStyle="1" w:styleId="WW8Num2z4">
    <w:name w:val="WW8Num2z4"/>
    <w:rsid w:val="00B37BF3"/>
  </w:style>
  <w:style w:type="character" w:customStyle="1" w:styleId="WW8Num2z5">
    <w:name w:val="WW8Num2z5"/>
    <w:rsid w:val="00B37BF3"/>
  </w:style>
  <w:style w:type="character" w:customStyle="1" w:styleId="WW8Num2z6">
    <w:name w:val="WW8Num2z6"/>
    <w:rsid w:val="00B37BF3"/>
  </w:style>
  <w:style w:type="character" w:customStyle="1" w:styleId="WW8Num2z7">
    <w:name w:val="WW8Num2z7"/>
    <w:rsid w:val="00B37BF3"/>
  </w:style>
  <w:style w:type="character" w:customStyle="1" w:styleId="WW8Num2z8">
    <w:name w:val="WW8Num2z8"/>
    <w:rsid w:val="00B37BF3"/>
  </w:style>
  <w:style w:type="character" w:customStyle="1" w:styleId="WW8Num3z0">
    <w:name w:val="WW8Num3z0"/>
    <w:rsid w:val="00B37BF3"/>
  </w:style>
  <w:style w:type="character" w:customStyle="1" w:styleId="WW8Num3z1">
    <w:name w:val="WW8Num3z1"/>
    <w:rsid w:val="00B37BF3"/>
  </w:style>
  <w:style w:type="character" w:customStyle="1" w:styleId="WW8Num3z2">
    <w:name w:val="WW8Num3z2"/>
    <w:rsid w:val="00B37BF3"/>
  </w:style>
  <w:style w:type="character" w:customStyle="1" w:styleId="WW8Num3z3">
    <w:name w:val="WW8Num3z3"/>
    <w:rsid w:val="00B37BF3"/>
  </w:style>
  <w:style w:type="character" w:customStyle="1" w:styleId="WW8Num3z4">
    <w:name w:val="WW8Num3z4"/>
    <w:rsid w:val="00B37BF3"/>
  </w:style>
  <w:style w:type="character" w:customStyle="1" w:styleId="WW8Num3z5">
    <w:name w:val="WW8Num3z5"/>
    <w:rsid w:val="00B37BF3"/>
  </w:style>
  <w:style w:type="character" w:customStyle="1" w:styleId="WW8Num3z6">
    <w:name w:val="WW8Num3z6"/>
    <w:rsid w:val="00B37BF3"/>
  </w:style>
  <w:style w:type="character" w:customStyle="1" w:styleId="WW8Num3z7">
    <w:name w:val="WW8Num3z7"/>
    <w:rsid w:val="00B37BF3"/>
  </w:style>
  <w:style w:type="character" w:customStyle="1" w:styleId="WW8Num3z8">
    <w:name w:val="WW8Num3z8"/>
    <w:rsid w:val="00B37BF3"/>
  </w:style>
  <w:style w:type="character" w:customStyle="1" w:styleId="Carpredefinitoparagrafo5">
    <w:name w:val="Car. predefinito paragrafo5"/>
    <w:rsid w:val="00B37BF3"/>
  </w:style>
  <w:style w:type="character" w:customStyle="1" w:styleId="Carpredefinitoparagrafo4">
    <w:name w:val="Car. predefinito paragrafo4"/>
    <w:rsid w:val="00B37BF3"/>
  </w:style>
  <w:style w:type="character" w:customStyle="1" w:styleId="Carpredefinitoparagrafo3">
    <w:name w:val="Car. predefinito paragrafo3"/>
    <w:rsid w:val="00B37BF3"/>
  </w:style>
  <w:style w:type="character" w:customStyle="1" w:styleId="WW-Absatz-Standardschriftart11111111">
    <w:name w:val="WW-Absatz-Standardschriftart11111111"/>
    <w:rsid w:val="00B37BF3"/>
  </w:style>
  <w:style w:type="character" w:customStyle="1" w:styleId="Carpredefinitoparagrafo2">
    <w:name w:val="Car. predefinito paragrafo2"/>
    <w:rsid w:val="00B37BF3"/>
  </w:style>
  <w:style w:type="character" w:customStyle="1" w:styleId="WW-Absatz-Standardschriftart111111111">
    <w:name w:val="WW-Absatz-Standardschriftart111111111"/>
    <w:rsid w:val="00B37BF3"/>
  </w:style>
  <w:style w:type="character" w:customStyle="1" w:styleId="Carpredefinitoparagrafo1">
    <w:name w:val="Car. predefinito paragrafo1"/>
    <w:rsid w:val="00B37BF3"/>
  </w:style>
  <w:style w:type="character" w:customStyle="1" w:styleId="Titolo1Carattere">
    <w:name w:val="Titolo 1 Carattere"/>
    <w:rsid w:val="00B37BF3"/>
    <w:rPr>
      <w:b/>
      <w:bCs/>
      <w:color w:val="FF0000"/>
      <w:sz w:val="24"/>
      <w:szCs w:val="24"/>
      <w:lang w:val="en-GB"/>
    </w:rPr>
  </w:style>
  <w:style w:type="character" w:styleId="Hyperlink">
    <w:name w:val="Hyperlink"/>
    <w:uiPriority w:val="99"/>
    <w:rsid w:val="00B37BF3"/>
    <w:rPr>
      <w:color w:val="0000FF"/>
      <w:u w:val="single"/>
    </w:rPr>
  </w:style>
  <w:style w:type="character" w:customStyle="1" w:styleId="apple-converted-space">
    <w:name w:val="apple-converted-space"/>
    <w:basedOn w:val="Carpredefinitoparagrafo1"/>
    <w:rsid w:val="00B37BF3"/>
  </w:style>
  <w:style w:type="character" w:customStyle="1" w:styleId="jrnl">
    <w:name w:val="jrnl"/>
    <w:basedOn w:val="Carpredefinitoparagrafo1"/>
    <w:rsid w:val="00B37BF3"/>
  </w:style>
  <w:style w:type="character" w:customStyle="1" w:styleId="CorpodeltestoCarattere">
    <w:name w:val="Corpo del testo Carattere"/>
    <w:rsid w:val="00B37BF3"/>
    <w:rPr>
      <w:rFonts w:ascii="Calibri" w:eastAsia="Calibri" w:hAnsi="Calibri" w:cs="Calibri"/>
      <w:sz w:val="22"/>
      <w:szCs w:val="22"/>
    </w:rPr>
  </w:style>
  <w:style w:type="character" w:customStyle="1" w:styleId="nlmarticle-title">
    <w:name w:val="nlm_article-title"/>
    <w:basedOn w:val="Carpredefinitoparagrafo1"/>
    <w:rsid w:val="00B37BF3"/>
  </w:style>
  <w:style w:type="character" w:customStyle="1" w:styleId="citationsource-journal">
    <w:name w:val="citation_source-journal"/>
    <w:basedOn w:val="Carpredefinitoparagrafo1"/>
    <w:rsid w:val="00B37BF3"/>
  </w:style>
  <w:style w:type="character" w:customStyle="1" w:styleId="nlmyear">
    <w:name w:val="nlm_year"/>
    <w:basedOn w:val="Carpredefinitoparagrafo1"/>
    <w:rsid w:val="00B37BF3"/>
  </w:style>
  <w:style w:type="character" w:customStyle="1" w:styleId="nlmfpage">
    <w:name w:val="nlm_fpage"/>
    <w:basedOn w:val="Carpredefinitoparagrafo1"/>
    <w:rsid w:val="00B37BF3"/>
  </w:style>
  <w:style w:type="character" w:customStyle="1" w:styleId="nlmlpage">
    <w:name w:val="nlm_lpage"/>
    <w:basedOn w:val="Carpredefinitoparagrafo1"/>
    <w:rsid w:val="00B37BF3"/>
  </w:style>
  <w:style w:type="character" w:customStyle="1" w:styleId="cit-source">
    <w:name w:val="cit-source"/>
    <w:basedOn w:val="Carpredefinitoparagrafo1"/>
    <w:rsid w:val="00B37BF3"/>
  </w:style>
  <w:style w:type="character" w:customStyle="1" w:styleId="cit-vol">
    <w:name w:val="cit-vol"/>
    <w:basedOn w:val="Carpredefinitoparagrafo1"/>
    <w:rsid w:val="00B37BF3"/>
  </w:style>
  <w:style w:type="character" w:customStyle="1" w:styleId="cit-fpage">
    <w:name w:val="cit-fpage"/>
    <w:basedOn w:val="Carpredefinitoparagrafo1"/>
    <w:rsid w:val="00B37BF3"/>
  </w:style>
  <w:style w:type="character" w:customStyle="1" w:styleId="cit-pub-date">
    <w:name w:val="cit-pub-date"/>
    <w:basedOn w:val="Carpredefinitoparagrafo1"/>
    <w:rsid w:val="00B37BF3"/>
  </w:style>
  <w:style w:type="character" w:customStyle="1" w:styleId="ref-journal">
    <w:name w:val="ref-journal"/>
    <w:basedOn w:val="Carpredefinitoparagrafo1"/>
    <w:rsid w:val="00B37BF3"/>
  </w:style>
  <w:style w:type="character" w:customStyle="1" w:styleId="ref-vol">
    <w:name w:val="ref-vol"/>
    <w:basedOn w:val="Carpredefinitoparagrafo1"/>
    <w:rsid w:val="00B37BF3"/>
  </w:style>
  <w:style w:type="character" w:customStyle="1" w:styleId="element-citation">
    <w:name w:val="element-citation"/>
    <w:basedOn w:val="Carpredefinitoparagrafo1"/>
    <w:rsid w:val="00B37BF3"/>
  </w:style>
  <w:style w:type="character" w:styleId="Emphasis">
    <w:name w:val="Emphasis"/>
    <w:qFormat/>
    <w:rsid w:val="00B37BF3"/>
    <w:rPr>
      <w:i/>
      <w:iCs/>
    </w:rPr>
  </w:style>
  <w:style w:type="character" w:styleId="FollowedHyperlink">
    <w:name w:val="FollowedHyperlink"/>
    <w:rsid w:val="00B37BF3"/>
    <w:rPr>
      <w:color w:val="800000"/>
      <w:u w:val="single"/>
    </w:rPr>
  </w:style>
  <w:style w:type="character" w:styleId="Strong">
    <w:name w:val="Strong"/>
    <w:qFormat/>
    <w:rsid w:val="00B37BF3"/>
    <w:rPr>
      <w:b/>
      <w:bCs/>
    </w:rPr>
  </w:style>
  <w:style w:type="character" w:customStyle="1" w:styleId="highlight">
    <w:name w:val="highlight"/>
    <w:rsid w:val="00B37BF3"/>
  </w:style>
  <w:style w:type="character" w:customStyle="1" w:styleId="Internetlink">
    <w:name w:val="Internet link"/>
    <w:rsid w:val="00B37BF3"/>
    <w:rPr>
      <w:color w:val="0000FF"/>
      <w:u w:val="single"/>
    </w:rPr>
  </w:style>
  <w:style w:type="character" w:customStyle="1" w:styleId="Caratteredinumerazione">
    <w:name w:val="Carattere di numerazione"/>
    <w:rsid w:val="00B37BF3"/>
  </w:style>
  <w:style w:type="character" w:customStyle="1" w:styleId="Titolo4Carattere">
    <w:name w:val="Titolo 4 Carattere"/>
    <w:rsid w:val="00B37BF3"/>
    <w:rPr>
      <w:rFonts w:ascii="Calibri" w:eastAsia="Times New Roman" w:hAnsi="Calibri" w:cs="Times New Roman"/>
      <w:b/>
      <w:bCs/>
      <w:sz w:val="28"/>
      <w:szCs w:val="28"/>
    </w:rPr>
  </w:style>
  <w:style w:type="character" w:customStyle="1" w:styleId="current-selection">
    <w:name w:val="current-selection"/>
    <w:rsid w:val="00B37BF3"/>
  </w:style>
  <w:style w:type="character" w:customStyle="1" w:styleId="a">
    <w:name w:val="_"/>
    <w:rsid w:val="00B37BF3"/>
  </w:style>
  <w:style w:type="paragraph" w:customStyle="1" w:styleId="Intestazione11">
    <w:name w:val="Intestazione11"/>
    <w:basedOn w:val="Normal"/>
    <w:next w:val="BodyText"/>
    <w:rsid w:val="00B37BF3"/>
    <w:pPr>
      <w:keepNext/>
      <w:spacing w:before="240" w:after="120"/>
    </w:pPr>
    <w:rPr>
      <w:rFonts w:ascii="Arial" w:eastAsia="Lucida Sans Unicode" w:hAnsi="Arial" w:cs="Tahoma"/>
      <w:sz w:val="28"/>
      <w:szCs w:val="28"/>
    </w:rPr>
  </w:style>
  <w:style w:type="paragraph" w:styleId="BodyText">
    <w:name w:val="Body Text"/>
    <w:basedOn w:val="Normal"/>
    <w:link w:val="BodyTextChar"/>
    <w:rsid w:val="00B37BF3"/>
    <w:pPr>
      <w:spacing w:after="120" w:line="276" w:lineRule="auto"/>
    </w:pPr>
    <w:rPr>
      <w:rFonts w:ascii="Calibri" w:eastAsia="Calibri" w:hAnsi="Calibri" w:cs="Calibri"/>
      <w:sz w:val="22"/>
      <w:szCs w:val="22"/>
    </w:rPr>
  </w:style>
  <w:style w:type="character" w:customStyle="1" w:styleId="BodyTextChar">
    <w:name w:val="Body Text Char"/>
    <w:basedOn w:val="DefaultParagraphFont"/>
    <w:link w:val="BodyText"/>
    <w:rsid w:val="00B37BF3"/>
    <w:rPr>
      <w:rFonts w:ascii="Calibri" w:eastAsia="Calibri" w:hAnsi="Calibri" w:cs="Calibri"/>
      <w:kern w:val="0"/>
      <w:sz w:val="22"/>
      <w:lang w:val="it-IT" w:eastAsia="ar-SA"/>
    </w:rPr>
  </w:style>
  <w:style w:type="paragraph" w:styleId="List">
    <w:name w:val="List"/>
    <w:basedOn w:val="BodyText"/>
    <w:rsid w:val="00B37BF3"/>
    <w:rPr>
      <w:rFonts w:cs="Tahoma"/>
    </w:rPr>
  </w:style>
  <w:style w:type="paragraph" w:customStyle="1" w:styleId="Didascalia11">
    <w:name w:val="Didascalia11"/>
    <w:basedOn w:val="Normal"/>
    <w:rsid w:val="00B37BF3"/>
    <w:pPr>
      <w:suppressLineNumbers/>
      <w:spacing w:before="120" w:after="120"/>
    </w:pPr>
    <w:rPr>
      <w:rFonts w:cs="Tahoma"/>
      <w:i/>
      <w:iCs/>
    </w:rPr>
  </w:style>
  <w:style w:type="paragraph" w:customStyle="1" w:styleId="Indice">
    <w:name w:val="Indice"/>
    <w:basedOn w:val="Normal"/>
    <w:rsid w:val="00B37BF3"/>
    <w:pPr>
      <w:suppressLineNumbers/>
    </w:pPr>
    <w:rPr>
      <w:rFonts w:cs="Tahoma"/>
    </w:rPr>
  </w:style>
  <w:style w:type="paragraph" w:customStyle="1" w:styleId="Intestazione10">
    <w:name w:val="Intestazione10"/>
    <w:basedOn w:val="Normal"/>
    <w:next w:val="BodyText"/>
    <w:rsid w:val="00B37BF3"/>
    <w:pPr>
      <w:keepNext/>
      <w:spacing w:before="240" w:after="120"/>
    </w:pPr>
    <w:rPr>
      <w:rFonts w:ascii="Arial" w:eastAsia="微软雅黑" w:hAnsi="Arial" w:cs="Mangal"/>
      <w:sz w:val="28"/>
      <w:szCs w:val="28"/>
    </w:rPr>
  </w:style>
  <w:style w:type="paragraph" w:customStyle="1" w:styleId="Didascalia10">
    <w:name w:val="Didascalia10"/>
    <w:basedOn w:val="Normal"/>
    <w:rsid w:val="00B37BF3"/>
    <w:pPr>
      <w:suppressLineNumbers/>
      <w:spacing w:before="120" w:after="120"/>
    </w:pPr>
    <w:rPr>
      <w:rFonts w:cs="Mangal"/>
      <w:i/>
      <w:iCs/>
    </w:rPr>
  </w:style>
  <w:style w:type="paragraph" w:customStyle="1" w:styleId="Intestazione9">
    <w:name w:val="Intestazione9"/>
    <w:basedOn w:val="Normal"/>
    <w:next w:val="BodyText"/>
    <w:rsid w:val="00B37BF3"/>
    <w:pPr>
      <w:keepNext/>
      <w:spacing w:before="240" w:after="120"/>
    </w:pPr>
    <w:rPr>
      <w:rFonts w:ascii="Arial" w:eastAsia="Lucida Sans Unicode" w:hAnsi="Arial" w:cs="Tahoma"/>
      <w:sz w:val="28"/>
      <w:szCs w:val="28"/>
    </w:rPr>
  </w:style>
  <w:style w:type="paragraph" w:customStyle="1" w:styleId="Didascalia9">
    <w:name w:val="Didascalia9"/>
    <w:basedOn w:val="Normal"/>
    <w:rsid w:val="00B37BF3"/>
    <w:pPr>
      <w:suppressLineNumbers/>
      <w:spacing w:before="120" w:after="120"/>
    </w:pPr>
    <w:rPr>
      <w:rFonts w:cs="Tahoma"/>
      <w:i/>
      <w:iCs/>
    </w:rPr>
  </w:style>
  <w:style w:type="paragraph" w:customStyle="1" w:styleId="Intestazione8">
    <w:name w:val="Intestazione8"/>
    <w:basedOn w:val="Normal"/>
    <w:next w:val="BodyText"/>
    <w:rsid w:val="00B37BF3"/>
    <w:pPr>
      <w:keepNext/>
      <w:spacing w:before="240" w:after="120"/>
    </w:pPr>
    <w:rPr>
      <w:rFonts w:ascii="Arial" w:eastAsia="Lucida Sans Unicode" w:hAnsi="Arial" w:cs="Tahoma"/>
      <w:sz w:val="28"/>
      <w:szCs w:val="28"/>
    </w:rPr>
  </w:style>
  <w:style w:type="paragraph" w:customStyle="1" w:styleId="Didascalia8">
    <w:name w:val="Didascalia8"/>
    <w:basedOn w:val="Normal"/>
    <w:rsid w:val="00B37BF3"/>
    <w:pPr>
      <w:suppressLineNumbers/>
      <w:spacing w:before="120" w:after="120"/>
    </w:pPr>
    <w:rPr>
      <w:rFonts w:cs="Tahoma"/>
      <w:i/>
      <w:iCs/>
    </w:rPr>
  </w:style>
  <w:style w:type="paragraph" w:customStyle="1" w:styleId="Intestazione7">
    <w:name w:val="Intestazione7"/>
    <w:basedOn w:val="Normal"/>
    <w:next w:val="BodyText"/>
    <w:rsid w:val="00B37BF3"/>
    <w:pPr>
      <w:keepNext/>
      <w:spacing w:before="240" w:after="120"/>
    </w:pPr>
    <w:rPr>
      <w:rFonts w:ascii="Arial" w:eastAsia="Lucida Sans Unicode" w:hAnsi="Arial" w:cs="Tahoma"/>
      <w:sz w:val="28"/>
      <w:szCs w:val="28"/>
    </w:rPr>
  </w:style>
  <w:style w:type="paragraph" w:customStyle="1" w:styleId="Didascalia7">
    <w:name w:val="Didascalia7"/>
    <w:basedOn w:val="Normal"/>
    <w:rsid w:val="00B37BF3"/>
    <w:pPr>
      <w:suppressLineNumbers/>
      <w:spacing w:before="120" w:after="120"/>
    </w:pPr>
    <w:rPr>
      <w:rFonts w:cs="Tahoma"/>
      <w:i/>
      <w:iCs/>
    </w:rPr>
  </w:style>
  <w:style w:type="paragraph" w:customStyle="1" w:styleId="Intestazione6">
    <w:name w:val="Intestazione6"/>
    <w:basedOn w:val="Normal"/>
    <w:next w:val="BodyText"/>
    <w:rsid w:val="00B37BF3"/>
    <w:pPr>
      <w:keepNext/>
      <w:spacing w:before="240" w:after="120"/>
    </w:pPr>
    <w:rPr>
      <w:rFonts w:ascii="Arial" w:eastAsia="Lucida Sans Unicode" w:hAnsi="Arial" w:cs="Tahoma"/>
      <w:sz w:val="28"/>
      <w:szCs w:val="28"/>
    </w:rPr>
  </w:style>
  <w:style w:type="paragraph" w:customStyle="1" w:styleId="Didascalia6">
    <w:name w:val="Didascalia6"/>
    <w:basedOn w:val="Normal"/>
    <w:rsid w:val="00B37BF3"/>
    <w:pPr>
      <w:suppressLineNumbers/>
      <w:spacing w:before="120" w:after="120"/>
    </w:pPr>
    <w:rPr>
      <w:rFonts w:cs="Tahoma"/>
      <w:i/>
      <w:iCs/>
    </w:rPr>
  </w:style>
  <w:style w:type="paragraph" w:customStyle="1" w:styleId="Intestazione5">
    <w:name w:val="Intestazione5"/>
    <w:basedOn w:val="Normal"/>
    <w:next w:val="BodyText"/>
    <w:rsid w:val="00B37BF3"/>
    <w:pPr>
      <w:keepNext/>
      <w:spacing w:before="240" w:after="120"/>
    </w:pPr>
    <w:rPr>
      <w:rFonts w:ascii="Arial" w:eastAsia="微软雅黑" w:hAnsi="Arial" w:cs="Mangal"/>
      <w:sz w:val="28"/>
      <w:szCs w:val="28"/>
    </w:rPr>
  </w:style>
  <w:style w:type="paragraph" w:customStyle="1" w:styleId="Didascalia5">
    <w:name w:val="Didascalia5"/>
    <w:basedOn w:val="Normal"/>
    <w:rsid w:val="00B37BF3"/>
    <w:pPr>
      <w:suppressLineNumbers/>
      <w:spacing w:before="120" w:after="120"/>
    </w:pPr>
    <w:rPr>
      <w:rFonts w:cs="Mangal"/>
      <w:i/>
      <w:iCs/>
    </w:rPr>
  </w:style>
  <w:style w:type="paragraph" w:customStyle="1" w:styleId="Intestazione4">
    <w:name w:val="Intestazione4"/>
    <w:basedOn w:val="Normal"/>
    <w:next w:val="BodyText"/>
    <w:rsid w:val="00B37BF3"/>
    <w:pPr>
      <w:keepNext/>
      <w:spacing w:before="240" w:after="120"/>
    </w:pPr>
    <w:rPr>
      <w:rFonts w:ascii="Arial" w:eastAsia="微软雅黑" w:hAnsi="Arial" w:cs="Mangal"/>
      <w:sz w:val="28"/>
      <w:szCs w:val="28"/>
    </w:rPr>
  </w:style>
  <w:style w:type="paragraph" w:customStyle="1" w:styleId="Didascalia4">
    <w:name w:val="Didascalia4"/>
    <w:basedOn w:val="Normal"/>
    <w:rsid w:val="00B37BF3"/>
    <w:pPr>
      <w:suppressLineNumbers/>
      <w:spacing w:before="120" w:after="120"/>
    </w:pPr>
    <w:rPr>
      <w:rFonts w:cs="Mangal"/>
      <w:i/>
      <w:iCs/>
    </w:rPr>
  </w:style>
  <w:style w:type="paragraph" w:customStyle="1" w:styleId="Intestazione3">
    <w:name w:val="Intestazione3"/>
    <w:basedOn w:val="Normal"/>
    <w:next w:val="BodyText"/>
    <w:rsid w:val="00B37BF3"/>
    <w:pPr>
      <w:keepNext/>
      <w:spacing w:before="240" w:after="120"/>
    </w:pPr>
    <w:rPr>
      <w:rFonts w:ascii="Arial" w:eastAsia="微软雅黑" w:hAnsi="Arial" w:cs="Mangal"/>
      <w:sz w:val="28"/>
      <w:szCs w:val="28"/>
    </w:rPr>
  </w:style>
  <w:style w:type="paragraph" w:customStyle="1" w:styleId="Didascalia3">
    <w:name w:val="Didascalia3"/>
    <w:basedOn w:val="Normal"/>
    <w:rsid w:val="00B37BF3"/>
    <w:pPr>
      <w:suppressLineNumbers/>
      <w:spacing w:before="120" w:after="120"/>
    </w:pPr>
    <w:rPr>
      <w:rFonts w:cs="Mangal"/>
      <w:i/>
      <w:iCs/>
    </w:rPr>
  </w:style>
  <w:style w:type="paragraph" w:customStyle="1" w:styleId="Intestazione2">
    <w:name w:val="Intestazione2"/>
    <w:basedOn w:val="Normal"/>
    <w:next w:val="BodyText"/>
    <w:rsid w:val="00B37BF3"/>
    <w:pPr>
      <w:keepNext/>
      <w:spacing w:before="240" w:after="120"/>
    </w:pPr>
    <w:rPr>
      <w:rFonts w:ascii="Arial" w:eastAsia="Lucida Sans Unicode" w:hAnsi="Arial" w:cs="Tahoma"/>
      <w:sz w:val="28"/>
      <w:szCs w:val="28"/>
    </w:rPr>
  </w:style>
  <w:style w:type="paragraph" w:customStyle="1" w:styleId="Didascalia2">
    <w:name w:val="Didascalia2"/>
    <w:basedOn w:val="Normal"/>
    <w:rsid w:val="00B37BF3"/>
    <w:pPr>
      <w:suppressLineNumbers/>
      <w:spacing w:before="120" w:after="120"/>
    </w:pPr>
    <w:rPr>
      <w:rFonts w:cs="Tahoma"/>
      <w:i/>
      <w:iCs/>
    </w:rPr>
  </w:style>
  <w:style w:type="paragraph" w:customStyle="1" w:styleId="Intestazione1">
    <w:name w:val="Intestazione1"/>
    <w:basedOn w:val="Normal"/>
    <w:next w:val="BodyText"/>
    <w:rsid w:val="00B37BF3"/>
    <w:pPr>
      <w:keepNext/>
      <w:spacing w:before="240" w:after="120"/>
    </w:pPr>
    <w:rPr>
      <w:rFonts w:ascii="Arial" w:eastAsia="Lucida Sans Unicode" w:hAnsi="Arial" w:cs="Tahoma"/>
      <w:sz w:val="28"/>
      <w:szCs w:val="28"/>
    </w:rPr>
  </w:style>
  <w:style w:type="paragraph" w:customStyle="1" w:styleId="Didascalia1">
    <w:name w:val="Didascalia1"/>
    <w:basedOn w:val="Normal"/>
    <w:rsid w:val="00B37BF3"/>
    <w:pPr>
      <w:suppressLineNumbers/>
      <w:spacing w:before="120" w:after="120"/>
    </w:pPr>
    <w:rPr>
      <w:rFonts w:cs="Tahoma"/>
      <w:i/>
      <w:iCs/>
    </w:rPr>
  </w:style>
  <w:style w:type="paragraph" w:customStyle="1" w:styleId="ListeParagraf">
    <w:name w:val="Liste Paragraf"/>
    <w:basedOn w:val="Normal"/>
    <w:rsid w:val="00B37BF3"/>
    <w:pPr>
      <w:spacing w:after="200" w:line="276" w:lineRule="auto"/>
      <w:ind w:left="720"/>
    </w:pPr>
    <w:rPr>
      <w:rFonts w:ascii="Calibri" w:eastAsia="Calibri" w:hAnsi="Calibri" w:cs="Calibri"/>
      <w:sz w:val="22"/>
      <w:szCs w:val="22"/>
      <w:lang w:val="en-GB"/>
    </w:rPr>
  </w:style>
  <w:style w:type="paragraph" w:customStyle="1" w:styleId="Titolo1">
    <w:name w:val="Titolo1"/>
    <w:basedOn w:val="Normal"/>
    <w:rsid w:val="00B37BF3"/>
    <w:pPr>
      <w:spacing w:before="280" w:after="280"/>
    </w:pPr>
    <w:rPr>
      <w:rFonts w:cs="Calibri"/>
    </w:rPr>
  </w:style>
  <w:style w:type="paragraph" w:customStyle="1" w:styleId="desc">
    <w:name w:val="desc"/>
    <w:basedOn w:val="Normal"/>
    <w:rsid w:val="00B37BF3"/>
    <w:pPr>
      <w:spacing w:before="280" w:after="280"/>
    </w:pPr>
    <w:rPr>
      <w:rFonts w:cs="Calibri"/>
    </w:rPr>
  </w:style>
  <w:style w:type="paragraph" w:customStyle="1" w:styleId="title1">
    <w:name w:val="title1"/>
    <w:basedOn w:val="Normal"/>
    <w:rsid w:val="00B37BF3"/>
    <w:rPr>
      <w:rFonts w:cs="Calibri"/>
      <w:sz w:val="27"/>
      <w:szCs w:val="27"/>
    </w:rPr>
  </w:style>
  <w:style w:type="paragraph" w:customStyle="1" w:styleId="Textbody">
    <w:name w:val="Text body"/>
    <w:basedOn w:val="Normal"/>
    <w:rsid w:val="00B37BF3"/>
    <w:pPr>
      <w:widowControl w:val="0"/>
      <w:spacing w:after="120"/>
      <w:textAlignment w:val="baseline"/>
    </w:pPr>
    <w:rPr>
      <w:rFonts w:eastAsia="Lucida Sans Unicode" w:cs="Tahoma"/>
      <w:kern w:val="1"/>
    </w:rPr>
  </w:style>
  <w:style w:type="paragraph" w:customStyle="1" w:styleId="WW-Standard">
    <w:name w:val="WW-Standard"/>
    <w:rsid w:val="00B37BF3"/>
    <w:pPr>
      <w:widowControl w:val="0"/>
      <w:suppressAutoHyphens/>
      <w:spacing w:line="240" w:lineRule="auto"/>
      <w:jc w:val="left"/>
      <w:textAlignment w:val="baseline"/>
    </w:pPr>
    <w:rPr>
      <w:rFonts w:ascii="Times New Roman" w:eastAsia="Lucida Sans Unicode" w:hAnsi="Times New Roman" w:cs="Tahoma"/>
      <w:kern w:val="1"/>
      <w:sz w:val="24"/>
      <w:szCs w:val="24"/>
      <w:lang w:val="it-IT" w:eastAsia="ar-SA"/>
    </w:rPr>
  </w:style>
  <w:style w:type="paragraph" w:styleId="NormalWeb">
    <w:name w:val="Normal (Web)"/>
    <w:basedOn w:val="Normal"/>
    <w:uiPriority w:val="99"/>
    <w:rsid w:val="00B37BF3"/>
    <w:pPr>
      <w:suppressAutoHyphens w:val="0"/>
      <w:spacing w:before="280" w:after="119"/>
    </w:pPr>
  </w:style>
  <w:style w:type="paragraph" w:customStyle="1" w:styleId="details">
    <w:name w:val="details"/>
    <w:basedOn w:val="Normal"/>
    <w:rsid w:val="00B37BF3"/>
    <w:pPr>
      <w:suppressAutoHyphens w:val="0"/>
      <w:spacing w:before="280" w:after="280"/>
    </w:pPr>
  </w:style>
  <w:style w:type="paragraph" w:customStyle="1" w:styleId="Default">
    <w:name w:val="Default"/>
    <w:rsid w:val="00B37BF3"/>
    <w:pPr>
      <w:suppressAutoHyphens/>
      <w:autoSpaceDE w:val="0"/>
      <w:spacing w:line="240" w:lineRule="auto"/>
      <w:jc w:val="left"/>
    </w:pPr>
    <w:rPr>
      <w:rFonts w:ascii="ITC Franklin Gothic Std Bk Cd" w:eastAsia="Arial" w:hAnsi="ITC Franklin Gothic Std Bk Cd" w:cs="ITC Franklin Gothic Std Bk Cd"/>
      <w:color w:val="000000"/>
      <w:kern w:val="0"/>
      <w:sz w:val="24"/>
      <w:szCs w:val="24"/>
      <w:lang w:val="it-IT" w:eastAsia="ar-SA"/>
    </w:rPr>
  </w:style>
  <w:style w:type="paragraph" w:customStyle="1" w:styleId="Contenutotabella">
    <w:name w:val="Contenuto tabella"/>
    <w:basedOn w:val="Normal"/>
    <w:rsid w:val="00B37BF3"/>
    <w:pPr>
      <w:suppressLineNumbers/>
    </w:pPr>
  </w:style>
  <w:style w:type="paragraph" w:customStyle="1" w:styleId="Intestazionetabella">
    <w:name w:val="Intestazione tabella"/>
    <w:basedOn w:val="Contenutotabella"/>
    <w:rsid w:val="00B37BF3"/>
    <w:pPr>
      <w:jc w:val="center"/>
    </w:pPr>
    <w:rPr>
      <w:b/>
      <w:bCs/>
    </w:rPr>
  </w:style>
  <w:style w:type="paragraph" w:customStyle="1" w:styleId="Intestazioneelenco">
    <w:name w:val="Intestazione elenco"/>
    <w:basedOn w:val="Normal"/>
    <w:next w:val="Contenutoelenco"/>
    <w:rsid w:val="00B37BF3"/>
  </w:style>
  <w:style w:type="paragraph" w:customStyle="1" w:styleId="Contenutoelenco">
    <w:name w:val="Contenuto elenco"/>
    <w:basedOn w:val="Normal"/>
    <w:rsid w:val="00B37BF3"/>
    <w:pPr>
      <w:ind w:left="567"/>
    </w:pPr>
  </w:style>
  <w:style w:type="table" w:customStyle="1" w:styleId="Sfondochiaro1">
    <w:name w:val="Sfondo chiaro1"/>
    <w:basedOn w:val="TableNormal"/>
    <w:uiPriority w:val="60"/>
    <w:rsid w:val="00B37BF3"/>
    <w:pPr>
      <w:spacing w:line="240" w:lineRule="auto"/>
      <w:jc w:val="left"/>
    </w:pPr>
    <w:rPr>
      <w:rFonts w:ascii="Times New Roman" w:hAnsi="Times New Roman"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B37BF3"/>
    <w:pPr>
      <w:tabs>
        <w:tab w:val="center" w:pos="4819"/>
        <w:tab w:val="right" w:pos="9638"/>
      </w:tabs>
    </w:pPr>
    <w:rPr>
      <w:lang w:val="x-none"/>
    </w:rPr>
  </w:style>
  <w:style w:type="character" w:customStyle="1" w:styleId="HeaderChar">
    <w:name w:val="Header Char"/>
    <w:basedOn w:val="DefaultParagraphFont"/>
    <w:link w:val="Header"/>
    <w:uiPriority w:val="99"/>
    <w:rsid w:val="00B37BF3"/>
    <w:rPr>
      <w:rFonts w:ascii="Times New Roman" w:hAnsi="Times New Roman" w:cs="Times New Roman"/>
      <w:kern w:val="0"/>
      <w:sz w:val="24"/>
      <w:szCs w:val="24"/>
      <w:lang w:val="x-none" w:eastAsia="ar-SA"/>
    </w:rPr>
  </w:style>
  <w:style w:type="paragraph" w:styleId="Footer">
    <w:name w:val="footer"/>
    <w:basedOn w:val="Normal"/>
    <w:link w:val="FooterChar"/>
    <w:uiPriority w:val="99"/>
    <w:unhideWhenUsed/>
    <w:rsid w:val="00B37BF3"/>
    <w:pPr>
      <w:tabs>
        <w:tab w:val="center" w:pos="4819"/>
        <w:tab w:val="right" w:pos="9638"/>
      </w:tabs>
    </w:pPr>
    <w:rPr>
      <w:lang w:val="x-none"/>
    </w:rPr>
  </w:style>
  <w:style w:type="character" w:customStyle="1" w:styleId="FooterChar">
    <w:name w:val="Footer Char"/>
    <w:basedOn w:val="DefaultParagraphFont"/>
    <w:link w:val="Footer"/>
    <w:uiPriority w:val="99"/>
    <w:rsid w:val="00B37BF3"/>
    <w:rPr>
      <w:rFonts w:ascii="Times New Roman" w:hAnsi="Times New Roman" w:cs="Times New Roman"/>
      <w:kern w:val="0"/>
      <w:sz w:val="24"/>
      <w:szCs w:val="24"/>
      <w:lang w:val="x-none" w:eastAsia="ar-SA"/>
    </w:rPr>
  </w:style>
  <w:style w:type="paragraph" w:styleId="BalloonText">
    <w:name w:val="Balloon Text"/>
    <w:basedOn w:val="Normal"/>
    <w:link w:val="BalloonTextChar"/>
    <w:uiPriority w:val="99"/>
    <w:semiHidden/>
    <w:unhideWhenUsed/>
    <w:rsid w:val="00B37B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BF3"/>
    <w:rPr>
      <w:rFonts w:ascii="Lucida Grande" w:hAnsi="Lucida Grande" w:cs="Lucida Grande"/>
      <w:kern w:val="0"/>
      <w:sz w:val="18"/>
      <w:szCs w:val="18"/>
      <w:lang w:val="it-IT" w:eastAsia="ar-SA"/>
    </w:rPr>
  </w:style>
  <w:style w:type="character" w:styleId="CommentReference">
    <w:name w:val="annotation reference"/>
    <w:uiPriority w:val="99"/>
    <w:semiHidden/>
    <w:unhideWhenUsed/>
    <w:rsid w:val="00B37BF3"/>
    <w:rPr>
      <w:sz w:val="18"/>
      <w:szCs w:val="18"/>
    </w:rPr>
  </w:style>
  <w:style w:type="paragraph" w:styleId="CommentText">
    <w:name w:val="annotation text"/>
    <w:basedOn w:val="Normal"/>
    <w:link w:val="CommentTextChar"/>
    <w:uiPriority w:val="99"/>
    <w:semiHidden/>
    <w:unhideWhenUsed/>
    <w:rsid w:val="00B37BF3"/>
  </w:style>
  <w:style w:type="character" w:customStyle="1" w:styleId="CommentTextChar">
    <w:name w:val="Comment Text Char"/>
    <w:basedOn w:val="DefaultParagraphFont"/>
    <w:link w:val="CommentText"/>
    <w:uiPriority w:val="99"/>
    <w:semiHidden/>
    <w:rsid w:val="00B37BF3"/>
    <w:rPr>
      <w:rFonts w:ascii="Times New Roman" w:hAnsi="Times New Roman" w:cs="Times New Roman"/>
      <w:kern w:val="0"/>
      <w:sz w:val="24"/>
      <w:szCs w:val="24"/>
      <w:lang w:val="it-IT" w:eastAsia="ar-SA"/>
    </w:rPr>
  </w:style>
  <w:style w:type="paragraph" w:styleId="CommentSubject">
    <w:name w:val="annotation subject"/>
    <w:basedOn w:val="CommentText"/>
    <w:next w:val="CommentText"/>
    <w:link w:val="CommentSubjectChar"/>
    <w:uiPriority w:val="99"/>
    <w:semiHidden/>
    <w:unhideWhenUsed/>
    <w:rsid w:val="00B37BF3"/>
    <w:rPr>
      <w:b/>
      <w:bCs/>
      <w:sz w:val="20"/>
      <w:szCs w:val="20"/>
    </w:rPr>
  </w:style>
  <w:style w:type="character" w:customStyle="1" w:styleId="CommentSubjectChar">
    <w:name w:val="Comment Subject Char"/>
    <w:basedOn w:val="CommentTextChar"/>
    <w:link w:val="CommentSubject"/>
    <w:uiPriority w:val="99"/>
    <w:semiHidden/>
    <w:rsid w:val="00B37BF3"/>
    <w:rPr>
      <w:rFonts w:ascii="Times New Roman" w:hAnsi="Times New Roman" w:cs="Times New Roman"/>
      <w:b/>
      <w:bCs/>
      <w:kern w:val="0"/>
      <w:sz w:val="20"/>
      <w:szCs w:val="20"/>
      <w:lang w:val="it-IT" w:eastAsia="ar-SA"/>
    </w:rPr>
  </w:style>
  <w:style w:type="paragraph" w:styleId="Revision">
    <w:name w:val="Revision"/>
    <w:hidden/>
    <w:uiPriority w:val="99"/>
    <w:semiHidden/>
    <w:rsid w:val="00837352"/>
    <w:pPr>
      <w:spacing w:line="240" w:lineRule="auto"/>
      <w:jc w:val="left"/>
    </w:pPr>
    <w:rPr>
      <w:rFonts w:ascii="Times New Roman" w:hAnsi="Times New Roman" w:cs="Times New Roman"/>
      <w:kern w:val="0"/>
      <w:sz w:val="24"/>
      <w:szCs w:val="24"/>
      <w:lang w:val="it-IT"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F3"/>
    <w:pPr>
      <w:suppressAutoHyphens/>
      <w:spacing w:line="240" w:lineRule="auto"/>
      <w:jc w:val="left"/>
    </w:pPr>
    <w:rPr>
      <w:rFonts w:ascii="Times New Roman" w:hAnsi="Times New Roman" w:cs="Times New Roman"/>
      <w:kern w:val="0"/>
      <w:sz w:val="24"/>
      <w:szCs w:val="24"/>
      <w:lang w:val="it-IT" w:eastAsia="ar-SA"/>
    </w:rPr>
  </w:style>
  <w:style w:type="paragraph" w:styleId="Heading1">
    <w:name w:val="heading 1"/>
    <w:basedOn w:val="Normal"/>
    <w:next w:val="Normal"/>
    <w:link w:val="Heading1Char"/>
    <w:qFormat/>
    <w:rsid w:val="00B37BF3"/>
    <w:pPr>
      <w:keepNext/>
      <w:tabs>
        <w:tab w:val="num" w:pos="0"/>
      </w:tabs>
      <w:autoSpaceDE w:val="0"/>
      <w:spacing w:before="120"/>
      <w:jc w:val="center"/>
      <w:outlineLvl w:val="0"/>
    </w:pPr>
    <w:rPr>
      <w:b/>
      <w:bCs/>
      <w:color w:val="FF0000"/>
      <w:lang w:val="en-GB"/>
    </w:rPr>
  </w:style>
  <w:style w:type="paragraph" w:styleId="Heading4">
    <w:name w:val="heading 4"/>
    <w:basedOn w:val="Normal"/>
    <w:next w:val="Normal"/>
    <w:link w:val="Heading4Char"/>
    <w:qFormat/>
    <w:rsid w:val="00B37BF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BF3"/>
    <w:rPr>
      <w:rFonts w:ascii="Times New Roman" w:hAnsi="Times New Roman" w:cs="Times New Roman"/>
      <w:b/>
      <w:bCs/>
      <w:color w:val="FF0000"/>
      <w:kern w:val="0"/>
      <w:sz w:val="24"/>
      <w:szCs w:val="24"/>
      <w:lang w:val="en-GB" w:eastAsia="ar-SA"/>
    </w:rPr>
  </w:style>
  <w:style w:type="character" w:customStyle="1" w:styleId="Heading4Char">
    <w:name w:val="Heading 4 Char"/>
    <w:basedOn w:val="DefaultParagraphFont"/>
    <w:link w:val="Heading4"/>
    <w:rsid w:val="00B37BF3"/>
    <w:rPr>
      <w:rFonts w:ascii="Calibri" w:eastAsia="Times New Roman" w:hAnsi="Calibri" w:cs="Times New Roman"/>
      <w:b/>
      <w:bCs/>
      <w:kern w:val="0"/>
      <w:sz w:val="28"/>
      <w:szCs w:val="28"/>
      <w:lang w:val="it-IT" w:eastAsia="ar-SA"/>
    </w:rPr>
  </w:style>
  <w:style w:type="character" w:customStyle="1" w:styleId="WW8Num1z0">
    <w:name w:val="WW8Num1z0"/>
    <w:rsid w:val="00B37BF3"/>
    <w:rPr>
      <w:rFonts w:ascii="Symbol" w:hAnsi="Symbol" w:cs="Symbol"/>
    </w:rPr>
  </w:style>
  <w:style w:type="character" w:customStyle="1" w:styleId="WW8Num1z1">
    <w:name w:val="WW8Num1z1"/>
    <w:rsid w:val="00B37BF3"/>
  </w:style>
  <w:style w:type="character" w:customStyle="1" w:styleId="WW8Num1z2">
    <w:name w:val="WW8Num1z2"/>
    <w:rsid w:val="00B37BF3"/>
  </w:style>
  <w:style w:type="character" w:customStyle="1" w:styleId="WW8Num1z3">
    <w:name w:val="WW8Num1z3"/>
    <w:rsid w:val="00B37BF3"/>
  </w:style>
  <w:style w:type="character" w:customStyle="1" w:styleId="WW8Num1z4">
    <w:name w:val="WW8Num1z4"/>
    <w:rsid w:val="00B37BF3"/>
  </w:style>
  <w:style w:type="character" w:customStyle="1" w:styleId="WW8Num1z5">
    <w:name w:val="WW8Num1z5"/>
    <w:rsid w:val="00B37BF3"/>
  </w:style>
  <w:style w:type="character" w:customStyle="1" w:styleId="WW8Num1z6">
    <w:name w:val="WW8Num1z6"/>
    <w:rsid w:val="00B37BF3"/>
  </w:style>
  <w:style w:type="character" w:customStyle="1" w:styleId="WW8Num1z7">
    <w:name w:val="WW8Num1z7"/>
    <w:rsid w:val="00B37BF3"/>
  </w:style>
  <w:style w:type="character" w:customStyle="1" w:styleId="WW8Num1z8">
    <w:name w:val="WW8Num1z8"/>
    <w:rsid w:val="00B37BF3"/>
  </w:style>
  <w:style w:type="character" w:customStyle="1" w:styleId="Absatz-Standardschriftart">
    <w:name w:val="Absatz-Standardschriftart"/>
    <w:rsid w:val="00B37BF3"/>
  </w:style>
  <w:style w:type="character" w:customStyle="1" w:styleId="Carpredefinitoparagrafo11">
    <w:name w:val="Car. predefinito paragrafo11"/>
    <w:rsid w:val="00B37BF3"/>
  </w:style>
  <w:style w:type="character" w:customStyle="1" w:styleId="WW-Absatz-Standardschriftart">
    <w:name w:val="WW-Absatz-Standardschriftart"/>
    <w:rsid w:val="00B37BF3"/>
  </w:style>
  <w:style w:type="character" w:customStyle="1" w:styleId="Carpredefinitoparagrafo10">
    <w:name w:val="Car. predefinito paragrafo10"/>
    <w:rsid w:val="00B37BF3"/>
  </w:style>
  <w:style w:type="character" w:customStyle="1" w:styleId="Carpredefinitoparagrafo9">
    <w:name w:val="Car. predefinito paragrafo9"/>
    <w:rsid w:val="00B37BF3"/>
  </w:style>
  <w:style w:type="character" w:customStyle="1" w:styleId="Carpredefinitoparagrafo8">
    <w:name w:val="Car. predefinito paragrafo8"/>
    <w:rsid w:val="00B37BF3"/>
  </w:style>
  <w:style w:type="character" w:customStyle="1" w:styleId="WW-Absatz-Standardschriftart1">
    <w:name w:val="WW-Absatz-Standardschriftart1"/>
    <w:rsid w:val="00B37BF3"/>
  </w:style>
  <w:style w:type="character" w:customStyle="1" w:styleId="WW-Absatz-Standardschriftart11">
    <w:name w:val="WW-Absatz-Standardschriftart11"/>
    <w:rsid w:val="00B37BF3"/>
  </w:style>
  <w:style w:type="character" w:customStyle="1" w:styleId="Carpredefinitoparagrafo7">
    <w:name w:val="Car. predefinito paragrafo7"/>
    <w:rsid w:val="00B37BF3"/>
  </w:style>
  <w:style w:type="character" w:customStyle="1" w:styleId="WW-Absatz-Standardschriftart111">
    <w:name w:val="WW-Absatz-Standardschriftart111"/>
    <w:rsid w:val="00B37BF3"/>
  </w:style>
  <w:style w:type="character" w:customStyle="1" w:styleId="WW-Absatz-Standardschriftart1111">
    <w:name w:val="WW-Absatz-Standardschriftart1111"/>
    <w:rsid w:val="00B37BF3"/>
  </w:style>
  <w:style w:type="character" w:customStyle="1" w:styleId="WW-Absatz-Standardschriftart11111">
    <w:name w:val="WW-Absatz-Standardschriftart11111"/>
    <w:rsid w:val="00B37BF3"/>
  </w:style>
  <w:style w:type="character" w:customStyle="1" w:styleId="WW-Absatz-Standardschriftart111111">
    <w:name w:val="WW-Absatz-Standardschriftart111111"/>
    <w:rsid w:val="00B37BF3"/>
  </w:style>
  <w:style w:type="character" w:customStyle="1" w:styleId="WW-Absatz-Standardschriftart1111111">
    <w:name w:val="WW-Absatz-Standardschriftart1111111"/>
    <w:rsid w:val="00B37BF3"/>
  </w:style>
  <w:style w:type="character" w:customStyle="1" w:styleId="Carpredefinitoparagrafo6">
    <w:name w:val="Car. predefinito paragrafo6"/>
    <w:rsid w:val="00B37BF3"/>
  </w:style>
  <w:style w:type="character" w:customStyle="1" w:styleId="WW8Num2z0">
    <w:name w:val="WW8Num2z0"/>
    <w:rsid w:val="00B37BF3"/>
    <w:rPr>
      <w:rFonts w:ascii="Symbol" w:hAnsi="Symbol" w:cs="Symbol"/>
    </w:rPr>
  </w:style>
  <w:style w:type="character" w:customStyle="1" w:styleId="WW8Num2z1">
    <w:name w:val="WW8Num2z1"/>
    <w:rsid w:val="00B37BF3"/>
  </w:style>
  <w:style w:type="character" w:customStyle="1" w:styleId="WW8Num2z2">
    <w:name w:val="WW8Num2z2"/>
    <w:rsid w:val="00B37BF3"/>
  </w:style>
  <w:style w:type="character" w:customStyle="1" w:styleId="WW8Num2z3">
    <w:name w:val="WW8Num2z3"/>
    <w:rsid w:val="00B37BF3"/>
  </w:style>
  <w:style w:type="character" w:customStyle="1" w:styleId="WW8Num2z4">
    <w:name w:val="WW8Num2z4"/>
    <w:rsid w:val="00B37BF3"/>
  </w:style>
  <w:style w:type="character" w:customStyle="1" w:styleId="WW8Num2z5">
    <w:name w:val="WW8Num2z5"/>
    <w:rsid w:val="00B37BF3"/>
  </w:style>
  <w:style w:type="character" w:customStyle="1" w:styleId="WW8Num2z6">
    <w:name w:val="WW8Num2z6"/>
    <w:rsid w:val="00B37BF3"/>
  </w:style>
  <w:style w:type="character" w:customStyle="1" w:styleId="WW8Num2z7">
    <w:name w:val="WW8Num2z7"/>
    <w:rsid w:val="00B37BF3"/>
  </w:style>
  <w:style w:type="character" w:customStyle="1" w:styleId="WW8Num2z8">
    <w:name w:val="WW8Num2z8"/>
    <w:rsid w:val="00B37BF3"/>
  </w:style>
  <w:style w:type="character" w:customStyle="1" w:styleId="WW8Num3z0">
    <w:name w:val="WW8Num3z0"/>
    <w:rsid w:val="00B37BF3"/>
  </w:style>
  <w:style w:type="character" w:customStyle="1" w:styleId="WW8Num3z1">
    <w:name w:val="WW8Num3z1"/>
    <w:rsid w:val="00B37BF3"/>
  </w:style>
  <w:style w:type="character" w:customStyle="1" w:styleId="WW8Num3z2">
    <w:name w:val="WW8Num3z2"/>
    <w:rsid w:val="00B37BF3"/>
  </w:style>
  <w:style w:type="character" w:customStyle="1" w:styleId="WW8Num3z3">
    <w:name w:val="WW8Num3z3"/>
    <w:rsid w:val="00B37BF3"/>
  </w:style>
  <w:style w:type="character" w:customStyle="1" w:styleId="WW8Num3z4">
    <w:name w:val="WW8Num3z4"/>
    <w:rsid w:val="00B37BF3"/>
  </w:style>
  <w:style w:type="character" w:customStyle="1" w:styleId="WW8Num3z5">
    <w:name w:val="WW8Num3z5"/>
    <w:rsid w:val="00B37BF3"/>
  </w:style>
  <w:style w:type="character" w:customStyle="1" w:styleId="WW8Num3z6">
    <w:name w:val="WW8Num3z6"/>
    <w:rsid w:val="00B37BF3"/>
  </w:style>
  <w:style w:type="character" w:customStyle="1" w:styleId="WW8Num3z7">
    <w:name w:val="WW8Num3z7"/>
    <w:rsid w:val="00B37BF3"/>
  </w:style>
  <w:style w:type="character" w:customStyle="1" w:styleId="WW8Num3z8">
    <w:name w:val="WW8Num3z8"/>
    <w:rsid w:val="00B37BF3"/>
  </w:style>
  <w:style w:type="character" w:customStyle="1" w:styleId="Carpredefinitoparagrafo5">
    <w:name w:val="Car. predefinito paragrafo5"/>
    <w:rsid w:val="00B37BF3"/>
  </w:style>
  <w:style w:type="character" w:customStyle="1" w:styleId="Carpredefinitoparagrafo4">
    <w:name w:val="Car. predefinito paragrafo4"/>
    <w:rsid w:val="00B37BF3"/>
  </w:style>
  <w:style w:type="character" w:customStyle="1" w:styleId="Carpredefinitoparagrafo3">
    <w:name w:val="Car. predefinito paragrafo3"/>
    <w:rsid w:val="00B37BF3"/>
  </w:style>
  <w:style w:type="character" w:customStyle="1" w:styleId="WW-Absatz-Standardschriftart11111111">
    <w:name w:val="WW-Absatz-Standardschriftart11111111"/>
    <w:rsid w:val="00B37BF3"/>
  </w:style>
  <w:style w:type="character" w:customStyle="1" w:styleId="Carpredefinitoparagrafo2">
    <w:name w:val="Car. predefinito paragrafo2"/>
    <w:rsid w:val="00B37BF3"/>
  </w:style>
  <w:style w:type="character" w:customStyle="1" w:styleId="WW-Absatz-Standardschriftart111111111">
    <w:name w:val="WW-Absatz-Standardschriftart111111111"/>
    <w:rsid w:val="00B37BF3"/>
  </w:style>
  <w:style w:type="character" w:customStyle="1" w:styleId="Carpredefinitoparagrafo1">
    <w:name w:val="Car. predefinito paragrafo1"/>
    <w:rsid w:val="00B37BF3"/>
  </w:style>
  <w:style w:type="character" w:customStyle="1" w:styleId="Titolo1Carattere">
    <w:name w:val="Titolo 1 Carattere"/>
    <w:rsid w:val="00B37BF3"/>
    <w:rPr>
      <w:b/>
      <w:bCs/>
      <w:color w:val="FF0000"/>
      <w:sz w:val="24"/>
      <w:szCs w:val="24"/>
      <w:lang w:val="en-GB"/>
    </w:rPr>
  </w:style>
  <w:style w:type="character" w:styleId="Hyperlink">
    <w:name w:val="Hyperlink"/>
    <w:uiPriority w:val="99"/>
    <w:rsid w:val="00B37BF3"/>
    <w:rPr>
      <w:color w:val="0000FF"/>
      <w:u w:val="single"/>
    </w:rPr>
  </w:style>
  <w:style w:type="character" w:customStyle="1" w:styleId="apple-converted-space">
    <w:name w:val="apple-converted-space"/>
    <w:basedOn w:val="Carpredefinitoparagrafo1"/>
    <w:rsid w:val="00B37BF3"/>
  </w:style>
  <w:style w:type="character" w:customStyle="1" w:styleId="jrnl">
    <w:name w:val="jrnl"/>
    <w:basedOn w:val="Carpredefinitoparagrafo1"/>
    <w:rsid w:val="00B37BF3"/>
  </w:style>
  <w:style w:type="character" w:customStyle="1" w:styleId="CorpodeltestoCarattere">
    <w:name w:val="Corpo del testo Carattere"/>
    <w:rsid w:val="00B37BF3"/>
    <w:rPr>
      <w:rFonts w:ascii="Calibri" w:eastAsia="Calibri" w:hAnsi="Calibri" w:cs="Calibri"/>
      <w:sz w:val="22"/>
      <w:szCs w:val="22"/>
    </w:rPr>
  </w:style>
  <w:style w:type="character" w:customStyle="1" w:styleId="nlmarticle-title">
    <w:name w:val="nlm_article-title"/>
    <w:basedOn w:val="Carpredefinitoparagrafo1"/>
    <w:rsid w:val="00B37BF3"/>
  </w:style>
  <w:style w:type="character" w:customStyle="1" w:styleId="citationsource-journal">
    <w:name w:val="citation_source-journal"/>
    <w:basedOn w:val="Carpredefinitoparagrafo1"/>
    <w:rsid w:val="00B37BF3"/>
  </w:style>
  <w:style w:type="character" w:customStyle="1" w:styleId="nlmyear">
    <w:name w:val="nlm_year"/>
    <w:basedOn w:val="Carpredefinitoparagrafo1"/>
    <w:rsid w:val="00B37BF3"/>
  </w:style>
  <w:style w:type="character" w:customStyle="1" w:styleId="nlmfpage">
    <w:name w:val="nlm_fpage"/>
    <w:basedOn w:val="Carpredefinitoparagrafo1"/>
    <w:rsid w:val="00B37BF3"/>
  </w:style>
  <w:style w:type="character" w:customStyle="1" w:styleId="nlmlpage">
    <w:name w:val="nlm_lpage"/>
    <w:basedOn w:val="Carpredefinitoparagrafo1"/>
    <w:rsid w:val="00B37BF3"/>
  </w:style>
  <w:style w:type="character" w:customStyle="1" w:styleId="cit-source">
    <w:name w:val="cit-source"/>
    <w:basedOn w:val="Carpredefinitoparagrafo1"/>
    <w:rsid w:val="00B37BF3"/>
  </w:style>
  <w:style w:type="character" w:customStyle="1" w:styleId="cit-vol">
    <w:name w:val="cit-vol"/>
    <w:basedOn w:val="Carpredefinitoparagrafo1"/>
    <w:rsid w:val="00B37BF3"/>
  </w:style>
  <w:style w:type="character" w:customStyle="1" w:styleId="cit-fpage">
    <w:name w:val="cit-fpage"/>
    <w:basedOn w:val="Carpredefinitoparagrafo1"/>
    <w:rsid w:val="00B37BF3"/>
  </w:style>
  <w:style w:type="character" w:customStyle="1" w:styleId="cit-pub-date">
    <w:name w:val="cit-pub-date"/>
    <w:basedOn w:val="Carpredefinitoparagrafo1"/>
    <w:rsid w:val="00B37BF3"/>
  </w:style>
  <w:style w:type="character" w:customStyle="1" w:styleId="ref-journal">
    <w:name w:val="ref-journal"/>
    <w:basedOn w:val="Carpredefinitoparagrafo1"/>
    <w:rsid w:val="00B37BF3"/>
  </w:style>
  <w:style w:type="character" w:customStyle="1" w:styleId="ref-vol">
    <w:name w:val="ref-vol"/>
    <w:basedOn w:val="Carpredefinitoparagrafo1"/>
    <w:rsid w:val="00B37BF3"/>
  </w:style>
  <w:style w:type="character" w:customStyle="1" w:styleId="element-citation">
    <w:name w:val="element-citation"/>
    <w:basedOn w:val="Carpredefinitoparagrafo1"/>
    <w:rsid w:val="00B37BF3"/>
  </w:style>
  <w:style w:type="character" w:styleId="Emphasis">
    <w:name w:val="Emphasis"/>
    <w:qFormat/>
    <w:rsid w:val="00B37BF3"/>
    <w:rPr>
      <w:i/>
      <w:iCs/>
    </w:rPr>
  </w:style>
  <w:style w:type="character" w:styleId="FollowedHyperlink">
    <w:name w:val="FollowedHyperlink"/>
    <w:rsid w:val="00B37BF3"/>
    <w:rPr>
      <w:color w:val="800000"/>
      <w:u w:val="single"/>
    </w:rPr>
  </w:style>
  <w:style w:type="character" w:styleId="Strong">
    <w:name w:val="Strong"/>
    <w:qFormat/>
    <w:rsid w:val="00B37BF3"/>
    <w:rPr>
      <w:b/>
      <w:bCs/>
    </w:rPr>
  </w:style>
  <w:style w:type="character" w:customStyle="1" w:styleId="highlight">
    <w:name w:val="highlight"/>
    <w:rsid w:val="00B37BF3"/>
  </w:style>
  <w:style w:type="character" w:customStyle="1" w:styleId="Internetlink">
    <w:name w:val="Internet link"/>
    <w:rsid w:val="00B37BF3"/>
    <w:rPr>
      <w:color w:val="0000FF"/>
      <w:u w:val="single"/>
    </w:rPr>
  </w:style>
  <w:style w:type="character" w:customStyle="1" w:styleId="Caratteredinumerazione">
    <w:name w:val="Carattere di numerazione"/>
    <w:rsid w:val="00B37BF3"/>
  </w:style>
  <w:style w:type="character" w:customStyle="1" w:styleId="Titolo4Carattere">
    <w:name w:val="Titolo 4 Carattere"/>
    <w:rsid w:val="00B37BF3"/>
    <w:rPr>
      <w:rFonts w:ascii="Calibri" w:eastAsia="Times New Roman" w:hAnsi="Calibri" w:cs="Times New Roman"/>
      <w:b/>
      <w:bCs/>
      <w:sz w:val="28"/>
      <w:szCs w:val="28"/>
    </w:rPr>
  </w:style>
  <w:style w:type="character" w:customStyle="1" w:styleId="current-selection">
    <w:name w:val="current-selection"/>
    <w:rsid w:val="00B37BF3"/>
  </w:style>
  <w:style w:type="character" w:customStyle="1" w:styleId="a">
    <w:name w:val="_"/>
    <w:rsid w:val="00B37BF3"/>
  </w:style>
  <w:style w:type="paragraph" w:customStyle="1" w:styleId="Intestazione11">
    <w:name w:val="Intestazione11"/>
    <w:basedOn w:val="Normal"/>
    <w:next w:val="BodyText"/>
    <w:rsid w:val="00B37BF3"/>
    <w:pPr>
      <w:keepNext/>
      <w:spacing w:before="240" w:after="120"/>
    </w:pPr>
    <w:rPr>
      <w:rFonts w:ascii="Arial" w:eastAsia="Lucida Sans Unicode" w:hAnsi="Arial" w:cs="Tahoma"/>
      <w:sz w:val="28"/>
      <w:szCs w:val="28"/>
    </w:rPr>
  </w:style>
  <w:style w:type="paragraph" w:styleId="BodyText">
    <w:name w:val="Body Text"/>
    <w:basedOn w:val="Normal"/>
    <w:link w:val="BodyTextChar"/>
    <w:rsid w:val="00B37BF3"/>
    <w:pPr>
      <w:spacing w:after="120" w:line="276" w:lineRule="auto"/>
    </w:pPr>
    <w:rPr>
      <w:rFonts w:ascii="Calibri" w:eastAsia="Calibri" w:hAnsi="Calibri" w:cs="Calibri"/>
      <w:sz w:val="22"/>
      <w:szCs w:val="22"/>
    </w:rPr>
  </w:style>
  <w:style w:type="character" w:customStyle="1" w:styleId="BodyTextChar">
    <w:name w:val="Body Text Char"/>
    <w:basedOn w:val="DefaultParagraphFont"/>
    <w:link w:val="BodyText"/>
    <w:rsid w:val="00B37BF3"/>
    <w:rPr>
      <w:rFonts w:ascii="Calibri" w:eastAsia="Calibri" w:hAnsi="Calibri" w:cs="Calibri"/>
      <w:kern w:val="0"/>
      <w:sz w:val="22"/>
      <w:lang w:val="it-IT" w:eastAsia="ar-SA"/>
    </w:rPr>
  </w:style>
  <w:style w:type="paragraph" w:styleId="List">
    <w:name w:val="List"/>
    <w:basedOn w:val="BodyText"/>
    <w:rsid w:val="00B37BF3"/>
    <w:rPr>
      <w:rFonts w:cs="Tahoma"/>
    </w:rPr>
  </w:style>
  <w:style w:type="paragraph" w:customStyle="1" w:styleId="Didascalia11">
    <w:name w:val="Didascalia11"/>
    <w:basedOn w:val="Normal"/>
    <w:rsid w:val="00B37BF3"/>
    <w:pPr>
      <w:suppressLineNumbers/>
      <w:spacing w:before="120" w:after="120"/>
    </w:pPr>
    <w:rPr>
      <w:rFonts w:cs="Tahoma"/>
      <w:i/>
      <w:iCs/>
    </w:rPr>
  </w:style>
  <w:style w:type="paragraph" w:customStyle="1" w:styleId="Indice">
    <w:name w:val="Indice"/>
    <w:basedOn w:val="Normal"/>
    <w:rsid w:val="00B37BF3"/>
    <w:pPr>
      <w:suppressLineNumbers/>
    </w:pPr>
    <w:rPr>
      <w:rFonts w:cs="Tahoma"/>
    </w:rPr>
  </w:style>
  <w:style w:type="paragraph" w:customStyle="1" w:styleId="Intestazione10">
    <w:name w:val="Intestazione10"/>
    <w:basedOn w:val="Normal"/>
    <w:next w:val="BodyText"/>
    <w:rsid w:val="00B37BF3"/>
    <w:pPr>
      <w:keepNext/>
      <w:spacing w:before="240" w:after="120"/>
    </w:pPr>
    <w:rPr>
      <w:rFonts w:ascii="Arial" w:eastAsia="微软雅黑" w:hAnsi="Arial" w:cs="Mangal"/>
      <w:sz w:val="28"/>
      <w:szCs w:val="28"/>
    </w:rPr>
  </w:style>
  <w:style w:type="paragraph" w:customStyle="1" w:styleId="Didascalia10">
    <w:name w:val="Didascalia10"/>
    <w:basedOn w:val="Normal"/>
    <w:rsid w:val="00B37BF3"/>
    <w:pPr>
      <w:suppressLineNumbers/>
      <w:spacing w:before="120" w:after="120"/>
    </w:pPr>
    <w:rPr>
      <w:rFonts w:cs="Mangal"/>
      <w:i/>
      <w:iCs/>
    </w:rPr>
  </w:style>
  <w:style w:type="paragraph" w:customStyle="1" w:styleId="Intestazione9">
    <w:name w:val="Intestazione9"/>
    <w:basedOn w:val="Normal"/>
    <w:next w:val="BodyText"/>
    <w:rsid w:val="00B37BF3"/>
    <w:pPr>
      <w:keepNext/>
      <w:spacing w:before="240" w:after="120"/>
    </w:pPr>
    <w:rPr>
      <w:rFonts w:ascii="Arial" w:eastAsia="Lucida Sans Unicode" w:hAnsi="Arial" w:cs="Tahoma"/>
      <w:sz w:val="28"/>
      <w:szCs w:val="28"/>
    </w:rPr>
  </w:style>
  <w:style w:type="paragraph" w:customStyle="1" w:styleId="Didascalia9">
    <w:name w:val="Didascalia9"/>
    <w:basedOn w:val="Normal"/>
    <w:rsid w:val="00B37BF3"/>
    <w:pPr>
      <w:suppressLineNumbers/>
      <w:spacing w:before="120" w:after="120"/>
    </w:pPr>
    <w:rPr>
      <w:rFonts w:cs="Tahoma"/>
      <w:i/>
      <w:iCs/>
    </w:rPr>
  </w:style>
  <w:style w:type="paragraph" w:customStyle="1" w:styleId="Intestazione8">
    <w:name w:val="Intestazione8"/>
    <w:basedOn w:val="Normal"/>
    <w:next w:val="BodyText"/>
    <w:rsid w:val="00B37BF3"/>
    <w:pPr>
      <w:keepNext/>
      <w:spacing w:before="240" w:after="120"/>
    </w:pPr>
    <w:rPr>
      <w:rFonts w:ascii="Arial" w:eastAsia="Lucida Sans Unicode" w:hAnsi="Arial" w:cs="Tahoma"/>
      <w:sz w:val="28"/>
      <w:szCs w:val="28"/>
    </w:rPr>
  </w:style>
  <w:style w:type="paragraph" w:customStyle="1" w:styleId="Didascalia8">
    <w:name w:val="Didascalia8"/>
    <w:basedOn w:val="Normal"/>
    <w:rsid w:val="00B37BF3"/>
    <w:pPr>
      <w:suppressLineNumbers/>
      <w:spacing w:before="120" w:after="120"/>
    </w:pPr>
    <w:rPr>
      <w:rFonts w:cs="Tahoma"/>
      <w:i/>
      <w:iCs/>
    </w:rPr>
  </w:style>
  <w:style w:type="paragraph" w:customStyle="1" w:styleId="Intestazione7">
    <w:name w:val="Intestazione7"/>
    <w:basedOn w:val="Normal"/>
    <w:next w:val="BodyText"/>
    <w:rsid w:val="00B37BF3"/>
    <w:pPr>
      <w:keepNext/>
      <w:spacing w:before="240" w:after="120"/>
    </w:pPr>
    <w:rPr>
      <w:rFonts w:ascii="Arial" w:eastAsia="Lucida Sans Unicode" w:hAnsi="Arial" w:cs="Tahoma"/>
      <w:sz w:val="28"/>
      <w:szCs w:val="28"/>
    </w:rPr>
  </w:style>
  <w:style w:type="paragraph" w:customStyle="1" w:styleId="Didascalia7">
    <w:name w:val="Didascalia7"/>
    <w:basedOn w:val="Normal"/>
    <w:rsid w:val="00B37BF3"/>
    <w:pPr>
      <w:suppressLineNumbers/>
      <w:spacing w:before="120" w:after="120"/>
    </w:pPr>
    <w:rPr>
      <w:rFonts w:cs="Tahoma"/>
      <w:i/>
      <w:iCs/>
    </w:rPr>
  </w:style>
  <w:style w:type="paragraph" w:customStyle="1" w:styleId="Intestazione6">
    <w:name w:val="Intestazione6"/>
    <w:basedOn w:val="Normal"/>
    <w:next w:val="BodyText"/>
    <w:rsid w:val="00B37BF3"/>
    <w:pPr>
      <w:keepNext/>
      <w:spacing w:before="240" w:after="120"/>
    </w:pPr>
    <w:rPr>
      <w:rFonts w:ascii="Arial" w:eastAsia="Lucida Sans Unicode" w:hAnsi="Arial" w:cs="Tahoma"/>
      <w:sz w:val="28"/>
      <w:szCs w:val="28"/>
    </w:rPr>
  </w:style>
  <w:style w:type="paragraph" w:customStyle="1" w:styleId="Didascalia6">
    <w:name w:val="Didascalia6"/>
    <w:basedOn w:val="Normal"/>
    <w:rsid w:val="00B37BF3"/>
    <w:pPr>
      <w:suppressLineNumbers/>
      <w:spacing w:before="120" w:after="120"/>
    </w:pPr>
    <w:rPr>
      <w:rFonts w:cs="Tahoma"/>
      <w:i/>
      <w:iCs/>
    </w:rPr>
  </w:style>
  <w:style w:type="paragraph" w:customStyle="1" w:styleId="Intestazione5">
    <w:name w:val="Intestazione5"/>
    <w:basedOn w:val="Normal"/>
    <w:next w:val="BodyText"/>
    <w:rsid w:val="00B37BF3"/>
    <w:pPr>
      <w:keepNext/>
      <w:spacing w:before="240" w:after="120"/>
    </w:pPr>
    <w:rPr>
      <w:rFonts w:ascii="Arial" w:eastAsia="微软雅黑" w:hAnsi="Arial" w:cs="Mangal"/>
      <w:sz w:val="28"/>
      <w:szCs w:val="28"/>
    </w:rPr>
  </w:style>
  <w:style w:type="paragraph" w:customStyle="1" w:styleId="Didascalia5">
    <w:name w:val="Didascalia5"/>
    <w:basedOn w:val="Normal"/>
    <w:rsid w:val="00B37BF3"/>
    <w:pPr>
      <w:suppressLineNumbers/>
      <w:spacing w:before="120" w:after="120"/>
    </w:pPr>
    <w:rPr>
      <w:rFonts w:cs="Mangal"/>
      <w:i/>
      <w:iCs/>
    </w:rPr>
  </w:style>
  <w:style w:type="paragraph" w:customStyle="1" w:styleId="Intestazione4">
    <w:name w:val="Intestazione4"/>
    <w:basedOn w:val="Normal"/>
    <w:next w:val="BodyText"/>
    <w:rsid w:val="00B37BF3"/>
    <w:pPr>
      <w:keepNext/>
      <w:spacing w:before="240" w:after="120"/>
    </w:pPr>
    <w:rPr>
      <w:rFonts w:ascii="Arial" w:eastAsia="微软雅黑" w:hAnsi="Arial" w:cs="Mangal"/>
      <w:sz w:val="28"/>
      <w:szCs w:val="28"/>
    </w:rPr>
  </w:style>
  <w:style w:type="paragraph" w:customStyle="1" w:styleId="Didascalia4">
    <w:name w:val="Didascalia4"/>
    <w:basedOn w:val="Normal"/>
    <w:rsid w:val="00B37BF3"/>
    <w:pPr>
      <w:suppressLineNumbers/>
      <w:spacing w:before="120" w:after="120"/>
    </w:pPr>
    <w:rPr>
      <w:rFonts w:cs="Mangal"/>
      <w:i/>
      <w:iCs/>
    </w:rPr>
  </w:style>
  <w:style w:type="paragraph" w:customStyle="1" w:styleId="Intestazione3">
    <w:name w:val="Intestazione3"/>
    <w:basedOn w:val="Normal"/>
    <w:next w:val="BodyText"/>
    <w:rsid w:val="00B37BF3"/>
    <w:pPr>
      <w:keepNext/>
      <w:spacing w:before="240" w:after="120"/>
    </w:pPr>
    <w:rPr>
      <w:rFonts w:ascii="Arial" w:eastAsia="微软雅黑" w:hAnsi="Arial" w:cs="Mangal"/>
      <w:sz w:val="28"/>
      <w:szCs w:val="28"/>
    </w:rPr>
  </w:style>
  <w:style w:type="paragraph" w:customStyle="1" w:styleId="Didascalia3">
    <w:name w:val="Didascalia3"/>
    <w:basedOn w:val="Normal"/>
    <w:rsid w:val="00B37BF3"/>
    <w:pPr>
      <w:suppressLineNumbers/>
      <w:spacing w:before="120" w:after="120"/>
    </w:pPr>
    <w:rPr>
      <w:rFonts w:cs="Mangal"/>
      <w:i/>
      <w:iCs/>
    </w:rPr>
  </w:style>
  <w:style w:type="paragraph" w:customStyle="1" w:styleId="Intestazione2">
    <w:name w:val="Intestazione2"/>
    <w:basedOn w:val="Normal"/>
    <w:next w:val="BodyText"/>
    <w:rsid w:val="00B37BF3"/>
    <w:pPr>
      <w:keepNext/>
      <w:spacing w:before="240" w:after="120"/>
    </w:pPr>
    <w:rPr>
      <w:rFonts w:ascii="Arial" w:eastAsia="Lucida Sans Unicode" w:hAnsi="Arial" w:cs="Tahoma"/>
      <w:sz w:val="28"/>
      <w:szCs w:val="28"/>
    </w:rPr>
  </w:style>
  <w:style w:type="paragraph" w:customStyle="1" w:styleId="Didascalia2">
    <w:name w:val="Didascalia2"/>
    <w:basedOn w:val="Normal"/>
    <w:rsid w:val="00B37BF3"/>
    <w:pPr>
      <w:suppressLineNumbers/>
      <w:spacing w:before="120" w:after="120"/>
    </w:pPr>
    <w:rPr>
      <w:rFonts w:cs="Tahoma"/>
      <w:i/>
      <w:iCs/>
    </w:rPr>
  </w:style>
  <w:style w:type="paragraph" w:customStyle="1" w:styleId="Intestazione1">
    <w:name w:val="Intestazione1"/>
    <w:basedOn w:val="Normal"/>
    <w:next w:val="BodyText"/>
    <w:rsid w:val="00B37BF3"/>
    <w:pPr>
      <w:keepNext/>
      <w:spacing w:before="240" w:after="120"/>
    </w:pPr>
    <w:rPr>
      <w:rFonts w:ascii="Arial" w:eastAsia="Lucida Sans Unicode" w:hAnsi="Arial" w:cs="Tahoma"/>
      <w:sz w:val="28"/>
      <w:szCs w:val="28"/>
    </w:rPr>
  </w:style>
  <w:style w:type="paragraph" w:customStyle="1" w:styleId="Didascalia1">
    <w:name w:val="Didascalia1"/>
    <w:basedOn w:val="Normal"/>
    <w:rsid w:val="00B37BF3"/>
    <w:pPr>
      <w:suppressLineNumbers/>
      <w:spacing w:before="120" w:after="120"/>
    </w:pPr>
    <w:rPr>
      <w:rFonts w:cs="Tahoma"/>
      <w:i/>
      <w:iCs/>
    </w:rPr>
  </w:style>
  <w:style w:type="paragraph" w:customStyle="1" w:styleId="ListeParagraf">
    <w:name w:val="Liste Paragraf"/>
    <w:basedOn w:val="Normal"/>
    <w:rsid w:val="00B37BF3"/>
    <w:pPr>
      <w:spacing w:after="200" w:line="276" w:lineRule="auto"/>
      <w:ind w:left="720"/>
    </w:pPr>
    <w:rPr>
      <w:rFonts w:ascii="Calibri" w:eastAsia="Calibri" w:hAnsi="Calibri" w:cs="Calibri"/>
      <w:sz w:val="22"/>
      <w:szCs w:val="22"/>
      <w:lang w:val="en-GB"/>
    </w:rPr>
  </w:style>
  <w:style w:type="paragraph" w:customStyle="1" w:styleId="Titolo1">
    <w:name w:val="Titolo1"/>
    <w:basedOn w:val="Normal"/>
    <w:rsid w:val="00B37BF3"/>
    <w:pPr>
      <w:spacing w:before="280" w:after="280"/>
    </w:pPr>
    <w:rPr>
      <w:rFonts w:cs="Calibri"/>
    </w:rPr>
  </w:style>
  <w:style w:type="paragraph" w:customStyle="1" w:styleId="desc">
    <w:name w:val="desc"/>
    <w:basedOn w:val="Normal"/>
    <w:rsid w:val="00B37BF3"/>
    <w:pPr>
      <w:spacing w:before="280" w:after="280"/>
    </w:pPr>
    <w:rPr>
      <w:rFonts w:cs="Calibri"/>
    </w:rPr>
  </w:style>
  <w:style w:type="paragraph" w:customStyle="1" w:styleId="title1">
    <w:name w:val="title1"/>
    <w:basedOn w:val="Normal"/>
    <w:rsid w:val="00B37BF3"/>
    <w:rPr>
      <w:rFonts w:cs="Calibri"/>
      <w:sz w:val="27"/>
      <w:szCs w:val="27"/>
    </w:rPr>
  </w:style>
  <w:style w:type="paragraph" w:customStyle="1" w:styleId="Textbody">
    <w:name w:val="Text body"/>
    <w:basedOn w:val="Normal"/>
    <w:rsid w:val="00B37BF3"/>
    <w:pPr>
      <w:widowControl w:val="0"/>
      <w:spacing w:after="120"/>
      <w:textAlignment w:val="baseline"/>
    </w:pPr>
    <w:rPr>
      <w:rFonts w:eastAsia="Lucida Sans Unicode" w:cs="Tahoma"/>
      <w:kern w:val="1"/>
    </w:rPr>
  </w:style>
  <w:style w:type="paragraph" w:customStyle="1" w:styleId="WW-Standard">
    <w:name w:val="WW-Standard"/>
    <w:rsid w:val="00B37BF3"/>
    <w:pPr>
      <w:widowControl w:val="0"/>
      <w:suppressAutoHyphens/>
      <w:spacing w:line="240" w:lineRule="auto"/>
      <w:jc w:val="left"/>
      <w:textAlignment w:val="baseline"/>
    </w:pPr>
    <w:rPr>
      <w:rFonts w:ascii="Times New Roman" w:eastAsia="Lucida Sans Unicode" w:hAnsi="Times New Roman" w:cs="Tahoma"/>
      <w:kern w:val="1"/>
      <w:sz w:val="24"/>
      <w:szCs w:val="24"/>
      <w:lang w:val="it-IT" w:eastAsia="ar-SA"/>
    </w:rPr>
  </w:style>
  <w:style w:type="paragraph" w:styleId="NormalWeb">
    <w:name w:val="Normal (Web)"/>
    <w:basedOn w:val="Normal"/>
    <w:uiPriority w:val="99"/>
    <w:rsid w:val="00B37BF3"/>
    <w:pPr>
      <w:suppressAutoHyphens w:val="0"/>
      <w:spacing w:before="280" w:after="119"/>
    </w:pPr>
  </w:style>
  <w:style w:type="paragraph" w:customStyle="1" w:styleId="details">
    <w:name w:val="details"/>
    <w:basedOn w:val="Normal"/>
    <w:rsid w:val="00B37BF3"/>
    <w:pPr>
      <w:suppressAutoHyphens w:val="0"/>
      <w:spacing w:before="280" w:after="280"/>
    </w:pPr>
  </w:style>
  <w:style w:type="paragraph" w:customStyle="1" w:styleId="Default">
    <w:name w:val="Default"/>
    <w:rsid w:val="00B37BF3"/>
    <w:pPr>
      <w:suppressAutoHyphens/>
      <w:autoSpaceDE w:val="0"/>
      <w:spacing w:line="240" w:lineRule="auto"/>
      <w:jc w:val="left"/>
    </w:pPr>
    <w:rPr>
      <w:rFonts w:ascii="ITC Franklin Gothic Std Bk Cd" w:eastAsia="Arial" w:hAnsi="ITC Franklin Gothic Std Bk Cd" w:cs="ITC Franklin Gothic Std Bk Cd"/>
      <w:color w:val="000000"/>
      <w:kern w:val="0"/>
      <w:sz w:val="24"/>
      <w:szCs w:val="24"/>
      <w:lang w:val="it-IT" w:eastAsia="ar-SA"/>
    </w:rPr>
  </w:style>
  <w:style w:type="paragraph" w:customStyle="1" w:styleId="Contenutotabella">
    <w:name w:val="Contenuto tabella"/>
    <w:basedOn w:val="Normal"/>
    <w:rsid w:val="00B37BF3"/>
    <w:pPr>
      <w:suppressLineNumbers/>
    </w:pPr>
  </w:style>
  <w:style w:type="paragraph" w:customStyle="1" w:styleId="Intestazionetabella">
    <w:name w:val="Intestazione tabella"/>
    <w:basedOn w:val="Contenutotabella"/>
    <w:rsid w:val="00B37BF3"/>
    <w:pPr>
      <w:jc w:val="center"/>
    </w:pPr>
    <w:rPr>
      <w:b/>
      <w:bCs/>
    </w:rPr>
  </w:style>
  <w:style w:type="paragraph" w:customStyle="1" w:styleId="Intestazioneelenco">
    <w:name w:val="Intestazione elenco"/>
    <w:basedOn w:val="Normal"/>
    <w:next w:val="Contenutoelenco"/>
    <w:rsid w:val="00B37BF3"/>
  </w:style>
  <w:style w:type="paragraph" w:customStyle="1" w:styleId="Contenutoelenco">
    <w:name w:val="Contenuto elenco"/>
    <w:basedOn w:val="Normal"/>
    <w:rsid w:val="00B37BF3"/>
    <w:pPr>
      <w:ind w:left="567"/>
    </w:pPr>
  </w:style>
  <w:style w:type="table" w:customStyle="1" w:styleId="Sfondochiaro1">
    <w:name w:val="Sfondo chiaro1"/>
    <w:basedOn w:val="TableNormal"/>
    <w:uiPriority w:val="60"/>
    <w:rsid w:val="00B37BF3"/>
    <w:pPr>
      <w:spacing w:line="240" w:lineRule="auto"/>
      <w:jc w:val="left"/>
    </w:pPr>
    <w:rPr>
      <w:rFonts w:ascii="Times New Roman" w:hAnsi="Times New Roman"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B37BF3"/>
    <w:pPr>
      <w:tabs>
        <w:tab w:val="center" w:pos="4819"/>
        <w:tab w:val="right" w:pos="9638"/>
      </w:tabs>
    </w:pPr>
    <w:rPr>
      <w:lang w:val="x-none"/>
    </w:rPr>
  </w:style>
  <w:style w:type="character" w:customStyle="1" w:styleId="HeaderChar">
    <w:name w:val="Header Char"/>
    <w:basedOn w:val="DefaultParagraphFont"/>
    <w:link w:val="Header"/>
    <w:uiPriority w:val="99"/>
    <w:rsid w:val="00B37BF3"/>
    <w:rPr>
      <w:rFonts w:ascii="Times New Roman" w:hAnsi="Times New Roman" w:cs="Times New Roman"/>
      <w:kern w:val="0"/>
      <w:sz w:val="24"/>
      <w:szCs w:val="24"/>
      <w:lang w:val="x-none" w:eastAsia="ar-SA"/>
    </w:rPr>
  </w:style>
  <w:style w:type="paragraph" w:styleId="Footer">
    <w:name w:val="footer"/>
    <w:basedOn w:val="Normal"/>
    <w:link w:val="FooterChar"/>
    <w:uiPriority w:val="99"/>
    <w:unhideWhenUsed/>
    <w:rsid w:val="00B37BF3"/>
    <w:pPr>
      <w:tabs>
        <w:tab w:val="center" w:pos="4819"/>
        <w:tab w:val="right" w:pos="9638"/>
      </w:tabs>
    </w:pPr>
    <w:rPr>
      <w:lang w:val="x-none"/>
    </w:rPr>
  </w:style>
  <w:style w:type="character" w:customStyle="1" w:styleId="FooterChar">
    <w:name w:val="Footer Char"/>
    <w:basedOn w:val="DefaultParagraphFont"/>
    <w:link w:val="Footer"/>
    <w:uiPriority w:val="99"/>
    <w:rsid w:val="00B37BF3"/>
    <w:rPr>
      <w:rFonts w:ascii="Times New Roman" w:hAnsi="Times New Roman" w:cs="Times New Roman"/>
      <w:kern w:val="0"/>
      <w:sz w:val="24"/>
      <w:szCs w:val="24"/>
      <w:lang w:val="x-none" w:eastAsia="ar-SA"/>
    </w:rPr>
  </w:style>
  <w:style w:type="paragraph" w:styleId="BalloonText">
    <w:name w:val="Balloon Text"/>
    <w:basedOn w:val="Normal"/>
    <w:link w:val="BalloonTextChar"/>
    <w:uiPriority w:val="99"/>
    <w:semiHidden/>
    <w:unhideWhenUsed/>
    <w:rsid w:val="00B37B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BF3"/>
    <w:rPr>
      <w:rFonts w:ascii="Lucida Grande" w:hAnsi="Lucida Grande" w:cs="Lucida Grande"/>
      <w:kern w:val="0"/>
      <w:sz w:val="18"/>
      <w:szCs w:val="18"/>
      <w:lang w:val="it-IT" w:eastAsia="ar-SA"/>
    </w:rPr>
  </w:style>
  <w:style w:type="character" w:styleId="CommentReference">
    <w:name w:val="annotation reference"/>
    <w:uiPriority w:val="99"/>
    <w:semiHidden/>
    <w:unhideWhenUsed/>
    <w:rsid w:val="00B37BF3"/>
    <w:rPr>
      <w:sz w:val="18"/>
      <w:szCs w:val="18"/>
    </w:rPr>
  </w:style>
  <w:style w:type="paragraph" w:styleId="CommentText">
    <w:name w:val="annotation text"/>
    <w:basedOn w:val="Normal"/>
    <w:link w:val="CommentTextChar"/>
    <w:uiPriority w:val="99"/>
    <w:semiHidden/>
    <w:unhideWhenUsed/>
    <w:rsid w:val="00B37BF3"/>
  </w:style>
  <w:style w:type="character" w:customStyle="1" w:styleId="CommentTextChar">
    <w:name w:val="Comment Text Char"/>
    <w:basedOn w:val="DefaultParagraphFont"/>
    <w:link w:val="CommentText"/>
    <w:uiPriority w:val="99"/>
    <w:semiHidden/>
    <w:rsid w:val="00B37BF3"/>
    <w:rPr>
      <w:rFonts w:ascii="Times New Roman" w:hAnsi="Times New Roman" w:cs="Times New Roman"/>
      <w:kern w:val="0"/>
      <w:sz w:val="24"/>
      <w:szCs w:val="24"/>
      <w:lang w:val="it-IT" w:eastAsia="ar-SA"/>
    </w:rPr>
  </w:style>
  <w:style w:type="paragraph" w:styleId="CommentSubject">
    <w:name w:val="annotation subject"/>
    <w:basedOn w:val="CommentText"/>
    <w:next w:val="CommentText"/>
    <w:link w:val="CommentSubjectChar"/>
    <w:uiPriority w:val="99"/>
    <w:semiHidden/>
    <w:unhideWhenUsed/>
    <w:rsid w:val="00B37BF3"/>
    <w:rPr>
      <w:b/>
      <w:bCs/>
      <w:sz w:val="20"/>
      <w:szCs w:val="20"/>
    </w:rPr>
  </w:style>
  <w:style w:type="character" w:customStyle="1" w:styleId="CommentSubjectChar">
    <w:name w:val="Comment Subject Char"/>
    <w:basedOn w:val="CommentTextChar"/>
    <w:link w:val="CommentSubject"/>
    <w:uiPriority w:val="99"/>
    <w:semiHidden/>
    <w:rsid w:val="00B37BF3"/>
    <w:rPr>
      <w:rFonts w:ascii="Times New Roman" w:hAnsi="Times New Roman" w:cs="Times New Roman"/>
      <w:b/>
      <w:bCs/>
      <w:kern w:val="0"/>
      <w:sz w:val="20"/>
      <w:szCs w:val="20"/>
      <w:lang w:val="it-IT" w:eastAsia="ar-SA"/>
    </w:rPr>
  </w:style>
  <w:style w:type="paragraph" w:styleId="Revision">
    <w:name w:val="Revision"/>
    <w:hidden/>
    <w:uiPriority w:val="99"/>
    <w:semiHidden/>
    <w:rsid w:val="00837352"/>
    <w:pPr>
      <w:spacing w:line="240" w:lineRule="auto"/>
      <w:jc w:val="left"/>
    </w:pPr>
    <w:rPr>
      <w:rFonts w:ascii="Times New Roman" w:hAnsi="Times New Roman" w:cs="Times New Roman"/>
      <w:kern w:val="0"/>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60898">
      <w:bodyDiv w:val="1"/>
      <w:marLeft w:val="0"/>
      <w:marRight w:val="0"/>
      <w:marTop w:val="0"/>
      <w:marBottom w:val="0"/>
      <w:divBdr>
        <w:top w:val="none" w:sz="0" w:space="0" w:color="auto"/>
        <w:left w:val="none" w:sz="0" w:space="0" w:color="auto"/>
        <w:bottom w:val="none" w:sz="0" w:space="0" w:color="auto"/>
        <w:right w:val="none" w:sz="0" w:space="0" w:color="auto"/>
      </w:divBdr>
      <w:divsChild>
        <w:div w:id="1280532160">
          <w:marLeft w:val="0"/>
          <w:marRight w:val="0"/>
          <w:marTop w:val="0"/>
          <w:marBottom w:val="0"/>
          <w:divBdr>
            <w:top w:val="none" w:sz="0" w:space="0" w:color="auto"/>
            <w:left w:val="none" w:sz="0" w:space="0" w:color="auto"/>
            <w:bottom w:val="none" w:sz="0" w:space="0" w:color="auto"/>
            <w:right w:val="none" w:sz="0" w:space="0" w:color="auto"/>
          </w:divBdr>
          <w:divsChild>
            <w:div w:id="1419014262">
              <w:marLeft w:val="0"/>
              <w:marRight w:val="0"/>
              <w:marTop w:val="0"/>
              <w:marBottom w:val="0"/>
              <w:divBdr>
                <w:top w:val="none" w:sz="0" w:space="0" w:color="auto"/>
                <w:left w:val="none" w:sz="0" w:space="0" w:color="auto"/>
                <w:bottom w:val="none" w:sz="0" w:space="0" w:color="auto"/>
                <w:right w:val="none" w:sz="0" w:space="0" w:color="auto"/>
              </w:divBdr>
            </w:div>
            <w:div w:id="391199085">
              <w:marLeft w:val="0"/>
              <w:marRight w:val="0"/>
              <w:marTop w:val="0"/>
              <w:marBottom w:val="0"/>
              <w:divBdr>
                <w:top w:val="none" w:sz="0" w:space="0" w:color="auto"/>
                <w:left w:val="none" w:sz="0" w:space="0" w:color="auto"/>
                <w:bottom w:val="none" w:sz="0" w:space="0" w:color="auto"/>
                <w:right w:val="none" w:sz="0" w:space="0" w:color="auto"/>
              </w:divBdr>
            </w:div>
            <w:div w:id="766510903">
              <w:marLeft w:val="0"/>
              <w:marRight w:val="0"/>
              <w:marTop w:val="0"/>
              <w:marBottom w:val="0"/>
              <w:divBdr>
                <w:top w:val="none" w:sz="0" w:space="0" w:color="auto"/>
                <w:left w:val="none" w:sz="0" w:space="0" w:color="auto"/>
                <w:bottom w:val="none" w:sz="0" w:space="0" w:color="auto"/>
                <w:right w:val="none" w:sz="0" w:space="0" w:color="auto"/>
              </w:divBdr>
            </w:div>
            <w:div w:id="1571884703">
              <w:marLeft w:val="0"/>
              <w:marRight w:val="0"/>
              <w:marTop w:val="0"/>
              <w:marBottom w:val="0"/>
              <w:divBdr>
                <w:top w:val="none" w:sz="0" w:space="0" w:color="auto"/>
                <w:left w:val="none" w:sz="0" w:space="0" w:color="auto"/>
                <w:bottom w:val="none" w:sz="0" w:space="0" w:color="auto"/>
                <w:right w:val="none" w:sz="0" w:space="0" w:color="auto"/>
              </w:divBdr>
            </w:div>
            <w:div w:id="2000621096">
              <w:marLeft w:val="0"/>
              <w:marRight w:val="0"/>
              <w:marTop w:val="0"/>
              <w:marBottom w:val="0"/>
              <w:divBdr>
                <w:top w:val="none" w:sz="0" w:space="0" w:color="auto"/>
                <w:left w:val="none" w:sz="0" w:space="0" w:color="auto"/>
                <w:bottom w:val="none" w:sz="0" w:space="0" w:color="auto"/>
                <w:right w:val="none" w:sz="0" w:space="0" w:color="auto"/>
              </w:divBdr>
            </w:div>
            <w:div w:id="743838646">
              <w:marLeft w:val="0"/>
              <w:marRight w:val="0"/>
              <w:marTop w:val="0"/>
              <w:marBottom w:val="0"/>
              <w:divBdr>
                <w:top w:val="none" w:sz="0" w:space="0" w:color="auto"/>
                <w:left w:val="none" w:sz="0" w:space="0" w:color="auto"/>
                <w:bottom w:val="none" w:sz="0" w:space="0" w:color="auto"/>
                <w:right w:val="none" w:sz="0" w:space="0" w:color="auto"/>
              </w:divBdr>
            </w:div>
            <w:div w:id="902790781">
              <w:marLeft w:val="0"/>
              <w:marRight w:val="0"/>
              <w:marTop w:val="0"/>
              <w:marBottom w:val="0"/>
              <w:divBdr>
                <w:top w:val="none" w:sz="0" w:space="0" w:color="auto"/>
                <w:left w:val="none" w:sz="0" w:space="0" w:color="auto"/>
                <w:bottom w:val="none" w:sz="0" w:space="0" w:color="auto"/>
                <w:right w:val="none" w:sz="0" w:space="0" w:color="auto"/>
              </w:divBdr>
            </w:div>
            <w:div w:id="1105152165">
              <w:marLeft w:val="0"/>
              <w:marRight w:val="0"/>
              <w:marTop w:val="0"/>
              <w:marBottom w:val="0"/>
              <w:divBdr>
                <w:top w:val="none" w:sz="0" w:space="0" w:color="auto"/>
                <w:left w:val="none" w:sz="0" w:space="0" w:color="auto"/>
                <w:bottom w:val="none" w:sz="0" w:space="0" w:color="auto"/>
                <w:right w:val="none" w:sz="0" w:space="0" w:color="auto"/>
              </w:divBdr>
            </w:div>
            <w:div w:id="152307295">
              <w:marLeft w:val="0"/>
              <w:marRight w:val="0"/>
              <w:marTop w:val="0"/>
              <w:marBottom w:val="0"/>
              <w:divBdr>
                <w:top w:val="none" w:sz="0" w:space="0" w:color="auto"/>
                <w:left w:val="none" w:sz="0" w:space="0" w:color="auto"/>
                <w:bottom w:val="none" w:sz="0" w:space="0" w:color="auto"/>
                <w:right w:val="none" w:sz="0" w:space="0" w:color="auto"/>
              </w:divBdr>
            </w:div>
            <w:div w:id="94135323">
              <w:marLeft w:val="0"/>
              <w:marRight w:val="0"/>
              <w:marTop w:val="0"/>
              <w:marBottom w:val="0"/>
              <w:divBdr>
                <w:top w:val="none" w:sz="0" w:space="0" w:color="auto"/>
                <w:left w:val="none" w:sz="0" w:space="0" w:color="auto"/>
                <w:bottom w:val="none" w:sz="0" w:space="0" w:color="auto"/>
                <w:right w:val="none" w:sz="0" w:space="0" w:color="auto"/>
              </w:divBdr>
            </w:div>
            <w:div w:id="2044398543">
              <w:marLeft w:val="0"/>
              <w:marRight w:val="0"/>
              <w:marTop w:val="0"/>
              <w:marBottom w:val="0"/>
              <w:divBdr>
                <w:top w:val="none" w:sz="0" w:space="0" w:color="auto"/>
                <w:left w:val="none" w:sz="0" w:space="0" w:color="auto"/>
                <w:bottom w:val="none" w:sz="0" w:space="0" w:color="auto"/>
                <w:right w:val="none" w:sz="0" w:space="0" w:color="auto"/>
              </w:divBdr>
            </w:div>
            <w:div w:id="2137672562">
              <w:marLeft w:val="0"/>
              <w:marRight w:val="0"/>
              <w:marTop w:val="0"/>
              <w:marBottom w:val="0"/>
              <w:divBdr>
                <w:top w:val="none" w:sz="0" w:space="0" w:color="auto"/>
                <w:left w:val="none" w:sz="0" w:space="0" w:color="auto"/>
                <w:bottom w:val="none" w:sz="0" w:space="0" w:color="auto"/>
                <w:right w:val="none" w:sz="0" w:space="0" w:color="auto"/>
              </w:divBdr>
            </w:div>
            <w:div w:id="1899121398">
              <w:marLeft w:val="0"/>
              <w:marRight w:val="0"/>
              <w:marTop w:val="0"/>
              <w:marBottom w:val="0"/>
              <w:divBdr>
                <w:top w:val="none" w:sz="0" w:space="0" w:color="auto"/>
                <w:left w:val="none" w:sz="0" w:space="0" w:color="auto"/>
                <w:bottom w:val="none" w:sz="0" w:space="0" w:color="auto"/>
                <w:right w:val="none" w:sz="0" w:space="0" w:color="auto"/>
              </w:divBdr>
            </w:div>
            <w:div w:id="1738088948">
              <w:marLeft w:val="0"/>
              <w:marRight w:val="0"/>
              <w:marTop w:val="0"/>
              <w:marBottom w:val="0"/>
              <w:divBdr>
                <w:top w:val="none" w:sz="0" w:space="0" w:color="auto"/>
                <w:left w:val="none" w:sz="0" w:space="0" w:color="auto"/>
                <w:bottom w:val="none" w:sz="0" w:space="0" w:color="auto"/>
                <w:right w:val="none" w:sz="0" w:space="0" w:color="auto"/>
              </w:divBdr>
            </w:div>
            <w:div w:id="374236345">
              <w:marLeft w:val="0"/>
              <w:marRight w:val="0"/>
              <w:marTop w:val="0"/>
              <w:marBottom w:val="0"/>
              <w:divBdr>
                <w:top w:val="none" w:sz="0" w:space="0" w:color="auto"/>
                <w:left w:val="none" w:sz="0" w:space="0" w:color="auto"/>
                <w:bottom w:val="none" w:sz="0" w:space="0" w:color="auto"/>
                <w:right w:val="none" w:sz="0" w:space="0" w:color="auto"/>
              </w:divBdr>
            </w:div>
            <w:div w:id="606473538">
              <w:marLeft w:val="0"/>
              <w:marRight w:val="0"/>
              <w:marTop w:val="0"/>
              <w:marBottom w:val="0"/>
              <w:divBdr>
                <w:top w:val="none" w:sz="0" w:space="0" w:color="auto"/>
                <w:left w:val="none" w:sz="0" w:space="0" w:color="auto"/>
                <w:bottom w:val="none" w:sz="0" w:space="0" w:color="auto"/>
                <w:right w:val="none" w:sz="0" w:space="0" w:color="auto"/>
              </w:divBdr>
            </w:div>
            <w:div w:id="529536716">
              <w:marLeft w:val="0"/>
              <w:marRight w:val="0"/>
              <w:marTop w:val="0"/>
              <w:marBottom w:val="0"/>
              <w:divBdr>
                <w:top w:val="none" w:sz="0" w:space="0" w:color="auto"/>
                <w:left w:val="none" w:sz="0" w:space="0" w:color="auto"/>
                <w:bottom w:val="none" w:sz="0" w:space="0" w:color="auto"/>
                <w:right w:val="none" w:sz="0" w:space="0" w:color="auto"/>
              </w:divBdr>
            </w:div>
            <w:div w:id="487550368">
              <w:marLeft w:val="0"/>
              <w:marRight w:val="0"/>
              <w:marTop w:val="0"/>
              <w:marBottom w:val="0"/>
              <w:divBdr>
                <w:top w:val="none" w:sz="0" w:space="0" w:color="auto"/>
                <w:left w:val="none" w:sz="0" w:space="0" w:color="auto"/>
                <w:bottom w:val="none" w:sz="0" w:space="0" w:color="auto"/>
                <w:right w:val="none" w:sz="0" w:space="0" w:color="auto"/>
              </w:divBdr>
            </w:div>
            <w:div w:id="1096710191">
              <w:marLeft w:val="0"/>
              <w:marRight w:val="0"/>
              <w:marTop w:val="0"/>
              <w:marBottom w:val="0"/>
              <w:divBdr>
                <w:top w:val="none" w:sz="0" w:space="0" w:color="auto"/>
                <w:left w:val="none" w:sz="0" w:space="0" w:color="auto"/>
                <w:bottom w:val="none" w:sz="0" w:space="0" w:color="auto"/>
                <w:right w:val="none" w:sz="0" w:space="0" w:color="auto"/>
              </w:divBdr>
            </w:div>
            <w:div w:id="1144737872">
              <w:marLeft w:val="0"/>
              <w:marRight w:val="0"/>
              <w:marTop w:val="0"/>
              <w:marBottom w:val="0"/>
              <w:divBdr>
                <w:top w:val="none" w:sz="0" w:space="0" w:color="auto"/>
                <w:left w:val="none" w:sz="0" w:space="0" w:color="auto"/>
                <w:bottom w:val="none" w:sz="0" w:space="0" w:color="auto"/>
                <w:right w:val="none" w:sz="0" w:space="0" w:color="auto"/>
              </w:divBdr>
            </w:div>
            <w:div w:id="914507710">
              <w:marLeft w:val="0"/>
              <w:marRight w:val="0"/>
              <w:marTop w:val="0"/>
              <w:marBottom w:val="0"/>
              <w:divBdr>
                <w:top w:val="none" w:sz="0" w:space="0" w:color="auto"/>
                <w:left w:val="none" w:sz="0" w:space="0" w:color="auto"/>
                <w:bottom w:val="none" w:sz="0" w:space="0" w:color="auto"/>
                <w:right w:val="none" w:sz="0" w:space="0" w:color="auto"/>
              </w:divBdr>
            </w:div>
            <w:div w:id="1317952998">
              <w:marLeft w:val="0"/>
              <w:marRight w:val="0"/>
              <w:marTop w:val="0"/>
              <w:marBottom w:val="0"/>
              <w:divBdr>
                <w:top w:val="none" w:sz="0" w:space="0" w:color="auto"/>
                <w:left w:val="none" w:sz="0" w:space="0" w:color="auto"/>
                <w:bottom w:val="none" w:sz="0" w:space="0" w:color="auto"/>
                <w:right w:val="none" w:sz="0" w:space="0" w:color="auto"/>
              </w:divBdr>
            </w:div>
            <w:div w:id="1566183749">
              <w:marLeft w:val="0"/>
              <w:marRight w:val="0"/>
              <w:marTop w:val="0"/>
              <w:marBottom w:val="0"/>
              <w:divBdr>
                <w:top w:val="none" w:sz="0" w:space="0" w:color="auto"/>
                <w:left w:val="none" w:sz="0" w:space="0" w:color="auto"/>
                <w:bottom w:val="none" w:sz="0" w:space="0" w:color="auto"/>
                <w:right w:val="none" w:sz="0" w:space="0" w:color="auto"/>
              </w:divBdr>
            </w:div>
            <w:div w:id="222720551">
              <w:marLeft w:val="0"/>
              <w:marRight w:val="0"/>
              <w:marTop w:val="0"/>
              <w:marBottom w:val="0"/>
              <w:divBdr>
                <w:top w:val="none" w:sz="0" w:space="0" w:color="auto"/>
                <w:left w:val="none" w:sz="0" w:space="0" w:color="auto"/>
                <w:bottom w:val="none" w:sz="0" w:space="0" w:color="auto"/>
                <w:right w:val="none" w:sz="0" w:space="0" w:color="auto"/>
              </w:divBdr>
            </w:div>
            <w:div w:id="2120251772">
              <w:marLeft w:val="0"/>
              <w:marRight w:val="0"/>
              <w:marTop w:val="0"/>
              <w:marBottom w:val="0"/>
              <w:divBdr>
                <w:top w:val="none" w:sz="0" w:space="0" w:color="auto"/>
                <w:left w:val="none" w:sz="0" w:space="0" w:color="auto"/>
                <w:bottom w:val="none" w:sz="0" w:space="0" w:color="auto"/>
                <w:right w:val="none" w:sz="0" w:space="0" w:color="auto"/>
              </w:divBdr>
            </w:div>
            <w:div w:id="674259457">
              <w:marLeft w:val="0"/>
              <w:marRight w:val="0"/>
              <w:marTop w:val="0"/>
              <w:marBottom w:val="0"/>
              <w:divBdr>
                <w:top w:val="none" w:sz="0" w:space="0" w:color="auto"/>
                <w:left w:val="none" w:sz="0" w:space="0" w:color="auto"/>
                <w:bottom w:val="none" w:sz="0" w:space="0" w:color="auto"/>
                <w:right w:val="none" w:sz="0" w:space="0" w:color="auto"/>
              </w:divBdr>
            </w:div>
            <w:div w:id="1689868343">
              <w:marLeft w:val="0"/>
              <w:marRight w:val="0"/>
              <w:marTop w:val="0"/>
              <w:marBottom w:val="0"/>
              <w:divBdr>
                <w:top w:val="none" w:sz="0" w:space="0" w:color="auto"/>
                <w:left w:val="none" w:sz="0" w:space="0" w:color="auto"/>
                <w:bottom w:val="none" w:sz="0" w:space="0" w:color="auto"/>
                <w:right w:val="none" w:sz="0" w:space="0" w:color="auto"/>
              </w:divBdr>
            </w:div>
            <w:div w:id="1380936733">
              <w:marLeft w:val="0"/>
              <w:marRight w:val="0"/>
              <w:marTop w:val="0"/>
              <w:marBottom w:val="0"/>
              <w:divBdr>
                <w:top w:val="none" w:sz="0" w:space="0" w:color="auto"/>
                <w:left w:val="none" w:sz="0" w:space="0" w:color="auto"/>
                <w:bottom w:val="none" w:sz="0" w:space="0" w:color="auto"/>
                <w:right w:val="none" w:sz="0" w:space="0" w:color="auto"/>
              </w:divBdr>
            </w:div>
            <w:div w:id="1063138557">
              <w:marLeft w:val="0"/>
              <w:marRight w:val="0"/>
              <w:marTop w:val="0"/>
              <w:marBottom w:val="0"/>
              <w:divBdr>
                <w:top w:val="none" w:sz="0" w:space="0" w:color="auto"/>
                <w:left w:val="none" w:sz="0" w:space="0" w:color="auto"/>
                <w:bottom w:val="none" w:sz="0" w:space="0" w:color="auto"/>
                <w:right w:val="none" w:sz="0" w:space="0" w:color="auto"/>
              </w:divBdr>
            </w:div>
            <w:div w:id="1916740506">
              <w:marLeft w:val="0"/>
              <w:marRight w:val="0"/>
              <w:marTop w:val="0"/>
              <w:marBottom w:val="0"/>
              <w:divBdr>
                <w:top w:val="none" w:sz="0" w:space="0" w:color="auto"/>
                <w:left w:val="none" w:sz="0" w:space="0" w:color="auto"/>
                <w:bottom w:val="none" w:sz="0" w:space="0" w:color="auto"/>
                <w:right w:val="none" w:sz="0" w:space="0" w:color="auto"/>
              </w:divBdr>
            </w:div>
            <w:div w:id="1384600582">
              <w:marLeft w:val="0"/>
              <w:marRight w:val="0"/>
              <w:marTop w:val="0"/>
              <w:marBottom w:val="0"/>
              <w:divBdr>
                <w:top w:val="none" w:sz="0" w:space="0" w:color="auto"/>
                <w:left w:val="none" w:sz="0" w:space="0" w:color="auto"/>
                <w:bottom w:val="none" w:sz="0" w:space="0" w:color="auto"/>
                <w:right w:val="none" w:sz="0" w:space="0" w:color="auto"/>
              </w:divBdr>
            </w:div>
            <w:div w:id="15156354">
              <w:marLeft w:val="0"/>
              <w:marRight w:val="0"/>
              <w:marTop w:val="0"/>
              <w:marBottom w:val="0"/>
              <w:divBdr>
                <w:top w:val="none" w:sz="0" w:space="0" w:color="auto"/>
                <w:left w:val="none" w:sz="0" w:space="0" w:color="auto"/>
                <w:bottom w:val="none" w:sz="0" w:space="0" w:color="auto"/>
                <w:right w:val="none" w:sz="0" w:space="0" w:color="auto"/>
              </w:divBdr>
            </w:div>
            <w:div w:id="1565674542">
              <w:marLeft w:val="0"/>
              <w:marRight w:val="0"/>
              <w:marTop w:val="0"/>
              <w:marBottom w:val="0"/>
              <w:divBdr>
                <w:top w:val="none" w:sz="0" w:space="0" w:color="auto"/>
                <w:left w:val="none" w:sz="0" w:space="0" w:color="auto"/>
                <w:bottom w:val="none" w:sz="0" w:space="0" w:color="auto"/>
                <w:right w:val="none" w:sz="0" w:space="0" w:color="auto"/>
              </w:divBdr>
            </w:div>
            <w:div w:id="347023114">
              <w:marLeft w:val="0"/>
              <w:marRight w:val="0"/>
              <w:marTop w:val="0"/>
              <w:marBottom w:val="0"/>
              <w:divBdr>
                <w:top w:val="none" w:sz="0" w:space="0" w:color="auto"/>
                <w:left w:val="none" w:sz="0" w:space="0" w:color="auto"/>
                <w:bottom w:val="none" w:sz="0" w:space="0" w:color="auto"/>
                <w:right w:val="none" w:sz="0" w:space="0" w:color="auto"/>
              </w:divBdr>
            </w:div>
            <w:div w:id="746225404">
              <w:marLeft w:val="0"/>
              <w:marRight w:val="0"/>
              <w:marTop w:val="0"/>
              <w:marBottom w:val="0"/>
              <w:divBdr>
                <w:top w:val="none" w:sz="0" w:space="0" w:color="auto"/>
                <w:left w:val="none" w:sz="0" w:space="0" w:color="auto"/>
                <w:bottom w:val="none" w:sz="0" w:space="0" w:color="auto"/>
                <w:right w:val="none" w:sz="0" w:space="0" w:color="auto"/>
              </w:divBdr>
            </w:div>
            <w:div w:id="1040858367">
              <w:marLeft w:val="0"/>
              <w:marRight w:val="0"/>
              <w:marTop w:val="0"/>
              <w:marBottom w:val="0"/>
              <w:divBdr>
                <w:top w:val="none" w:sz="0" w:space="0" w:color="auto"/>
                <w:left w:val="none" w:sz="0" w:space="0" w:color="auto"/>
                <w:bottom w:val="none" w:sz="0" w:space="0" w:color="auto"/>
                <w:right w:val="none" w:sz="0" w:space="0" w:color="auto"/>
              </w:divBdr>
            </w:div>
            <w:div w:id="695348051">
              <w:marLeft w:val="0"/>
              <w:marRight w:val="0"/>
              <w:marTop w:val="0"/>
              <w:marBottom w:val="0"/>
              <w:divBdr>
                <w:top w:val="none" w:sz="0" w:space="0" w:color="auto"/>
                <w:left w:val="none" w:sz="0" w:space="0" w:color="auto"/>
                <w:bottom w:val="none" w:sz="0" w:space="0" w:color="auto"/>
                <w:right w:val="none" w:sz="0" w:space="0" w:color="auto"/>
              </w:divBdr>
            </w:div>
            <w:div w:id="391738452">
              <w:marLeft w:val="0"/>
              <w:marRight w:val="0"/>
              <w:marTop w:val="0"/>
              <w:marBottom w:val="0"/>
              <w:divBdr>
                <w:top w:val="none" w:sz="0" w:space="0" w:color="auto"/>
                <w:left w:val="none" w:sz="0" w:space="0" w:color="auto"/>
                <w:bottom w:val="none" w:sz="0" w:space="0" w:color="auto"/>
                <w:right w:val="none" w:sz="0" w:space="0" w:color="auto"/>
              </w:divBdr>
            </w:div>
            <w:div w:id="1480614517">
              <w:marLeft w:val="0"/>
              <w:marRight w:val="0"/>
              <w:marTop w:val="0"/>
              <w:marBottom w:val="0"/>
              <w:divBdr>
                <w:top w:val="none" w:sz="0" w:space="0" w:color="auto"/>
                <w:left w:val="none" w:sz="0" w:space="0" w:color="auto"/>
                <w:bottom w:val="none" w:sz="0" w:space="0" w:color="auto"/>
                <w:right w:val="none" w:sz="0" w:space="0" w:color="auto"/>
              </w:divBdr>
            </w:div>
            <w:div w:id="1002514294">
              <w:marLeft w:val="0"/>
              <w:marRight w:val="0"/>
              <w:marTop w:val="0"/>
              <w:marBottom w:val="0"/>
              <w:divBdr>
                <w:top w:val="none" w:sz="0" w:space="0" w:color="auto"/>
                <w:left w:val="none" w:sz="0" w:space="0" w:color="auto"/>
                <w:bottom w:val="none" w:sz="0" w:space="0" w:color="auto"/>
                <w:right w:val="none" w:sz="0" w:space="0" w:color="auto"/>
              </w:divBdr>
            </w:div>
            <w:div w:id="2092655775">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35490929">
              <w:marLeft w:val="0"/>
              <w:marRight w:val="0"/>
              <w:marTop w:val="0"/>
              <w:marBottom w:val="0"/>
              <w:divBdr>
                <w:top w:val="none" w:sz="0" w:space="0" w:color="auto"/>
                <w:left w:val="none" w:sz="0" w:space="0" w:color="auto"/>
                <w:bottom w:val="none" w:sz="0" w:space="0" w:color="auto"/>
                <w:right w:val="none" w:sz="0" w:space="0" w:color="auto"/>
              </w:divBdr>
            </w:div>
            <w:div w:id="336423894">
              <w:marLeft w:val="0"/>
              <w:marRight w:val="0"/>
              <w:marTop w:val="0"/>
              <w:marBottom w:val="0"/>
              <w:divBdr>
                <w:top w:val="none" w:sz="0" w:space="0" w:color="auto"/>
                <w:left w:val="none" w:sz="0" w:space="0" w:color="auto"/>
                <w:bottom w:val="none" w:sz="0" w:space="0" w:color="auto"/>
                <w:right w:val="none" w:sz="0" w:space="0" w:color="auto"/>
              </w:divBdr>
            </w:div>
            <w:div w:id="234047959">
              <w:marLeft w:val="0"/>
              <w:marRight w:val="0"/>
              <w:marTop w:val="0"/>
              <w:marBottom w:val="0"/>
              <w:divBdr>
                <w:top w:val="none" w:sz="0" w:space="0" w:color="auto"/>
                <w:left w:val="none" w:sz="0" w:space="0" w:color="auto"/>
                <w:bottom w:val="none" w:sz="0" w:space="0" w:color="auto"/>
                <w:right w:val="none" w:sz="0" w:space="0" w:color="auto"/>
              </w:divBdr>
            </w:div>
            <w:div w:id="1540627633">
              <w:marLeft w:val="0"/>
              <w:marRight w:val="0"/>
              <w:marTop w:val="0"/>
              <w:marBottom w:val="0"/>
              <w:divBdr>
                <w:top w:val="none" w:sz="0" w:space="0" w:color="auto"/>
                <w:left w:val="none" w:sz="0" w:space="0" w:color="auto"/>
                <w:bottom w:val="none" w:sz="0" w:space="0" w:color="auto"/>
                <w:right w:val="none" w:sz="0" w:space="0" w:color="auto"/>
              </w:divBdr>
            </w:div>
            <w:div w:id="1297446616">
              <w:marLeft w:val="0"/>
              <w:marRight w:val="0"/>
              <w:marTop w:val="0"/>
              <w:marBottom w:val="0"/>
              <w:divBdr>
                <w:top w:val="none" w:sz="0" w:space="0" w:color="auto"/>
                <w:left w:val="none" w:sz="0" w:space="0" w:color="auto"/>
                <w:bottom w:val="none" w:sz="0" w:space="0" w:color="auto"/>
                <w:right w:val="none" w:sz="0" w:space="0" w:color="auto"/>
              </w:divBdr>
            </w:div>
            <w:div w:id="1572546129">
              <w:marLeft w:val="0"/>
              <w:marRight w:val="0"/>
              <w:marTop w:val="0"/>
              <w:marBottom w:val="0"/>
              <w:divBdr>
                <w:top w:val="none" w:sz="0" w:space="0" w:color="auto"/>
                <w:left w:val="none" w:sz="0" w:space="0" w:color="auto"/>
                <w:bottom w:val="none" w:sz="0" w:space="0" w:color="auto"/>
                <w:right w:val="none" w:sz="0" w:space="0" w:color="auto"/>
              </w:divBdr>
            </w:div>
            <w:div w:id="171334911">
              <w:marLeft w:val="0"/>
              <w:marRight w:val="0"/>
              <w:marTop w:val="0"/>
              <w:marBottom w:val="0"/>
              <w:divBdr>
                <w:top w:val="none" w:sz="0" w:space="0" w:color="auto"/>
                <w:left w:val="none" w:sz="0" w:space="0" w:color="auto"/>
                <w:bottom w:val="none" w:sz="0" w:space="0" w:color="auto"/>
                <w:right w:val="none" w:sz="0" w:space="0" w:color="auto"/>
              </w:divBdr>
            </w:div>
            <w:div w:id="1318342643">
              <w:marLeft w:val="0"/>
              <w:marRight w:val="0"/>
              <w:marTop w:val="0"/>
              <w:marBottom w:val="0"/>
              <w:divBdr>
                <w:top w:val="none" w:sz="0" w:space="0" w:color="auto"/>
                <w:left w:val="none" w:sz="0" w:space="0" w:color="auto"/>
                <w:bottom w:val="none" w:sz="0" w:space="0" w:color="auto"/>
                <w:right w:val="none" w:sz="0" w:space="0" w:color="auto"/>
              </w:divBdr>
            </w:div>
            <w:div w:id="992370438">
              <w:marLeft w:val="0"/>
              <w:marRight w:val="0"/>
              <w:marTop w:val="0"/>
              <w:marBottom w:val="0"/>
              <w:divBdr>
                <w:top w:val="none" w:sz="0" w:space="0" w:color="auto"/>
                <w:left w:val="none" w:sz="0" w:space="0" w:color="auto"/>
                <w:bottom w:val="none" w:sz="0" w:space="0" w:color="auto"/>
                <w:right w:val="none" w:sz="0" w:space="0" w:color="auto"/>
              </w:divBdr>
            </w:div>
            <w:div w:id="384373383">
              <w:marLeft w:val="0"/>
              <w:marRight w:val="0"/>
              <w:marTop w:val="0"/>
              <w:marBottom w:val="0"/>
              <w:divBdr>
                <w:top w:val="none" w:sz="0" w:space="0" w:color="auto"/>
                <w:left w:val="none" w:sz="0" w:space="0" w:color="auto"/>
                <w:bottom w:val="none" w:sz="0" w:space="0" w:color="auto"/>
                <w:right w:val="none" w:sz="0" w:space="0" w:color="auto"/>
              </w:divBdr>
            </w:div>
            <w:div w:id="1361782513">
              <w:marLeft w:val="0"/>
              <w:marRight w:val="0"/>
              <w:marTop w:val="0"/>
              <w:marBottom w:val="0"/>
              <w:divBdr>
                <w:top w:val="none" w:sz="0" w:space="0" w:color="auto"/>
                <w:left w:val="none" w:sz="0" w:space="0" w:color="auto"/>
                <w:bottom w:val="none" w:sz="0" w:space="0" w:color="auto"/>
                <w:right w:val="none" w:sz="0" w:space="0" w:color="auto"/>
              </w:divBdr>
            </w:div>
            <w:div w:id="2083914390">
              <w:marLeft w:val="0"/>
              <w:marRight w:val="0"/>
              <w:marTop w:val="0"/>
              <w:marBottom w:val="0"/>
              <w:divBdr>
                <w:top w:val="none" w:sz="0" w:space="0" w:color="auto"/>
                <w:left w:val="none" w:sz="0" w:space="0" w:color="auto"/>
                <w:bottom w:val="none" w:sz="0" w:space="0" w:color="auto"/>
                <w:right w:val="none" w:sz="0" w:space="0" w:color="auto"/>
              </w:divBdr>
            </w:div>
            <w:div w:id="1063993050">
              <w:marLeft w:val="0"/>
              <w:marRight w:val="0"/>
              <w:marTop w:val="0"/>
              <w:marBottom w:val="0"/>
              <w:divBdr>
                <w:top w:val="none" w:sz="0" w:space="0" w:color="auto"/>
                <w:left w:val="none" w:sz="0" w:space="0" w:color="auto"/>
                <w:bottom w:val="none" w:sz="0" w:space="0" w:color="auto"/>
                <w:right w:val="none" w:sz="0" w:space="0" w:color="auto"/>
              </w:divBdr>
            </w:div>
            <w:div w:id="960766602">
              <w:marLeft w:val="0"/>
              <w:marRight w:val="0"/>
              <w:marTop w:val="0"/>
              <w:marBottom w:val="0"/>
              <w:divBdr>
                <w:top w:val="none" w:sz="0" w:space="0" w:color="auto"/>
                <w:left w:val="none" w:sz="0" w:space="0" w:color="auto"/>
                <w:bottom w:val="none" w:sz="0" w:space="0" w:color="auto"/>
                <w:right w:val="none" w:sz="0" w:space="0" w:color="auto"/>
              </w:divBdr>
            </w:div>
            <w:div w:id="319424916">
              <w:marLeft w:val="0"/>
              <w:marRight w:val="0"/>
              <w:marTop w:val="0"/>
              <w:marBottom w:val="0"/>
              <w:divBdr>
                <w:top w:val="none" w:sz="0" w:space="0" w:color="auto"/>
                <w:left w:val="none" w:sz="0" w:space="0" w:color="auto"/>
                <w:bottom w:val="none" w:sz="0" w:space="0" w:color="auto"/>
                <w:right w:val="none" w:sz="0" w:space="0" w:color="auto"/>
              </w:divBdr>
            </w:div>
            <w:div w:id="2006855323">
              <w:marLeft w:val="0"/>
              <w:marRight w:val="0"/>
              <w:marTop w:val="0"/>
              <w:marBottom w:val="0"/>
              <w:divBdr>
                <w:top w:val="none" w:sz="0" w:space="0" w:color="auto"/>
                <w:left w:val="none" w:sz="0" w:space="0" w:color="auto"/>
                <w:bottom w:val="none" w:sz="0" w:space="0" w:color="auto"/>
                <w:right w:val="none" w:sz="0" w:space="0" w:color="auto"/>
              </w:divBdr>
            </w:div>
            <w:div w:id="111826705">
              <w:marLeft w:val="0"/>
              <w:marRight w:val="0"/>
              <w:marTop w:val="0"/>
              <w:marBottom w:val="0"/>
              <w:divBdr>
                <w:top w:val="none" w:sz="0" w:space="0" w:color="auto"/>
                <w:left w:val="none" w:sz="0" w:space="0" w:color="auto"/>
                <w:bottom w:val="none" w:sz="0" w:space="0" w:color="auto"/>
                <w:right w:val="none" w:sz="0" w:space="0" w:color="auto"/>
              </w:divBdr>
            </w:div>
            <w:div w:id="1334911165">
              <w:marLeft w:val="0"/>
              <w:marRight w:val="0"/>
              <w:marTop w:val="0"/>
              <w:marBottom w:val="0"/>
              <w:divBdr>
                <w:top w:val="none" w:sz="0" w:space="0" w:color="auto"/>
                <w:left w:val="none" w:sz="0" w:space="0" w:color="auto"/>
                <w:bottom w:val="none" w:sz="0" w:space="0" w:color="auto"/>
                <w:right w:val="none" w:sz="0" w:space="0" w:color="auto"/>
              </w:divBdr>
            </w:div>
            <w:div w:id="235551596">
              <w:marLeft w:val="0"/>
              <w:marRight w:val="0"/>
              <w:marTop w:val="0"/>
              <w:marBottom w:val="0"/>
              <w:divBdr>
                <w:top w:val="none" w:sz="0" w:space="0" w:color="auto"/>
                <w:left w:val="none" w:sz="0" w:space="0" w:color="auto"/>
                <w:bottom w:val="none" w:sz="0" w:space="0" w:color="auto"/>
                <w:right w:val="none" w:sz="0" w:space="0" w:color="auto"/>
              </w:divBdr>
            </w:div>
            <w:div w:id="733353652">
              <w:marLeft w:val="0"/>
              <w:marRight w:val="0"/>
              <w:marTop w:val="0"/>
              <w:marBottom w:val="0"/>
              <w:divBdr>
                <w:top w:val="none" w:sz="0" w:space="0" w:color="auto"/>
                <w:left w:val="none" w:sz="0" w:space="0" w:color="auto"/>
                <w:bottom w:val="none" w:sz="0" w:space="0" w:color="auto"/>
                <w:right w:val="none" w:sz="0" w:space="0" w:color="auto"/>
              </w:divBdr>
            </w:div>
            <w:div w:id="105201049">
              <w:marLeft w:val="0"/>
              <w:marRight w:val="0"/>
              <w:marTop w:val="0"/>
              <w:marBottom w:val="0"/>
              <w:divBdr>
                <w:top w:val="none" w:sz="0" w:space="0" w:color="auto"/>
                <w:left w:val="none" w:sz="0" w:space="0" w:color="auto"/>
                <w:bottom w:val="none" w:sz="0" w:space="0" w:color="auto"/>
                <w:right w:val="none" w:sz="0" w:space="0" w:color="auto"/>
              </w:divBdr>
            </w:div>
            <w:div w:id="503133610">
              <w:marLeft w:val="0"/>
              <w:marRight w:val="0"/>
              <w:marTop w:val="0"/>
              <w:marBottom w:val="0"/>
              <w:divBdr>
                <w:top w:val="none" w:sz="0" w:space="0" w:color="auto"/>
                <w:left w:val="none" w:sz="0" w:space="0" w:color="auto"/>
                <w:bottom w:val="none" w:sz="0" w:space="0" w:color="auto"/>
                <w:right w:val="none" w:sz="0" w:space="0" w:color="auto"/>
              </w:divBdr>
            </w:div>
            <w:div w:id="1186745924">
              <w:marLeft w:val="0"/>
              <w:marRight w:val="0"/>
              <w:marTop w:val="0"/>
              <w:marBottom w:val="0"/>
              <w:divBdr>
                <w:top w:val="none" w:sz="0" w:space="0" w:color="auto"/>
                <w:left w:val="none" w:sz="0" w:space="0" w:color="auto"/>
                <w:bottom w:val="none" w:sz="0" w:space="0" w:color="auto"/>
                <w:right w:val="none" w:sz="0" w:space="0" w:color="auto"/>
              </w:divBdr>
            </w:div>
            <w:div w:id="957369226">
              <w:marLeft w:val="0"/>
              <w:marRight w:val="0"/>
              <w:marTop w:val="0"/>
              <w:marBottom w:val="0"/>
              <w:divBdr>
                <w:top w:val="none" w:sz="0" w:space="0" w:color="auto"/>
                <w:left w:val="none" w:sz="0" w:space="0" w:color="auto"/>
                <w:bottom w:val="none" w:sz="0" w:space="0" w:color="auto"/>
                <w:right w:val="none" w:sz="0" w:space="0" w:color="auto"/>
              </w:divBdr>
            </w:div>
            <w:div w:id="55974747">
              <w:marLeft w:val="0"/>
              <w:marRight w:val="0"/>
              <w:marTop w:val="0"/>
              <w:marBottom w:val="0"/>
              <w:divBdr>
                <w:top w:val="none" w:sz="0" w:space="0" w:color="auto"/>
                <w:left w:val="none" w:sz="0" w:space="0" w:color="auto"/>
                <w:bottom w:val="none" w:sz="0" w:space="0" w:color="auto"/>
                <w:right w:val="none" w:sz="0" w:space="0" w:color="auto"/>
              </w:divBdr>
            </w:div>
            <w:div w:id="1917089534">
              <w:marLeft w:val="0"/>
              <w:marRight w:val="0"/>
              <w:marTop w:val="0"/>
              <w:marBottom w:val="0"/>
              <w:divBdr>
                <w:top w:val="none" w:sz="0" w:space="0" w:color="auto"/>
                <w:left w:val="none" w:sz="0" w:space="0" w:color="auto"/>
                <w:bottom w:val="none" w:sz="0" w:space="0" w:color="auto"/>
                <w:right w:val="none" w:sz="0" w:space="0" w:color="auto"/>
              </w:divBdr>
            </w:div>
            <w:div w:id="457333455">
              <w:marLeft w:val="0"/>
              <w:marRight w:val="0"/>
              <w:marTop w:val="0"/>
              <w:marBottom w:val="0"/>
              <w:divBdr>
                <w:top w:val="none" w:sz="0" w:space="0" w:color="auto"/>
                <w:left w:val="none" w:sz="0" w:space="0" w:color="auto"/>
                <w:bottom w:val="none" w:sz="0" w:space="0" w:color="auto"/>
                <w:right w:val="none" w:sz="0" w:space="0" w:color="auto"/>
              </w:divBdr>
            </w:div>
            <w:div w:id="1697538765">
              <w:marLeft w:val="0"/>
              <w:marRight w:val="0"/>
              <w:marTop w:val="0"/>
              <w:marBottom w:val="0"/>
              <w:divBdr>
                <w:top w:val="none" w:sz="0" w:space="0" w:color="auto"/>
                <w:left w:val="none" w:sz="0" w:space="0" w:color="auto"/>
                <w:bottom w:val="none" w:sz="0" w:space="0" w:color="auto"/>
                <w:right w:val="none" w:sz="0" w:space="0" w:color="auto"/>
              </w:divBdr>
            </w:div>
            <w:div w:id="1717243074">
              <w:marLeft w:val="0"/>
              <w:marRight w:val="0"/>
              <w:marTop w:val="0"/>
              <w:marBottom w:val="0"/>
              <w:divBdr>
                <w:top w:val="none" w:sz="0" w:space="0" w:color="auto"/>
                <w:left w:val="none" w:sz="0" w:space="0" w:color="auto"/>
                <w:bottom w:val="none" w:sz="0" w:space="0" w:color="auto"/>
                <w:right w:val="none" w:sz="0" w:space="0" w:color="auto"/>
              </w:divBdr>
            </w:div>
            <w:div w:id="1844392010">
              <w:marLeft w:val="0"/>
              <w:marRight w:val="0"/>
              <w:marTop w:val="0"/>
              <w:marBottom w:val="0"/>
              <w:divBdr>
                <w:top w:val="none" w:sz="0" w:space="0" w:color="auto"/>
                <w:left w:val="none" w:sz="0" w:space="0" w:color="auto"/>
                <w:bottom w:val="none" w:sz="0" w:space="0" w:color="auto"/>
                <w:right w:val="none" w:sz="0" w:space="0" w:color="auto"/>
              </w:divBdr>
            </w:div>
            <w:div w:id="707993465">
              <w:marLeft w:val="0"/>
              <w:marRight w:val="0"/>
              <w:marTop w:val="0"/>
              <w:marBottom w:val="0"/>
              <w:divBdr>
                <w:top w:val="none" w:sz="0" w:space="0" w:color="auto"/>
                <w:left w:val="none" w:sz="0" w:space="0" w:color="auto"/>
                <w:bottom w:val="none" w:sz="0" w:space="0" w:color="auto"/>
                <w:right w:val="none" w:sz="0" w:space="0" w:color="auto"/>
              </w:divBdr>
            </w:div>
            <w:div w:id="2026439376">
              <w:marLeft w:val="0"/>
              <w:marRight w:val="0"/>
              <w:marTop w:val="0"/>
              <w:marBottom w:val="0"/>
              <w:divBdr>
                <w:top w:val="none" w:sz="0" w:space="0" w:color="auto"/>
                <w:left w:val="none" w:sz="0" w:space="0" w:color="auto"/>
                <w:bottom w:val="none" w:sz="0" w:space="0" w:color="auto"/>
                <w:right w:val="none" w:sz="0" w:space="0" w:color="auto"/>
              </w:divBdr>
            </w:div>
            <w:div w:id="1697804458">
              <w:marLeft w:val="0"/>
              <w:marRight w:val="0"/>
              <w:marTop w:val="0"/>
              <w:marBottom w:val="0"/>
              <w:divBdr>
                <w:top w:val="none" w:sz="0" w:space="0" w:color="auto"/>
                <w:left w:val="none" w:sz="0" w:space="0" w:color="auto"/>
                <w:bottom w:val="none" w:sz="0" w:space="0" w:color="auto"/>
                <w:right w:val="none" w:sz="0" w:space="0" w:color="auto"/>
              </w:divBdr>
            </w:div>
            <w:div w:id="1568879968">
              <w:marLeft w:val="0"/>
              <w:marRight w:val="0"/>
              <w:marTop w:val="0"/>
              <w:marBottom w:val="0"/>
              <w:divBdr>
                <w:top w:val="none" w:sz="0" w:space="0" w:color="auto"/>
                <w:left w:val="none" w:sz="0" w:space="0" w:color="auto"/>
                <w:bottom w:val="none" w:sz="0" w:space="0" w:color="auto"/>
                <w:right w:val="none" w:sz="0" w:space="0" w:color="auto"/>
              </w:divBdr>
            </w:div>
            <w:div w:id="827791966">
              <w:marLeft w:val="0"/>
              <w:marRight w:val="0"/>
              <w:marTop w:val="0"/>
              <w:marBottom w:val="0"/>
              <w:divBdr>
                <w:top w:val="none" w:sz="0" w:space="0" w:color="auto"/>
                <w:left w:val="none" w:sz="0" w:space="0" w:color="auto"/>
                <w:bottom w:val="none" w:sz="0" w:space="0" w:color="auto"/>
                <w:right w:val="none" w:sz="0" w:space="0" w:color="auto"/>
              </w:divBdr>
            </w:div>
            <w:div w:id="537741288">
              <w:marLeft w:val="0"/>
              <w:marRight w:val="0"/>
              <w:marTop w:val="0"/>
              <w:marBottom w:val="0"/>
              <w:divBdr>
                <w:top w:val="none" w:sz="0" w:space="0" w:color="auto"/>
                <w:left w:val="none" w:sz="0" w:space="0" w:color="auto"/>
                <w:bottom w:val="none" w:sz="0" w:space="0" w:color="auto"/>
                <w:right w:val="none" w:sz="0" w:space="0" w:color="auto"/>
              </w:divBdr>
            </w:div>
            <w:div w:id="1009020612">
              <w:marLeft w:val="0"/>
              <w:marRight w:val="0"/>
              <w:marTop w:val="0"/>
              <w:marBottom w:val="0"/>
              <w:divBdr>
                <w:top w:val="none" w:sz="0" w:space="0" w:color="auto"/>
                <w:left w:val="none" w:sz="0" w:space="0" w:color="auto"/>
                <w:bottom w:val="none" w:sz="0" w:space="0" w:color="auto"/>
                <w:right w:val="none" w:sz="0" w:space="0" w:color="auto"/>
              </w:divBdr>
            </w:div>
            <w:div w:id="1797600058">
              <w:marLeft w:val="0"/>
              <w:marRight w:val="0"/>
              <w:marTop w:val="0"/>
              <w:marBottom w:val="0"/>
              <w:divBdr>
                <w:top w:val="none" w:sz="0" w:space="0" w:color="auto"/>
                <w:left w:val="none" w:sz="0" w:space="0" w:color="auto"/>
                <w:bottom w:val="none" w:sz="0" w:space="0" w:color="auto"/>
                <w:right w:val="none" w:sz="0" w:space="0" w:color="auto"/>
              </w:divBdr>
            </w:div>
            <w:div w:id="1093432613">
              <w:marLeft w:val="0"/>
              <w:marRight w:val="0"/>
              <w:marTop w:val="0"/>
              <w:marBottom w:val="0"/>
              <w:divBdr>
                <w:top w:val="none" w:sz="0" w:space="0" w:color="auto"/>
                <w:left w:val="none" w:sz="0" w:space="0" w:color="auto"/>
                <w:bottom w:val="none" w:sz="0" w:space="0" w:color="auto"/>
                <w:right w:val="none" w:sz="0" w:space="0" w:color="auto"/>
              </w:divBdr>
            </w:div>
            <w:div w:id="1236429116">
              <w:marLeft w:val="0"/>
              <w:marRight w:val="0"/>
              <w:marTop w:val="0"/>
              <w:marBottom w:val="0"/>
              <w:divBdr>
                <w:top w:val="none" w:sz="0" w:space="0" w:color="auto"/>
                <w:left w:val="none" w:sz="0" w:space="0" w:color="auto"/>
                <w:bottom w:val="none" w:sz="0" w:space="0" w:color="auto"/>
                <w:right w:val="none" w:sz="0" w:space="0" w:color="auto"/>
              </w:divBdr>
            </w:div>
            <w:div w:id="1208178993">
              <w:marLeft w:val="0"/>
              <w:marRight w:val="0"/>
              <w:marTop w:val="0"/>
              <w:marBottom w:val="0"/>
              <w:divBdr>
                <w:top w:val="none" w:sz="0" w:space="0" w:color="auto"/>
                <w:left w:val="none" w:sz="0" w:space="0" w:color="auto"/>
                <w:bottom w:val="none" w:sz="0" w:space="0" w:color="auto"/>
                <w:right w:val="none" w:sz="0" w:space="0" w:color="auto"/>
              </w:divBdr>
            </w:div>
            <w:div w:id="1122462648">
              <w:marLeft w:val="0"/>
              <w:marRight w:val="0"/>
              <w:marTop w:val="0"/>
              <w:marBottom w:val="0"/>
              <w:divBdr>
                <w:top w:val="none" w:sz="0" w:space="0" w:color="auto"/>
                <w:left w:val="none" w:sz="0" w:space="0" w:color="auto"/>
                <w:bottom w:val="none" w:sz="0" w:space="0" w:color="auto"/>
                <w:right w:val="none" w:sz="0" w:space="0" w:color="auto"/>
              </w:divBdr>
            </w:div>
            <w:div w:id="551356298">
              <w:marLeft w:val="0"/>
              <w:marRight w:val="0"/>
              <w:marTop w:val="0"/>
              <w:marBottom w:val="0"/>
              <w:divBdr>
                <w:top w:val="none" w:sz="0" w:space="0" w:color="auto"/>
                <w:left w:val="none" w:sz="0" w:space="0" w:color="auto"/>
                <w:bottom w:val="none" w:sz="0" w:space="0" w:color="auto"/>
                <w:right w:val="none" w:sz="0" w:space="0" w:color="auto"/>
              </w:divBdr>
            </w:div>
            <w:div w:id="1168516860">
              <w:marLeft w:val="0"/>
              <w:marRight w:val="0"/>
              <w:marTop w:val="0"/>
              <w:marBottom w:val="0"/>
              <w:divBdr>
                <w:top w:val="none" w:sz="0" w:space="0" w:color="auto"/>
                <w:left w:val="none" w:sz="0" w:space="0" w:color="auto"/>
                <w:bottom w:val="none" w:sz="0" w:space="0" w:color="auto"/>
                <w:right w:val="none" w:sz="0" w:space="0" w:color="auto"/>
              </w:divBdr>
            </w:div>
            <w:div w:id="727845024">
              <w:marLeft w:val="0"/>
              <w:marRight w:val="0"/>
              <w:marTop w:val="0"/>
              <w:marBottom w:val="0"/>
              <w:divBdr>
                <w:top w:val="none" w:sz="0" w:space="0" w:color="auto"/>
                <w:left w:val="none" w:sz="0" w:space="0" w:color="auto"/>
                <w:bottom w:val="none" w:sz="0" w:space="0" w:color="auto"/>
                <w:right w:val="none" w:sz="0" w:space="0" w:color="auto"/>
              </w:divBdr>
            </w:div>
            <w:div w:id="2022122494">
              <w:marLeft w:val="0"/>
              <w:marRight w:val="0"/>
              <w:marTop w:val="0"/>
              <w:marBottom w:val="0"/>
              <w:divBdr>
                <w:top w:val="none" w:sz="0" w:space="0" w:color="auto"/>
                <w:left w:val="none" w:sz="0" w:space="0" w:color="auto"/>
                <w:bottom w:val="none" w:sz="0" w:space="0" w:color="auto"/>
                <w:right w:val="none" w:sz="0" w:space="0" w:color="auto"/>
              </w:divBdr>
            </w:div>
            <w:div w:id="1486974384">
              <w:marLeft w:val="0"/>
              <w:marRight w:val="0"/>
              <w:marTop w:val="0"/>
              <w:marBottom w:val="0"/>
              <w:divBdr>
                <w:top w:val="none" w:sz="0" w:space="0" w:color="auto"/>
                <w:left w:val="none" w:sz="0" w:space="0" w:color="auto"/>
                <w:bottom w:val="none" w:sz="0" w:space="0" w:color="auto"/>
                <w:right w:val="none" w:sz="0" w:space="0" w:color="auto"/>
              </w:divBdr>
            </w:div>
            <w:div w:id="442849121">
              <w:marLeft w:val="0"/>
              <w:marRight w:val="0"/>
              <w:marTop w:val="0"/>
              <w:marBottom w:val="0"/>
              <w:divBdr>
                <w:top w:val="none" w:sz="0" w:space="0" w:color="auto"/>
                <w:left w:val="none" w:sz="0" w:space="0" w:color="auto"/>
                <w:bottom w:val="none" w:sz="0" w:space="0" w:color="auto"/>
                <w:right w:val="none" w:sz="0" w:space="0" w:color="auto"/>
              </w:divBdr>
            </w:div>
            <w:div w:id="1188909424">
              <w:marLeft w:val="0"/>
              <w:marRight w:val="0"/>
              <w:marTop w:val="0"/>
              <w:marBottom w:val="0"/>
              <w:divBdr>
                <w:top w:val="none" w:sz="0" w:space="0" w:color="auto"/>
                <w:left w:val="none" w:sz="0" w:space="0" w:color="auto"/>
                <w:bottom w:val="none" w:sz="0" w:space="0" w:color="auto"/>
                <w:right w:val="none" w:sz="0" w:space="0" w:color="auto"/>
              </w:divBdr>
            </w:div>
            <w:div w:id="1443838195">
              <w:marLeft w:val="0"/>
              <w:marRight w:val="0"/>
              <w:marTop w:val="0"/>
              <w:marBottom w:val="0"/>
              <w:divBdr>
                <w:top w:val="none" w:sz="0" w:space="0" w:color="auto"/>
                <w:left w:val="none" w:sz="0" w:space="0" w:color="auto"/>
                <w:bottom w:val="none" w:sz="0" w:space="0" w:color="auto"/>
                <w:right w:val="none" w:sz="0" w:space="0" w:color="auto"/>
              </w:divBdr>
            </w:div>
            <w:div w:id="1708797036">
              <w:marLeft w:val="0"/>
              <w:marRight w:val="0"/>
              <w:marTop w:val="0"/>
              <w:marBottom w:val="0"/>
              <w:divBdr>
                <w:top w:val="none" w:sz="0" w:space="0" w:color="auto"/>
                <w:left w:val="none" w:sz="0" w:space="0" w:color="auto"/>
                <w:bottom w:val="none" w:sz="0" w:space="0" w:color="auto"/>
                <w:right w:val="none" w:sz="0" w:space="0" w:color="auto"/>
              </w:divBdr>
            </w:div>
            <w:div w:id="1001350356">
              <w:marLeft w:val="0"/>
              <w:marRight w:val="0"/>
              <w:marTop w:val="0"/>
              <w:marBottom w:val="0"/>
              <w:divBdr>
                <w:top w:val="none" w:sz="0" w:space="0" w:color="auto"/>
                <w:left w:val="none" w:sz="0" w:space="0" w:color="auto"/>
                <w:bottom w:val="none" w:sz="0" w:space="0" w:color="auto"/>
                <w:right w:val="none" w:sz="0" w:space="0" w:color="auto"/>
              </w:divBdr>
            </w:div>
            <w:div w:id="774011263">
              <w:marLeft w:val="0"/>
              <w:marRight w:val="0"/>
              <w:marTop w:val="0"/>
              <w:marBottom w:val="0"/>
              <w:divBdr>
                <w:top w:val="none" w:sz="0" w:space="0" w:color="auto"/>
                <w:left w:val="none" w:sz="0" w:space="0" w:color="auto"/>
                <w:bottom w:val="none" w:sz="0" w:space="0" w:color="auto"/>
                <w:right w:val="none" w:sz="0" w:space="0" w:color="auto"/>
              </w:divBdr>
            </w:div>
            <w:div w:id="920993587">
              <w:marLeft w:val="0"/>
              <w:marRight w:val="0"/>
              <w:marTop w:val="0"/>
              <w:marBottom w:val="0"/>
              <w:divBdr>
                <w:top w:val="none" w:sz="0" w:space="0" w:color="auto"/>
                <w:left w:val="none" w:sz="0" w:space="0" w:color="auto"/>
                <w:bottom w:val="none" w:sz="0" w:space="0" w:color="auto"/>
                <w:right w:val="none" w:sz="0" w:space="0" w:color="auto"/>
              </w:divBdr>
            </w:div>
            <w:div w:id="616184976">
              <w:marLeft w:val="0"/>
              <w:marRight w:val="0"/>
              <w:marTop w:val="0"/>
              <w:marBottom w:val="0"/>
              <w:divBdr>
                <w:top w:val="none" w:sz="0" w:space="0" w:color="auto"/>
                <w:left w:val="none" w:sz="0" w:space="0" w:color="auto"/>
                <w:bottom w:val="none" w:sz="0" w:space="0" w:color="auto"/>
                <w:right w:val="none" w:sz="0" w:space="0" w:color="auto"/>
              </w:divBdr>
            </w:div>
            <w:div w:id="1988239464">
              <w:marLeft w:val="0"/>
              <w:marRight w:val="0"/>
              <w:marTop w:val="0"/>
              <w:marBottom w:val="0"/>
              <w:divBdr>
                <w:top w:val="none" w:sz="0" w:space="0" w:color="auto"/>
                <w:left w:val="none" w:sz="0" w:space="0" w:color="auto"/>
                <w:bottom w:val="none" w:sz="0" w:space="0" w:color="auto"/>
                <w:right w:val="none" w:sz="0" w:space="0" w:color="auto"/>
              </w:divBdr>
            </w:div>
            <w:div w:id="979454861">
              <w:marLeft w:val="0"/>
              <w:marRight w:val="0"/>
              <w:marTop w:val="0"/>
              <w:marBottom w:val="0"/>
              <w:divBdr>
                <w:top w:val="none" w:sz="0" w:space="0" w:color="auto"/>
                <w:left w:val="none" w:sz="0" w:space="0" w:color="auto"/>
                <w:bottom w:val="none" w:sz="0" w:space="0" w:color="auto"/>
                <w:right w:val="none" w:sz="0" w:space="0" w:color="auto"/>
              </w:divBdr>
            </w:div>
            <w:div w:id="1860505692">
              <w:marLeft w:val="0"/>
              <w:marRight w:val="0"/>
              <w:marTop w:val="0"/>
              <w:marBottom w:val="0"/>
              <w:divBdr>
                <w:top w:val="none" w:sz="0" w:space="0" w:color="auto"/>
                <w:left w:val="none" w:sz="0" w:space="0" w:color="auto"/>
                <w:bottom w:val="none" w:sz="0" w:space="0" w:color="auto"/>
                <w:right w:val="none" w:sz="0" w:space="0" w:color="auto"/>
              </w:divBdr>
            </w:div>
            <w:div w:id="859200992">
              <w:marLeft w:val="0"/>
              <w:marRight w:val="0"/>
              <w:marTop w:val="0"/>
              <w:marBottom w:val="0"/>
              <w:divBdr>
                <w:top w:val="none" w:sz="0" w:space="0" w:color="auto"/>
                <w:left w:val="none" w:sz="0" w:space="0" w:color="auto"/>
                <w:bottom w:val="none" w:sz="0" w:space="0" w:color="auto"/>
                <w:right w:val="none" w:sz="0" w:space="0" w:color="auto"/>
              </w:divBdr>
            </w:div>
            <w:div w:id="1957370247">
              <w:marLeft w:val="0"/>
              <w:marRight w:val="0"/>
              <w:marTop w:val="0"/>
              <w:marBottom w:val="0"/>
              <w:divBdr>
                <w:top w:val="none" w:sz="0" w:space="0" w:color="auto"/>
                <w:left w:val="none" w:sz="0" w:space="0" w:color="auto"/>
                <w:bottom w:val="none" w:sz="0" w:space="0" w:color="auto"/>
                <w:right w:val="none" w:sz="0" w:space="0" w:color="auto"/>
              </w:divBdr>
            </w:div>
            <w:div w:id="1848447182">
              <w:marLeft w:val="0"/>
              <w:marRight w:val="0"/>
              <w:marTop w:val="0"/>
              <w:marBottom w:val="0"/>
              <w:divBdr>
                <w:top w:val="none" w:sz="0" w:space="0" w:color="auto"/>
                <w:left w:val="none" w:sz="0" w:space="0" w:color="auto"/>
                <w:bottom w:val="none" w:sz="0" w:space="0" w:color="auto"/>
                <w:right w:val="none" w:sz="0" w:space="0" w:color="auto"/>
              </w:divBdr>
            </w:div>
            <w:div w:id="1149370509">
              <w:marLeft w:val="0"/>
              <w:marRight w:val="0"/>
              <w:marTop w:val="0"/>
              <w:marBottom w:val="0"/>
              <w:divBdr>
                <w:top w:val="none" w:sz="0" w:space="0" w:color="auto"/>
                <w:left w:val="none" w:sz="0" w:space="0" w:color="auto"/>
                <w:bottom w:val="none" w:sz="0" w:space="0" w:color="auto"/>
                <w:right w:val="none" w:sz="0" w:space="0" w:color="auto"/>
              </w:divBdr>
            </w:div>
            <w:div w:id="603613582">
              <w:marLeft w:val="0"/>
              <w:marRight w:val="0"/>
              <w:marTop w:val="0"/>
              <w:marBottom w:val="0"/>
              <w:divBdr>
                <w:top w:val="none" w:sz="0" w:space="0" w:color="auto"/>
                <w:left w:val="none" w:sz="0" w:space="0" w:color="auto"/>
                <w:bottom w:val="none" w:sz="0" w:space="0" w:color="auto"/>
                <w:right w:val="none" w:sz="0" w:space="0" w:color="auto"/>
              </w:divBdr>
            </w:div>
            <w:div w:id="181676007">
              <w:marLeft w:val="0"/>
              <w:marRight w:val="0"/>
              <w:marTop w:val="0"/>
              <w:marBottom w:val="0"/>
              <w:divBdr>
                <w:top w:val="none" w:sz="0" w:space="0" w:color="auto"/>
                <w:left w:val="none" w:sz="0" w:space="0" w:color="auto"/>
                <w:bottom w:val="none" w:sz="0" w:space="0" w:color="auto"/>
                <w:right w:val="none" w:sz="0" w:space="0" w:color="auto"/>
              </w:divBdr>
            </w:div>
            <w:div w:id="1731884164">
              <w:marLeft w:val="0"/>
              <w:marRight w:val="0"/>
              <w:marTop w:val="0"/>
              <w:marBottom w:val="0"/>
              <w:divBdr>
                <w:top w:val="none" w:sz="0" w:space="0" w:color="auto"/>
                <w:left w:val="none" w:sz="0" w:space="0" w:color="auto"/>
                <w:bottom w:val="none" w:sz="0" w:space="0" w:color="auto"/>
                <w:right w:val="none" w:sz="0" w:space="0" w:color="auto"/>
              </w:divBdr>
            </w:div>
            <w:div w:id="516817991">
              <w:marLeft w:val="0"/>
              <w:marRight w:val="0"/>
              <w:marTop w:val="0"/>
              <w:marBottom w:val="0"/>
              <w:divBdr>
                <w:top w:val="none" w:sz="0" w:space="0" w:color="auto"/>
                <w:left w:val="none" w:sz="0" w:space="0" w:color="auto"/>
                <w:bottom w:val="none" w:sz="0" w:space="0" w:color="auto"/>
                <w:right w:val="none" w:sz="0" w:space="0" w:color="auto"/>
              </w:divBdr>
            </w:div>
            <w:div w:id="522518921">
              <w:marLeft w:val="0"/>
              <w:marRight w:val="0"/>
              <w:marTop w:val="0"/>
              <w:marBottom w:val="0"/>
              <w:divBdr>
                <w:top w:val="none" w:sz="0" w:space="0" w:color="auto"/>
                <w:left w:val="none" w:sz="0" w:space="0" w:color="auto"/>
                <w:bottom w:val="none" w:sz="0" w:space="0" w:color="auto"/>
                <w:right w:val="none" w:sz="0" w:space="0" w:color="auto"/>
              </w:divBdr>
            </w:div>
            <w:div w:id="2048217296">
              <w:marLeft w:val="0"/>
              <w:marRight w:val="0"/>
              <w:marTop w:val="0"/>
              <w:marBottom w:val="0"/>
              <w:divBdr>
                <w:top w:val="none" w:sz="0" w:space="0" w:color="auto"/>
                <w:left w:val="none" w:sz="0" w:space="0" w:color="auto"/>
                <w:bottom w:val="none" w:sz="0" w:space="0" w:color="auto"/>
                <w:right w:val="none" w:sz="0" w:space="0" w:color="auto"/>
              </w:divBdr>
            </w:div>
            <w:div w:id="1568615458">
              <w:marLeft w:val="0"/>
              <w:marRight w:val="0"/>
              <w:marTop w:val="0"/>
              <w:marBottom w:val="0"/>
              <w:divBdr>
                <w:top w:val="none" w:sz="0" w:space="0" w:color="auto"/>
                <w:left w:val="none" w:sz="0" w:space="0" w:color="auto"/>
                <w:bottom w:val="none" w:sz="0" w:space="0" w:color="auto"/>
                <w:right w:val="none" w:sz="0" w:space="0" w:color="auto"/>
              </w:divBdr>
            </w:div>
            <w:div w:id="655105716">
              <w:marLeft w:val="0"/>
              <w:marRight w:val="0"/>
              <w:marTop w:val="0"/>
              <w:marBottom w:val="0"/>
              <w:divBdr>
                <w:top w:val="none" w:sz="0" w:space="0" w:color="auto"/>
                <w:left w:val="none" w:sz="0" w:space="0" w:color="auto"/>
                <w:bottom w:val="none" w:sz="0" w:space="0" w:color="auto"/>
                <w:right w:val="none" w:sz="0" w:space="0" w:color="auto"/>
              </w:divBdr>
            </w:div>
            <w:div w:id="2030836103">
              <w:marLeft w:val="0"/>
              <w:marRight w:val="0"/>
              <w:marTop w:val="0"/>
              <w:marBottom w:val="0"/>
              <w:divBdr>
                <w:top w:val="none" w:sz="0" w:space="0" w:color="auto"/>
                <w:left w:val="none" w:sz="0" w:space="0" w:color="auto"/>
                <w:bottom w:val="none" w:sz="0" w:space="0" w:color="auto"/>
                <w:right w:val="none" w:sz="0" w:space="0" w:color="auto"/>
              </w:divBdr>
            </w:div>
            <w:div w:id="1663777333">
              <w:marLeft w:val="0"/>
              <w:marRight w:val="0"/>
              <w:marTop w:val="0"/>
              <w:marBottom w:val="0"/>
              <w:divBdr>
                <w:top w:val="none" w:sz="0" w:space="0" w:color="auto"/>
                <w:left w:val="none" w:sz="0" w:space="0" w:color="auto"/>
                <w:bottom w:val="none" w:sz="0" w:space="0" w:color="auto"/>
                <w:right w:val="none" w:sz="0" w:space="0" w:color="auto"/>
              </w:divBdr>
            </w:div>
            <w:div w:id="317807285">
              <w:marLeft w:val="0"/>
              <w:marRight w:val="0"/>
              <w:marTop w:val="0"/>
              <w:marBottom w:val="0"/>
              <w:divBdr>
                <w:top w:val="none" w:sz="0" w:space="0" w:color="auto"/>
                <w:left w:val="none" w:sz="0" w:space="0" w:color="auto"/>
                <w:bottom w:val="none" w:sz="0" w:space="0" w:color="auto"/>
                <w:right w:val="none" w:sz="0" w:space="0" w:color="auto"/>
              </w:divBdr>
            </w:div>
            <w:div w:id="127624880">
              <w:marLeft w:val="0"/>
              <w:marRight w:val="0"/>
              <w:marTop w:val="0"/>
              <w:marBottom w:val="0"/>
              <w:divBdr>
                <w:top w:val="none" w:sz="0" w:space="0" w:color="auto"/>
                <w:left w:val="none" w:sz="0" w:space="0" w:color="auto"/>
                <w:bottom w:val="none" w:sz="0" w:space="0" w:color="auto"/>
                <w:right w:val="none" w:sz="0" w:space="0" w:color="auto"/>
              </w:divBdr>
            </w:div>
            <w:div w:id="327292491">
              <w:marLeft w:val="0"/>
              <w:marRight w:val="0"/>
              <w:marTop w:val="0"/>
              <w:marBottom w:val="0"/>
              <w:divBdr>
                <w:top w:val="none" w:sz="0" w:space="0" w:color="auto"/>
                <w:left w:val="none" w:sz="0" w:space="0" w:color="auto"/>
                <w:bottom w:val="none" w:sz="0" w:space="0" w:color="auto"/>
                <w:right w:val="none" w:sz="0" w:space="0" w:color="auto"/>
              </w:divBdr>
            </w:div>
            <w:div w:id="1532691999">
              <w:marLeft w:val="0"/>
              <w:marRight w:val="0"/>
              <w:marTop w:val="0"/>
              <w:marBottom w:val="0"/>
              <w:divBdr>
                <w:top w:val="none" w:sz="0" w:space="0" w:color="auto"/>
                <w:left w:val="none" w:sz="0" w:space="0" w:color="auto"/>
                <w:bottom w:val="none" w:sz="0" w:space="0" w:color="auto"/>
                <w:right w:val="none" w:sz="0" w:space="0" w:color="auto"/>
              </w:divBdr>
            </w:div>
            <w:div w:id="1454247620">
              <w:marLeft w:val="0"/>
              <w:marRight w:val="0"/>
              <w:marTop w:val="0"/>
              <w:marBottom w:val="0"/>
              <w:divBdr>
                <w:top w:val="none" w:sz="0" w:space="0" w:color="auto"/>
                <w:left w:val="none" w:sz="0" w:space="0" w:color="auto"/>
                <w:bottom w:val="none" w:sz="0" w:space="0" w:color="auto"/>
                <w:right w:val="none" w:sz="0" w:space="0" w:color="auto"/>
              </w:divBdr>
            </w:div>
            <w:div w:id="3825409">
              <w:marLeft w:val="0"/>
              <w:marRight w:val="0"/>
              <w:marTop w:val="0"/>
              <w:marBottom w:val="0"/>
              <w:divBdr>
                <w:top w:val="none" w:sz="0" w:space="0" w:color="auto"/>
                <w:left w:val="none" w:sz="0" w:space="0" w:color="auto"/>
                <w:bottom w:val="none" w:sz="0" w:space="0" w:color="auto"/>
                <w:right w:val="none" w:sz="0" w:space="0" w:color="auto"/>
              </w:divBdr>
            </w:div>
            <w:div w:id="1483767123">
              <w:marLeft w:val="0"/>
              <w:marRight w:val="0"/>
              <w:marTop w:val="0"/>
              <w:marBottom w:val="0"/>
              <w:divBdr>
                <w:top w:val="none" w:sz="0" w:space="0" w:color="auto"/>
                <w:left w:val="none" w:sz="0" w:space="0" w:color="auto"/>
                <w:bottom w:val="none" w:sz="0" w:space="0" w:color="auto"/>
                <w:right w:val="none" w:sz="0" w:space="0" w:color="auto"/>
              </w:divBdr>
            </w:div>
            <w:div w:id="95558730">
              <w:marLeft w:val="0"/>
              <w:marRight w:val="0"/>
              <w:marTop w:val="0"/>
              <w:marBottom w:val="0"/>
              <w:divBdr>
                <w:top w:val="none" w:sz="0" w:space="0" w:color="auto"/>
                <w:left w:val="none" w:sz="0" w:space="0" w:color="auto"/>
                <w:bottom w:val="none" w:sz="0" w:space="0" w:color="auto"/>
                <w:right w:val="none" w:sz="0" w:space="0" w:color="auto"/>
              </w:divBdr>
            </w:div>
            <w:div w:id="1540705270">
              <w:marLeft w:val="0"/>
              <w:marRight w:val="0"/>
              <w:marTop w:val="0"/>
              <w:marBottom w:val="0"/>
              <w:divBdr>
                <w:top w:val="none" w:sz="0" w:space="0" w:color="auto"/>
                <w:left w:val="none" w:sz="0" w:space="0" w:color="auto"/>
                <w:bottom w:val="none" w:sz="0" w:space="0" w:color="auto"/>
                <w:right w:val="none" w:sz="0" w:space="0" w:color="auto"/>
              </w:divBdr>
            </w:div>
            <w:div w:id="1167787570">
              <w:marLeft w:val="0"/>
              <w:marRight w:val="0"/>
              <w:marTop w:val="0"/>
              <w:marBottom w:val="0"/>
              <w:divBdr>
                <w:top w:val="none" w:sz="0" w:space="0" w:color="auto"/>
                <w:left w:val="none" w:sz="0" w:space="0" w:color="auto"/>
                <w:bottom w:val="none" w:sz="0" w:space="0" w:color="auto"/>
                <w:right w:val="none" w:sz="0" w:space="0" w:color="auto"/>
              </w:divBdr>
            </w:div>
            <w:div w:id="1027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12514</Words>
  <Characters>71332</Characters>
  <Application>Microsoft Macintosh Word</Application>
  <DocSecurity>0</DocSecurity>
  <Lines>594</Lines>
  <Paragraphs>167</Paragraphs>
  <ScaleCrop>false</ScaleCrop>
  <Company>微软中国</Company>
  <LinksUpToDate>false</LinksUpToDate>
  <CharactersWithSpaces>83679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2016-01-22T01:16:00Z</dcterms:created>
  <dcterms:modified xsi:type="dcterms:W3CDTF">2016-01-22T01:16:00Z</dcterms:modified>
</cp:coreProperties>
</file>