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D32" w:rsidRPr="00DC768C" w:rsidRDefault="00F77D32" w:rsidP="00BB7527">
      <w:pPr>
        <w:spacing w:after="0" w:line="360" w:lineRule="auto"/>
        <w:jc w:val="both"/>
        <w:rPr>
          <w:rFonts w:ascii="Book Antiqua" w:hAnsi="Book Antiqua" w:cs="Times New Roman"/>
          <w:b/>
          <w:i/>
          <w:sz w:val="24"/>
          <w:szCs w:val="24"/>
          <w:lang w:val="en-US"/>
        </w:rPr>
      </w:pPr>
      <w:r w:rsidRPr="00DC768C">
        <w:rPr>
          <w:rFonts w:ascii="Book Antiqua" w:hAnsi="Book Antiqua" w:cs="Times New Roman"/>
          <w:b/>
          <w:sz w:val="24"/>
          <w:szCs w:val="24"/>
          <w:lang w:val="en-US"/>
        </w:rPr>
        <w:t xml:space="preserve">Name of journal: </w:t>
      </w:r>
      <w:r w:rsidRPr="00C03255">
        <w:rPr>
          <w:rFonts w:ascii="Book Antiqua" w:hAnsi="Book Antiqua" w:cs="Times New Roman"/>
          <w:b/>
          <w:sz w:val="24"/>
          <w:szCs w:val="24"/>
          <w:lang w:val="en-US"/>
        </w:rPr>
        <w:t>World Journal of Gastroenterology</w:t>
      </w:r>
    </w:p>
    <w:p w:rsidR="00F77D32" w:rsidRPr="00DC768C" w:rsidRDefault="00F77D32" w:rsidP="00BB7527">
      <w:pPr>
        <w:spacing w:after="0" w:line="360" w:lineRule="auto"/>
        <w:jc w:val="both"/>
        <w:rPr>
          <w:rFonts w:ascii="Book Antiqua" w:hAnsi="Book Antiqua" w:cs="Times New Roman"/>
          <w:b/>
          <w:sz w:val="24"/>
          <w:szCs w:val="24"/>
          <w:lang w:val="en-US" w:eastAsia="zh-CN"/>
        </w:rPr>
      </w:pPr>
      <w:r w:rsidRPr="00DC768C">
        <w:rPr>
          <w:rFonts w:ascii="Book Antiqua" w:hAnsi="Book Antiqua" w:cs="Times New Roman"/>
          <w:b/>
          <w:sz w:val="24"/>
          <w:szCs w:val="24"/>
          <w:lang w:val="en-US"/>
        </w:rPr>
        <w:t xml:space="preserve">ESPS Manuscript NO: </w:t>
      </w:r>
      <w:r w:rsidR="00DC768C" w:rsidRPr="00DC768C">
        <w:rPr>
          <w:rFonts w:ascii="Book Antiqua" w:hAnsi="Book Antiqua" w:cs="Times New Roman" w:hint="eastAsia"/>
          <w:b/>
          <w:sz w:val="24"/>
          <w:szCs w:val="24"/>
          <w:lang w:val="en-US" w:eastAsia="zh-CN"/>
        </w:rPr>
        <w:t>23710</w:t>
      </w:r>
    </w:p>
    <w:p w:rsidR="00DC768C" w:rsidRPr="00B33D98" w:rsidRDefault="00F77D32" w:rsidP="00BB7527">
      <w:pPr>
        <w:spacing w:after="0" w:line="360" w:lineRule="auto"/>
        <w:jc w:val="both"/>
        <w:rPr>
          <w:rFonts w:ascii="Book Antiqua" w:hAnsi="Book Antiqua"/>
          <w:b/>
          <w:sz w:val="24"/>
          <w:lang w:val="en-US" w:eastAsia="zh-CN"/>
        </w:rPr>
      </w:pPr>
      <w:r w:rsidRPr="00DC768C">
        <w:rPr>
          <w:rFonts w:ascii="Book Antiqua" w:hAnsi="Book Antiqua" w:cs="Times New Roman"/>
          <w:b/>
          <w:sz w:val="24"/>
          <w:szCs w:val="24"/>
          <w:lang w:val="en-US"/>
        </w:rPr>
        <w:t xml:space="preserve">Manuscript Type: </w:t>
      </w:r>
      <w:r w:rsidR="00DC768C" w:rsidRPr="00B33D98">
        <w:rPr>
          <w:rFonts w:ascii="Book Antiqua" w:hAnsi="Book Antiqua"/>
          <w:b/>
          <w:sz w:val="24"/>
          <w:lang w:val="en-US"/>
        </w:rPr>
        <w:t>ORIGINAL ARTICLE</w:t>
      </w:r>
    </w:p>
    <w:p w:rsidR="00DC768C" w:rsidRPr="00B33D98" w:rsidRDefault="00DC768C" w:rsidP="00BB7527">
      <w:pPr>
        <w:spacing w:after="0" w:line="360" w:lineRule="auto"/>
        <w:jc w:val="both"/>
        <w:rPr>
          <w:rFonts w:ascii="Book Antiqua" w:hAnsi="Book Antiqua"/>
          <w:b/>
          <w:sz w:val="24"/>
          <w:lang w:val="en-US" w:eastAsia="zh-CN"/>
        </w:rPr>
      </w:pPr>
    </w:p>
    <w:p w:rsidR="00DC768C" w:rsidRPr="00C03255" w:rsidRDefault="00DC768C" w:rsidP="00BB7527">
      <w:pPr>
        <w:spacing w:after="0" w:line="360" w:lineRule="auto"/>
        <w:jc w:val="both"/>
        <w:rPr>
          <w:rFonts w:ascii="Book Antiqua" w:hAnsi="Book Antiqua" w:cs="Times New Roman"/>
          <w:b/>
          <w:i/>
          <w:sz w:val="24"/>
          <w:szCs w:val="24"/>
          <w:lang w:val="en-US" w:eastAsia="zh-CN"/>
        </w:rPr>
      </w:pPr>
      <w:r w:rsidRPr="00C03255">
        <w:rPr>
          <w:rFonts w:ascii="Book Antiqua" w:hAnsi="Book Antiqua" w:cs="Times New Roman"/>
          <w:b/>
          <w:i/>
          <w:sz w:val="24"/>
          <w:szCs w:val="24"/>
          <w:lang w:val="en-US"/>
        </w:rPr>
        <w:t>Retrospective Study</w:t>
      </w:r>
    </w:p>
    <w:p w:rsidR="003F32A8" w:rsidRDefault="00334C75" w:rsidP="00BB7527">
      <w:pPr>
        <w:spacing w:after="0" w:line="360" w:lineRule="auto"/>
        <w:jc w:val="both"/>
        <w:rPr>
          <w:rFonts w:ascii="Book Antiqua" w:hAnsi="Book Antiqua" w:cs="Times New Roman"/>
          <w:b/>
          <w:sz w:val="24"/>
          <w:szCs w:val="24"/>
          <w:lang w:val="en-US"/>
        </w:rPr>
      </w:pPr>
      <w:r w:rsidRPr="00FA3054">
        <w:rPr>
          <w:rFonts w:ascii="Book Antiqua" w:hAnsi="Book Antiqua" w:cs="Times New Roman"/>
          <w:b/>
          <w:sz w:val="24"/>
          <w:szCs w:val="24"/>
          <w:lang w:val="en-US"/>
        </w:rPr>
        <w:t>L</w:t>
      </w:r>
      <w:r w:rsidR="00DC768C" w:rsidRPr="00FA3054">
        <w:rPr>
          <w:rFonts w:ascii="Book Antiqua" w:hAnsi="Book Antiqua" w:cs="Times New Roman"/>
          <w:b/>
          <w:sz w:val="24"/>
          <w:szCs w:val="24"/>
          <w:lang w:val="en-US"/>
        </w:rPr>
        <w:t>ymphocyte-to-monocyte</w:t>
      </w:r>
      <w:r w:rsidR="00DC768C">
        <w:rPr>
          <w:rFonts w:ascii="Book Antiqua" w:hAnsi="Book Antiqua" w:cs="Times New Roman"/>
          <w:b/>
          <w:sz w:val="24"/>
          <w:szCs w:val="24"/>
          <w:lang w:val="en-US"/>
        </w:rPr>
        <w:t xml:space="preserve"> </w:t>
      </w:r>
      <w:r w:rsidR="00DC768C" w:rsidRPr="00FA3054">
        <w:rPr>
          <w:rFonts w:ascii="Book Antiqua" w:hAnsi="Book Antiqua" w:cs="Times New Roman"/>
          <w:b/>
          <w:sz w:val="24"/>
          <w:szCs w:val="24"/>
          <w:lang w:val="en-US"/>
        </w:rPr>
        <w:t xml:space="preserve">ratio </w:t>
      </w:r>
      <w:r w:rsidR="00DC768C">
        <w:rPr>
          <w:rFonts w:ascii="Book Antiqua" w:hAnsi="Book Antiqua" w:cs="Times New Roman"/>
          <w:b/>
          <w:sz w:val="24"/>
          <w:szCs w:val="24"/>
          <w:lang w:val="en-US"/>
        </w:rPr>
        <w:t>predicts</w:t>
      </w:r>
      <w:r w:rsidR="00DC768C" w:rsidRPr="00FA3054">
        <w:rPr>
          <w:rFonts w:ascii="Book Antiqua" w:hAnsi="Book Antiqua" w:cs="Times New Roman"/>
          <w:b/>
          <w:sz w:val="24"/>
          <w:szCs w:val="24"/>
          <w:lang w:val="en-US"/>
        </w:rPr>
        <w:t xml:space="preserve"> survival </w:t>
      </w:r>
      <w:r w:rsidR="00DC768C">
        <w:rPr>
          <w:rFonts w:ascii="Book Antiqua" w:hAnsi="Book Antiqua" w:cs="Times New Roman"/>
          <w:b/>
          <w:sz w:val="24"/>
          <w:szCs w:val="24"/>
          <w:lang w:val="en-US"/>
        </w:rPr>
        <w:t>after</w:t>
      </w:r>
      <w:r w:rsidR="00DC768C" w:rsidRPr="00FA3054">
        <w:rPr>
          <w:rFonts w:ascii="Book Antiqua" w:hAnsi="Book Antiqua" w:cs="Times New Roman"/>
          <w:b/>
          <w:sz w:val="24"/>
          <w:szCs w:val="24"/>
          <w:lang w:val="en-US"/>
        </w:rPr>
        <w:t xml:space="preserve"> radiofrequency </w:t>
      </w:r>
      <w:r w:rsidR="00DC768C">
        <w:rPr>
          <w:rFonts w:ascii="Book Antiqua" w:hAnsi="Book Antiqua" w:cs="Times New Roman"/>
          <w:b/>
          <w:sz w:val="24"/>
          <w:szCs w:val="24"/>
          <w:lang w:val="en-US"/>
        </w:rPr>
        <w:t>ablation for</w:t>
      </w:r>
      <w:r w:rsidR="00DC768C" w:rsidRPr="00FA3054">
        <w:rPr>
          <w:rFonts w:ascii="Book Antiqua" w:hAnsi="Book Antiqua" w:cs="Times New Roman"/>
          <w:b/>
          <w:sz w:val="24"/>
          <w:szCs w:val="24"/>
          <w:lang w:val="en-US"/>
        </w:rPr>
        <w:t xml:space="preserve"> colorectal </w:t>
      </w:r>
      <w:r w:rsidR="00DC768C">
        <w:rPr>
          <w:rFonts w:ascii="Book Antiqua" w:hAnsi="Book Antiqua" w:cs="Times New Roman"/>
          <w:b/>
          <w:sz w:val="24"/>
          <w:szCs w:val="24"/>
          <w:lang w:val="en-US"/>
        </w:rPr>
        <w:t xml:space="preserve">liver </w:t>
      </w:r>
      <w:r w:rsidR="00DC768C" w:rsidRPr="00FA3054">
        <w:rPr>
          <w:rFonts w:ascii="Book Antiqua" w:hAnsi="Book Antiqua" w:cs="Times New Roman"/>
          <w:b/>
          <w:sz w:val="24"/>
          <w:szCs w:val="24"/>
          <w:lang w:val="en-US"/>
        </w:rPr>
        <w:t xml:space="preserve">metastases </w:t>
      </w:r>
    </w:p>
    <w:p w:rsidR="000F320B" w:rsidRDefault="000F320B" w:rsidP="00BB7527">
      <w:pPr>
        <w:spacing w:after="0" w:line="360" w:lineRule="auto"/>
        <w:jc w:val="both"/>
        <w:rPr>
          <w:rFonts w:ascii="Book Antiqua" w:hAnsi="Book Antiqua" w:cs="Times New Roman"/>
          <w:sz w:val="24"/>
          <w:szCs w:val="24"/>
          <w:lang w:val="en-US"/>
        </w:rPr>
      </w:pPr>
    </w:p>
    <w:p w:rsidR="000F320B" w:rsidRPr="000F320B" w:rsidRDefault="000F320B" w:rsidP="00BB7527">
      <w:pPr>
        <w:spacing w:after="0" w:line="360" w:lineRule="auto"/>
        <w:jc w:val="both"/>
        <w:rPr>
          <w:rFonts w:ascii="Book Antiqua" w:hAnsi="Book Antiqua" w:cs="Times New Roman"/>
          <w:sz w:val="24"/>
          <w:szCs w:val="24"/>
          <w:lang w:val="en-US"/>
        </w:rPr>
      </w:pPr>
      <w:r w:rsidRPr="00773855">
        <w:rPr>
          <w:rFonts w:ascii="Book Antiqua" w:hAnsi="Book Antiqua" w:cs="Times New Roman"/>
          <w:sz w:val="24"/>
          <w:szCs w:val="24"/>
          <w:lang w:val="en-US"/>
        </w:rPr>
        <w:t xml:space="preserve">Facciorusso A </w:t>
      </w:r>
      <w:r w:rsidRPr="00773855">
        <w:rPr>
          <w:rFonts w:ascii="Book Antiqua" w:hAnsi="Book Antiqua" w:cs="Times New Roman"/>
          <w:i/>
          <w:sz w:val="24"/>
          <w:szCs w:val="24"/>
          <w:lang w:val="en-US"/>
        </w:rPr>
        <w:t xml:space="preserve">et al. </w:t>
      </w:r>
      <w:r w:rsidRPr="000F320B">
        <w:rPr>
          <w:rFonts w:ascii="Book Antiqua" w:hAnsi="Book Antiqua" w:cs="Times New Roman"/>
          <w:sz w:val="24"/>
          <w:szCs w:val="24"/>
          <w:lang w:val="en-US"/>
        </w:rPr>
        <w:t xml:space="preserve">LMR </w:t>
      </w:r>
      <w:r w:rsidR="00CD5F99">
        <w:rPr>
          <w:rFonts w:ascii="Book Antiqua" w:hAnsi="Book Antiqua" w:cs="Times New Roman"/>
          <w:sz w:val="24"/>
          <w:szCs w:val="24"/>
          <w:lang w:val="en-US"/>
        </w:rPr>
        <w:t xml:space="preserve">and survival </w:t>
      </w:r>
      <w:r w:rsidR="00871ED3">
        <w:rPr>
          <w:rFonts w:ascii="Book Antiqua" w:hAnsi="Book Antiqua" w:cs="Times New Roman"/>
          <w:sz w:val="24"/>
          <w:szCs w:val="24"/>
          <w:lang w:val="en-US"/>
        </w:rPr>
        <w:t>after</w:t>
      </w:r>
      <w:r w:rsidRPr="000F320B">
        <w:rPr>
          <w:rFonts w:ascii="Book Antiqua" w:hAnsi="Book Antiqua" w:cs="Times New Roman"/>
          <w:sz w:val="24"/>
          <w:szCs w:val="24"/>
          <w:lang w:val="en-US"/>
        </w:rPr>
        <w:t xml:space="preserve"> RFA for CLMs</w:t>
      </w:r>
    </w:p>
    <w:p w:rsidR="00BC4FA8" w:rsidRPr="000F320B" w:rsidRDefault="00BC4FA8" w:rsidP="00BB7527">
      <w:pPr>
        <w:spacing w:after="0" w:line="360" w:lineRule="auto"/>
        <w:jc w:val="both"/>
        <w:rPr>
          <w:rFonts w:ascii="Book Antiqua" w:hAnsi="Book Antiqua" w:cs="Times New Roman"/>
          <w:b/>
          <w:sz w:val="24"/>
          <w:szCs w:val="24"/>
          <w:lang w:val="en-US"/>
        </w:rPr>
      </w:pPr>
    </w:p>
    <w:p w:rsidR="00BC4FA8" w:rsidRPr="00DC768C" w:rsidRDefault="00BC4FA8" w:rsidP="00BB7527">
      <w:pPr>
        <w:spacing w:after="0" w:line="360" w:lineRule="auto"/>
        <w:jc w:val="both"/>
        <w:rPr>
          <w:rFonts w:ascii="Book Antiqua" w:hAnsi="Book Antiqua" w:cs="Times New Roman"/>
          <w:sz w:val="24"/>
          <w:szCs w:val="24"/>
          <w:vertAlign w:val="superscript"/>
        </w:rPr>
      </w:pPr>
      <w:r w:rsidRPr="00DC768C">
        <w:rPr>
          <w:rFonts w:ascii="Book Antiqua" w:hAnsi="Book Antiqua" w:cs="Times New Roman"/>
          <w:sz w:val="24"/>
          <w:szCs w:val="24"/>
        </w:rPr>
        <w:t>Antonio Fa</w:t>
      </w:r>
      <w:r w:rsidR="00334C75" w:rsidRPr="00DC768C">
        <w:rPr>
          <w:rFonts w:ascii="Book Antiqua" w:hAnsi="Book Antiqua" w:cs="Times New Roman"/>
          <w:sz w:val="24"/>
          <w:szCs w:val="24"/>
        </w:rPr>
        <w:t>cciorusso, Valentina Del Prete</w:t>
      </w:r>
      <w:r w:rsidRPr="00DC768C">
        <w:rPr>
          <w:rFonts w:ascii="Book Antiqua" w:hAnsi="Book Antiqua" w:cs="Times New Roman"/>
          <w:sz w:val="24"/>
          <w:szCs w:val="24"/>
        </w:rPr>
        <w:t>,</w:t>
      </w:r>
      <w:r w:rsidR="00334C75" w:rsidRPr="00DC768C">
        <w:rPr>
          <w:rFonts w:ascii="Book Antiqua" w:hAnsi="Book Antiqua" w:cs="Times New Roman"/>
          <w:sz w:val="24"/>
          <w:szCs w:val="24"/>
        </w:rPr>
        <w:t xml:space="preserve"> Nicola Crucinio, Gaetano Serviddio, Gianluigi Vendemiale, Nicola Muscatiello</w:t>
      </w:r>
    </w:p>
    <w:p w:rsidR="000A4A30" w:rsidRPr="000A4A30" w:rsidRDefault="000A4A30" w:rsidP="00BB7527">
      <w:pPr>
        <w:spacing w:after="0" w:line="360" w:lineRule="auto"/>
        <w:jc w:val="both"/>
        <w:rPr>
          <w:rFonts w:ascii="Book Antiqua" w:hAnsi="Book Antiqua" w:cs="Times New Roman"/>
          <w:sz w:val="24"/>
          <w:szCs w:val="24"/>
        </w:rPr>
      </w:pPr>
    </w:p>
    <w:p w:rsidR="000A4A30" w:rsidRPr="00DC768C" w:rsidRDefault="000A4A30" w:rsidP="00BB7527">
      <w:pPr>
        <w:spacing w:after="0" w:line="360" w:lineRule="auto"/>
        <w:jc w:val="both"/>
        <w:rPr>
          <w:rFonts w:ascii="Book Antiqua" w:hAnsi="Book Antiqua" w:cs="Times New Roman"/>
          <w:b/>
          <w:sz w:val="24"/>
          <w:szCs w:val="24"/>
          <w:lang w:eastAsia="zh-CN"/>
        </w:rPr>
      </w:pPr>
      <w:r w:rsidRPr="000A4A30">
        <w:rPr>
          <w:rFonts w:ascii="Book Antiqua" w:hAnsi="Book Antiqua" w:cs="Times New Roman"/>
          <w:b/>
          <w:sz w:val="24"/>
          <w:szCs w:val="24"/>
        </w:rPr>
        <w:t xml:space="preserve">Antonio Facciorusso, Valentina Del Prete, </w:t>
      </w:r>
      <w:r>
        <w:rPr>
          <w:rFonts w:ascii="Book Antiqua" w:hAnsi="Book Antiqua" w:cs="Times New Roman"/>
          <w:b/>
          <w:sz w:val="24"/>
          <w:szCs w:val="24"/>
        </w:rPr>
        <w:t>Nicola Crucinio, Nicola Muscatiello</w:t>
      </w:r>
      <w:r w:rsidR="00DC768C">
        <w:rPr>
          <w:rFonts w:ascii="Book Antiqua" w:hAnsi="Book Antiqua" w:cs="Times New Roman" w:hint="eastAsia"/>
          <w:b/>
          <w:sz w:val="24"/>
          <w:szCs w:val="24"/>
          <w:lang w:eastAsia="zh-CN"/>
        </w:rPr>
        <w:t xml:space="preserve">, </w:t>
      </w:r>
      <w:r w:rsidR="00E662CF" w:rsidRPr="00B33D98">
        <w:rPr>
          <w:rFonts w:ascii="Book Antiqua" w:hAnsi="Book Antiqua" w:cs="Times New Roman"/>
          <w:sz w:val="24"/>
          <w:szCs w:val="24"/>
        </w:rPr>
        <w:t>Gastroenterology Unit, University of Foggia,</w:t>
      </w:r>
      <w:r w:rsidR="00DC768C" w:rsidRPr="00B33D98">
        <w:rPr>
          <w:rFonts w:ascii="Book Antiqua" w:eastAsia="Times New Roman" w:hAnsi="Book Antiqua" w:cs="Times New Roman"/>
          <w:color w:val="000000"/>
          <w:sz w:val="24"/>
          <w:szCs w:val="24"/>
          <w:lang w:eastAsia="it-IT"/>
        </w:rPr>
        <w:t xml:space="preserve"> 71100 </w:t>
      </w:r>
      <w:r w:rsidR="00E662CF" w:rsidRPr="00B33D98">
        <w:rPr>
          <w:rFonts w:ascii="Book Antiqua" w:hAnsi="Book Antiqua" w:cs="Times New Roman"/>
          <w:sz w:val="24"/>
          <w:szCs w:val="24"/>
        </w:rPr>
        <w:t xml:space="preserve"> </w:t>
      </w:r>
      <w:r w:rsidR="00DC768C" w:rsidRPr="00B33D98">
        <w:rPr>
          <w:rFonts w:ascii="Book Antiqua" w:hAnsi="Book Antiqua" w:cs="Times New Roman"/>
          <w:sz w:val="24"/>
          <w:szCs w:val="24"/>
        </w:rPr>
        <w:t>Foggia</w:t>
      </w:r>
      <w:r w:rsidR="00DC768C" w:rsidRPr="00B33D98">
        <w:rPr>
          <w:rFonts w:ascii="Book Antiqua" w:hAnsi="Book Antiqua" w:cs="Times New Roman" w:hint="eastAsia"/>
          <w:sz w:val="24"/>
          <w:szCs w:val="24"/>
          <w:lang w:eastAsia="zh-CN"/>
        </w:rPr>
        <w:t xml:space="preserve">, </w:t>
      </w:r>
      <w:r w:rsidR="00E662CF" w:rsidRPr="00B33D98">
        <w:rPr>
          <w:rFonts w:ascii="Book Antiqua" w:hAnsi="Book Antiqua" w:cs="Times New Roman"/>
          <w:sz w:val="24"/>
          <w:szCs w:val="24"/>
        </w:rPr>
        <w:t>Italy</w:t>
      </w:r>
    </w:p>
    <w:p w:rsidR="000A4A30" w:rsidRPr="00DC768C" w:rsidRDefault="000A4A30" w:rsidP="00BB7527">
      <w:pPr>
        <w:spacing w:after="0" w:line="360" w:lineRule="auto"/>
        <w:jc w:val="both"/>
        <w:rPr>
          <w:rFonts w:ascii="Book Antiqua" w:hAnsi="Book Antiqua" w:cs="Times New Roman"/>
          <w:sz w:val="24"/>
          <w:szCs w:val="24"/>
        </w:rPr>
      </w:pPr>
    </w:p>
    <w:p w:rsidR="00E662CF" w:rsidRPr="00DC768C" w:rsidRDefault="000A4A30" w:rsidP="00BB7527">
      <w:pPr>
        <w:spacing w:after="0" w:line="360" w:lineRule="auto"/>
        <w:jc w:val="both"/>
        <w:rPr>
          <w:rFonts w:ascii="Book Antiqua" w:hAnsi="Book Antiqua" w:cs="Times New Roman"/>
          <w:b/>
          <w:sz w:val="24"/>
          <w:szCs w:val="24"/>
          <w:lang w:eastAsia="zh-CN"/>
        </w:rPr>
      </w:pPr>
      <w:r w:rsidRPr="00773855">
        <w:rPr>
          <w:rFonts w:ascii="Book Antiqua" w:hAnsi="Book Antiqua" w:cs="Times New Roman"/>
          <w:b/>
          <w:sz w:val="24"/>
          <w:szCs w:val="24"/>
        </w:rPr>
        <w:t>Gaetano Serviddio, Gianluigi Vendemiale</w:t>
      </w:r>
      <w:r w:rsidR="00DC768C">
        <w:rPr>
          <w:rFonts w:ascii="Book Antiqua" w:hAnsi="Book Antiqua" w:cs="Times New Roman" w:hint="eastAsia"/>
          <w:b/>
          <w:sz w:val="24"/>
          <w:szCs w:val="24"/>
          <w:lang w:eastAsia="zh-CN"/>
        </w:rPr>
        <w:t xml:space="preserve">, </w:t>
      </w:r>
      <w:r w:rsidR="00334C75" w:rsidRPr="00773855">
        <w:rPr>
          <w:rFonts w:ascii="Book Antiqua" w:hAnsi="Book Antiqua" w:cs="Times New Roman"/>
          <w:sz w:val="24"/>
          <w:szCs w:val="24"/>
        </w:rPr>
        <w:t xml:space="preserve">Internal Medicine Unit, University of Foggia, </w:t>
      </w:r>
      <w:r w:rsidR="00DC768C" w:rsidRPr="00B33D98">
        <w:rPr>
          <w:rFonts w:ascii="Book Antiqua" w:eastAsia="Times New Roman" w:hAnsi="Book Antiqua" w:cs="Times New Roman"/>
          <w:color w:val="000000"/>
          <w:sz w:val="24"/>
          <w:szCs w:val="24"/>
          <w:lang w:eastAsia="it-IT"/>
        </w:rPr>
        <w:t xml:space="preserve">71100 </w:t>
      </w:r>
      <w:r w:rsidR="00DC768C" w:rsidRPr="00773855">
        <w:rPr>
          <w:rFonts w:ascii="Book Antiqua" w:hAnsi="Book Antiqua" w:cs="Times New Roman"/>
          <w:sz w:val="24"/>
          <w:szCs w:val="24"/>
        </w:rPr>
        <w:t>Foggia</w:t>
      </w:r>
      <w:r w:rsidR="00DC768C">
        <w:rPr>
          <w:rFonts w:ascii="Book Antiqua" w:hAnsi="Book Antiqua" w:cs="Times New Roman" w:hint="eastAsia"/>
          <w:sz w:val="24"/>
          <w:szCs w:val="24"/>
          <w:lang w:eastAsia="zh-CN"/>
        </w:rPr>
        <w:t xml:space="preserve">, </w:t>
      </w:r>
      <w:r w:rsidR="00334C75" w:rsidRPr="00773855">
        <w:rPr>
          <w:rFonts w:ascii="Book Antiqua" w:hAnsi="Book Antiqua" w:cs="Times New Roman"/>
          <w:sz w:val="24"/>
          <w:szCs w:val="24"/>
        </w:rPr>
        <w:t>Italy</w:t>
      </w:r>
    </w:p>
    <w:p w:rsidR="003F32A8" w:rsidRPr="00773855" w:rsidRDefault="003F32A8" w:rsidP="00BB7527">
      <w:pPr>
        <w:spacing w:after="0" w:line="360" w:lineRule="auto"/>
        <w:jc w:val="both"/>
        <w:rPr>
          <w:rFonts w:ascii="Book Antiqua" w:hAnsi="Book Antiqua" w:cs="Times New Roman"/>
          <w:b/>
          <w:sz w:val="24"/>
          <w:szCs w:val="24"/>
        </w:rPr>
      </w:pPr>
    </w:p>
    <w:p w:rsidR="00394D40" w:rsidRPr="00DC768C" w:rsidRDefault="007B0128" w:rsidP="00BB7527">
      <w:pPr>
        <w:spacing w:after="0" w:line="360" w:lineRule="auto"/>
        <w:jc w:val="both"/>
        <w:rPr>
          <w:rFonts w:ascii="Book Antiqua" w:hAnsi="Book Antiqua" w:cs="Times New Roman"/>
          <w:sz w:val="24"/>
          <w:szCs w:val="24"/>
          <w:lang w:val="en-US" w:eastAsia="zh-CN"/>
        </w:rPr>
      </w:pPr>
      <w:r>
        <w:rPr>
          <w:rFonts w:ascii="Book Antiqua" w:hAnsi="Book Antiqua" w:cs="Times New Roman"/>
          <w:b/>
          <w:sz w:val="24"/>
          <w:szCs w:val="24"/>
          <w:lang w:val="en-US"/>
        </w:rPr>
        <w:t xml:space="preserve">Author contributions: </w:t>
      </w:r>
      <w:r>
        <w:rPr>
          <w:rFonts w:ascii="Book Antiqua" w:hAnsi="Book Antiqua" w:cs="Times New Roman"/>
          <w:sz w:val="24"/>
          <w:szCs w:val="24"/>
          <w:lang w:val="en-US"/>
        </w:rPr>
        <w:t xml:space="preserve">Facciorusso A designed the study, performed the statistical analysis and wrote the paper; Crucinio N performed the </w:t>
      </w:r>
      <w:r w:rsidR="00394D40">
        <w:rPr>
          <w:rFonts w:ascii="Book Antiqua" w:hAnsi="Book Antiqua" w:cs="Times New Roman"/>
          <w:sz w:val="24"/>
          <w:szCs w:val="24"/>
          <w:lang w:val="en-US"/>
        </w:rPr>
        <w:t xml:space="preserve">treatment </w:t>
      </w:r>
      <w:r>
        <w:rPr>
          <w:rFonts w:ascii="Book Antiqua" w:hAnsi="Book Antiqua" w:cs="Times New Roman"/>
          <w:sz w:val="24"/>
          <w:szCs w:val="24"/>
          <w:lang w:val="en-US"/>
        </w:rPr>
        <w:t>procedure</w:t>
      </w:r>
      <w:r w:rsidR="00394D40">
        <w:rPr>
          <w:rFonts w:ascii="Book Antiqua" w:hAnsi="Book Antiqua" w:cs="Times New Roman"/>
          <w:sz w:val="24"/>
          <w:szCs w:val="24"/>
          <w:lang w:val="en-US"/>
        </w:rPr>
        <w:t>s</w:t>
      </w:r>
      <w:r>
        <w:rPr>
          <w:rFonts w:ascii="Book Antiqua" w:hAnsi="Book Antiqua" w:cs="Times New Roman"/>
          <w:sz w:val="24"/>
          <w:szCs w:val="24"/>
          <w:lang w:val="en-US"/>
        </w:rPr>
        <w:t xml:space="preserve">; </w:t>
      </w:r>
      <w:r w:rsidR="00394D40">
        <w:rPr>
          <w:rFonts w:ascii="Book Antiqua" w:hAnsi="Book Antiqua" w:cs="Times New Roman"/>
          <w:sz w:val="24"/>
          <w:szCs w:val="24"/>
          <w:lang w:val="en-US"/>
        </w:rPr>
        <w:t xml:space="preserve">Del Prete V and Muscatiello N collected the data; Vendemiale G and Serviddio G revised the paper. </w:t>
      </w:r>
    </w:p>
    <w:p w:rsidR="000824E6" w:rsidRDefault="000824E6" w:rsidP="00BB7527">
      <w:pPr>
        <w:autoSpaceDE w:val="0"/>
        <w:autoSpaceDN w:val="0"/>
        <w:adjustRightInd w:val="0"/>
        <w:spacing w:after="0" w:line="360" w:lineRule="auto"/>
        <w:jc w:val="both"/>
        <w:rPr>
          <w:rFonts w:ascii="Book Antiqua" w:eastAsia="Times New Roman" w:hAnsi="Book Antiqua" w:cs="Times New Roman"/>
          <w:b/>
          <w:bCs/>
          <w:color w:val="000000"/>
          <w:sz w:val="24"/>
          <w:szCs w:val="24"/>
          <w:lang w:val="en-US" w:eastAsia="it-IT"/>
        </w:rPr>
      </w:pPr>
    </w:p>
    <w:p w:rsidR="00394D40" w:rsidRPr="00394D40" w:rsidRDefault="00394D40" w:rsidP="00BB7527">
      <w:pPr>
        <w:autoSpaceDE w:val="0"/>
        <w:autoSpaceDN w:val="0"/>
        <w:adjustRightInd w:val="0"/>
        <w:spacing w:after="0" w:line="360" w:lineRule="auto"/>
        <w:jc w:val="both"/>
        <w:rPr>
          <w:rFonts w:ascii="Book Antiqua" w:eastAsia="Times New Roman" w:hAnsi="Book Antiqua" w:cs="Times New Roman"/>
          <w:bCs/>
          <w:color w:val="000000"/>
          <w:sz w:val="24"/>
          <w:szCs w:val="24"/>
          <w:lang w:val="en-US" w:eastAsia="it-IT"/>
        </w:rPr>
      </w:pPr>
      <w:r>
        <w:rPr>
          <w:rFonts w:ascii="Book Antiqua" w:eastAsia="Times New Roman" w:hAnsi="Book Antiqua" w:cs="Times New Roman"/>
          <w:b/>
          <w:bCs/>
          <w:color w:val="000000"/>
          <w:sz w:val="24"/>
          <w:szCs w:val="24"/>
          <w:lang w:val="en-US" w:eastAsia="it-IT"/>
        </w:rPr>
        <w:t xml:space="preserve">Institutional review board statement: </w:t>
      </w:r>
      <w:r>
        <w:rPr>
          <w:rFonts w:ascii="Book Antiqua" w:eastAsia="Times New Roman" w:hAnsi="Book Antiqua" w:cs="Times New Roman"/>
          <w:bCs/>
          <w:color w:val="000000"/>
          <w:sz w:val="24"/>
          <w:szCs w:val="24"/>
          <w:lang w:val="en-US" w:eastAsia="it-IT"/>
        </w:rPr>
        <w:t>This study was approved by the</w:t>
      </w:r>
      <w:r w:rsidRPr="00394D40">
        <w:rPr>
          <w:rFonts w:ascii="Book Antiqua" w:eastAsia="Times New Roman" w:hAnsi="Book Antiqua" w:cs="Times New Roman"/>
          <w:bCs/>
          <w:color w:val="000000"/>
          <w:sz w:val="24"/>
          <w:szCs w:val="24"/>
          <w:lang w:val="en-US" w:eastAsia="it-IT"/>
        </w:rPr>
        <w:t xml:space="preserve"> Institutional Review Board </w:t>
      </w:r>
      <w:r>
        <w:rPr>
          <w:rFonts w:ascii="Book Antiqua" w:eastAsia="Times New Roman" w:hAnsi="Book Antiqua" w:cs="Times New Roman"/>
          <w:bCs/>
          <w:color w:val="000000"/>
          <w:sz w:val="24"/>
          <w:szCs w:val="24"/>
          <w:lang w:val="en-US" w:eastAsia="it-IT"/>
        </w:rPr>
        <w:t xml:space="preserve">of the University of Foggia </w:t>
      </w:r>
      <w:r w:rsidRPr="00394D40">
        <w:rPr>
          <w:rFonts w:ascii="Book Antiqua" w:eastAsia="Times New Roman" w:hAnsi="Book Antiqua" w:cs="Times New Roman"/>
          <w:bCs/>
          <w:color w:val="000000"/>
          <w:sz w:val="24"/>
          <w:szCs w:val="24"/>
          <w:lang w:val="en-US" w:eastAsia="it-IT"/>
        </w:rPr>
        <w:t>for retrospective evaluation of de-identified patients.</w:t>
      </w:r>
    </w:p>
    <w:p w:rsidR="00394D40" w:rsidRDefault="00394D40" w:rsidP="00BB7527">
      <w:pPr>
        <w:autoSpaceDE w:val="0"/>
        <w:autoSpaceDN w:val="0"/>
        <w:adjustRightInd w:val="0"/>
        <w:spacing w:after="0" w:line="360" w:lineRule="auto"/>
        <w:jc w:val="both"/>
        <w:rPr>
          <w:rFonts w:ascii="Book Antiqua" w:eastAsia="Times New Roman" w:hAnsi="Book Antiqua" w:cs="Times New Roman"/>
          <w:bCs/>
          <w:color w:val="000000"/>
          <w:sz w:val="24"/>
          <w:szCs w:val="24"/>
          <w:lang w:val="en-US" w:eastAsia="it-IT"/>
        </w:rPr>
      </w:pPr>
    </w:p>
    <w:p w:rsidR="000824E6" w:rsidRPr="00394D40" w:rsidRDefault="000824E6" w:rsidP="00BB7527">
      <w:pPr>
        <w:autoSpaceDE w:val="0"/>
        <w:autoSpaceDN w:val="0"/>
        <w:adjustRightInd w:val="0"/>
        <w:spacing w:after="0" w:line="360" w:lineRule="auto"/>
        <w:jc w:val="both"/>
        <w:rPr>
          <w:rFonts w:ascii="Book Antiqua" w:eastAsia="Times New Roman" w:hAnsi="Book Antiqua" w:cs="Times New Roman"/>
          <w:bCs/>
          <w:color w:val="000000"/>
          <w:sz w:val="24"/>
          <w:szCs w:val="24"/>
          <w:lang w:val="en-US" w:eastAsia="it-IT"/>
        </w:rPr>
      </w:pPr>
      <w:r w:rsidRPr="000824E6">
        <w:rPr>
          <w:rFonts w:ascii="Book Antiqua" w:eastAsia="Times New Roman" w:hAnsi="Book Antiqua" w:cs="Times New Roman"/>
          <w:b/>
          <w:bCs/>
          <w:color w:val="000000"/>
          <w:sz w:val="24"/>
          <w:szCs w:val="24"/>
          <w:lang w:val="en-US" w:eastAsia="it-IT"/>
        </w:rPr>
        <w:t xml:space="preserve">Informed consent statement: </w:t>
      </w:r>
      <w:r w:rsidRPr="000824E6">
        <w:rPr>
          <w:rFonts w:ascii="Book Antiqua" w:eastAsia="Times New Roman" w:hAnsi="Book Antiqua" w:cs="Times New Roman"/>
          <w:bCs/>
          <w:color w:val="000000"/>
          <w:sz w:val="24"/>
          <w:szCs w:val="24"/>
          <w:lang w:val="en-US" w:eastAsia="it-IT"/>
        </w:rPr>
        <w:t>Patients were not required to give informed consent to</w:t>
      </w:r>
      <w:r>
        <w:rPr>
          <w:rFonts w:ascii="Book Antiqua" w:eastAsia="Times New Roman" w:hAnsi="Book Antiqua" w:cs="Times New Roman"/>
          <w:bCs/>
          <w:color w:val="000000"/>
          <w:sz w:val="24"/>
          <w:szCs w:val="24"/>
          <w:lang w:val="en-US" w:eastAsia="it-IT"/>
        </w:rPr>
        <w:t xml:space="preserve"> </w:t>
      </w:r>
      <w:r w:rsidRPr="000824E6">
        <w:rPr>
          <w:rFonts w:ascii="Book Antiqua" w:eastAsia="Times New Roman" w:hAnsi="Book Antiqua" w:cs="Times New Roman"/>
          <w:bCs/>
          <w:color w:val="000000"/>
          <w:sz w:val="24"/>
          <w:szCs w:val="24"/>
          <w:lang w:val="en-US" w:eastAsia="it-IT"/>
        </w:rPr>
        <w:t>the study because the analysis used anonymous clinica</w:t>
      </w:r>
      <w:r w:rsidR="00BB74F3">
        <w:rPr>
          <w:rFonts w:ascii="Book Antiqua" w:eastAsia="Times New Roman" w:hAnsi="Book Antiqua" w:cs="Times New Roman"/>
          <w:bCs/>
          <w:color w:val="000000"/>
          <w:sz w:val="24"/>
          <w:szCs w:val="24"/>
          <w:lang w:val="en-US" w:eastAsia="it-IT"/>
        </w:rPr>
        <w:t xml:space="preserve">l data that were obtained after </w:t>
      </w:r>
      <w:r w:rsidRPr="000824E6">
        <w:rPr>
          <w:rFonts w:ascii="Book Antiqua" w:eastAsia="Times New Roman" w:hAnsi="Book Antiqua" w:cs="Times New Roman"/>
          <w:bCs/>
          <w:color w:val="000000"/>
          <w:sz w:val="24"/>
          <w:szCs w:val="24"/>
          <w:lang w:val="en-US" w:eastAsia="it-IT"/>
        </w:rPr>
        <w:t>each patient agreed to treatment by written consent.</w:t>
      </w:r>
    </w:p>
    <w:p w:rsidR="00394D40" w:rsidRDefault="00394D40" w:rsidP="00BB7527">
      <w:pPr>
        <w:autoSpaceDE w:val="0"/>
        <w:autoSpaceDN w:val="0"/>
        <w:adjustRightInd w:val="0"/>
        <w:spacing w:after="0" w:line="360" w:lineRule="auto"/>
        <w:jc w:val="both"/>
        <w:rPr>
          <w:rFonts w:ascii="Book Antiqua" w:eastAsia="Times New Roman" w:hAnsi="Book Antiqua" w:cs="Times New Roman"/>
          <w:b/>
          <w:bCs/>
          <w:color w:val="000000"/>
          <w:sz w:val="24"/>
          <w:szCs w:val="24"/>
          <w:lang w:val="en-US" w:eastAsia="it-IT"/>
        </w:rPr>
      </w:pPr>
    </w:p>
    <w:p w:rsidR="004A6B16" w:rsidRPr="004A6B16" w:rsidRDefault="004A6B16" w:rsidP="00BB7527">
      <w:pPr>
        <w:autoSpaceDE w:val="0"/>
        <w:autoSpaceDN w:val="0"/>
        <w:adjustRightInd w:val="0"/>
        <w:spacing w:after="0" w:line="360" w:lineRule="auto"/>
        <w:jc w:val="both"/>
        <w:rPr>
          <w:rFonts w:ascii="Book Antiqua" w:eastAsia="Times New Roman" w:hAnsi="Book Antiqua" w:cs="Times New Roman"/>
          <w:bCs/>
          <w:color w:val="000000"/>
          <w:sz w:val="24"/>
          <w:szCs w:val="24"/>
          <w:lang w:val="en-US" w:eastAsia="it-IT"/>
        </w:rPr>
      </w:pPr>
      <w:r w:rsidRPr="004A6B16">
        <w:rPr>
          <w:rFonts w:ascii="Book Antiqua" w:eastAsia="Times New Roman" w:hAnsi="Book Antiqua" w:cs="Times New Roman"/>
          <w:b/>
          <w:bCs/>
          <w:color w:val="000000"/>
          <w:sz w:val="24"/>
          <w:szCs w:val="24"/>
          <w:lang w:val="en-US" w:eastAsia="it-IT"/>
        </w:rPr>
        <w:lastRenderedPageBreak/>
        <w:t xml:space="preserve">Conflict-of-interest statement: </w:t>
      </w:r>
      <w:r w:rsidR="00C20293" w:rsidRPr="00C20293">
        <w:rPr>
          <w:rFonts w:ascii="Book Antiqua" w:eastAsia="Times New Roman" w:hAnsi="Book Antiqua" w:cs="Times New Roman"/>
          <w:bCs/>
          <w:color w:val="000000"/>
          <w:sz w:val="24"/>
          <w:szCs w:val="24"/>
          <w:lang w:val="en-US" w:eastAsia="it-IT"/>
        </w:rPr>
        <w:t xml:space="preserve">None of the authors have received fees for serving as a speaker or are consultant/advisory board member for any organizations. None of the authors have received research funding from any organizations. None </w:t>
      </w:r>
      <w:r w:rsidR="00DC768C">
        <w:rPr>
          <w:rFonts w:ascii="Book Antiqua" w:eastAsia="Times New Roman" w:hAnsi="Book Antiqua" w:cs="Times New Roman"/>
          <w:bCs/>
          <w:color w:val="000000"/>
          <w:sz w:val="24"/>
          <w:szCs w:val="24"/>
          <w:lang w:val="en-US" w:eastAsia="it-IT"/>
        </w:rPr>
        <w:t>of the authors are employees of</w:t>
      </w:r>
      <w:r w:rsidR="00C20293" w:rsidRPr="00C20293">
        <w:rPr>
          <w:rFonts w:ascii="Book Antiqua" w:eastAsia="Times New Roman" w:hAnsi="Book Antiqua" w:cs="Times New Roman"/>
          <w:bCs/>
          <w:color w:val="000000"/>
          <w:sz w:val="24"/>
          <w:szCs w:val="24"/>
          <w:lang w:val="en-US" w:eastAsia="it-IT"/>
        </w:rPr>
        <w:t xml:space="preserve"> any organizations. None of the authors own stocks and/or share in any organizations. None of the authors own patents.</w:t>
      </w:r>
    </w:p>
    <w:p w:rsidR="004A6B16" w:rsidRDefault="004A6B16" w:rsidP="00BB7527">
      <w:pPr>
        <w:autoSpaceDE w:val="0"/>
        <w:autoSpaceDN w:val="0"/>
        <w:adjustRightInd w:val="0"/>
        <w:spacing w:after="0" w:line="360" w:lineRule="auto"/>
        <w:jc w:val="both"/>
        <w:rPr>
          <w:rFonts w:ascii="Book Antiqua" w:eastAsia="Times New Roman" w:hAnsi="Book Antiqua" w:cs="Times New Roman"/>
          <w:b/>
          <w:bCs/>
          <w:color w:val="000000"/>
          <w:sz w:val="24"/>
          <w:szCs w:val="24"/>
          <w:lang w:val="en-US" w:eastAsia="it-IT"/>
        </w:rPr>
      </w:pPr>
    </w:p>
    <w:p w:rsidR="00394D40" w:rsidRDefault="004A6B16" w:rsidP="00BB7527">
      <w:pPr>
        <w:autoSpaceDE w:val="0"/>
        <w:autoSpaceDN w:val="0"/>
        <w:adjustRightInd w:val="0"/>
        <w:spacing w:after="0" w:line="360" w:lineRule="auto"/>
        <w:jc w:val="both"/>
        <w:rPr>
          <w:rFonts w:ascii="Book Antiqua" w:hAnsi="Book Antiqua" w:cs="Times New Roman"/>
          <w:bCs/>
          <w:color w:val="000000"/>
          <w:sz w:val="24"/>
          <w:szCs w:val="24"/>
          <w:lang w:val="en-US" w:eastAsia="zh-CN"/>
        </w:rPr>
      </w:pPr>
      <w:r w:rsidRPr="004A6B16">
        <w:rPr>
          <w:rFonts w:ascii="Book Antiqua" w:eastAsia="Times New Roman" w:hAnsi="Book Antiqua" w:cs="Times New Roman"/>
          <w:b/>
          <w:bCs/>
          <w:color w:val="000000"/>
          <w:sz w:val="24"/>
          <w:szCs w:val="24"/>
          <w:lang w:val="en-US" w:eastAsia="it-IT"/>
        </w:rPr>
        <w:t xml:space="preserve">Data sharing statement: </w:t>
      </w:r>
      <w:r w:rsidRPr="004A6B16">
        <w:rPr>
          <w:rFonts w:ascii="Book Antiqua" w:eastAsia="Times New Roman" w:hAnsi="Book Antiqua" w:cs="Times New Roman"/>
          <w:bCs/>
          <w:color w:val="000000"/>
          <w:sz w:val="24"/>
          <w:szCs w:val="24"/>
          <w:lang w:val="en-US" w:eastAsia="it-IT"/>
        </w:rPr>
        <w:t>No additional data are available.</w:t>
      </w:r>
    </w:p>
    <w:p w:rsidR="00DC768C" w:rsidRPr="00DC768C" w:rsidRDefault="00DC768C" w:rsidP="00BB7527">
      <w:pPr>
        <w:autoSpaceDE w:val="0"/>
        <w:autoSpaceDN w:val="0"/>
        <w:adjustRightInd w:val="0"/>
        <w:spacing w:after="0" w:line="360" w:lineRule="auto"/>
        <w:jc w:val="both"/>
        <w:rPr>
          <w:rFonts w:ascii="Book Antiqua" w:hAnsi="Book Antiqua" w:cs="Times New Roman"/>
          <w:b/>
          <w:bCs/>
          <w:color w:val="000000"/>
          <w:sz w:val="24"/>
          <w:szCs w:val="24"/>
          <w:lang w:val="en-US" w:eastAsia="zh-CN"/>
        </w:rPr>
      </w:pPr>
    </w:p>
    <w:p w:rsidR="00DC768C" w:rsidRPr="00B33D98" w:rsidRDefault="00DC768C" w:rsidP="00BB7527">
      <w:pPr>
        <w:spacing w:line="360" w:lineRule="auto"/>
        <w:jc w:val="both"/>
        <w:rPr>
          <w:rFonts w:ascii="Book Antiqua" w:hAnsi="Book Antiqua"/>
          <w:b/>
          <w:color w:val="000000"/>
          <w:sz w:val="24"/>
          <w:lang w:val="en-US"/>
        </w:rPr>
      </w:pPr>
      <w:bookmarkStart w:id="0" w:name="OLE_LINK155"/>
      <w:bookmarkStart w:id="1" w:name="OLE_LINK183"/>
      <w:bookmarkStart w:id="2" w:name="OLE_LINK441"/>
      <w:r w:rsidRPr="00B33D98">
        <w:rPr>
          <w:rFonts w:ascii="Book Antiqua" w:hAnsi="Book Antiqua"/>
          <w:b/>
          <w:color w:val="000000"/>
          <w:sz w:val="24"/>
          <w:lang w:val="en-US"/>
        </w:rPr>
        <w:t xml:space="preserve">Open-Access: </w:t>
      </w:r>
      <w:r w:rsidRPr="00B33D98">
        <w:rPr>
          <w:rFonts w:ascii="Book Antiqua" w:hAnsi="Book Antiqua"/>
          <w:color w:val="000000"/>
          <w:sz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bookmarkEnd w:id="2"/>
    <w:p w:rsidR="004A6B16" w:rsidRPr="00DC768C" w:rsidRDefault="004A6B16" w:rsidP="00BB7527">
      <w:pPr>
        <w:autoSpaceDE w:val="0"/>
        <w:autoSpaceDN w:val="0"/>
        <w:adjustRightInd w:val="0"/>
        <w:spacing w:after="0" w:line="360" w:lineRule="auto"/>
        <w:jc w:val="both"/>
        <w:rPr>
          <w:rFonts w:ascii="Book Antiqua" w:hAnsi="Book Antiqua" w:cs="Times New Roman"/>
          <w:b/>
          <w:bCs/>
          <w:color w:val="000000"/>
          <w:sz w:val="24"/>
          <w:szCs w:val="24"/>
          <w:lang w:val="en-US" w:eastAsia="zh-CN"/>
        </w:rPr>
      </w:pPr>
    </w:p>
    <w:p w:rsidR="00E242CF" w:rsidRPr="004A6B16" w:rsidRDefault="004A6B16" w:rsidP="00BB7527">
      <w:pPr>
        <w:autoSpaceDE w:val="0"/>
        <w:autoSpaceDN w:val="0"/>
        <w:adjustRightInd w:val="0"/>
        <w:spacing w:after="0" w:line="360" w:lineRule="auto"/>
        <w:jc w:val="both"/>
        <w:rPr>
          <w:rFonts w:ascii="Book Antiqua" w:eastAsia="Times New Roman" w:hAnsi="Book Antiqua" w:cs="Times New Roman"/>
          <w:color w:val="000000"/>
          <w:sz w:val="24"/>
          <w:szCs w:val="24"/>
          <w:lang w:val="en-US" w:eastAsia="it-IT"/>
        </w:rPr>
      </w:pPr>
      <w:r w:rsidRPr="004A6B16">
        <w:rPr>
          <w:rFonts w:ascii="Book Antiqua" w:eastAsia="Times New Roman" w:hAnsi="Book Antiqua" w:cs="Times New Roman"/>
          <w:b/>
          <w:bCs/>
          <w:color w:val="000000"/>
          <w:sz w:val="24"/>
          <w:szCs w:val="24"/>
          <w:lang w:val="en-US" w:eastAsia="it-IT"/>
        </w:rPr>
        <w:t xml:space="preserve">Correspondence to: </w:t>
      </w:r>
      <w:r w:rsidR="00E242CF" w:rsidRPr="004A6B16">
        <w:rPr>
          <w:rFonts w:ascii="Book Antiqua" w:eastAsia="Times New Roman" w:hAnsi="Book Antiqua" w:cs="Times New Roman"/>
          <w:b/>
          <w:color w:val="000000"/>
          <w:sz w:val="24"/>
          <w:szCs w:val="24"/>
          <w:lang w:val="en-US" w:eastAsia="it-IT"/>
        </w:rPr>
        <w:t>Antonio Facciorusso</w:t>
      </w:r>
      <w:r w:rsidRPr="004A6B16">
        <w:rPr>
          <w:rFonts w:ascii="Book Antiqua" w:eastAsia="Times New Roman" w:hAnsi="Book Antiqua" w:cs="Times New Roman"/>
          <w:b/>
          <w:color w:val="000000"/>
          <w:sz w:val="24"/>
          <w:szCs w:val="24"/>
          <w:lang w:val="en-US" w:eastAsia="it-IT"/>
        </w:rPr>
        <w:t xml:space="preserve">, MD, </w:t>
      </w:r>
      <w:r w:rsidR="00E242CF" w:rsidRPr="00FA3054">
        <w:rPr>
          <w:rFonts w:ascii="Book Antiqua" w:eastAsia="Times New Roman" w:hAnsi="Book Antiqua" w:cs="Times New Roman"/>
          <w:color w:val="000000"/>
          <w:sz w:val="24"/>
          <w:szCs w:val="24"/>
          <w:lang w:val="en-US" w:eastAsia="it-IT"/>
        </w:rPr>
        <w:t>Gastroenterology Unit, Department of Medical Sciences</w:t>
      </w:r>
      <w:r>
        <w:rPr>
          <w:rFonts w:ascii="Book Antiqua" w:eastAsia="Times New Roman" w:hAnsi="Book Antiqua" w:cs="Times New Roman"/>
          <w:color w:val="000000"/>
          <w:sz w:val="24"/>
          <w:szCs w:val="24"/>
          <w:lang w:val="en-US" w:eastAsia="it-IT"/>
        </w:rPr>
        <w:t>,</w:t>
      </w:r>
      <w:r w:rsidR="00E242CF" w:rsidRPr="00FA3054">
        <w:rPr>
          <w:rFonts w:ascii="Book Antiqua" w:eastAsia="Times New Roman" w:hAnsi="Book Antiqua" w:cs="Times New Roman"/>
          <w:color w:val="000000"/>
          <w:sz w:val="24"/>
          <w:szCs w:val="24"/>
          <w:lang w:val="en-US" w:eastAsia="it-IT"/>
        </w:rPr>
        <w:t xml:space="preserve"> </w:t>
      </w:r>
      <w:r w:rsidR="00E242CF" w:rsidRPr="004A6B16">
        <w:rPr>
          <w:rFonts w:ascii="Book Antiqua" w:eastAsia="Times New Roman" w:hAnsi="Book Antiqua" w:cs="Times New Roman"/>
          <w:color w:val="000000"/>
          <w:sz w:val="24"/>
          <w:szCs w:val="24"/>
          <w:lang w:val="en-US" w:eastAsia="it-IT"/>
        </w:rPr>
        <w:t>University of Foggia</w:t>
      </w:r>
      <w:r>
        <w:rPr>
          <w:rFonts w:ascii="Book Antiqua" w:eastAsia="Times New Roman" w:hAnsi="Book Antiqua" w:cs="Times New Roman"/>
          <w:color w:val="000000"/>
          <w:sz w:val="24"/>
          <w:szCs w:val="24"/>
          <w:lang w:val="en-US" w:eastAsia="it-IT"/>
        </w:rPr>
        <w:t>,</w:t>
      </w:r>
      <w:r w:rsidR="00E242CF" w:rsidRPr="004A6B16">
        <w:rPr>
          <w:rFonts w:ascii="Book Antiqua" w:eastAsia="Times New Roman" w:hAnsi="Book Antiqua" w:cs="Times New Roman"/>
          <w:color w:val="000000"/>
          <w:sz w:val="24"/>
          <w:szCs w:val="24"/>
          <w:lang w:val="en-US" w:eastAsia="it-IT"/>
        </w:rPr>
        <w:t xml:space="preserve"> </w:t>
      </w:r>
      <w:r>
        <w:rPr>
          <w:rFonts w:ascii="Book Antiqua" w:eastAsia="Times New Roman" w:hAnsi="Book Antiqua" w:cs="Times New Roman"/>
          <w:color w:val="000000"/>
          <w:sz w:val="24"/>
          <w:szCs w:val="24"/>
          <w:lang w:val="en-US" w:eastAsia="it-IT"/>
        </w:rPr>
        <w:t>Viale L.Pinto, 1, 71100 Foggia</w:t>
      </w:r>
      <w:r w:rsidR="00DC768C">
        <w:rPr>
          <w:rFonts w:ascii="Book Antiqua" w:hAnsi="Book Antiqua" w:cs="Times New Roman" w:hint="eastAsia"/>
          <w:color w:val="000000"/>
          <w:sz w:val="24"/>
          <w:szCs w:val="24"/>
          <w:lang w:val="en-US" w:eastAsia="zh-CN"/>
        </w:rPr>
        <w:t xml:space="preserve">, </w:t>
      </w:r>
      <w:r w:rsidR="00DC768C">
        <w:rPr>
          <w:rFonts w:ascii="Book Antiqua" w:eastAsia="Times New Roman" w:hAnsi="Book Antiqua" w:cs="Times New Roman"/>
          <w:color w:val="000000"/>
          <w:sz w:val="24"/>
          <w:szCs w:val="24"/>
          <w:lang w:val="en-US" w:eastAsia="it-IT"/>
        </w:rPr>
        <w:t>Italy</w:t>
      </w:r>
      <w:r w:rsidR="00DC768C">
        <w:rPr>
          <w:rFonts w:ascii="Book Antiqua" w:hAnsi="Book Antiqua" w:cs="Times New Roman" w:hint="eastAsia"/>
          <w:color w:val="000000"/>
          <w:sz w:val="24"/>
          <w:szCs w:val="24"/>
          <w:lang w:val="en-US" w:eastAsia="zh-CN"/>
        </w:rPr>
        <w:t xml:space="preserve">. </w:t>
      </w:r>
      <w:r>
        <w:rPr>
          <w:rFonts w:ascii="Book Antiqua" w:eastAsia="Times New Roman" w:hAnsi="Book Antiqua" w:cs="Times New Roman"/>
          <w:color w:val="000000"/>
          <w:sz w:val="24"/>
          <w:szCs w:val="24"/>
          <w:lang w:val="en-US" w:eastAsia="it-IT"/>
        </w:rPr>
        <w:t>antonio.facciorusso@virgilio.it</w:t>
      </w:r>
    </w:p>
    <w:p w:rsidR="00E242CF" w:rsidRPr="00FA3054" w:rsidRDefault="00DC768C" w:rsidP="00BB7527">
      <w:pPr>
        <w:autoSpaceDE w:val="0"/>
        <w:autoSpaceDN w:val="0"/>
        <w:adjustRightInd w:val="0"/>
        <w:spacing w:after="0" w:line="360" w:lineRule="auto"/>
        <w:jc w:val="both"/>
        <w:rPr>
          <w:rFonts w:ascii="Book Antiqua" w:eastAsia="Times New Roman" w:hAnsi="Book Antiqua" w:cs="Times New Roman"/>
          <w:color w:val="000000"/>
          <w:sz w:val="24"/>
          <w:szCs w:val="24"/>
          <w:lang w:val="en-US" w:eastAsia="it-IT"/>
        </w:rPr>
      </w:pPr>
      <w:r>
        <w:rPr>
          <w:rFonts w:ascii="Book Antiqua" w:hAnsi="Book Antiqua" w:cs="Times New Roman" w:hint="eastAsia"/>
          <w:b/>
          <w:color w:val="000000"/>
          <w:sz w:val="24"/>
          <w:szCs w:val="24"/>
          <w:lang w:val="en-US" w:eastAsia="zh-CN"/>
        </w:rPr>
        <w:t>Tele</w:t>
      </w:r>
      <w:r w:rsidRPr="004A6B16">
        <w:rPr>
          <w:rFonts w:ascii="Book Antiqua" w:eastAsia="Times New Roman" w:hAnsi="Book Antiqua" w:cs="Times New Roman"/>
          <w:b/>
          <w:color w:val="000000"/>
          <w:sz w:val="24"/>
          <w:szCs w:val="24"/>
          <w:lang w:val="en-US" w:eastAsia="it-IT"/>
        </w:rPr>
        <w:t>p</w:t>
      </w:r>
      <w:r w:rsidR="00E242CF" w:rsidRPr="004A6B16">
        <w:rPr>
          <w:rFonts w:ascii="Book Antiqua" w:eastAsia="Times New Roman" w:hAnsi="Book Antiqua" w:cs="Times New Roman"/>
          <w:b/>
          <w:color w:val="000000"/>
          <w:sz w:val="24"/>
          <w:szCs w:val="24"/>
          <w:lang w:val="en-US" w:eastAsia="it-IT"/>
        </w:rPr>
        <w:t xml:space="preserve">hone: </w:t>
      </w:r>
      <w:r w:rsidR="00E242CF" w:rsidRPr="00FA3054">
        <w:rPr>
          <w:rFonts w:ascii="Book Antiqua" w:eastAsia="Times New Roman" w:hAnsi="Book Antiqua" w:cs="Times New Roman"/>
          <w:color w:val="000000"/>
          <w:sz w:val="24"/>
          <w:szCs w:val="24"/>
          <w:lang w:val="en-US" w:eastAsia="it-IT"/>
        </w:rPr>
        <w:t>+39</w:t>
      </w:r>
      <w:r>
        <w:rPr>
          <w:rFonts w:ascii="Book Antiqua" w:hAnsi="Book Antiqua" w:cs="Times New Roman" w:hint="eastAsia"/>
          <w:color w:val="000000"/>
          <w:sz w:val="24"/>
          <w:szCs w:val="24"/>
          <w:lang w:val="en-US" w:eastAsia="zh-CN"/>
        </w:rPr>
        <w:t>-</w:t>
      </w:r>
      <w:r w:rsidR="00E242CF" w:rsidRPr="00FA3054">
        <w:rPr>
          <w:rFonts w:ascii="Book Antiqua" w:eastAsia="Times New Roman" w:hAnsi="Book Antiqua" w:cs="Times New Roman"/>
          <w:color w:val="000000"/>
          <w:sz w:val="24"/>
          <w:szCs w:val="24"/>
          <w:lang w:val="en-US" w:eastAsia="it-IT"/>
        </w:rPr>
        <w:t>881</w:t>
      </w:r>
      <w:r>
        <w:rPr>
          <w:rFonts w:ascii="Book Antiqua" w:hAnsi="Book Antiqua" w:cs="Times New Roman" w:hint="eastAsia"/>
          <w:color w:val="000000"/>
          <w:sz w:val="24"/>
          <w:szCs w:val="24"/>
          <w:lang w:val="en-US" w:eastAsia="zh-CN"/>
        </w:rPr>
        <w:t>-</w:t>
      </w:r>
      <w:r w:rsidR="00E242CF" w:rsidRPr="00FA3054">
        <w:rPr>
          <w:rFonts w:ascii="Book Antiqua" w:eastAsia="Times New Roman" w:hAnsi="Book Antiqua" w:cs="Times New Roman"/>
          <w:color w:val="000000"/>
          <w:sz w:val="24"/>
          <w:szCs w:val="24"/>
          <w:lang w:val="en-US" w:eastAsia="it-IT"/>
        </w:rPr>
        <w:t xml:space="preserve">732154 </w:t>
      </w:r>
    </w:p>
    <w:p w:rsidR="00E242CF" w:rsidRPr="00FA3054" w:rsidRDefault="00E242CF" w:rsidP="00BB7527">
      <w:pPr>
        <w:autoSpaceDE w:val="0"/>
        <w:autoSpaceDN w:val="0"/>
        <w:adjustRightInd w:val="0"/>
        <w:spacing w:after="0" w:line="360" w:lineRule="auto"/>
        <w:jc w:val="both"/>
        <w:rPr>
          <w:rFonts w:ascii="Book Antiqua" w:eastAsia="Times New Roman" w:hAnsi="Book Antiqua" w:cs="Times New Roman"/>
          <w:color w:val="000000"/>
          <w:sz w:val="24"/>
          <w:szCs w:val="24"/>
          <w:lang w:val="en-US" w:eastAsia="it-IT"/>
        </w:rPr>
      </w:pPr>
      <w:r w:rsidRPr="004A6B16">
        <w:rPr>
          <w:rFonts w:ascii="Book Antiqua" w:eastAsia="Times New Roman" w:hAnsi="Book Antiqua" w:cs="Times New Roman"/>
          <w:b/>
          <w:color w:val="000000"/>
          <w:sz w:val="24"/>
          <w:szCs w:val="24"/>
          <w:lang w:val="en-US" w:eastAsia="it-IT"/>
        </w:rPr>
        <w:t>Fax:</w:t>
      </w:r>
      <w:r w:rsidRPr="00FA3054">
        <w:rPr>
          <w:rFonts w:ascii="Book Antiqua" w:eastAsia="Times New Roman" w:hAnsi="Book Antiqua" w:cs="Times New Roman"/>
          <w:color w:val="000000"/>
          <w:sz w:val="24"/>
          <w:szCs w:val="24"/>
          <w:lang w:val="en-US" w:eastAsia="it-IT"/>
        </w:rPr>
        <w:t xml:space="preserve"> +39</w:t>
      </w:r>
      <w:r w:rsidR="00DC768C">
        <w:rPr>
          <w:rFonts w:ascii="Book Antiqua" w:hAnsi="Book Antiqua" w:cs="Times New Roman" w:hint="eastAsia"/>
          <w:color w:val="000000"/>
          <w:sz w:val="24"/>
          <w:szCs w:val="24"/>
          <w:lang w:val="en-US" w:eastAsia="zh-CN"/>
        </w:rPr>
        <w:t>-</w:t>
      </w:r>
      <w:r w:rsidRPr="00FA3054">
        <w:rPr>
          <w:rFonts w:ascii="Book Antiqua" w:eastAsia="Times New Roman" w:hAnsi="Book Antiqua" w:cs="Times New Roman"/>
          <w:color w:val="000000"/>
          <w:sz w:val="24"/>
          <w:szCs w:val="24"/>
          <w:lang w:val="en-US" w:eastAsia="it-IT"/>
        </w:rPr>
        <w:t>881</w:t>
      </w:r>
      <w:r w:rsidR="00DC768C">
        <w:rPr>
          <w:rFonts w:ascii="Book Antiqua" w:hAnsi="Book Antiqua" w:cs="Times New Roman" w:hint="eastAsia"/>
          <w:color w:val="000000"/>
          <w:sz w:val="24"/>
          <w:szCs w:val="24"/>
          <w:lang w:val="en-US" w:eastAsia="zh-CN"/>
        </w:rPr>
        <w:t>-</w:t>
      </w:r>
      <w:r w:rsidRPr="00FA3054">
        <w:rPr>
          <w:rFonts w:ascii="Book Antiqua" w:eastAsia="Times New Roman" w:hAnsi="Book Antiqua" w:cs="Times New Roman"/>
          <w:color w:val="000000"/>
          <w:sz w:val="24"/>
          <w:szCs w:val="24"/>
          <w:lang w:val="en-US" w:eastAsia="it-IT"/>
        </w:rPr>
        <w:t xml:space="preserve">732135 </w:t>
      </w:r>
    </w:p>
    <w:p w:rsidR="00E242CF" w:rsidRPr="00BB7527" w:rsidRDefault="00BB7527" w:rsidP="00BB7527">
      <w:pPr>
        <w:suppressAutoHyphens/>
        <w:autoSpaceDE w:val="0"/>
        <w:spacing w:after="0" w:line="360" w:lineRule="auto"/>
        <w:jc w:val="both"/>
        <w:rPr>
          <w:rFonts w:ascii="Book Antiqua" w:hAnsi="Book Antiqua" w:cs="Times New Roman"/>
          <w:bCs/>
          <w:sz w:val="24"/>
          <w:szCs w:val="24"/>
          <w:lang w:val="en-US" w:eastAsia="zh-CN"/>
        </w:rPr>
      </w:pPr>
      <w:r>
        <w:rPr>
          <w:rFonts w:ascii="Book Antiqua" w:hAnsi="Book Antiqua" w:cs="Times New Roman" w:hint="eastAsia"/>
          <w:bCs/>
          <w:sz w:val="24"/>
          <w:szCs w:val="24"/>
          <w:lang w:val="en-US" w:eastAsia="zh-CN"/>
        </w:rPr>
        <w:t xml:space="preserve"> </w:t>
      </w:r>
    </w:p>
    <w:p w:rsidR="00DC768C" w:rsidRPr="00B33D98" w:rsidRDefault="00DC768C" w:rsidP="00BB7527">
      <w:pPr>
        <w:spacing w:after="0" w:line="360" w:lineRule="auto"/>
        <w:jc w:val="both"/>
        <w:rPr>
          <w:rFonts w:ascii="Book Antiqua" w:hAnsi="Book Antiqua"/>
          <w:sz w:val="24"/>
          <w:lang w:val="en-US" w:eastAsia="zh-CN"/>
        </w:rPr>
      </w:pPr>
      <w:bookmarkStart w:id="3" w:name="OLE_LINK476"/>
      <w:bookmarkStart w:id="4" w:name="OLE_LINK477"/>
      <w:bookmarkStart w:id="5" w:name="OLE_LINK117"/>
      <w:bookmarkStart w:id="6" w:name="OLE_LINK528"/>
      <w:bookmarkStart w:id="7" w:name="OLE_LINK557"/>
      <w:r w:rsidRPr="00B33D98">
        <w:rPr>
          <w:rFonts w:ascii="Book Antiqua" w:hAnsi="Book Antiqua"/>
          <w:b/>
          <w:sz w:val="24"/>
          <w:lang w:val="en-US"/>
        </w:rPr>
        <w:t>Received:</w:t>
      </w:r>
      <w:r w:rsidR="00BB7527" w:rsidRPr="00B33D98">
        <w:rPr>
          <w:rFonts w:ascii="Book Antiqua" w:hAnsi="Book Antiqua" w:hint="eastAsia"/>
          <w:b/>
          <w:sz w:val="24"/>
          <w:lang w:val="en-US" w:eastAsia="zh-CN"/>
        </w:rPr>
        <w:t xml:space="preserve"> </w:t>
      </w:r>
      <w:r w:rsidR="00BB7527" w:rsidRPr="00B33D98">
        <w:rPr>
          <w:rFonts w:ascii="Book Antiqua" w:hAnsi="Book Antiqua" w:hint="eastAsia"/>
          <w:sz w:val="24"/>
          <w:lang w:val="en-US" w:eastAsia="zh-CN"/>
        </w:rPr>
        <w:t>December 12, 2015</w:t>
      </w:r>
    </w:p>
    <w:p w:rsidR="00DC768C" w:rsidRPr="00B33D98" w:rsidRDefault="00DC768C" w:rsidP="00BB7527">
      <w:pPr>
        <w:spacing w:after="0" w:line="360" w:lineRule="auto"/>
        <w:jc w:val="both"/>
        <w:rPr>
          <w:rFonts w:ascii="Book Antiqua" w:hAnsi="Book Antiqua"/>
          <w:sz w:val="24"/>
          <w:lang w:val="en-US" w:eastAsia="zh-CN"/>
        </w:rPr>
      </w:pPr>
      <w:r w:rsidRPr="00B33D98">
        <w:rPr>
          <w:rFonts w:ascii="Book Antiqua" w:hAnsi="Book Antiqua" w:hint="eastAsia"/>
          <w:b/>
          <w:sz w:val="24"/>
          <w:lang w:val="en-US"/>
        </w:rPr>
        <w:t>Peer-review started</w:t>
      </w:r>
      <w:r w:rsidRPr="00B33D98">
        <w:rPr>
          <w:rFonts w:ascii="Book Antiqua" w:hAnsi="Book Antiqua"/>
          <w:b/>
          <w:sz w:val="24"/>
          <w:lang w:val="en-US"/>
        </w:rPr>
        <w:t>:</w:t>
      </w:r>
      <w:r w:rsidR="00BB7527" w:rsidRPr="00B33D98">
        <w:rPr>
          <w:rFonts w:ascii="Book Antiqua" w:hAnsi="Book Antiqua" w:hint="eastAsia"/>
          <w:b/>
          <w:sz w:val="24"/>
          <w:lang w:val="en-US" w:eastAsia="zh-CN"/>
        </w:rPr>
        <w:t xml:space="preserve"> </w:t>
      </w:r>
      <w:r w:rsidR="00BB7527" w:rsidRPr="00B33D98">
        <w:rPr>
          <w:rFonts w:ascii="Book Antiqua" w:hAnsi="Book Antiqua" w:hint="eastAsia"/>
          <w:sz w:val="24"/>
          <w:lang w:val="en-US" w:eastAsia="zh-CN"/>
        </w:rPr>
        <w:t>December 12, 2015</w:t>
      </w:r>
    </w:p>
    <w:p w:rsidR="00DC768C" w:rsidRPr="00B33D98" w:rsidRDefault="00DC768C" w:rsidP="00BB7527">
      <w:pPr>
        <w:spacing w:after="0" w:line="360" w:lineRule="auto"/>
        <w:jc w:val="both"/>
        <w:rPr>
          <w:rFonts w:ascii="Book Antiqua" w:hAnsi="Book Antiqua"/>
          <w:sz w:val="24"/>
          <w:lang w:val="en-US" w:eastAsia="zh-CN"/>
        </w:rPr>
      </w:pPr>
      <w:r w:rsidRPr="00B33D98">
        <w:rPr>
          <w:rFonts w:ascii="Book Antiqua" w:hAnsi="Book Antiqua"/>
          <w:b/>
          <w:sz w:val="24"/>
          <w:lang w:val="en-US"/>
        </w:rPr>
        <w:t>First decision:</w:t>
      </w:r>
      <w:r w:rsidR="00BB7527" w:rsidRPr="00B33D98">
        <w:rPr>
          <w:rFonts w:ascii="Book Antiqua" w:hAnsi="Book Antiqua" w:hint="eastAsia"/>
          <w:b/>
          <w:sz w:val="24"/>
          <w:lang w:val="en-US" w:eastAsia="zh-CN"/>
        </w:rPr>
        <w:t xml:space="preserve"> </w:t>
      </w:r>
      <w:r w:rsidR="00BB7527" w:rsidRPr="00B33D98">
        <w:rPr>
          <w:rFonts w:ascii="Book Antiqua" w:hAnsi="Book Antiqua" w:hint="eastAsia"/>
          <w:sz w:val="24"/>
          <w:lang w:val="en-US" w:eastAsia="zh-CN"/>
        </w:rPr>
        <w:t>December 31, 2015</w:t>
      </w:r>
    </w:p>
    <w:p w:rsidR="00DC768C" w:rsidRPr="00B33D98" w:rsidRDefault="00DC768C" w:rsidP="00BB7527">
      <w:pPr>
        <w:spacing w:after="0" w:line="360" w:lineRule="auto"/>
        <w:jc w:val="both"/>
        <w:rPr>
          <w:rFonts w:ascii="Book Antiqua" w:hAnsi="Book Antiqua"/>
          <w:b/>
          <w:sz w:val="24"/>
          <w:lang w:val="en-US" w:eastAsia="zh-CN"/>
        </w:rPr>
      </w:pPr>
      <w:r w:rsidRPr="00B33D98">
        <w:rPr>
          <w:rFonts w:ascii="Book Antiqua" w:hAnsi="Book Antiqua"/>
          <w:b/>
          <w:sz w:val="24"/>
          <w:lang w:val="en-US"/>
        </w:rPr>
        <w:t>Revised:</w:t>
      </w:r>
      <w:r w:rsidR="00BB7527" w:rsidRPr="00B33D98">
        <w:rPr>
          <w:rFonts w:ascii="Book Antiqua" w:hAnsi="Book Antiqua" w:hint="eastAsia"/>
          <w:b/>
          <w:sz w:val="24"/>
          <w:lang w:val="en-US" w:eastAsia="zh-CN"/>
        </w:rPr>
        <w:t xml:space="preserve"> </w:t>
      </w:r>
      <w:r w:rsidR="00BB7527" w:rsidRPr="00B33D98">
        <w:rPr>
          <w:rFonts w:ascii="Book Antiqua" w:hAnsi="Book Antiqua" w:hint="eastAsia"/>
          <w:sz w:val="24"/>
          <w:lang w:val="en-US" w:eastAsia="zh-CN"/>
        </w:rPr>
        <w:t>December 31, 2015</w:t>
      </w:r>
    </w:p>
    <w:p w:rsidR="00DC768C" w:rsidRPr="004400C0" w:rsidRDefault="00DC768C" w:rsidP="004400C0">
      <w:pPr>
        <w:spacing w:line="360" w:lineRule="auto"/>
        <w:rPr>
          <w:rFonts w:ascii="Book Antiqua" w:hAnsi="Book Antiqua"/>
          <w:color w:val="000000"/>
          <w:sz w:val="24"/>
        </w:rPr>
      </w:pPr>
      <w:r w:rsidRPr="00B33D98">
        <w:rPr>
          <w:rFonts w:ascii="Book Antiqua" w:hAnsi="Book Antiqua"/>
          <w:b/>
          <w:sz w:val="24"/>
          <w:lang w:val="en-US"/>
        </w:rPr>
        <w:t>Accepted:</w:t>
      </w:r>
      <w:bookmarkStart w:id="8" w:name="OLE_LINK98"/>
      <w:bookmarkStart w:id="9" w:name="OLE_LINK99"/>
      <w:bookmarkStart w:id="10" w:name="OLE_LINK104"/>
      <w:bookmarkStart w:id="11" w:name="OLE_LINK110"/>
      <w:bookmarkStart w:id="12" w:name="OLE_LINK111"/>
      <w:bookmarkStart w:id="13" w:name="OLE_LINK115"/>
      <w:bookmarkStart w:id="14" w:name="OLE_LINK118"/>
      <w:bookmarkStart w:id="15" w:name="OLE_LINK119"/>
      <w:bookmarkStart w:id="16" w:name="OLE_LINK120"/>
      <w:bookmarkStart w:id="17" w:name="OLE_LINK121"/>
      <w:bookmarkStart w:id="18" w:name="OLE_LINK122"/>
      <w:bookmarkStart w:id="19" w:name="OLE_LINK125"/>
      <w:bookmarkStart w:id="20" w:name="OLE_LINK126"/>
      <w:bookmarkStart w:id="21" w:name="OLE_LINK127"/>
      <w:bookmarkStart w:id="22" w:name="OLE_LINK129"/>
      <w:bookmarkStart w:id="23" w:name="OLE_LINK132"/>
      <w:bookmarkStart w:id="24" w:name="OLE_LINK134"/>
      <w:bookmarkStart w:id="25" w:name="OLE_LINK135"/>
      <w:bookmarkStart w:id="26" w:name="OLE_LINK136"/>
      <w:bookmarkStart w:id="27" w:name="OLE_LINK137"/>
      <w:bookmarkStart w:id="28" w:name="OLE_LINK138"/>
      <w:bookmarkStart w:id="29" w:name="OLE_LINK139"/>
      <w:bookmarkStart w:id="30" w:name="OLE_LINK141"/>
      <w:bookmarkStart w:id="31" w:name="OLE_LINK142"/>
      <w:bookmarkStart w:id="32" w:name="OLE_LINK143"/>
      <w:bookmarkStart w:id="33" w:name="OLE_LINK144"/>
      <w:bookmarkStart w:id="34" w:name="OLE_LINK145"/>
      <w:bookmarkStart w:id="35" w:name="OLE_LINK146"/>
      <w:bookmarkStart w:id="36" w:name="OLE_LINK147"/>
      <w:r w:rsidR="004400C0" w:rsidRPr="004400C0">
        <w:rPr>
          <w:rFonts w:ascii="Book Antiqua" w:hAnsi="Book Antiqua"/>
          <w:color w:val="000000"/>
          <w:sz w:val="24"/>
        </w:rPr>
        <w:t xml:space="preserve"> </w:t>
      </w:r>
      <w:r w:rsidR="004400C0">
        <w:rPr>
          <w:rFonts w:ascii="Book Antiqua" w:hAnsi="Book Antiqua"/>
          <w:color w:val="000000"/>
          <w:sz w:val="24"/>
        </w:rPr>
        <w:t>January 30</w:t>
      </w:r>
      <w:r w:rsidR="004400C0" w:rsidRPr="00D55413">
        <w:rPr>
          <w:rFonts w:ascii="Book Antiqua" w:hAnsi="Book Antiqua"/>
          <w:color w:val="000000"/>
          <w:sz w:val="24"/>
        </w:rPr>
        <w:t>, 2016</w:t>
      </w:r>
      <w:bookmarkStart w:id="37" w:name="_GoBac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B33D98">
        <w:rPr>
          <w:rFonts w:ascii="Book Antiqua" w:hAnsi="Book Antiqua" w:hint="eastAsia"/>
          <w:b/>
          <w:sz w:val="24"/>
          <w:lang w:val="en-US"/>
        </w:rPr>
        <w:t xml:space="preserve">  </w:t>
      </w:r>
    </w:p>
    <w:p w:rsidR="00DC768C" w:rsidRPr="00B33D98" w:rsidRDefault="00DC768C" w:rsidP="00BB7527">
      <w:pPr>
        <w:spacing w:after="0" w:line="360" w:lineRule="auto"/>
        <w:jc w:val="both"/>
        <w:rPr>
          <w:rFonts w:ascii="Book Antiqua" w:hAnsi="Book Antiqua"/>
          <w:b/>
          <w:sz w:val="24"/>
          <w:lang w:val="en-US"/>
        </w:rPr>
      </w:pPr>
      <w:r w:rsidRPr="00B33D98">
        <w:rPr>
          <w:rFonts w:ascii="Book Antiqua" w:hAnsi="Book Antiqua"/>
          <w:b/>
          <w:sz w:val="24"/>
          <w:lang w:val="en-US"/>
        </w:rPr>
        <w:t>Article in press:</w:t>
      </w:r>
    </w:p>
    <w:p w:rsidR="00DC768C" w:rsidRPr="00B33D98" w:rsidRDefault="00DC768C" w:rsidP="00BB7527">
      <w:pPr>
        <w:spacing w:after="0" w:line="360" w:lineRule="auto"/>
        <w:jc w:val="both"/>
        <w:rPr>
          <w:rFonts w:ascii="Book Antiqua" w:hAnsi="Book Antiqua"/>
          <w:b/>
          <w:sz w:val="24"/>
          <w:lang w:val="en-US"/>
        </w:rPr>
      </w:pPr>
      <w:r w:rsidRPr="00B33D98">
        <w:rPr>
          <w:rFonts w:ascii="Book Antiqua" w:hAnsi="Book Antiqua"/>
          <w:b/>
          <w:sz w:val="24"/>
          <w:lang w:val="en-US"/>
        </w:rPr>
        <w:t>Published online:</w:t>
      </w:r>
    </w:p>
    <w:bookmarkEnd w:id="3"/>
    <w:bookmarkEnd w:id="4"/>
    <w:bookmarkEnd w:id="5"/>
    <w:bookmarkEnd w:id="6"/>
    <w:bookmarkEnd w:id="7"/>
    <w:p w:rsidR="00213645" w:rsidRPr="00FA3054" w:rsidRDefault="00213645" w:rsidP="00BB7527">
      <w:pPr>
        <w:suppressAutoHyphens/>
        <w:autoSpaceDE w:val="0"/>
        <w:spacing w:after="0" w:line="360" w:lineRule="auto"/>
        <w:jc w:val="both"/>
        <w:rPr>
          <w:rFonts w:ascii="Book Antiqua" w:eastAsia="Times New Roman" w:hAnsi="Book Antiqua" w:cs="Times New Roman"/>
          <w:b/>
          <w:bCs/>
          <w:sz w:val="24"/>
          <w:szCs w:val="24"/>
          <w:lang w:val="en-US" w:eastAsia="ar-SA"/>
        </w:rPr>
      </w:pPr>
    </w:p>
    <w:p w:rsidR="00213645" w:rsidRPr="00FA3054" w:rsidRDefault="00213645" w:rsidP="00BB7527">
      <w:pPr>
        <w:suppressAutoHyphens/>
        <w:autoSpaceDE w:val="0"/>
        <w:spacing w:after="0" w:line="360" w:lineRule="auto"/>
        <w:jc w:val="both"/>
        <w:rPr>
          <w:rFonts w:ascii="Book Antiqua" w:eastAsia="Times New Roman" w:hAnsi="Book Antiqua" w:cs="Times New Roman"/>
          <w:b/>
          <w:bCs/>
          <w:sz w:val="24"/>
          <w:szCs w:val="24"/>
          <w:lang w:val="en-US" w:eastAsia="ar-SA"/>
        </w:rPr>
      </w:pPr>
    </w:p>
    <w:p w:rsidR="00E242CF" w:rsidRPr="00FA3054" w:rsidRDefault="00E242CF" w:rsidP="00BB7527">
      <w:pPr>
        <w:suppressAutoHyphens/>
        <w:spacing w:after="0" w:line="360" w:lineRule="auto"/>
        <w:jc w:val="both"/>
        <w:rPr>
          <w:rFonts w:ascii="Book Antiqua" w:eastAsia="Times New Roman" w:hAnsi="Book Antiqua" w:cs="Times New Roman"/>
          <w:b/>
          <w:bCs/>
          <w:sz w:val="24"/>
          <w:szCs w:val="24"/>
          <w:lang w:val="en-US" w:eastAsia="ar-SA"/>
        </w:rPr>
      </w:pPr>
    </w:p>
    <w:p w:rsidR="000D7FE4" w:rsidRDefault="009D27CC" w:rsidP="00BB7527">
      <w:pPr>
        <w:suppressAutoHyphens/>
        <w:spacing w:after="0" w:line="360" w:lineRule="auto"/>
        <w:jc w:val="both"/>
        <w:rPr>
          <w:rFonts w:ascii="Book Antiqua" w:eastAsia="Times New Roman" w:hAnsi="Book Antiqua" w:cs="Times New Roman"/>
          <w:b/>
          <w:bCs/>
          <w:sz w:val="24"/>
          <w:szCs w:val="24"/>
          <w:lang w:val="en-GB" w:eastAsia="ar-SA"/>
        </w:rPr>
      </w:pPr>
      <w:r>
        <w:rPr>
          <w:rFonts w:ascii="Book Antiqua" w:eastAsia="Times New Roman" w:hAnsi="Book Antiqua" w:cs="Times New Roman"/>
          <w:b/>
          <w:bCs/>
          <w:sz w:val="24"/>
          <w:szCs w:val="24"/>
          <w:lang w:val="en-GB" w:eastAsia="ar-SA"/>
        </w:rPr>
        <w:t>Abstract</w:t>
      </w:r>
    </w:p>
    <w:p w:rsidR="009D27CC" w:rsidRDefault="009D27CC" w:rsidP="00BB7527">
      <w:pPr>
        <w:suppressAutoHyphens/>
        <w:spacing w:after="0" w:line="360" w:lineRule="auto"/>
        <w:jc w:val="both"/>
        <w:rPr>
          <w:rFonts w:ascii="Book Antiqua" w:eastAsia="Times New Roman" w:hAnsi="Book Antiqua" w:cs="Times New Roman"/>
          <w:bCs/>
          <w:sz w:val="24"/>
          <w:szCs w:val="24"/>
          <w:lang w:val="en-GB" w:eastAsia="ar-SA"/>
        </w:rPr>
      </w:pPr>
      <w:r>
        <w:rPr>
          <w:rFonts w:ascii="Book Antiqua" w:eastAsia="Times New Roman" w:hAnsi="Book Antiqua" w:cs="Times New Roman"/>
          <w:b/>
          <w:bCs/>
          <w:sz w:val="24"/>
          <w:szCs w:val="24"/>
          <w:lang w:val="en-GB" w:eastAsia="ar-SA"/>
        </w:rPr>
        <w:t xml:space="preserve">AIM: </w:t>
      </w:r>
      <w:r>
        <w:rPr>
          <w:rFonts w:ascii="Book Antiqua" w:eastAsia="Times New Roman" w:hAnsi="Book Antiqua" w:cs="Times New Roman"/>
          <w:bCs/>
          <w:sz w:val="24"/>
          <w:szCs w:val="24"/>
          <w:lang w:val="en-GB" w:eastAsia="ar-SA"/>
        </w:rPr>
        <w:t>T</w:t>
      </w:r>
      <w:r w:rsidRPr="009D27CC">
        <w:rPr>
          <w:rFonts w:ascii="Book Antiqua" w:eastAsia="Times New Roman" w:hAnsi="Book Antiqua" w:cs="Times New Roman"/>
          <w:bCs/>
          <w:sz w:val="24"/>
          <w:szCs w:val="24"/>
          <w:lang w:val="en-GB" w:eastAsia="ar-SA"/>
        </w:rPr>
        <w:t xml:space="preserve">o test the correlation between </w:t>
      </w:r>
      <w:r>
        <w:rPr>
          <w:rFonts w:ascii="Book Antiqua" w:eastAsia="Times New Roman" w:hAnsi="Book Antiqua" w:cs="Times New Roman"/>
          <w:bCs/>
          <w:sz w:val="24"/>
          <w:szCs w:val="24"/>
          <w:lang w:val="en-GB" w:eastAsia="ar-SA"/>
        </w:rPr>
        <w:t>lymphocyte-to-monocyte ratio (</w:t>
      </w:r>
      <w:r w:rsidRPr="009D27CC">
        <w:rPr>
          <w:rFonts w:ascii="Book Antiqua" w:eastAsia="Times New Roman" w:hAnsi="Book Antiqua" w:cs="Times New Roman"/>
          <w:bCs/>
          <w:sz w:val="24"/>
          <w:szCs w:val="24"/>
          <w:lang w:val="en-GB" w:eastAsia="ar-SA"/>
        </w:rPr>
        <w:t>LMR</w:t>
      </w:r>
      <w:r>
        <w:rPr>
          <w:rFonts w:ascii="Book Antiqua" w:eastAsia="Times New Roman" w:hAnsi="Book Antiqua" w:cs="Times New Roman"/>
          <w:bCs/>
          <w:sz w:val="24"/>
          <w:szCs w:val="24"/>
          <w:lang w:val="en-GB" w:eastAsia="ar-SA"/>
        </w:rPr>
        <w:t xml:space="preserve">) and survival </w:t>
      </w:r>
      <w:r w:rsidR="00C47A9E">
        <w:rPr>
          <w:rFonts w:ascii="Book Antiqua" w:eastAsia="Times New Roman" w:hAnsi="Book Antiqua" w:cs="Times New Roman"/>
          <w:bCs/>
          <w:sz w:val="24"/>
          <w:szCs w:val="24"/>
          <w:lang w:val="en-GB" w:eastAsia="ar-SA"/>
        </w:rPr>
        <w:t>after radiofrequency ablation (</w:t>
      </w:r>
      <w:r w:rsidR="00C47A9E" w:rsidRPr="009D27CC">
        <w:rPr>
          <w:rFonts w:ascii="Book Antiqua" w:eastAsia="Times New Roman" w:hAnsi="Book Antiqua" w:cs="Times New Roman"/>
          <w:bCs/>
          <w:sz w:val="24"/>
          <w:szCs w:val="24"/>
          <w:lang w:val="en-GB" w:eastAsia="ar-SA"/>
        </w:rPr>
        <w:t>RFA</w:t>
      </w:r>
      <w:r w:rsidR="00C47A9E">
        <w:rPr>
          <w:rFonts w:ascii="Book Antiqua" w:eastAsia="Times New Roman" w:hAnsi="Book Antiqua" w:cs="Times New Roman"/>
          <w:bCs/>
          <w:sz w:val="24"/>
          <w:szCs w:val="24"/>
          <w:lang w:val="en-GB" w:eastAsia="ar-SA"/>
        </w:rPr>
        <w:t xml:space="preserve">) for </w:t>
      </w:r>
      <w:r>
        <w:rPr>
          <w:rFonts w:ascii="Book Antiqua" w:eastAsia="Times New Roman" w:hAnsi="Book Antiqua" w:cs="Times New Roman"/>
          <w:bCs/>
          <w:sz w:val="24"/>
          <w:szCs w:val="24"/>
          <w:lang w:val="en-GB" w:eastAsia="ar-SA"/>
        </w:rPr>
        <w:t>colorectal liver metastasis (</w:t>
      </w:r>
      <w:r w:rsidRPr="009D27CC">
        <w:rPr>
          <w:rFonts w:ascii="Book Antiqua" w:eastAsia="Times New Roman" w:hAnsi="Book Antiqua" w:cs="Times New Roman"/>
          <w:bCs/>
          <w:sz w:val="24"/>
          <w:szCs w:val="24"/>
          <w:lang w:val="en-GB" w:eastAsia="ar-SA"/>
        </w:rPr>
        <w:t>CLM</w:t>
      </w:r>
      <w:r w:rsidR="00C55FD5">
        <w:rPr>
          <w:rFonts w:ascii="Book Antiqua" w:eastAsia="Times New Roman" w:hAnsi="Book Antiqua" w:cs="Times New Roman"/>
          <w:bCs/>
          <w:sz w:val="24"/>
          <w:szCs w:val="24"/>
          <w:lang w:val="en-GB" w:eastAsia="ar-SA"/>
        </w:rPr>
        <w:t>s</w:t>
      </w:r>
      <w:r>
        <w:rPr>
          <w:rFonts w:ascii="Book Antiqua" w:eastAsia="Times New Roman" w:hAnsi="Book Antiqua" w:cs="Times New Roman"/>
          <w:bCs/>
          <w:sz w:val="24"/>
          <w:szCs w:val="24"/>
          <w:lang w:val="en-GB" w:eastAsia="ar-SA"/>
        </w:rPr>
        <w:t xml:space="preserve">). </w:t>
      </w:r>
    </w:p>
    <w:p w:rsidR="00BB18BA" w:rsidRDefault="00BB18BA" w:rsidP="00BB7527">
      <w:pPr>
        <w:suppressAutoHyphens/>
        <w:spacing w:after="0" w:line="360" w:lineRule="auto"/>
        <w:jc w:val="both"/>
        <w:rPr>
          <w:rFonts w:ascii="Book Antiqua" w:eastAsia="Times New Roman" w:hAnsi="Book Antiqua" w:cs="Times New Roman"/>
          <w:b/>
          <w:bCs/>
          <w:sz w:val="24"/>
          <w:szCs w:val="24"/>
          <w:lang w:val="en-GB" w:eastAsia="ar-SA"/>
        </w:rPr>
      </w:pPr>
    </w:p>
    <w:p w:rsidR="00BB18BA" w:rsidRPr="00BB18BA" w:rsidRDefault="007D2E7A" w:rsidP="00BB7527">
      <w:pPr>
        <w:suppressAutoHyphens/>
        <w:spacing w:after="0" w:line="360" w:lineRule="auto"/>
        <w:jc w:val="both"/>
        <w:rPr>
          <w:rFonts w:ascii="Book Antiqua" w:eastAsia="Times New Roman" w:hAnsi="Book Antiqua" w:cs="Times New Roman"/>
          <w:bCs/>
          <w:sz w:val="24"/>
          <w:szCs w:val="24"/>
          <w:lang w:val="en-GB" w:eastAsia="ar-SA"/>
        </w:rPr>
      </w:pPr>
      <w:r>
        <w:rPr>
          <w:rFonts w:ascii="Book Antiqua" w:eastAsia="Times New Roman" w:hAnsi="Book Antiqua" w:cs="Times New Roman"/>
          <w:b/>
          <w:bCs/>
          <w:sz w:val="24"/>
          <w:szCs w:val="24"/>
          <w:lang w:val="en-GB" w:eastAsia="ar-SA"/>
        </w:rPr>
        <w:t xml:space="preserve">METHODS: </w:t>
      </w:r>
      <w:r w:rsidR="00BB18BA" w:rsidRPr="00BB18BA">
        <w:rPr>
          <w:rFonts w:ascii="Book Antiqua" w:eastAsia="Times New Roman" w:hAnsi="Book Antiqua" w:cs="Times New Roman"/>
          <w:bCs/>
          <w:sz w:val="24"/>
          <w:szCs w:val="24"/>
          <w:lang w:val="en-GB" w:eastAsia="ar-SA"/>
        </w:rPr>
        <w:t xml:space="preserve">From July 2003 to Feb 2012, 127 consecutive patients with 193 histologically-proven </w:t>
      </w:r>
      <w:r w:rsidR="00BB18BA">
        <w:rPr>
          <w:rFonts w:ascii="Book Antiqua" w:eastAsia="Times New Roman" w:hAnsi="Book Antiqua" w:cs="Times New Roman"/>
          <w:bCs/>
          <w:sz w:val="24"/>
          <w:szCs w:val="24"/>
          <w:lang w:val="en-GB" w:eastAsia="ar-SA"/>
        </w:rPr>
        <w:t xml:space="preserve">unresectable </w:t>
      </w:r>
      <w:r w:rsidR="00BB18BA" w:rsidRPr="00BB18BA">
        <w:rPr>
          <w:rFonts w:ascii="Book Antiqua" w:eastAsia="Times New Roman" w:hAnsi="Book Antiqua" w:cs="Times New Roman"/>
          <w:bCs/>
          <w:sz w:val="24"/>
          <w:szCs w:val="24"/>
          <w:lang w:val="en-GB" w:eastAsia="ar-SA"/>
        </w:rPr>
        <w:t>CLMs were treated with percutaneous RFA at the Uni</w:t>
      </w:r>
      <w:r w:rsidR="00BB18BA">
        <w:rPr>
          <w:rFonts w:ascii="Book Antiqua" w:eastAsia="Times New Roman" w:hAnsi="Book Antiqua" w:cs="Times New Roman"/>
          <w:bCs/>
          <w:sz w:val="24"/>
          <w:szCs w:val="24"/>
          <w:lang w:val="en-GB" w:eastAsia="ar-SA"/>
        </w:rPr>
        <w:t xml:space="preserve">versity of Foggia. </w:t>
      </w:r>
      <w:r w:rsidR="00BB18BA" w:rsidRPr="00BB18BA">
        <w:rPr>
          <w:rFonts w:ascii="Book Antiqua" w:eastAsia="Times New Roman" w:hAnsi="Book Antiqua" w:cs="Times New Roman"/>
          <w:bCs/>
          <w:sz w:val="24"/>
          <w:szCs w:val="24"/>
          <w:lang w:val="en-GB" w:eastAsia="ar-SA"/>
        </w:rPr>
        <w:t>All patients had undergone primary colorectal tumor resection before RFA</w:t>
      </w:r>
      <w:r w:rsidR="00BB18BA">
        <w:rPr>
          <w:rFonts w:ascii="Book Antiqua" w:eastAsia="Times New Roman" w:hAnsi="Book Antiqua" w:cs="Times New Roman"/>
          <w:bCs/>
          <w:sz w:val="24"/>
          <w:szCs w:val="24"/>
          <w:lang w:val="en-GB" w:eastAsia="ar-SA"/>
        </w:rPr>
        <w:t xml:space="preserve"> and received systemic chemotherapy. </w:t>
      </w:r>
      <w:r w:rsidR="00BB18BA" w:rsidRPr="00BB18BA">
        <w:rPr>
          <w:rFonts w:ascii="Book Antiqua" w:eastAsia="Times New Roman" w:hAnsi="Book Antiqua" w:cs="Times New Roman"/>
          <w:bCs/>
          <w:sz w:val="24"/>
          <w:szCs w:val="24"/>
          <w:lang w:val="en-GB" w:eastAsia="ar-SA"/>
        </w:rPr>
        <w:t xml:space="preserve">LMR </w:t>
      </w:r>
      <w:r w:rsidR="00BB18BA">
        <w:rPr>
          <w:rFonts w:ascii="Book Antiqua" w:eastAsia="Times New Roman" w:hAnsi="Book Antiqua" w:cs="Times New Roman"/>
          <w:bCs/>
          <w:sz w:val="24"/>
          <w:szCs w:val="24"/>
          <w:lang w:val="en-GB" w:eastAsia="ar-SA"/>
        </w:rPr>
        <w:t xml:space="preserve">was </w:t>
      </w:r>
      <w:r w:rsidR="00BB18BA" w:rsidRPr="00BB18BA">
        <w:rPr>
          <w:rFonts w:ascii="Book Antiqua" w:eastAsia="Times New Roman" w:hAnsi="Book Antiqua" w:cs="Times New Roman"/>
          <w:bCs/>
          <w:sz w:val="24"/>
          <w:szCs w:val="24"/>
          <w:lang w:val="en-GB" w:eastAsia="ar-SA"/>
        </w:rPr>
        <w:t>calculated by dividing lymphocyte count by monocyte count</w:t>
      </w:r>
      <w:r w:rsidR="00BB18BA">
        <w:rPr>
          <w:rFonts w:ascii="Book Antiqua" w:eastAsia="Times New Roman" w:hAnsi="Book Antiqua" w:cs="Times New Roman"/>
          <w:bCs/>
          <w:sz w:val="24"/>
          <w:szCs w:val="24"/>
          <w:lang w:val="en-GB" w:eastAsia="ar-SA"/>
        </w:rPr>
        <w:t xml:space="preserve"> assessed at baseline. </w:t>
      </w:r>
      <w:r w:rsidR="00BB18BA" w:rsidRPr="00BB18BA">
        <w:rPr>
          <w:rFonts w:ascii="Book Antiqua" w:eastAsia="Times New Roman" w:hAnsi="Book Antiqua" w:cs="Times New Roman"/>
          <w:bCs/>
          <w:sz w:val="24"/>
          <w:szCs w:val="24"/>
          <w:lang w:val="en-GB" w:eastAsia="ar-SA"/>
        </w:rPr>
        <w:t xml:space="preserve"> Treatment-related toxicity was defined as any adverse events occurred within 4 </w:t>
      </w:r>
      <w:r w:rsidR="00C03255">
        <w:rPr>
          <w:rFonts w:ascii="Book Antiqua" w:hAnsi="Book Antiqua" w:cs="Times New Roman" w:hint="eastAsia"/>
          <w:bCs/>
          <w:sz w:val="24"/>
          <w:szCs w:val="24"/>
          <w:lang w:val="en-GB" w:eastAsia="zh-CN"/>
        </w:rPr>
        <w:t>wk</w:t>
      </w:r>
      <w:r w:rsidR="00BB18BA" w:rsidRPr="00BB18BA">
        <w:rPr>
          <w:rFonts w:ascii="Book Antiqua" w:eastAsia="Times New Roman" w:hAnsi="Book Antiqua" w:cs="Times New Roman"/>
          <w:bCs/>
          <w:sz w:val="24"/>
          <w:szCs w:val="24"/>
          <w:lang w:val="en-GB" w:eastAsia="ar-SA"/>
        </w:rPr>
        <w:t xml:space="preserve"> after the procedure. Overall survival (OS) and time to recurrence (TTR) were estimated from the date of RFA by Kaplan-Meier </w:t>
      </w:r>
      <w:r w:rsidR="00BB7527">
        <w:rPr>
          <w:rFonts w:ascii="Book Antiqua" w:eastAsia="Times New Roman" w:hAnsi="Book Antiqua" w:cs="Times New Roman"/>
          <w:bCs/>
          <w:sz w:val="24"/>
          <w:szCs w:val="24"/>
          <w:lang w:val="en-GB" w:eastAsia="ar-SA"/>
        </w:rPr>
        <w:t>with plots and median (95%</w:t>
      </w:r>
      <w:r w:rsidR="00BB18BA">
        <w:rPr>
          <w:rFonts w:ascii="Book Antiqua" w:eastAsia="Times New Roman" w:hAnsi="Book Antiqua" w:cs="Times New Roman"/>
          <w:bCs/>
          <w:sz w:val="24"/>
          <w:szCs w:val="24"/>
          <w:lang w:val="en-GB" w:eastAsia="ar-SA"/>
        </w:rPr>
        <w:t xml:space="preserve">CI). </w:t>
      </w:r>
      <w:r w:rsidR="00BB18BA" w:rsidRPr="00BB18BA">
        <w:rPr>
          <w:rFonts w:ascii="Book Antiqua" w:eastAsia="Times New Roman" w:hAnsi="Book Antiqua" w:cs="Times New Roman"/>
          <w:bCs/>
          <w:sz w:val="24"/>
          <w:szCs w:val="24"/>
          <w:lang w:val="en-GB" w:eastAsia="ar-SA"/>
        </w:rPr>
        <w:t>The inferential analysis for time to event data was conducted using the Cox univariate and multivariate regression model to estimate hazard ratios (HR) and</w:t>
      </w:r>
      <w:r w:rsidR="00C03255">
        <w:rPr>
          <w:rFonts w:ascii="Book Antiqua" w:eastAsia="Times New Roman" w:hAnsi="Book Antiqua" w:cs="Times New Roman"/>
          <w:bCs/>
          <w:sz w:val="24"/>
          <w:szCs w:val="24"/>
          <w:lang w:val="en-GB" w:eastAsia="ar-SA"/>
        </w:rPr>
        <w:t xml:space="preserve"> 95%</w:t>
      </w:r>
      <w:r w:rsidR="00BB18BA" w:rsidRPr="00BB18BA">
        <w:rPr>
          <w:rFonts w:ascii="Book Antiqua" w:eastAsia="Times New Roman" w:hAnsi="Book Antiqua" w:cs="Times New Roman"/>
          <w:bCs/>
          <w:sz w:val="24"/>
          <w:szCs w:val="24"/>
          <w:lang w:val="en-GB" w:eastAsia="ar-SA"/>
        </w:rPr>
        <w:t>CI. Statistically significant variables from the univariate Cox analysis were considered for the multivariate models.</w:t>
      </w:r>
    </w:p>
    <w:p w:rsidR="00BB18BA" w:rsidRPr="00BB18BA" w:rsidRDefault="00BB18BA" w:rsidP="00BB7527">
      <w:pPr>
        <w:suppressAutoHyphens/>
        <w:spacing w:after="0" w:line="360" w:lineRule="auto"/>
        <w:jc w:val="both"/>
        <w:rPr>
          <w:rFonts w:ascii="Book Antiqua" w:eastAsia="Times New Roman" w:hAnsi="Book Antiqua" w:cs="Times New Roman"/>
          <w:bCs/>
          <w:sz w:val="24"/>
          <w:szCs w:val="24"/>
          <w:lang w:val="en-GB" w:eastAsia="ar-SA"/>
        </w:rPr>
      </w:pPr>
    </w:p>
    <w:p w:rsidR="00371D9F" w:rsidRPr="00ED4A21" w:rsidRDefault="00ED4A21" w:rsidP="00BB7527">
      <w:pPr>
        <w:spacing w:after="0" w:line="360" w:lineRule="auto"/>
        <w:jc w:val="both"/>
        <w:rPr>
          <w:rFonts w:ascii="Book Antiqua" w:hAnsi="Book Antiqua" w:cs="Times New Roman"/>
          <w:sz w:val="24"/>
          <w:szCs w:val="24"/>
          <w:lang w:val="en-US"/>
        </w:rPr>
      </w:pPr>
      <w:r>
        <w:rPr>
          <w:rFonts w:ascii="Book Antiqua" w:hAnsi="Book Antiqua" w:cs="Times New Roman"/>
          <w:b/>
          <w:sz w:val="24"/>
          <w:szCs w:val="24"/>
          <w:lang w:val="en-US"/>
        </w:rPr>
        <w:t xml:space="preserve">RESULTS: </w:t>
      </w:r>
      <w:r w:rsidRPr="00ED4A21">
        <w:rPr>
          <w:rFonts w:ascii="Book Antiqua" w:hAnsi="Book Antiqua" w:cs="Times New Roman"/>
          <w:sz w:val="24"/>
          <w:szCs w:val="24"/>
          <w:lang w:val="en-US"/>
        </w:rPr>
        <w:t xml:space="preserve">Median age was 66 years (range 38-88) and patients were prevalently male (69.2%). Median </w:t>
      </w:r>
      <w:r>
        <w:rPr>
          <w:rFonts w:ascii="Book Antiqua" w:hAnsi="Book Antiqua" w:cs="Times New Roman"/>
          <w:sz w:val="24"/>
          <w:szCs w:val="24"/>
          <w:lang w:val="en-US"/>
        </w:rPr>
        <w:t>LMR was 4.38 % (0.79-88) whereas m</w:t>
      </w:r>
      <w:r w:rsidRPr="00ED4A21">
        <w:rPr>
          <w:rFonts w:ascii="Book Antiqua" w:hAnsi="Book Antiqua" w:cs="Times New Roman"/>
          <w:sz w:val="24"/>
          <w:szCs w:val="24"/>
          <w:lang w:val="en-US"/>
        </w:rPr>
        <w:t xml:space="preserve">edian number of nodules was 2 (1-3) with a median maximum diameter of 27 mm (10-45). </w:t>
      </w:r>
      <w:r w:rsidR="00141CAB" w:rsidRPr="00371D9F">
        <w:rPr>
          <w:rFonts w:ascii="Book Antiqua" w:hAnsi="Book Antiqua" w:cs="Times New Roman"/>
          <w:sz w:val="24"/>
          <w:szCs w:val="24"/>
          <w:lang w:val="en-US"/>
        </w:rPr>
        <w:t xml:space="preserve">Median OS was 38 </w:t>
      </w:r>
      <w:r w:rsidR="00BB7527">
        <w:rPr>
          <w:rFonts w:ascii="Book Antiqua" w:hAnsi="Book Antiqua" w:cs="Times New Roman" w:hint="eastAsia"/>
          <w:sz w:val="24"/>
          <w:szCs w:val="24"/>
          <w:lang w:val="en-US" w:eastAsia="zh-CN"/>
        </w:rPr>
        <w:t>mo</w:t>
      </w:r>
      <w:r w:rsidR="00141CAB" w:rsidRPr="00371D9F">
        <w:rPr>
          <w:rFonts w:ascii="Book Antiqua" w:hAnsi="Book Antiqua" w:cs="Times New Roman"/>
          <w:sz w:val="24"/>
          <w:szCs w:val="24"/>
          <w:lang w:val="en-US"/>
        </w:rPr>
        <w:t xml:space="preserve"> (34-53) and survival rate (SR) was 89.4%, 40.4% and 33.3% at 1, 4 and 5 years re</w:t>
      </w:r>
      <w:r w:rsidR="00141CAB">
        <w:rPr>
          <w:rFonts w:ascii="Book Antiqua" w:hAnsi="Book Antiqua" w:cs="Times New Roman"/>
          <w:sz w:val="24"/>
          <w:szCs w:val="24"/>
          <w:lang w:val="en-US"/>
        </w:rPr>
        <w:t xml:space="preserve">spectively in the whole cohort. </w:t>
      </w:r>
      <w:r w:rsidR="00371D9F">
        <w:rPr>
          <w:rFonts w:ascii="Book Antiqua" w:hAnsi="Book Antiqua" w:cs="Times New Roman"/>
          <w:sz w:val="24"/>
          <w:szCs w:val="24"/>
          <w:lang w:val="en-US"/>
        </w:rPr>
        <w:t xml:space="preserve">Running log-rank test analysis found </w:t>
      </w:r>
      <w:r w:rsidR="00371D9F" w:rsidRPr="00371D9F">
        <w:rPr>
          <w:rFonts w:ascii="Book Antiqua" w:hAnsi="Book Antiqua" w:cs="Times New Roman"/>
          <w:sz w:val="24"/>
          <w:szCs w:val="24"/>
          <w:lang w:val="en-US"/>
        </w:rPr>
        <w:t>3.96%</w:t>
      </w:r>
      <w:r w:rsidR="00371D9F">
        <w:rPr>
          <w:rFonts w:ascii="Book Antiqua" w:hAnsi="Book Antiqua" w:cs="Times New Roman"/>
          <w:sz w:val="24"/>
          <w:szCs w:val="24"/>
          <w:lang w:val="en-US"/>
        </w:rPr>
        <w:t xml:space="preserve"> as the most significant prognostic cut-off point for LMR and</w:t>
      </w:r>
      <w:r w:rsidR="00371D9F" w:rsidRPr="00371D9F">
        <w:rPr>
          <w:rFonts w:ascii="Book Antiqua" w:hAnsi="Book Antiqua" w:cs="Times New Roman"/>
          <w:sz w:val="24"/>
          <w:szCs w:val="24"/>
          <w:lang w:val="en-US"/>
        </w:rPr>
        <w:t xml:space="preserve"> </w:t>
      </w:r>
      <w:r w:rsidR="00371D9F">
        <w:rPr>
          <w:rFonts w:ascii="Book Antiqua" w:hAnsi="Book Antiqua" w:cs="Times New Roman"/>
          <w:sz w:val="24"/>
          <w:szCs w:val="24"/>
          <w:lang w:val="en-US"/>
        </w:rPr>
        <w:t>s</w:t>
      </w:r>
      <w:r w:rsidR="00371D9F" w:rsidRPr="00371D9F">
        <w:rPr>
          <w:rFonts w:ascii="Book Antiqua" w:hAnsi="Book Antiqua" w:cs="Times New Roman"/>
          <w:sz w:val="24"/>
          <w:szCs w:val="24"/>
          <w:lang w:val="en-US"/>
        </w:rPr>
        <w:t xml:space="preserve">tratifying the study population by this </w:t>
      </w:r>
      <w:r w:rsidR="00371D9F">
        <w:rPr>
          <w:rFonts w:ascii="Book Antiqua" w:hAnsi="Book Antiqua" w:cs="Times New Roman"/>
          <w:sz w:val="24"/>
          <w:szCs w:val="24"/>
          <w:lang w:val="en-US"/>
        </w:rPr>
        <w:t>LMR value</w:t>
      </w:r>
      <w:r w:rsidR="00371D9F" w:rsidRPr="00371D9F">
        <w:rPr>
          <w:rFonts w:ascii="Book Antiqua" w:hAnsi="Book Antiqua" w:cs="Times New Roman"/>
          <w:sz w:val="24"/>
          <w:szCs w:val="24"/>
          <w:lang w:val="en-US"/>
        </w:rPr>
        <w:t xml:space="preserve"> median OS resulted 55 </w:t>
      </w:r>
      <w:r w:rsidR="00BB7527">
        <w:rPr>
          <w:rFonts w:ascii="Book Antiqua" w:hAnsi="Book Antiqua" w:cs="Times New Roman" w:hint="eastAsia"/>
          <w:sz w:val="24"/>
          <w:szCs w:val="24"/>
          <w:lang w:val="en-US" w:eastAsia="zh-CN"/>
        </w:rPr>
        <w:t>mo</w:t>
      </w:r>
      <w:r w:rsidR="00371D9F" w:rsidRPr="00371D9F">
        <w:rPr>
          <w:rFonts w:ascii="Book Antiqua" w:hAnsi="Book Antiqua" w:cs="Times New Roman"/>
          <w:sz w:val="24"/>
          <w:szCs w:val="24"/>
          <w:lang w:val="en-US"/>
        </w:rPr>
        <w:t xml:space="preserve"> (37-</w:t>
      </w:r>
      <w:r w:rsidR="00BB7527">
        <w:rPr>
          <w:rFonts w:ascii="Book Antiqua" w:hAnsi="Book Antiqua" w:cs="Times New Roman"/>
          <w:sz w:val="24"/>
          <w:szCs w:val="24"/>
          <w:lang w:val="en-US"/>
        </w:rPr>
        <w:t>69) in patients with LMR &gt; 3.96</w:t>
      </w:r>
      <w:r w:rsidR="00371D9F" w:rsidRPr="00371D9F">
        <w:rPr>
          <w:rFonts w:ascii="Book Antiqua" w:hAnsi="Book Antiqua" w:cs="Times New Roman"/>
          <w:sz w:val="24"/>
          <w:szCs w:val="24"/>
          <w:lang w:val="en-US"/>
        </w:rPr>
        <w:t xml:space="preserve">% and 34 (26-39) </w:t>
      </w:r>
      <w:r w:rsidR="00BB7527">
        <w:rPr>
          <w:rFonts w:ascii="Book Antiqua" w:hAnsi="Book Antiqua" w:cs="Times New Roman" w:hint="eastAsia"/>
          <w:sz w:val="24"/>
          <w:szCs w:val="24"/>
          <w:lang w:val="en-US" w:eastAsia="zh-CN"/>
        </w:rPr>
        <w:t>mo</w:t>
      </w:r>
      <w:r w:rsidR="00371D9F" w:rsidRPr="00371D9F">
        <w:rPr>
          <w:rFonts w:ascii="Book Antiqua" w:hAnsi="Book Antiqua" w:cs="Times New Roman"/>
          <w:sz w:val="24"/>
          <w:szCs w:val="24"/>
          <w:lang w:val="en-US"/>
        </w:rPr>
        <w:t xml:space="preserve"> in patients with LMR ≤ 3.96 </w:t>
      </w:r>
      <w:r w:rsidR="00141CAB">
        <w:rPr>
          <w:rFonts w:ascii="Book Antiqua" w:hAnsi="Book Antiqua" w:cs="Times New Roman"/>
          <w:sz w:val="24"/>
          <w:szCs w:val="24"/>
          <w:lang w:val="en-US"/>
        </w:rPr>
        <w:t xml:space="preserve">% (HR </w:t>
      </w:r>
      <w:r w:rsidR="00BB7527">
        <w:rPr>
          <w:rFonts w:ascii="Book Antiqua" w:hAnsi="Book Antiqua" w:cs="Times New Roman" w:hint="eastAsia"/>
          <w:sz w:val="24"/>
          <w:szCs w:val="24"/>
          <w:lang w:val="en-US" w:eastAsia="zh-CN"/>
        </w:rPr>
        <w:t xml:space="preserve">= </w:t>
      </w:r>
      <w:r w:rsidR="00141CAB">
        <w:rPr>
          <w:rFonts w:ascii="Book Antiqua" w:hAnsi="Book Antiqua" w:cs="Times New Roman"/>
          <w:sz w:val="24"/>
          <w:szCs w:val="24"/>
          <w:lang w:val="en-US"/>
        </w:rPr>
        <w:t xml:space="preserve">0.53, 0.34-0.85, </w:t>
      </w:r>
      <w:r w:rsidR="00BB7527" w:rsidRPr="00BB7527">
        <w:rPr>
          <w:rFonts w:ascii="Book Antiqua" w:hAnsi="Book Antiqua" w:cs="Times New Roman"/>
          <w:i/>
          <w:sz w:val="24"/>
          <w:szCs w:val="24"/>
          <w:lang w:val="en-US"/>
        </w:rPr>
        <w:t>P</w:t>
      </w:r>
      <w:r w:rsidR="00BB7527">
        <w:rPr>
          <w:rFonts w:ascii="Book Antiqua" w:hAnsi="Book Antiqua" w:cs="Times New Roman" w:hint="eastAsia"/>
          <w:sz w:val="24"/>
          <w:szCs w:val="24"/>
          <w:lang w:val="en-US" w:eastAsia="zh-CN"/>
        </w:rPr>
        <w:t xml:space="preserve"> </w:t>
      </w:r>
      <w:r w:rsidR="00141CAB">
        <w:rPr>
          <w:rFonts w:ascii="Book Antiqua" w:hAnsi="Book Antiqua" w:cs="Times New Roman"/>
          <w:sz w:val="24"/>
          <w:szCs w:val="24"/>
          <w:lang w:val="en-US"/>
        </w:rPr>
        <w:t>=</w:t>
      </w:r>
      <w:r w:rsidR="00BB7527">
        <w:rPr>
          <w:rFonts w:ascii="Book Antiqua" w:hAnsi="Book Antiqua" w:cs="Times New Roman" w:hint="eastAsia"/>
          <w:sz w:val="24"/>
          <w:szCs w:val="24"/>
          <w:lang w:val="en-US" w:eastAsia="zh-CN"/>
        </w:rPr>
        <w:t xml:space="preserve"> </w:t>
      </w:r>
      <w:r w:rsidR="00141CAB">
        <w:rPr>
          <w:rFonts w:ascii="Book Antiqua" w:hAnsi="Book Antiqua" w:cs="Times New Roman"/>
          <w:sz w:val="24"/>
          <w:szCs w:val="24"/>
          <w:lang w:val="en-US"/>
        </w:rPr>
        <w:t xml:space="preserve">0.007). Nodule size and LMR were the only significant predictors for OS in multivariate analysis. </w:t>
      </w:r>
      <w:r w:rsidR="00371D9F" w:rsidRPr="00371D9F">
        <w:rPr>
          <w:rFonts w:ascii="Book Antiqua" w:hAnsi="Book Antiqua" w:cs="Times New Roman"/>
          <w:sz w:val="24"/>
          <w:szCs w:val="24"/>
          <w:lang w:val="en-US"/>
        </w:rPr>
        <w:t xml:space="preserve">Median TTR was 29 </w:t>
      </w:r>
      <w:r w:rsidR="00BB7527">
        <w:rPr>
          <w:rFonts w:ascii="Book Antiqua" w:hAnsi="Book Antiqua" w:cs="Times New Roman" w:hint="eastAsia"/>
          <w:sz w:val="24"/>
          <w:szCs w:val="24"/>
          <w:lang w:val="en-US" w:eastAsia="zh-CN"/>
        </w:rPr>
        <w:t>mo</w:t>
      </w:r>
      <w:r w:rsidR="00371D9F" w:rsidRPr="00371D9F">
        <w:rPr>
          <w:rFonts w:ascii="Book Antiqua" w:hAnsi="Book Antiqua" w:cs="Times New Roman"/>
          <w:sz w:val="24"/>
          <w:szCs w:val="24"/>
          <w:lang w:val="en-US"/>
        </w:rPr>
        <w:t xml:space="preserve"> (22-35) with a recurrence-free survival (RFS) rate of 72.6%, 32.1% and 21.8% at 1, 4 and 5 years, respectively</w:t>
      </w:r>
      <w:r w:rsidR="00141CAB">
        <w:rPr>
          <w:rFonts w:ascii="Book Antiqua" w:hAnsi="Book Antiqua" w:cs="Times New Roman"/>
          <w:sz w:val="24"/>
          <w:szCs w:val="24"/>
          <w:lang w:val="en-US"/>
        </w:rPr>
        <w:t xml:space="preserve"> in the whole study group. Nodule size and LMR</w:t>
      </w:r>
      <w:r w:rsidR="00371D9F" w:rsidRPr="00371D9F">
        <w:rPr>
          <w:rFonts w:ascii="Book Antiqua" w:hAnsi="Book Antiqua" w:cs="Times New Roman"/>
          <w:sz w:val="24"/>
          <w:szCs w:val="24"/>
          <w:lang w:val="en-US"/>
        </w:rPr>
        <w:t xml:space="preserve"> were confirmed </w:t>
      </w:r>
      <w:r w:rsidR="00141CAB">
        <w:rPr>
          <w:rFonts w:ascii="Book Antiqua" w:hAnsi="Book Antiqua" w:cs="Times New Roman"/>
          <w:sz w:val="24"/>
          <w:szCs w:val="24"/>
          <w:lang w:val="en-US"/>
        </w:rPr>
        <w:t xml:space="preserve">as significant prognostic factors for TTR </w:t>
      </w:r>
      <w:r w:rsidR="00371D9F" w:rsidRPr="00371D9F">
        <w:rPr>
          <w:rFonts w:ascii="Book Antiqua" w:hAnsi="Book Antiqua" w:cs="Times New Roman"/>
          <w:sz w:val="24"/>
          <w:szCs w:val="24"/>
          <w:lang w:val="en-US"/>
        </w:rPr>
        <w:t>i</w:t>
      </w:r>
      <w:r w:rsidR="00141CAB">
        <w:rPr>
          <w:rFonts w:ascii="Book Antiqua" w:hAnsi="Book Antiqua" w:cs="Times New Roman"/>
          <w:sz w:val="24"/>
          <w:szCs w:val="24"/>
          <w:lang w:val="en-US"/>
        </w:rPr>
        <w:t xml:space="preserve">n multivariate Cox regression. </w:t>
      </w:r>
      <w:r w:rsidR="00371D9F" w:rsidRPr="00371D9F">
        <w:rPr>
          <w:rFonts w:ascii="Book Antiqua" w:hAnsi="Book Antiqua" w:cs="Times New Roman"/>
          <w:sz w:val="24"/>
          <w:szCs w:val="24"/>
          <w:lang w:val="en-US"/>
        </w:rPr>
        <w:t xml:space="preserve">TTR, when stratified by LMR, was 35 </w:t>
      </w:r>
      <w:r w:rsidR="00BB7527">
        <w:rPr>
          <w:rFonts w:ascii="Book Antiqua" w:hAnsi="Book Antiqua" w:cs="Times New Roman" w:hint="eastAsia"/>
          <w:sz w:val="24"/>
          <w:szCs w:val="24"/>
          <w:lang w:val="en-US" w:eastAsia="zh-CN"/>
        </w:rPr>
        <w:t>mo</w:t>
      </w:r>
      <w:r w:rsidR="00371D9F" w:rsidRPr="00371D9F">
        <w:rPr>
          <w:rFonts w:ascii="Book Antiqua" w:hAnsi="Book Antiqua" w:cs="Times New Roman"/>
          <w:sz w:val="24"/>
          <w:szCs w:val="24"/>
          <w:lang w:val="en-US"/>
        </w:rPr>
        <w:t xml:space="preserve"> (28-57) in the group &gt; 3.96% and 25 </w:t>
      </w:r>
      <w:r w:rsidR="00BB7527">
        <w:rPr>
          <w:rFonts w:ascii="Book Antiqua" w:hAnsi="Book Antiqua" w:cs="Times New Roman" w:hint="eastAsia"/>
          <w:sz w:val="24"/>
          <w:szCs w:val="24"/>
          <w:lang w:val="en-US" w:eastAsia="zh-CN"/>
        </w:rPr>
        <w:t>mo</w:t>
      </w:r>
      <w:r w:rsidR="00371D9F" w:rsidRPr="00371D9F">
        <w:rPr>
          <w:rFonts w:ascii="Book Antiqua" w:hAnsi="Book Antiqua" w:cs="Times New Roman"/>
          <w:sz w:val="24"/>
          <w:szCs w:val="24"/>
          <w:lang w:val="en-US"/>
        </w:rPr>
        <w:t xml:space="preserve"> (18-30) in the g</w:t>
      </w:r>
      <w:r w:rsidR="00141CAB">
        <w:rPr>
          <w:rFonts w:ascii="Book Antiqua" w:hAnsi="Book Antiqua" w:cs="Times New Roman"/>
          <w:sz w:val="24"/>
          <w:szCs w:val="24"/>
          <w:lang w:val="en-US"/>
        </w:rPr>
        <w:t>roup ≤ 3.96% (</w:t>
      </w:r>
      <w:r w:rsidR="00BB7527" w:rsidRPr="00BB7527">
        <w:rPr>
          <w:rFonts w:ascii="Book Antiqua" w:hAnsi="Book Antiqua" w:cs="Times New Roman"/>
          <w:i/>
          <w:sz w:val="24"/>
          <w:szCs w:val="24"/>
          <w:lang w:val="en-US"/>
        </w:rPr>
        <w:t>P</w:t>
      </w:r>
      <w:r w:rsidR="00BB7527">
        <w:rPr>
          <w:rFonts w:ascii="Book Antiqua" w:hAnsi="Book Antiqua" w:cs="Times New Roman" w:hint="eastAsia"/>
          <w:sz w:val="24"/>
          <w:szCs w:val="24"/>
          <w:lang w:val="en-US" w:eastAsia="zh-CN"/>
        </w:rPr>
        <w:t xml:space="preserve"> </w:t>
      </w:r>
      <w:r w:rsidR="00141CAB">
        <w:rPr>
          <w:rFonts w:ascii="Book Antiqua" w:hAnsi="Book Antiqua" w:cs="Times New Roman"/>
          <w:sz w:val="24"/>
          <w:szCs w:val="24"/>
          <w:lang w:val="en-US"/>
        </w:rPr>
        <w:t>=</w:t>
      </w:r>
      <w:r w:rsidR="00BB7527">
        <w:rPr>
          <w:rFonts w:ascii="Book Antiqua" w:hAnsi="Book Antiqua" w:cs="Times New Roman" w:hint="eastAsia"/>
          <w:sz w:val="24"/>
          <w:szCs w:val="24"/>
          <w:lang w:val="en-US" w:eastAsia="zh-CN"/>
        </w:rPr>
        <w:t xml:space="preserve"> </w:t>
      </w:r>
      <w:r w:rsidR="00141CAB">
        <w:rPr>
          <w:rFonts w:ascii="Book Antiqua" w:hAnsi="Book Antiqua" w:cs="Times New Roman"/>
          <w:sz w:val="24"/>
          <w:szCs w:val="24"/>
          <w:lang w:val="en-US"/>
        </w:rPr>
        <w:t>0.02)</w:t>
      </w:r>
      <w:r w:rsidR="00371D9F" w:rsidRPr="00371D9F">
        <w:rPr>
          <w:rFonts w:ascii="Book Antiqua" w:hAnsi="Book Antiqua" w:cs="Times New Roman"/>
          <w:sz w:val="24"/>
          <w:szCs w:val="24"/>
          <w:lang w:val="en-US"/>
        </w:rPr>
        <w:t>.</w:t>
      </w:r>
    </w:p>
    <w:p w:rsidR="008F3412" w:rsidRDefault="008F3412" w:rsidP="00BB7527">
      <w:pPr>
        <w:spacing w:after="0" w:line="360" w:lineRule="auto"/>
        <w:jc w:val="both"/>
        <w:rPr>
          <w:rFonts w:ascii="Book Antiqua" w:hAnsi="Book Antiqua" w:cs="Times New Roman"/>
          <w:b/>
          <w:sz w:val="24"/>
          <w:szCs w:val="24"/>
          <w:lang w:val="en-US"/>
        </w:rPr>
      </w:pPr>
    </w:p>
    <w:p w:rsidR="00DF287B" w:rsidRDefault="00DF287B" w:rsidP="00BB7527">
      <w:pPr>
        <w:spacing w:after="0" w:line="360" w:lineRule="auto"/>
        <w:jc w:val="both"/>
        <w:rPr>
          <w:rFonts w:ascii="Book Antiqua" w:hAnsi="Book Antiqua" w:cs="Times New Roman"/>
          <w:sz w:val="24"/>
          <w:szCs w:val="24"/>
          <w:lang w:val="en-US"/>
        </w:rPr>
      </w:pPr>
      <w:r>
        <w:rPr>
          <w:rFonts w:ascii="Book Antiqua" w:hAnsi="Book Antiqua" w:cs="Times New Roman"/>
          <w:b/>
          <w:sz w:val="24"/>
          <w:szCs w:val="24"/>
          <w:lang w:val="en-US"/>
        </w:rPr>
        <w:lastRenderedPageBreak/>
        <w:t xml:space="preserve">CONCLUSION: </w:t>
      </w:r>
      <w:r>
        <w:rPr>
          <w:rFonts w:ascii="Book Antiqua" w:hAnsi="Book Antiqua" w:cs="Times New Roman"/>
          <w:sz w:val="24"/>
          <w:szCs w:val="24"/>
          <w:lang w:val="en-US"/>
        </w:rPr>
        <w:t>O</w:t>
      </w:r>
      <w:r w:rsidRPr="00DF287B">
        <w:rPr>
          <w:rFonts w:ascii="Book Antiqua" w:hAnsi="Book Antiqua" w:cs="Times New Roman"/>
          <w:sz w:val="24"/>
          <w:szCs w:val="24"/>
          <w:lang w:val="en-US"/>
        </w:rPr>
        <w:t xml:space="preserve">ur study provides support for the use of </w:t>
      </w:r>
      <w:r w:rsidR="0048396B">
        <w:rPr>
          <w:rFonts w:ascii="Book Antiqua" w:hAnsi="Book Antiqua" w:cs="Times New Roman"/>
          <w:sz w:val="24"/>
          <w:szCs w:val="24"/>
          <w:lang w:val="en-US"/>
        </w:rPr>
        <w:t xml:space="preserve">LMR as </w:t>
      </w:r>
      <w:r w:rsidRPr="00DF287B">
        <w:rPr>
          <w:rFonts w:ascii="Book Antiqua" w:hAnsi="Book Antiqua" w:cs="Times New Roman"/>
          <w:sz w:val="24"/>
          <w:szCs w:val="24"/>
          <w:lang w:val="en-US"/>
        </w:rPr>
        <w:t xml:space="preserve">a novel predictor of outcome for CLM patients. </w:t>
      </w:r>
    </w:p>
    <w:p w:rsidR="00AC588E" w:rsidRDefault="00AC588E" w:rsidP="00BB7527">
      <w:pPr>
        <w:spacing w:after="0" w:line="360" w:lineRule="auto"/>
        <w:jc w:val="both"/>
        <w:rPr>
          <w:rFonts w:ascii="Book Antiqua" w:hAnsi="Book Antiqua" w:cs="Times New Roman"/>
          <w:sz w:val="24"/>
          <w:szCs w:val="24"/>
          <w:lang w:val="en-US"/>
        </w:rPr>
      </w:pPr>
    </w:p>
    <w:p w:rsidR="00854964" w:rsidRDefault="00854964" w:rsidP="00BB7527">
      <w:pPr>
        <w:spacing w:after="0" w:line="360" w:lineRule="auto"/>
        <w:jc w:val="both"/>
        <w:rPr>
          <w:rFonts w:ascii="Book Antiqua" w:hAnsi="Book Antiqua" w:cs="Times New Roman"/>
          <w:sz w:val="24"/>
          <w:szCs w:val="24"/>
          <w:lang w:val="en-US" w:eastAsia="zh-CN"/>
        </w:rPr>
      </w:pPr>
      <w:r>
        <w:rPr>
          <w:rFonts w:ascii="Book Antiqua" w:hAnsi="Book Antiqua" w:cs="Times New Roman"/>
          <w:b/>
          <w:sz w:val="24"/>
          <w:szCs w:val="24"/>
          <w:lang w:val="en-US"/>
        </w:rPr>
        <w:t xml:space="preserve">Key words: </w:t>
      </w:r>
      <w:r w:rsidR="00BB7527" w:rsidRPr="00BB7527">
        <w:rPr>
          <w:rFonts w:ascii="Book Antiqua" w:hAnsi="Book Antiqua" w:cs="Times New Roman"/>
          <w:sz w:val="24"/>
          <w:szCs w:val="24"/>
          <w:lang w:val="en-US"/>
        </w:rPr>
        <w:t>Colorectal liver metastasis</w:t>
      </w:r>
      <w:r>
        <w:rPr>
          <w:rFonts w:ascii="Book Antiqua" w:hAnsi="Book Antiqua" w:cs="Times New Roman"/>
          <w:sz w:val="24"/>
          <w:szCs w:val="24"/>
          <w:lang w:val="en-US"/>
        </w:rPr>
        <w:t xml:space="preserve">; </w:t>
      </w:r>
      <w:r w:rsidR="00BB7527" w:rsidRPr="00BB7527">
        <w:rPr>
          <w:rFonts w:ascii="Book Antiqua" w:hAnsi="Book Antiqua" w:cs="Times New Roman"/>
          <w:sz w:val="24"/>
          <w:szCs w:val="24"/>
          <w:lang w:val="en-US"/>
        </w:rPr>
        <w:t>Radiofrequency ablation</w:t>
      </w:r>
      <w:r>
        <w:rPr>
          <w:rFonts w:ascii="Book Antiqua" w:hAnsi="Book Antiqua" w:cs="Times New Roman"/>
          <w:sz w:val="24"/>
          <w:szCs w:val="24"/>
          <w:lang w:val="en-US"/>
        </w:rPr>
        <w:t xml:space="preserve">; </w:t>
      </w:r>
      <w:r w:rsidR="00BB7527">
        <w:rPr>
          <w:rFonts w:ascii="Book Antiqua" w:hAnsi="Book Antiqua" w:cs="Times New Roman"/>
          <w:sz w:val="24"/>
          <w:szCs w:val="24"/>
          <w:lang w:val="en-US"/>
        </w:rPr>
        <w:t>Survival</w:t>
      </w:r>
      <w:r>
        <w:rPr>
          <w:rFonts w:ascii="Book Antiqua" w:hAnsi="Book Antiqua" w:cs="Times New Roman"/>
          <w:sz w:val="24"/>
          <w:szCs w:val="24"/>
          <w:lang w:val="en-US"/>
        </w:rPr>
        <w:t xml:space="preserve">; </w:t>
      </w:r>
      <w:r w:rsidR="00BB7527">
        <w:rPr>
          <w:rFonts w:ascii="Book Antiqua" w:hAnsi="Book Antiqua" w:cs="Times New Roman"/>
          <w:sz w:val="24"/>
          <w:szCs w:val="24"/>
          <w:lang w:val="en-US"/>
        </w:rPr>
        <w:t>Prognosis</w:t>
      </w:r>
      <w:r w:rsidR="0049555F">
        <w:rPr>
          <w:rFonts w:ascii="Book Antiqua" w:hAnsi="Book Antiqua" w:cs="Times New Roman"/>
          <w:sz w:val="24"/>
          <w:szCs w:val="24"/>
          <w:lang w:val="en-US"/>
        </w:rPr>
        <w:t xml:space="preserve">; </w:t>
      </w:r>
      <w:r w:rsidR="00BB7527">
        <w:rPr>
          <w:rFonts w:ascii="Book Antiqua" w:hAnsi="Book Antiqua" w:cs="Times New Roman"/>
          <w:sz w:val="24"/>
          <w:szCs w:val="24"/>
          <w:lang w:val="en-US"/>
        </w:rPr>
        <w:t>Regression</w:t>
      </w:r>
    </w:p>
    <w:p w:rsidR="00BB7527" w:rsidRPr="00854964" w:rsidRDefault="00BB7527" w:rsidP="00BB7527">
      <w:pPr>
        <w:spacing w:after="0" w:line="360" w:lineRule="auto"/>
        <w:jc w:val="both"/>
        <w:rPr>
          <w:rFonts w:ascii="Book Antiqua" w:hAnsi="Book Antiqua" w:cs="Times New Roman"/>
          <w:sz w:val="24"/>
          <w:szCs w:val="24"/>
          <w:lang w:val="en-US" w:eastAsia="zh-CN"/>
        </w:rPr>
      </w:pPr>
    </w:p>
    <w:p w:rsidR="00BB7527" w:rsidRPr="00B33D98" w:rsidRDefault="00BB7527" w:rsidP="00BB7527">
      <w:pPr>
        <w:spacing w:line="360" w:lineRule="auto"/>
        <w:jc w:val="both"/>
        <w:rPr>
          <w:rFonts w:ascii="Book Antiqua" w:hAnsi="Book Antiqua" w:cs="Arial"/>
          <w:sz w:val="24"/>
          <w:lang w:val="en-US"/>
        </w:rPr>
      </w:pPr>
      <w:bookmarkStart w:id="38" w:name="OLE_LINK55"/>
      <w:bookmarkStart w:id="39" w:name="OLE_LINK56"/>
      <w:bookmarkStart w:id="40" w:name="OLE_LINK105"/>
      <w:bookmarkStart w:id="41" w:name="OLE_LINK116"/>
      <w:bookmarkStart w:id="42" w:name="OLE_LINK89"/>
      <w:r w:rsidRPr="00B33D98">
        <w:rPr>
          <w:rFonts w:ascii="Book Antiqua" w:hAnsi="Book Antiqua"/>
          <w:b/>
          <w:sz w:val="24"/>
          <w:lang w:val="en-US"/>
        </w:rPr>
        <w:t>©</w:t>
      </w:r>
      <w:bookmarkEnd w:id="38"/>
      <w:bookmarkEnd w:id="39"/>
      <w:r w:rsidRPr="00B33D98">
        <w:rPr>
          <w:rFonts w:ascii="Book Antiqua" w:hAnsi="Book Antiqua" w:hint="eastAsia"/>
          <w:b/>
          <w:sz w:val="24"/>
          <w:lang w:val="en-US"/>
        </w:rPr>
        <w:t xml:space="preserve"> </w:t>
      </w:r>
      <w:r w:rsidRPr="00B33D98">
        <w:rPr>
          <w:rFonts w:ascii="Book Antiqua" w:hAnsi="Book Antiqua" w:cs="Arial"/>
          <w:b/>
          <w:sz w:val="24"/>
          <w:lang w:val="en-US"/>
        </w:rPr>
        <w:t>The Author(s) 201</w:t>
      </w:r>
      <w:r w:rsidRPr="00B33D98">
        <w:rPr>
          <w:rFonts w:ascii="Book Antiqua" w:hAnsi="Book Antiqua" w:cs="Arial" w:hint="eastAsia"/>
          <w:b/>
          <w:sz w:val="24"/>
          <w:lang w:val="en-US" w:eastAsia="zh-CN"/>
        </w:rPr>
        <w:t>6</w:t>
      </w:r>
      <w:r w:rsidRPr="00B33D98">
        <w:rPr>
          <w:rFonts w:ascii="Book Antiqua" w:hAnsi="Book Antiqua" w:cs="Arial"/>
          <w:b/>
          <w:sz w:val="24"/>
          <w:lang w:val="en-US"/>
        </w:rPr>
        <w:t xml:space="preserve">. </w:t>
      </w:r>
      <w:r w:rsidRPr="00B33D98">
        <w:rPr>
          <w:rFonts w:ascii="Book Antiqua" w:hAnsi="Book Antiqua" w:cs="Arial"/>
          <w:sz w:val="24"/>
          <w:lang w:val="en-US"/>
        </w:rPr>
        <w:t>Published by Baishideng Publishing Group Inc. All rights reserved.</w:t>
      </w:r>
    </w:p>
    <w:bookmarkEnd w:id="40"/>
    <w:bookmarkEnd w:id="41"/>
    <w:bookmarkEnd w:id="42"/>
    <w:p w:rsidR="00854964" w:rsidRDefault="00854964" w:rsidP="00BB7527">
      <w:pPr>
        <w:spacing w:after="0" w:line="360" w:lineRule="auto"/>
        <w:jc w:val="both"/>
        <w:rPr>
          <w:rFonts w:ascii="Book Antiqua" w:hAnsi="Book Antiqua" w:cs="Times New Roman"/>
          <w:b/>
          <w:sz w:val="24"/>
          <w:szCs w:val="24"/>
          <w:lang w:val="en-US"/>
        </w:rPr>
      </w:pPr>
    </w:p>
    <w:p w:rsidR="005A3E41" w:rsidRPr="005A3E41" w:rsidRDefault="005A3E41" w:rsidP="00BB7527">
      <w:pPr>
        <w:spacing w:after="0" w:line="360" w:lineRule="auto"/>
        <w:jc w:val="both"/>
        <w:rPr>
          <w:rFonts w:ascii="Book Antiqua" w:hAnsi="Book Antiqua" w:cs="Times New Roman"/>
          <w:sz w:val="24"/>
          <w:szCs w:val="24"/>
          <w:lang w:val="en-US"/>
        </w:rPr>
      </w:pPr>
      <w:r>
        <w:rPr>
          <w:rFonts w:ascii="Book Antiqua" w:hAnsi="Book Antiqua" w:cs="Times New Roman"/>
          <w:b/>
          <w:sz w:val="24"/>
          <w:szCs w:val="24"/>
          <w:lang w:val="en-US"/>
        </w:rPr>
        <w:t xml:space="preserve">Core </w:t>
      </w:r>
      <w:r w:rsidR="00BB7527">
        <w:rPr>
          <w:rFonts w:ascii="Book Antiqua" w:hAnsi="Book Antiqua" w:cs="Times New Roman"/>
          <w:b/>
          <w:sz w:val="24"/>
          <w:szCs w:val="24"/>
          <w:lang w:val="en-US"/>
        </w:rPr>
        <w:t>tip</w:t>
      </w:r>
      <w:r>
        <w:rPr>
          <w:rFonts w:ascii="Book Antiqua" w:hAnsi="Book Antiqua" w:cs="Times New Roman"/>
          <w:b/>
          <w:sz w:val="24"/>
          <w:szCs w:val="24"/>
          <w:lang w:val="en-US"/>
        </w:rPr>
        <w:t xml:space="preserve">: </w:t>
      </w:r>
      <w:r>
        <w:rPr>
          <w:rFonts w:ascii="Book Antiqua" w:hAnsi="Book Antiqua" w:cs="Times New Roman"/>
          <w:sz w:val="24"/>
          <w:szCs w:val="24"/>
          <w:lang w:val="en-US"/>
        </w:rPr>
        <w:t xml:space="preserve">This </w:t>
      </w:r>
      <w:r w:rsidR="001102A8">
        <w:rPr>
          <w:rFonts w:ascii="Book Antiqua" w:hAnsi="Book Antiqua" w:cs="Times New Roman"/>
          <w:sz w:val="24"/>
          <w:szCs w:val="24"/>
          <w:lang w:val="en-US"/>
        </w:rPr>
        <w:t xml:space="preserve">is </w:t>
      </w:r>
      <w:r>
        <w:rPr>
          <w:rFonts w:ascii="Book Antiqua" w:hAnsi="Book Antiqua" w:cs="Times New Roman"/>
          <w:sz w:val="24"/>
          <w:szCs w:val="24"/>
          <w:lang w:val="en-US"/>
        </w:rPr>
        <w:t>a retrospective study t</w:t>
      </w:r>
      <w:r w:rsidRPr="005A3E41">
        <w:rPr>
          <w:rFonts w:ascii="Book Antiqua" w:hAnsi="Book Antiqua" w:cs="Times New Roman"/>
          <w:sz w:val="24"/>
          <w:szCs w:val="24"/>
          <w:lang w:val="en-US"/>
        </w:rPr>
        <w:t xml:space="preserve">o test the correlation between baseline lymphocyte-to-monocyte ratio (LMR) and survival outcomes in colorectal liver metastasis patients treated with </w:t>
      </w:r>
      <w:r>
        <w:rPr>
          <w:rFonts w:ascii="Book Antiqua" w:hAnsi="Book Antiqua" w:cs="Times New Roman"/>
          <w:sz w:val="24"/>
          <w:szCs w:val="24"/>
          <w:lang w:val="en-US"/>
        </w:rPr>
        <w:t xml:space="preserve">radiofrequency ablation. </w:t>
      </w:r>
      <w:r w:rsidR="00675E83">
        <w:rPr>
          <w:rFonts w:ascii="Book Antiqua" w:hAnsi="Book Antiqua" w:cs="Times New Roman"/>
          <w:sz w:val="24"/>
          <w:szCs w:val="24"/>
          <w:lang w:val="en-US"/>
        </w:rPr>
        <w:t>M</w:t>
      </w:r>
      <w:r w:rsidRPr="005A3E41">
        <w:rPr>
          <w:rFonts w:ascii="Book Antiqua" w:hAnsi="Book Antiqua" w:cs="Times New Roman"/>
          <w:sz w:val="24"/>
          <w:szCs w:val="24"/>
          <w:lang w:val="en-US"/>
        </w:rPr>
        <w:t xml:space="preserve">edian </w:t>
      </w:r>
      <w:r w:rsidR="00675E83">
        <w:rPr>
          <w:rFonts w:ascii="Book Antiqua" w:hAnsi="Book Antiqua" w:cs="Times New Roman"/>
          <w:sz w:val="24"/>
          <w:szCs w:val="24"/>
          <w:lang w:val="en-US"/>
        </w:rPr>
        <w:t>overall survival (</w:t>
      </w:r>
      <w:r w:rsidRPr="005A3E41">
        <w:rPr>
          <w:rFonts w:ascii="Book Antiqua" w:hAnsi="Book Antiqua" w:cs="Times New Roman"/>
          <w:sz w:val="24"/>
          <w:szCs w:val="24"/>
          <w:lang w:val="en-US"/>
        </w:rPr>
        <w:t>OS</w:t>
      </w:r>
      <w:r w:rsidR="00675E83">
        <w:rPr>
          <w:rFonts w:ascii="Book Antiqua" w:hAnsi="Book Antiqua" w:cs="Times New Roman"/>
          <w:sz w:val="24"/>
          <w:szCs w:val="24"/>
          <w:lang w:val="en-US"/>
        </w:rPr>
        <w:t>)</w:t>
      </w:r>
      <w:r w:rsidRPr="005A3E41">
        <w:rPr>
          <w:rFonts w:ascii="Book Antiqua" w:hAnsi="Book Antiqua" w:cs="Times New Roman"/>
          <w:sz w:val="24"/>
          <w:szCs w:val="24"/>
          <w:lang w:val="en-US"/>
        </w:rPr>
        <w:t xml:space="preserve"> </w:t>
      </w:r>
      <w:r w:rsidR="00CD0D19">
        <w:rPr>
          <w:rFonts w:ascii="Book Antiqua" w:hAnsi="Book Antiqua" w:cs="Times New Roman"/>
          <w:sz w:val="24"/>
          <w:szCs w:val="24"/>
          <w:lang w:val="en-US"/>
        </w:rPr>
        <w:t>was</w:t>
      </w:r>
      <w:r w:rsidRPr="005A3E41">
        <w:rPr>
          <w:rFonts w:ascii="Book Antiqua" w:hAnsi="Book Antiqua" w:cs="Times New Roman"/>
          <w:sz w:val="24"/>
          <w:szCs w:val="24"/>
          <w:lang w:val="en-US"/>
        </w:rPr>
        <w:t xml:space="preserve"> 55 </w:t>
      </w:r>
      <w:r w:rsidR="00BB7527">
        <w:rPr>
          <w:rFonts w:ascii="Book Antiqua" w:hAnsi="Book Antiqua" w:cs="Times New Roman" w:hint="eastAsia"/>
          <w:sz w:val="24"/>
          <w:szCs w:val="24"/>
          <w:lang w:val="en-US" w:eastAsia="zh-CN"/>
        </w:rPr>
        <w:t>mo</w:t>
      </w:r>
      <w:r w:rsidRPr="005A3E41">
        <w:rPr>
          <w:rFonts w:ascii="Book Antiqua" w:hAnsi="Book Antiqua" w:cs="Times New Roman"/>
          <w:sz w:val="24"/>
          <w:szCs w:val="24"/>
          <w:lang w:val="en-US"/>
        </w:rPr>
        <w:t xml:space="preserve"> in patients with LMR &gt; 3.96 % and 34 </w:t>
      </w:r>
      <w:r w:rsidR="00BB7527">
        <w:rPr>
          <w:rFonts w:ascii="Book Antiqua" w:hAnsi="Book Antiqua" w:cs="Times New Roman" w:hint="eastAsia"/>
          <w:sz w:val="24"/>
          <w:szCs w:val="24"/>
          <w:lang w:val="en-US" w:eastAsia="zh-CN"/>
        </w:rPr>
        <w:t>mo</w:t>
      </w:r>
      <w:r w:rsidRPr="005A3E41">
        <w:rPr>
          <w:rFonts w:ascii="Book Antiqua" w:hAnsi="Book Antiqua" w:cs="Times New Roman"/>
          <w:sz w:val="24"/>
          <w:szCs w:val="24"/>
          <w:lang w:val="en-US"/>
        </w:rPr>
        <w:t xml:space="preserve"> i</w:t>
      </w:r>
      <w:r w:rsidR="00B82224">
        <w:rPr>
          <w:rFonts w:ascii="Book Antiqua" w:hAnsi="Book Antiqua" w:cs="Times New Roman"/>
          <w:sz w:val="24"/>
          <w:szCs w:val="24"/>
          <w:lang w:val="en-US"/>
        </w:rPr>
        <w:t>n patients with LMR ≤ 3.96</w:t>
      </w:r>
      <w:r w:rsidR="00675E83">
        <w:rPr>
          <w:rFonts w:ascii="Book Antiqua" w:hAnsi="Book Antiqua" w:cs="Times New Roman"/>
          <w:sz w:val="24"/>
          <w:szCs w:val="24"/>
          <w:lang w:val="en-US"/>
        </w:rPr>
        <w:t>%</w:t>
      </w:r>
      <w:r w:rsidRPr="005A3E41">
        <w:rPr>
          <w:rFonts w:ascii="Book Antiqua" w:hAnsi="Book Antiqua" w:cs="Times New Roman"/>
          <w:sz w:val="24"/>
          <w:szCs w:val="24"/>
          <w:lang w:val="en-US"/>
        </w:rPr>
        <w:t xml:space="preserve"> </w:t>
      </w:r>
      <w:r w:rsidR="00675E83">
        <w:rPr>
          <w:rFonts w:ascii="Book Antiqua" w:hAnsi="Book Antiqua" w:cs="Times New Roman"/>
          <w:sz w:val="24"/>
          <w:szCs w:val="24"/>
          <w:lang w:val="en-US"/>
        </w:rPr>
        <w:t>(</w:t>
      </w:r>
      <w:r w:rsidR="00BB7527" w:rsidRPr="00BB7527">
        <w:rPr>
          <w:rFonts w:ascii="Book Antiqua" w:hAnsi="Book Antiqua" w:cs="Times New Roman"/>
          <w:i/>
          <w:sz w:val="24"/>
          <w:szCs w:val="24"/>
          <w:lang w:val="en-US"/>
        </w:rPr>
        <w:t>P</w:t>
      </w:r>
      <w:r w:rsidR="00BB7527" w:rsidRPr="005A3E41">
        <w:rPr>
          <w:rFonts w:ascii="Book Antiqua" w:hAnsi="Book Antiqua" w:cs="Times New Roman"/>
          <w:sz w:val="24"/>
          <w:szCs w:val="24"/>
          <w:lang w:val="en-US"/>
        </w:rPr>
        <w:t xml:space="preserve"> </w:t>
      </w:r>
      <w:r w:rsidRPr="005A3E41">
        <w:rPr>
          <w:rFonts w:ascii="Book Antiqua" w:hAnsi="Book Antiqua" w:cs="Times New Roman"/>
          <w:sz w:val="24"/>
          <w:szCs w:val="24"/>
          <w:lang w:val="en-US"/>
        </w:rPr>
        <w:t>=</w:t>
      </w:r>
      <w:r w:rsidR="00BB7527">
        <w:rPr>
          <w:rFonts w:ascii="Book Antiqua" w:hAnsi="Book Antiqua" w:cs="Times New Roman" w:hint="eastAsia"/>
          <w:sz w:val="24"/>
          <w:szCs w:val="24"/>
          <w:lang w:val="en-US" w:eastAsia="zh-CN"/>
        </w:rPr>
        <w:t xml:space="preserve"> </w:t>
      </w:r>
      <w:r w:rsidRPr="005A3E41">
        <w:rPr>
          <w:rFonts w:ascii="Book Antiqua" w:hAnsi="Book Antiqua" w:cs="Times New Roman"/>
          <w:sz w:val="24"/>
          <w:szCs w:val="24"/>
          <w:lang w:val="en-US"/>
        </w:rPr>
        <w:t xml:space="preserve">0.007). </w:t>
      </w:r>
      <w:r w:rsidR="00675E83">
        <w:rPr>
          <w:rFonts w:ascii="Book Antiqua" w:hAnsi="Book Antiqua" w:cs="Times New Roman"/>
          <w:sz w:val="24"/>
          <w:szCs w:val="24"/>
          <w:lang w:val="en-US"/>
        </w:rPr>
        <w:t>Time to recurrence (</w:t>
      </w:r>
      <w:r w:rsidR="00675E83" w:rsidRPr="005A3E41">
        <w:rPr>
          <w:rFonts w:ascii="Book Antiqua" w:hAnsi="Book Antiqua" w:cs="Times New Roman"/>
          <w:sz w:val="24"/>
          <w:szCs w:val="24"/>
          <w:lang w:val="en-US"/>
        </w:rPr>
        <w:t>TTR</w:t>
      </w:r>
      <w:r w:rsidR="00675E83">
        <w:rPr>
          <w:rFonts w:ascii="Book Antiqua" w:hAnsi="Book Antiqua" w:cs="Times New Roman"/>
          <w:sz w:val="24"/>
          <w:szCs w:val="24"/>
          <w:lang w:val="en-US"/>
        </w:rPr>
        <w:t>)</w:t>
      </w:r>
      <w:r w:rsidR="00CD0D19">
        <w:rPr>
          <w:rFonts w:ascii="Book Antiqua" w:hAnsi="Book Antiqua" w:cs="Times New Roman"/>
          <w:sz w:val="24"/>
          <w:szCs w:val="24"/>
          <w:lang w:val="en-US"/>
        </w:rPr>
        <w:t xml:space="preserve"> </w:t>
      </w:r>
      <w:r w:rsidR="00675E83" w:rsidRPr="005A3E41">
        <w:rPr>
          <w:rFonts w:ascii="Book Antiqua" w:hAnsi="Book Antiqua" w:cs="Times New Roman"/>
          <w:sz w:val="24"/>
          <w:szCs w:val="24"/>
          <w:lang w:val="en-US"/>
        </w:rPr>
        <w:t xml:space="preserve">was 35 </w:t>
      </w:r>
      <w:r w:rsidR="00BB7527">
        <w:rPr>
          <w:rFonts w:ascii="Book Antiqua" w:hAnsi="Book Antiqua" w:cs="Times New Roman" w:hint="eastAsia"/>
          <w:sz w:val="24"/>
          <w:szCs w:val="24"/>
          <w:lang w:val="en-US" w:eastAsia="zh-CN"/>
        </w:rPr>
        <w:t>mo</w:t>
      </w:r>
      <w:r w:rsidR="00675E83" w:rsidRPr="005A3E41">
        <w:rPr>
          <w:rFonts w:ascii="Book Antiqua" w:hAnsi="Book Antiqua" w:cs="Times New Roman"/>
          <w:sz w:val="24"/>
          <w:szCs w:val="24"/>
          <w:lang w:val="en-US"/>
        </w:rPr>
        <w:t xml:space="preserve"> in the group &gt; 3.96% and 25 </w:t>
      </w:r>
      <w:r w:rsidR="00BB7527">
        <w:rPr>
          <w:rFonts w:ascii="Book Antiqua" w:hAnsi="Book Antiqua" w:cs="Times New Roman" w:hint="eastAsia"/>
          <w:sz w:val="24"/>
          <w:szCs w:val="24"/>
          <w:lang w:val="en-US" w:eastAsia="zh-CN"/>
        </w:rPr>
        <w:t>mo</w:t>
      </w:r>
      <w:r w:rsidR="00675E83" w:rsidRPr="005A3E41">
        <w:rPr>
          <w:rFonts w:ascii="Book Antiqua" w:hAnsi="Book Antiqua" w:cs="Times New Roman"/>
          <w:sz w:val="24"/>
          <w:szCs w:val="24"/>
          <w:lang w:val="en-US"/>
        </w:rPr>
        <w:t xml:space="preserve"> in the group ≤ 3.96% (</w:t>
      </w:r>
      <w:r w:rsidR="00BB7527" w:rsidRPr="00BB7527">
        <w:rPr>
          <w:rFonts w:ascii="Book Antiqua" w:hAnsi="Book Antiqua" w:cs="Times New Roman"/>
          <w:i/>
          <w:sz w:val="24"/>
          <w:szCs w:val="24"/>
          <w:lang w:val="en-US"/>
        </w:rPr>
        <w:t>P</w:t>
      </w:r>
      <w:r w:rsidR="00BB7527">
        <w:rPr>
          <w:rFonts w:ascii="Book Antiqua" w:hAnsi="Book Antiqua" w:cs="Times New Roman" w:hint="eastAsia"/>
          <w:sz w:val="24"/>
          <w:szCs w:val="24"/>
          <w:lang w:val="en-US" w:eastAsia="zh-CN"/>
        </w:rPr>
        <w:t xml:space="preserve"> </w:t>
      </w:r>
      <w:r w:rsidR="00675E83" w:rsidRPr="005A3E41">
        <w:rPr>
          <w:rFonts w:ascii="Book Antiqua" w:hAnsi="Book Antiqua" w:cs="Times New Roman"/>
          <w:sz w:val="24"/>
          <w:szCs w:val="24"/>
          <w:lang w:val="en-US"/>
        </w:rPr>
        <w:t>=</w:t>
      </w:r>
      <w:r w:rsidR="00BB7527">
        <w:rPr>
          <w:rFonts w:ascii="Book Antiqua" w:hAnsi="Book Antiqua" w:cs="Times New Roman" w:hint="eastAsia"/>
          <w:sz w:val="24"/>
          <w:szCs w:val="24"/>
          <w:lang w:val="en-US" w:eastAsia="zh-CN"/>
        </w:rPr>
        <w:t xml:space="preserve"> </w:t>
      </w:r>
      <w:r w:rsidR="00675E83" w:rsidRPr="005A3E41">
        <w:rPr>
          <w:rFonts w:ascii="Book Antiqua" w:hAnsi="Book Antiqua" w:cs="Times New Roman"/>
          <w:sz w:val="24"/>
          <w:szCs w:val="24"/>
          <w:lang w:val="en-US"/>
        </w:rPr>
        <w:t>0.02).</w:t>
      </w:r>
      <w:r w:rsidR="00675E83">
        <w:rPr>
          <w:rFonts w:ascii="Book Antiqua" w:hAnsi="Book Antiqua" w:cs="Times New Roman"/>
          <w:sz w:val="24"/>
          <w:szCs w:val="24"/>
          <w:lang w:val="en-US"/>
        </w:rPr>
        <w:t xml:space="preserve"> </w:t>
      </w:r>
      <w:r w:rsidRPr="005A3E41">
        <w:rPr>
          <w:rFonts w:ascii="Book Antiqua" w:hAnsi="Book Antiqua" w:cs="Times New Roman"/>
          <w:sz w:val="24"/>
          <w:szCs w:val="24"/>
          <w:lang w:val="en-US"/>
        </w:rPr>
        <w:t xml:space="preserve">Nodule size and LMR were the only significant predictors </w:t>
      </w:r>
      <w:r w:rsidR="00675E83">
        <w:rPr>
          <w:rFonts w:ascii="Book Antiqua" w:hAnsi="Book Antiqua" w:cs="Times New Roman"/>
          <w:sz w:val="24"/>
          <w:szCs w:val="24"/>
          <w:lang w:val="en-US"/>
        </w:rPr>
        <w:t xml:space="preserve">either </w:t>
      </w:r>
      <w:r w:rsidRPr="005A3E41">
        <w:rPr>
          <w:rFonts w:ascii="Book Antiqua" w:hAnsi="Book Antiqua" w:cs="Times New Roman"/>
          <w:sz w:val="24"/>
          <w:szCs w:val="24"/>
          <w:lang w:val="en-US"/>
        </w:rPr>
        <w:t>for OS</w:t>
      </w:r>
      <w:r w:rsidR="00675E83">
        <w:rPr>
          <w:rFonts w:ascii="Book Antiqua" w:hAnsi="Book Antiqua" w:cs="Times New Roman"/>
          <w:sz w:val="24"/>
          <w:szCs w:val="24"/>
          <w:lang w:val="en-US"/>
        </w:rPr>
        <w:t xml:space="preserve"> and for TTR</w:t>
      </w:r>
      <w:r w:rsidRPr="005A3E41">
        <w:rPr>
          <w:rFonts w:ascii="Book Antiqua" w:hAnsi="Book Antiqua" w:cs="Times New Roman"/>
          <w:sz w:val="24"/>
          <w:szCs w:val="24"/>
          <w:lang w:val="en-US"/>
        </w:rPr>
        <w:t xml:space="preserve"> in multivariate analysis. </w:t>
      </w:r>
      <w:r w:rsidR="009844B8">
        <w:rPr>
          <w:rFonts w:ascii="Book Antiqua" w:hAnsi="Book Antiqua" w:cs="Times New Roman"/>
          <w:sz w:val="24"/>
          <w:szCs w:val="24"/>
          <w:lang w:val="en-US"/>
        </w:rPr>
        <w:t>LMR was useful as clinical predictor of survival outcomes</w:t>
      </w:r>
      <w:r w:rsidRPr="005A3E41">
        <w:rPr>
          <w:rFonts w:ascii="Book Antiqua" w:hAnsi="Book Antiqua" w:cs="Times New Roman"/>
          <w:sz w:val="24"/>
          <w:szCs w:val="24"/>
          <w:lang w:val="en-US"/>
        </w:rPr>
        <w:t>.</w:t>
      </w:r>
    </w:p>
    <w:p w:rsidR="005A3E41" w:rsidRDefault="005A3E41" w:rsidP="00BB7527">
      <w:pPr>
        <w:spacing w:after="0" w:line="360" w:lineRule="auto"/>
        <w:jc w:val="both"/>
        <w:rPr>
          <w:rFonts w:ascii="Book Antiqua" w:hAnsi="Book Antiqua" w:cs="Times New Roman"/>
          <w:sz w:val="24"/>
          <w:szCs w:val="24"/>
          <w:lang w:val="en-US"/>
        </w:rPr>
      </w:pPr>
    </w:p>
    <w:p w:rsidR="009D3984" w:rsidRPr="007D2EC6" w:rsidRDefault="009B243A" w:rsidP="00BB7527">
      <w:pPr>
        <w:adjustRightInd w:val="0"/>
        <w:snapToGrid w:val="0"/>
        <w:spacing w:after="0" w:line="360" w:lineRule="auto"/>
        <w:jc w:val="both"/>
        <w:rPr>
          <w:rFonts w:ascii="Book Antiqua" w:hAnsi="Book Antiqua"/>
          <w:sz w:val="24"/>
          <w:lang w:val="en-US"/>
        </w:rPr>
      </w:pPr>
      <w:r w:rsidRPr="00B33D98">
        <w:rPr>
          <w:rFonts w:ascii="Book Antiqua" w:hAnsi="Book Antiqua" w:cs="Times New Roman"/>
          <w:sz w:val="24"/>
          <w:szCs w:val="24"/>
          <w:lang w:val="en-US"/>
        </w:rPr>
        <w:t xml:space="preserve">Facciorusso A, Del Prete V, Crucinio N, Serviddio G, Vendemiale G, Muscatiello N.  </w:t>
      </w:r>
      <w:r w:rsidRPr="009B243A">
        <w:rPr>
          <w:rFonts w:ascii="Book Antiqua" w:hAnsi="Book Antiqua" w:cs="Times New Roman"/>
          <w:sz w:val="24"/>
          <w:szCs w:val="24"/>
          <w:lang w:val="en-US"/>
        </w:rPr>
        <w:t>Lymphocyte-to-monocyte ratio predicts survival after radiofrequency ablation for colorectal liver metastases</w:t>
      </w:r>
      <w:r w:rsidR="009B0951">
        <w:rPr>
          <w:rFonts w:ascii="Book Antiqua" w:hAnsi="Book Antiqua" w:cs="Times New Roman"/>
          <w:sz w:val="24"/>
          <w:szCs w:val="24"/>
          <w:lang w:val="en-US"/>
        </w:rPr>
        <w:t>.</w:t>
      </w:r>
      <w:r w:rsidR="009D3984">
        <w:rPr>
          <w:rFonts w:ascii="Book Antiqua" w:hAnsi="Book Antiqua" w:cs="Times New Roman"/>
          <w:sz w:val="24"/>
          <w:szCs w:val="24"/>
          <w:lang w:val="en-US"/>
        </w:rPr>
        <w:t xml:space="preserve"> </w:t>
      </w:r>
      <w:r w:rsidR="009D3984" w:rsidRPr="007D2EC6">
        <w:rPr>
          <w:rFonts w:ascii="Book Antiqua" w:hAnsi="Book Antiqua"/>
          <w:i/>
          <w:sz w:val="24"/>
          <w:lang w:val="en-US"/>
        </w:rPr>
        <w:t>World J Gastroenterol</w:t>
      </w:r>
      <w:r w:rsidR="009D3984" w:rsidRPr="007D2EC6">
        <w:rPr>
          <w:rFonts w:ascii="Book Antiqua" w:hAnsi="Book Antiqua"/>
          <w:sz w:val="24"/>
          <w:lang w:val="en-US"/>
        </w:rPr>
        <w:t xml:space="preserve"> 201</w:t>
      </w:r>
      <w:r w:rsidR="009D3984" w:rsidRPr="007D2EC6">
        <w:rPr>
          <w:rFonts w:ascii="Book Antiqua" w:hAnsi="Book Antiqua" w:hint="eastAsia"/>
          <w:sz w:val="24"/>
          <w:lang w:val="en-US"/>
        </w:rPr>
        <w:t>6</w:t>
      </w:r>
      <w:r w:rsidR="009D3984" w:rsidRPr="007D2EC6">
        <w:rPr>
          <w:rFonts w:ascii="Book Antiqua" w:hAnsi="Book Antiqua"/>
          <w:sz w:val="24"/>
          <w:lang w:val="en-US"/>
        </w:rPr>
        <w:t xml:space="preserve">; </w:t>
      </w:r>
      <w:bookmarkStart w:id="43" w:name="OLE_LINK1689"/>
      <w:bookmarkStart w:id="44" w:name="OLE_LINK1298"/>
      <w:bookmarkStart w:id="45" w:name="OLE_LINK1297"/>
      <w:r w:rsidR="009D3984" w:rsidRPr="007D2EC6">
        <w:rPr>
          <w:rFonts w:ascii="Book Antiqua" w:hAnsi="Book Antiqua"/>
          <w:sz w:val="24"/>
          <w:lang w:val="en-US"/>
        </w:rPr>
        <w:t>In press</w:t>
      </w:r>
      <w:bookmarkEnd w:id="43"/>
      <w:bookmarkEnd w:id="44"/>
      <w:bookmarkEnd w:id="45"/>
    </w:p>
    <w:p w:rsidR="009B243A" w:rsidRPr="009B0951" w:rsidRDefault="009B243A" w:rsidP="00BB7527">
      <w:pPr>
        <w:spacing w:after="0" w:line="360" w:lineRule="auto"/>
        <w:jc w:val="both"/>
        <w:rPr>
          <w:rFonts w:ascii="Book Antiqua" w:hAnsi="Book Antiqua" w:cs="Times New Roman"/>
          <w:sz w:val="24"/>
          <w:szCs w:val="24"/>
          <w:lang w:val="en-US"/>
        </w:rPr>
      </w:pPr>
    </w:p>
    <w:p w:rsidR="009B243A" w:rsidRPr="009B243A" w:rsidRDefault="009B243A" w:rsidP="00BB7527">
      <w:pPr>
        <w:spacing w:after="0" w:line="360" w:lineRule="auto"/>
        <w:jc w:val="both"/>
        <w:rPr>
          <w:rFonts w:ascii="Book Antiqua" w:hAnsi="Book Antiqua" w:cs="Times New Roman"/>
          <w:sz w:val="24"/>
          <w:szCs w:val="24"/>
          <w:lang w:val="en-US"/>
        </w:rPr>
      </w:pPr>
    </w:p>
    <w:p w:rsidR="00BB7527" w:rsidRDefault="00BB7527">
      <w:pPr>
        <w:rPr>
          <w:rFonts w:ascii="Book Antiqua" w:hAnsi="Book Antiqua" w:cs="Times New Roman"/>
          <w:b/>
          <w:sz w:val="24"/>
          <w:szCs w:val="24"/>
          <w:lang w:val="en-US"/>
        </w:rPr>
      </w:pPr>
      <w:r>
        <w:rPr>
          <w:rFonts w:ascii="Book Antiqua" w:hAnsi="Book Antiqua" w:cs="Times New Roman"/>
          <w:b/>
          <w:sz w:val="24"/>
          <w:szCs w:val="24"/>
          <w:lang w:val="en-US"/>
        </w:rPr>
        <w:br w:type="page"/>
      </w:r>
    </w:p>
    <w:p w:rsidR="00FC6894" w:rsidRPr="00BB7527" w:rsidRDefault="00FC6894" w:rsidP="00BB7527">
      <w:pPr>
        <w:spacing w:after="0" w:line="360" w:lineRule="auto"/>
        <w:jc w:val="both"/>
        <w:rPr>
          <w:rFonts w:ascii="Book Antiqua" w:hAnsi="Book Antiqua" w:cs="Times New Roman"/>
          <w:b/>
          <w:sz w:val="24"/>
          <w:szCs w:val="24"/>
          <w:lang w:val="en-US" w:eastAsia="zh-CN"/>
        </w:rPr>
      </w:pPr>
      <w:r w:rsidRPr="00FA3054">
        <w:rPr>
          <w:rFonts w:ascii="Book Antiqua" w:hAnsi="Book Antiqua" w:cs="Times New Roman"/>
          <w:b/>
          <w:sz w:val="24"/>
          <w:szCs w:val="24"/>
          <w:lang w:val="en-US"/>
        </w:rPr>
        <w:lastRenderedPageBreak/>
        <w:t>INTRODUCTION</w:t>
      </w:r>
    </w:p>
    <w:p w:rsidR="005C69D1" w:rsidRPr="00FA3054" w:rsidRDefault="001C38C5" w:rsidP="00BB7527">
      <w:pPr>
        <w:spacing w:after="0" w:line="360" w:lineRule="auto"/>
        <w:jc w:val="both"/>
        <w:rPr>
          <w:rFonts w:ascii="Book Antiqua" w:hAnsi="Book Antiqua" w:cs="Times New Roman"/>
          <w:sz w:val="24"/>
          <w:szCs w:val="24"/>
          <w:lang w:val="en-US"/>
        </w:rPr>
      </w:pPr>
      <w:r w:rsidRPr="00FA3054">
        <w:rPr>
          <w:rFonts w:ascii="Book Antiqua" w:hAnsi="Book Antiqua" w:cs="Times New Roman"/>
          <w:sz w:val="24"/>
          <w:szCs w:val="24"/>
          <w:lang w:val="en-US"/>
        </w:rPr>
        <w:t>Colorectal cancer (CRC) is the second cause of cancer-related mortality in developed countries and the third most common malignancy worldwide</w:t>
      </w:r>
      <w:r w:rsidR="00657CB6" w:rsidRPr="009B5236">
        <w:rPr>
          <w:rFonts w:ascii="Book Antiqua" w:hAnsi="Book Antiqua" w:cs="Times New Roman"/>
          <w:sz w:val="24"/>
          <w:szCs w:val="24"/>
          <w:vertAlign w:val="superscript"/>
          <w:lang w:val="en-US"/>
        </w:rPr>
        <w:t>[1]</w:t>
      </w:r>
      <w:r w:rsidRPr="00FA3054">
        <w:rPr>
          <w:rFonts w:ascii="Book Antiqua" w:hAnsi="Book Antiqua" w:cs="Times New Roman"/>
          <w:sz w:val="24"/>
          <w:szCs w:val="24"/>
          <w:lang w:val="en-US"/>
        </w:rPr>
        <w:t>.</w:t>
      </w:r>
      <w:r w:rsidR="004C577F" w:rsidRPr="00FA3054">
        <w:rPr>
          <w:rFonts w:ascii="Book Antiqua" w:hAnsi="Book Antiqua" w:cs="Times New Roman"/>
          <w:sz w:val="24"/>
          <w:szCs w:val="24"/>
          <w:lang w:val="en-US"/>
        </w:rPr>
        <w:t xml:space="preserve"> Liver resection </w:t>
      </w:r>
      <w:r w:rsidR="00C80264" w:rsidRPr="00FA3054">
        <w:rPr>
          <w:rFonts w:ascii="Book Antiqua" w:hAnsi="Book Antiqua" w:cs="Times New Roman"/>
          <w:sz w:val="24"/>
          <w:szCs w:val="24"/>
          <w:lang w:val="en-US"/>
        </w:rPr>
        <w:t xml:space="preserve">represents a valuable therapeutic option in patients </w:t>
      </w:r>
      <w:r w:rsidR="004C577F" w:rsidRPr="00FA3054">
        <w:rPr>
          <w:rFonts w:ascii="Book Antiqua" w:hAnsi="Book Antiqua" w:cs="Times New Roman"/>
          <w:sz w:val="24"/>
          <w:szCs w:val="24"/>
          <w:lang w:val="en-US"/>
        </w:rPr>
        <w:t xml:space="preserve">who develop liver metastases, </w:t>
      </w:r>
      <w:r w:rsidR="004109DB" w:rsidRPr="00FA3054">
        <w:rPr>
          <w:rFonts w:ascii="Book Antiqua" w:hAnsi="Book Antiqua" w:cs="Times New Roman"/>
          <w:sz w:val="24"/>
          <w:szCs w:val="24"/>
          <w:lang w:val="en-US"/>
        </w:rPr>
        <w:t xml:space="preserve">but </w:t>
      </w:r>
      <w:r w:rsidR="00C46A14" w:rsidRPr="00FA3054">
        <w:rPr>
          <w:rFonts w:ascii="Book Antiqua" w:hAnsi="Book Antiqua" w:cs="Times New Roman"/>
          <w:sz w:val="24"/>
          <w:szCs w:val="24"/>
          <w:lang w:val="en-US"/>
        </w:rPr>
        <w:t>unfortunately less than 20%</w:t>
      </w:r>
      <w:r w:rsidR="004C577F" w:rsidRPr="00FA3054">
        <w:rPr>
          <w:rFonts w:ascii="Book Antiqua" w:hAnsi="Book Antiqua" w:cs="Times New Roman"/>
          <w:sz w:val="24"/>
          <w:szCs w:val="24"/>
          <w:lang w:val="en-US"/>
        </w:rPr>
        <w:t xml:space="preserve"> </w:t>
      </w:r>
      <w:r w:rsidR="004109DB" w:rsidRPr="00FA3054">
        <w:rPr>
          <w:rFonts w:ascii="Book Antiqua" w:hAnsi="Book Antiqua" w:cs="Times New Roman"/>
          <w:sz w:val="24"/>
          <w:szCs w:val="24"/>
          <w:lang w:val="en-US"/>
        </w:rPr>
        <w:t xml:space="preserve">of them </w:t>
      </w:r>
      <w:r w:rsidR="00C46A14" w:rsidRPr="00FA3054">
        <w:rPr>
          <w:rFonts w:ascii="Book Antiqua" w:hAnsi="Book Antiqua" w:cs="Times New Roman"/>
          <w:sz w:val="24"/>
          <w:szCs w:val="24"/>
          <w:lang w:val="en-US"/>
        </w:rPr>
        <w:t xml:space="preserve">is suitable for </w:t>
      </w:r>
      <w:r w:rsidR="004109DB" w:rsidRPr="00FA3054">
        <w:rPr>
          <w:rFonts w:ascii="Book Antiqua" w:hAnsi="Book Antiqua" w:cs="Times New Roman"/>
          <w:sz w:val="24"/>
          <w:szCs w:val="24"/>
          <w:lang w:val="en-US"/>
        </w:rPr>
        <w:t>surgery</w:t>
      </w:r>
      <w:r w:rsidR="00C46A14" w:rsidRPr="00FA3054">
        <w:rPr>
          <w:rFonts w:ascii="Book Antiqua" w:hAnsi="Book Antiqua" w:cs="Times New Roman"/>
          <w:sz w:val="24"/>
          <w:szCs w:val="24"/>
          <w:lang w:val="en-US"/>
        </w:rPr>
        <w:t xml:space="preserve"> </w:t>
      </w:r>
      <w:r w:rsidR="008C7517" w:rsidRPr="00FA3054">
        <w:rPr>
          <w:rFonts w:ascii="Book Antiqua" w:hAnsi="Book Antiqua" w:cs="Times New Roman"/>
          <w:sz w:val="24"/>
          <w:szCs w:val="24"/>
          <w:lang w:val="en-US"/>
        </w:rPr>
        <w:t xml:space="preserve">mainly </w:t>
      </w:r>
      <w:r w:rsidR="00C46A14" w:rsidRPr="00FA3054">
        <w:rPr>
          <w:rFonts w:ascii="Book Antiqua" w:hAnsi="Book Antiqua" w:cs="Times New Roman"/>
          <w:sz w:val="24"/>
          <w:szCs w:val="24"/>
          <w:lang w:val="en-US"/>
        </w:rPr>
        <w:t>due to high tumor burden or extrahepatic tumoral disease</w:t>
      </w:r>
      <w:r w:rsidR="00021099" w:rsidRPr="00FA3054">
        <w:rPr>
          <w:rFonts w:ascii="Book Antiqua" w:hAnsi="Book Antiqua" w:cs="Times New Roman"/>
          <w:sz w:val="24"/>
          <w:szCs w:val="24"/>
          <w:lang w:val="en-US"/>
        </w:rPr>
        <w:t xml:space="preserve"> which render systemic chemotherapy the more appropriate treatment</w:t>
      </w:r>
      <w:r w:rsidR="005F79A8" w:rsidRPr="00FA3054">
        <w:rPr>
          <w:rFonts w:ascii="Book Antiqua" w:hAnsi="Book Antiqua" w:cs="Times New Roman"/>
          <w:sz w:val="24"/>
          <w:szCs w:val="24"/>
          <w:lang w:val="en-US"/>
        </w:rPr>
        <w:t xml:space="preserve"> in such cases</w:t>
      </w:r>
      <w:r w:rsidR="00657CB6" w:rsidRPr="009B5236">
        <w:rPr>
          <w:rFonts w:ascii="Book Antiqua" w:hAnsi="Book Antiqua" w:cs="Times New Roman"/>
          <w:sz w:val="24"/>
          <w:szCs w:val="24"/>
          <w:vertAlign w:val="superscript"/>
          <w:lang w:val="en-US"/>
        </w:rPr>
        <w:t>[2,3]</w:t>
      </w:r>
      <w:r w:rsidR="004C577F" w:rsidRPr="00FA3054">
        <w:rPr>
          <w:rFonts w:ascii="Book Antiqua" w:hAnsi="Book Antiqua" w:cs="Times New Roman"/>
          <w:sz w:val="24"/>
          <w:szCs w:val="24"/>
          <w:lang w:val="en-US"/>
        </w:rPr>
        <w:t xml:space="preserve">. </w:t>
      </w:r>
      <w:r w:rsidR="00167E18" w:rsidRPr="00FA3054">
        <w:rPr>
          <w:rFonts w:ascii="Book Antiqua" w:hAnsi="Book Antiqua" w:cs="Times New Roman"/>
          <w:sz w:val="24"/>
          <w:szCs w:val="24"/>
          <w:lang w:val="en-US"/>
        </w:rPr>
        <w:t>When th</w:t>
      </w:r>
      <w:r w:rsidR="00DC7B05" w:rsidRPr="00FA3054">
        <w:rPr>
          <w:rFonts w:ascii="Book Antiqua" w:hAnsi="Book Antiqua" w:cs="Times New Roman"/>
          <w:sz w:val="24"/>
          <w:szCs w:val="24"/>
          <w:lang w:val="en-US"/>
        </w:rPr>
        <w:t>e surgical option is unfeasible</w:t>
      </w:r>
      <w:r w:rsidR="00167E18" w:rsidRPr="00FA3054">
        <w:rPr>
          <w:rFonts w:ascii="Book Antiqua" w:hAnsi="Book Antiqua" w:cs="Times New Roman"/>
          <w:sz w:val="24"/>
          <w:szCs w:val="24"/>
          <w:lang w:val="en-US"/>
        </w:rPr>
        <w:t xml:space="preserve"> due to patient como</w:t>
      </w:r>
      <w:r w:rsidR="00DC7B05" w:rsidRPr="00FA3054">
        <w:rPr>
          <w:rFonts w:ascii="Book Antiqua" w:hAnsi="Book Antiqua" w:cs="Times New Roman"/>
          <w:sz w:val="24"/>
          <w:szCs w:val="24"/>
          <w:lang w:val="en-US"/>
        </w:rPr>
        <w:t>rbidities,</w:t>
      </w:r>
      <w:r w:rsidR="00167E18" w:rsidRPr="00FA3054">
        <w:rPr>
          <w:rFonts w:ascii="Book Antiqua" w:hAnsi="Book Antiqua" w:cs="Times New Roman"/>
          <w:sz w:val="24"/>
          <w:szCs w:val="24"/>
          <w:lang w:val="en-US"/>
        </w:rPr>
        <w:t xml:space="preserve"> unwillingness </w:t>
      </w:r>
      <w:r w:rsidR="00DC7B05" w:rsidRPr="00FA3054">
        <w:rPr>
          <w:rFonts w:ascii="Book Antiqua" w:hAnsi="Book Antiqua" w:cs="Times New Roman"/>
          <w:sz w:val="24"/>
          <w:szCs w:val="24"/>
          <w:lang w:val="en-US"/>
        </w:rPr>
        <w:t xml:space="preserve">to undergo surgery </w:t>
      </w:r>
      <w:r w:rsidR="00167E18" w:rsidRPr="00FA3054">
        <w:rPr>
          <w:rFonts w:ascii="Book Antiqua" w:hAnsi="Book Antiqua" w:cs="Times New Roman"/>
          <w:sz w:val="24"/>
          <w:szCs w:val="24"/>
          <w:lang w:val="en-US"/>
        </w:rPr>
        <w:t>or tumor location, local abl</w:t>
      </w:r>
      <w:r w:rsidR="004B3BD8" w:rsidRPr="00FA3054">
        <w:rPr>
          <w:rFonts w:ascii="Book Antiqua" w:hAnsi="Book Antiqua" w:cs="Times New Roman"/>
          <w:sz w:val="24"/>
          <w:szCs w:val="24"/>
          <w:lang w:val="en-US"/>
        </w:rPr>
        <w:t xml:space="preserve">ation may represent a valuable alternative. </w:t>
      </w:r>
    </w:p>
    <w:p w:rsidR="005A7148" w:rsidRPr="00FA3054" w:rsidRDefault="00E955A8" w:rsidP="00BB7527">
      <w:pPr>
        <w:spacing w:after="0" w:line="360" w:lineRule="auto"/>
        <w:ind w:firstLineChars="150" w:firstLine="360"/>
        <w:jc w:val="both"/>
        <w:rPr>
          <w:rFonts w:ascii="Book Antiqua" w:hAnsi="Book Antiqua" w:cs="Times New Roman"/>
          <w:sz w:val="24"/>
          <w:szCs w:val="24"/>
          <w:lang w:val="en-US"/>
        </w:rPr>
      </w:pPr>
      <w:r w:rsidRPr="00FA3054">
        <w:rPr>
          <w:rFonts w:ascii="Book Antiqua" w:hAnsi="Book Antiqua" w:cs="Times New Roman"/>
          <w:sz w:val="24"/>
          <w:szCs w:val="24"/>
          <w:lang w:val="en-US"/>
        </w:rPr>
        <w:t>Percutaneous r</w:t>
      </w:r>
      <w:r w:rsidR="001A5437" w:rsidRPr="00FA3054">
        <w:rPr>
          <w:rFonts w:ascii="Book Antiqua" w:hAnsi="Book Antiqua" w:cs="Times New Roman"/>
          <w:sz w:val="24"/>
          <w:szCs w:val="24"/>
          <w:lang w:val="en-US"/>
        </w:rPr>
        <w:t xml:space="preserve">adiofrequency ablation (RFA), an ablative technique which determines coagulation necrosis of the tumor by means of radiofrequency-induced heat, has </w:t>
      </w:r>
      <w:r w:rsidR="000145EF" w:rsidRPr="00FA3054">
        <w:rPr>
          <w:rFonts w:ascii="Book Antiqua" w:hAnsi="Book Antiqua" w:cs="Times New Roman"/>
          <w:sz w:val="24"/>
          <w:szCs w:val="24"/>
          <w:lang w:val="en-US"/>
        </w:rPr>
        <w:t xml:space="preserve">proved effective in prolonging survival in a number of liver malignancies such as </w:t>
      </w:r>
      <w:r w:rsidR="001A5437" w:rsidRPr="00FA3054">
        <w:rPr>
          <w:rFonts w:ascii="Book Antiqua" w:hAnsi="Book Antiqua" w:cs="Times New Roman"/>
          <w:sz w:val="24"/>
          <w:szCs w:val="24"/>
          <w:lang w:val="en-US"/>
        </w:rPr>
        <w:t>hepatocellular carcinoma</w:t>
      </w:r>
      <w:r w:rsidR="00657CB6" w:rsidRPr="00FA3054">
        <w:rPr>
          <w:rFonts w:ascii="Book Antiqua" w:hAnsi="Book Antiqua" w:cs="Times New Roman"/>
          <w:sz w:val="24"/>
          <w:szCs w:val="24"/>
          <w:lang w:val="en-US"/>
        </w:rPr>
        <w:t xml:space="preserve"> </w:t>
      </w:r>
      <w:r w:rsidR="00507571">
        <w:rPr>
          <w:rFonts w:ascii="Book Antiqua" w:hAnsi="Book Antiqua" w:cs="Times New Roman"/>
          <w:sz w:val="24"/>
          <w:szCs w:val="24"/>
          <w:lang w:val="en-US"/>
        </w:rPr>
        <w:t>(HCC)</w:t>
      </w:r>
      <w:r w:rsidR="00657CB6" w:rsidRPr="00507571">
        <w:rPr>
          <w:rFonts w:ascii="Book Antiqua" w:hAnsi="Book Antiqua" w:cs="Times New Roman"/>
          <w:sz w:val="24"/>
          <w:szCs w:val="24"/>
          <w:vertAlign w:val="superscript"/>
          <w:lang w:val="en-US"/>
        </w:rPr>
        <w:t>[4</w:t>
      </w:r>
      <w:r w:rsidR="006D1F3C" w:rsidRPr="00507571">
        <w:rPr>
          <w:rFonts w:ascii="Book Antiqua" w:hAnsi="Book Antiqua" w:cs="Times New Roman"/>
          <w:sz w:val="24"/>
          <w:szCs w:val="24"/>
          <w:vertAlign w:val="superscript"/>
          <w:lang w:val="en-US"/>
        </w:rPr>
        <w:t>-6</w:t>
      </w:r>
      <w:r w:rsidR="00657CB6" w:rsidRPr="00507571">
        <w:rPr>
          <w:rFonts w:ascii="Book Antiqua" w:hAnsi="Book Antiqua" w:cs="Times New Roman"/>
          <w:sz w:val="24"/>
          <w:szCs w:val="24"/>
          <w:vertAlign w:val="superscript"/>
          <w:lang w:val="en-US"/>
        </w:rPr>
        <w:t>]</w:t>
      </w:r>
      <w:r w:rsidR="001A5437" w:rsidRPr="00FA3054">
        <w:rPr>
          <w:rFonts w:ascii="Book Antiqua" w:hAnsi="Book Antiqua" w:cs="Times New Roman"/>
          <w:sz w:val="24"/>
          <w:szCs w:val="24"/>
          <w:lang w:val="en-US"/>
        </w:rPr>
        <w:t>, liver metastases from CRC</w:t>
      </w:r>
      <w:r w:rsidR="006D1F3C" w:rsidRPr="00FA3054">
        <w:rPr>
          <w:rFonts w:ascii="Book Antiqua" w:hAnsi="Book Antiqua" w:cs="Times New Roman"/>
          <w:sz w:val="24"/>
          <w:szCs w:val="24"/>
          <w:lang w:val="en-US"/>
        </w:rPr>
        <w:t xml:space="preserve"> </w:t>
      </w:r>
      <w:r w:rsidR="00507571">
        <w:rPr>
          <w:rFonts w:ascii="Book Antiqua" w:hAnsi="Book Antiqua" w:cs="Times New Roman"/>
          <w:sz w:val="24"/>
          <w:szCs w:val="24"/>
          <w:lang w:val="en-US"/>
        </w:rPr>
        <w:t>(CLMs)</w:t>
      </w:r>
      <w:r w:rsidR="006D1F3C" w:rsidRPr="00507571">
        <w:rPr>
          <w:rFonts w:ascii="Book Antiqua" w:hAnsi="Book Antiqua" w:cs="Times New Roman"/>
          <w:sz w:val="24"/>
          <w:szCs w:val="24"/>
          <w:vertAlign w:val="superscript"/>
          <w:lang w:val="en-US"/>
        </w:rPr>
        <w:t>[7</w:t>
      </w:r>
      <w:r w:rsidR="00657CB6" w:rsidRPr="00507571">
        <w:rPr>
          <w:rFonts w:ascii="Book Antiqua" w:hAnsi="Book Antiqua" w:cs="Times New Roman"/>
          <w:sz w:val="24"/>
          <w:szCs w:val="24"/>
          <w:vertAlign w:val="superscript"/>
          <w:lang w:val="en-US"/>
        </w:rPr>
        <w:t>]</w:t>
      </w:r>
      <w:r w:rsidR="001A5437" w:rsidRPr="00FA3054">
        <w:rPr>
          <w:rFonts w:ascii="Book Antiqua" w:hAnsi="Book Antiqua" w:cs="Times New Roman"/>
          <w:sz w:val="24"/>
          <w:szCs w:val="24"/>
          <w:lang w:val="en-US"/>
        </w:rPr>
        <w:t>, breast</w:t>
      </w:r>
      <w:r w:rsidR="00657CB6" w:rsidRPr="00FA3054">
        <w:rPr>
          <w:rFonts w:ascii="Book Antiqua" w:hAnsi="Book Antiqua" w:cs="Times New Roman"/>
          <w:sz w:val="24"/>
          <w:szCs w:val="24"/>
          <w:vertAlign w:val="superscript"/>
          <w:lang w:val="en-US"/>
        </w:rPr>
        <w:t xml:space="preserve"> </w:t>
      </w:r>
      <w:r w:rsidR="006D1F3C" w:rsidRPr="00507571">
        <w:rPr>
          <w:rFonts w:ascii="Book Antiqua" w:hAnsi="Book Antiqua" w:cs="Times New Roman"/>
          <w:sz w:val="24"/>
          <w:szCs w:val="24"/>
          <w:vertAlign w:val="superscript"/>
          <w:lang w:val="en-US"/>
        </w:rPr>
        <w:t>[8</w:t>
      </w:r>
      <w:r w:rsidR="00657CB6" w:rsidRPr="00507571">
        <w:rPr>
          <w:rFonts w:ascii="Book Antiqua" w:hAnsi="Book Antiqua" w:cs="Times New Roman"/>
          <w:sz w:val="24"/>
          <w:szCs w:val="24"/>
          <w:vertAlign w:val="superscript"/>
          <w:lang w:val="en-US"/>
        </w:rPr>
        <w:t>]</w:t>
      </w:r>
      <w:r w:rsidR="001A5437" w:rsidRPr="00FA3054">
        <w:rPr>
          <w:rFonts w:ascii="Book Antiqua" w:hAnsi="Book Antiqua" w:cs="Times New Roman"/>
          <w:sz w:val="24"/>
          <w:szCs w:val="24"/>
          <w:lang w:val="en-US"/>
        </w:rPr>
        <w:t xml:space="preserve"> and ovarian cancer</w:t>
      </w:r>
      <w:r w:rsidR="006D1F3C" w:rsidRPr="00507571">
        <w:rPr>
          <w:rFonts w:ascii="Book Antiqua" w:hAnsi="Book Antiqua" w:cs="Times New Roman"/>
          <w:sz w:val="24"/>
          <w:szCs w:val="24"/>
          <w:vertAlign w:val="superscript"/>
          <w:lang w:val="en-US"/>
        </w:rPr>
        <w:t>[9</w:t>
      </w:r>
      <w:r w:rsidR="00657CB6" w:rsidRPr="00507571">
        <w:rPr>
          <w:rFonts w:ascii="Book Antiqua" w:hAnsi="Book Antiqua" w:cs="Times New Roman"/>
          <w:sz w:val="24"/>
          <w:szCs w:val="24"/>
          <w:vertAlign w:val="superscript"/>
          <w:lang w:val="en-US"/>
        </w:rPr>
        <w:t>]</w:t>
      </w:r>
      <w:r w:rsidR="001A5437" w:rsidRPr="00FA3054">
        <w:rPr>
          <w:rFonts w:ascii="Book Antiqua" w:hAnsi="Book Antiqua" w:cs="Times New Roman"/>
          <w:sz w:val="24"/>
          <w:szCs w:val="24"/>
          <w:lang w:val="en-US"/>
        </w:rPr>
        <w:t>.</w:t>
      </w:r>
      <w:r w:rsidR="00BB7527">
        <w:rPr>
          <w:rFonts w:ascii="Book Antiqua" w:hAnsi="Book Antiqua" w:cs="Times New Roman" w:hint="eastAsia"/>
          <w:sz w:val="24"/>
          <w:szCs w:val="24"/>
          <w:lang w:val="en-US" w:eastAsia="zh-CN"/>
        </w:rPr>
        <w:t xml:space="preserve">  </w:t>
      </w:r>
      <w:r w:rsidR="005A7148" w:rsidRPr="00FA3054">
        <w:rPr>
          <w:rFonts w:ascii="Book Antiqua" w:hAnsi="Book Antiqua" w:cs="Times New Roman"/>
          <w:sz w:val="24"/>
          <w:szCs w:val="24"/>
          <w:lang w:val="en-US"/>
        </w:rPr>
        <w:t>Cumulative evidence has demonstrated that inflammatory cells infiltrates in the tumor microenvironment have a large influence on the biological behavior of seve</w:t>
      </w:r>
      <w:r w:rsidR="00C03255">
        <w:rPr>
          <w:rFonts w:ascii="Book Antiqua" w:hAnsi="Book Antiqua" w:cs="Times New Roman"/>
          <w:sz w:val="24"/>
          <w:szCs w:val="24"/>
          <w:lang w:val="en-US"/>
        </w:rPr>
        <w:t>ral malignancies, including HCC</w:t>
      </w:r>
      <w:r w:rsidR="005A7148" w:rsidRPr="00507571">
        <w:rPr>
          <w:rFonts w:ascii="Book Antiqua" w:hAnsi="Book Antiqua" w:cs="Times New Roman"/>
          <w:sz w:val="24"/>
          <w:szCs w:val="24"/>
          <w:vertAlign w:val="superscript"/>
          <w:lang w:val="en-US"/>
        </w:rPr>
        <w:t>[10]</w:t>
      </w:r>
      <w:r w:rsidR="00507571">
        <w:rPr>
          <w:rFonts w:ascii="Book Antiqua" w:hAnsi="Book Antiqua" w:cs="Times New Roman"/>
          <w:sz w:val="24"/>
          <w:szCs w:val="24"/>
          <w:lang w:val="en-US"/>
        </w:rPr>
        <w:t xml:space="preserve"> and CRC</w:t>
      </w:r>
      <w:r w:rsidR="005A7148" w:rsidRPr="00507571">
        <w:rPr>
          <w:rFonts w:ascii="Book Antiqua" w:hAnsi="Book Antiqua" w:cs="Times New Roman"/>
          <w:sz w:val="24"/>
          <w:szCs w:val="24"/>
          <w:vertAlign w:val="superscript"/>
          <w:lang w:val="en-US"/>
        </w:rPr>
        <w:t>[11]</w:t>
      </w:r>
      <w:r w:rsidR="005A7148" w:rsidRPr="00FA3054">
        <w:rPr>
          <w:rFonts w:ascii="Book Antiqua" w:hAnsi="Book Antiqua" w:cs="Times New Roman"/>
          <w:sz w:val="24"/>
          <w:szCs w:val="24"/>
          <w:lang w:val="en-US"/>
        </w:rPr>
        <w:t xml:space="preserve">. </w:t>
      </w:r>
      <w:r w:rsidR="0080067D" w:rsidRPr="00FA3054">
        <w:rPr>
          <w:rFonts w:ascii="Book Antiqua" w:hAnsi="Book Antiqua" w:cs="Times New Roman"/>
          <w:sz w:val="24"/>
          <w:szCs w:val="24"/>
          <w:lang w:val="en-US"/>
        </w:rPr>
        <w:t xml:space="preserve">In particular, macrophages constitute the most represented leukocyte lineage in such infiltrates and are well-known to promote tumor </w:t>
      </w:r>
      <w:r w:rsidR="005A7148" w:rsidRPr="00FA3054">
        <w:rPr>
          <w:rFonts w:ascii="Book Antiqua" w:hAnsi="Book Antiqua" w:cs="Times New Roman"/>
          <w:sz w:val="24"/>
          <w:szCs w:val="24"/>
          <w:lang w:val="en-US"/>
        </w:rPr>
        <w:t xml:space="preserve">proliferation, </w:t>
      </w:r>
      <w:r w:rsidR="0080067D" w:rsidRPr="00FA3054">
        <w:rPr>
          <w:rFonts w:ascii="Book Antiqua" w:hAnsi="Book Antiqua" w:cs="Times New Roman"/>
          <w:sz w:val="24"/>
          <w:szCs w:val="24"/>
          <w:lang w:val="en-US"/>
        </w:rPr>
        <w:t>neo-</w:t>
      </w:r>
      <w:r w:rsidR="005A7148" w:rsidRPr="00FA3054">
        <w:rPr>
          <w:rFonts w:ascii="Book Antiqua" w:hAnsi="Book Antiqua" w:cs="Times New Roman"/>
          <w:sz w:val="24"/>
          <w:szCs w:val="24"/>
          <w:lang w:val="en-US"/>
        </w:rPr>
        <w:t>angiogenesis and metastasis</w:t>
      </w:r>
      <w:r w:rsidR="00283002">
        <w:rPr>
          <w:rFonts w:ascii="Book Antiqua" w:hAnsi="Book Antiqua" w:cs="Times New Roman"/>
          <w:sz w:val="24"/>
          <w:szCs w:val="24"/>
          <w:lang w:val="en-US"/>
        </w:rPr>
        <w:t xml:space="preserve"> occurrence</w:t>
      </w:r>
      <w:r w:rsidR="0080067D" w:rsidRPr="00283002">
        <w:rPr>
          <w:rFonts w:ascii="Book Antiqua" w:hAnsi="Book Antiqua" w:cs="Times New Roman"/>
          <w:sz w:val="24"/>
          <w:szCs w:val="24"/>
          <w:vertAlign w:val="superscript"/>
          <w:lang w:val="en-US"/>
        </w:rPr>
        <w:t>[12</w:t>
      </w:r>
      <w:r w:rsidR="00631C40">
        <w:rPr>
          <w:rFonts w:ascii="Book Antiqua" w:hAnsi="Book Antiqua" w:cs="Times New Roman"/>
          <w:sz w:val="24"/>
          <w:szCs w:val="24"/>
          <w:vertAlign w:val="superscript"/>
          <w:lang w:val="en-US"/>
        </w:rPr>
        <w:t>-15</w:t>
      </w:r>
      <w:r w:rsidR="005A7148" w:rsidRPr="00283002">
        <w:rPr>
          <w:rFonts w:ascii="Book Antiqua" w:hAnsi="Book Antiqua" w:cs="Times New Roman"/>
          <w:sz w:val="24"/>
          <w:szCs w:val="24"/>
          <w:vertAlign w:val="superscript"/>
          <w:lang w:val="en-US"/>
        </w:rPr>
        <w:t>]</w:t>
      </w:r>
      <w:r w:rsidR="005A7148" w:rsidRPr="00FA3054">
        <w:rPr>
          <w:rFonts w:ascii="Book Antiqua" w:hAnsi="Book Antiqua" w:cs="Times New Roman"/>
          <w:sz w:val="24"/>
          <w:szCs w:val="24"/>
          <w:lang w:val="en-US"/>
        </w:rPr>
        <w:t>.</w:t>
      </w:r>
      <w:r w:rsidR="005D18CB" w:rsidRPr="00FA3054">
        <w:rPr>
          <w:rFonts w:ascii="Book Antiqua" w:hAnsi="Book Antiqua" w:cs="Times New Roman"/>
          <w:sz w:val="24"/>
          <w:szCs w:val="24"/>
          <w:lang w:val="en-US"/>
        </w:rPr>
        <w:t xml:space="preserve"> As a consequence, i</w:t>
      </w:r>
      <w:r w:rsidR="005A7148" w:rsidRPr="00FA3054">
        <w:rPr>
          <w:rFonts w:ascii="Book Antiqua" w:hAnsi="Book Antiqua" w:cs="Times New Roman"/>
          <w:sz w:val="24"/>
          <w:szCs w:val="24"/>
          <w:lang w:val="en-US"/>
        </w:rPr>
        <w:t>mmunohistochem</w:t>
      </w:r>
      <w:r w:rsidR="005D18CB" w:rsidRPr="00FA3054">
        <w:rPr>
          <w:rFonts w:ascii="Book Antiqua" w:hAnsi="Book Antiqua" w:cs="Times New Roman"/>
          <w:sz w:val="24"/>
          <w:szCs w:val="24"/>
          <w:lang w:val="en-US"/>
        </w:rPr>
        <w:t>ical studies have validated the association between high monocyte/macrophage</w:t>
      </w:r>
      <w:r w:rsidR="005A7148" w:rsidRPr="00FA3054">
        <w:rPr>
          <w:rFonts w:ascii="Book Antiqua" w:hAnsi="Book Antiqua" w:cs="Times New Roman"/>
          <w:sz w:val="24"/>
          <w:szCs w:val="24"/>
          <w:lang w:val="en-US"/>
        </w:rPr>
        <w:t xml:space="preserve"> density </w:t>
      </w:r>
      <w:r w:rsidR="005D18CB" w:rsidRPr="00FA3054">
        <w:rPr>
          <w:rFonts w:ascii="Book Antiqua" w:hAnsi="Book Antiqua" w:cs="Times New Roman"/>
          <w:sz w:val="24"/>
          <w:szCs w:val="24"/>
          <w:lang w:val="en-US"/>
        </w:rPr>
        <w:t xml:space="preserve">in the tumoral stroma and unfavorable </w:t>
      </w:r>
      <w:r w:rsidR="005A7148" w:rsidRPr="00FA3054">
        <w:rPr>
          <w:rFonts w:ascii="Book Antiqua" w:hAnsi="Book Antiqua" w:cs="Times New Roman"/>
          <w:sz w:val="24"/>
          <w:szCs w:val="24"/>
          <w:lang w:val="en-US"/>
        </w:rPr>
        <w:t xml:space="preserve">prognosis in </w:t>
      </w:r>
      <w:r w:rsidR="00283002">
        <w:rPr>
          <w:rFonts w:ascii="Book Antiqua" w:hAnsi="Book Antiqua" w:cs="Times New Roman"/>
          <w:sz w:val="24"/>
          <w:szCs w:val="24"/>
          <w:lang w:val="en-US"/>
        </w:rPr>
        <w:t>a number of malignancies</w:t>
      </w:r>
      <w:r w:rsidR="00631C40">
        <w:rPr>
          <w:rFonts w:ascii="Book Antiqua" w:hAnsi="Book Antiqua" w:cs="Times New Roman"/>
          <w:sz w:val="24"/>
          <w:szCs w:val="24"/>
          <w:vertAlign w:val="superscript"/>
          <w:lang w:val="en-US"/>
        </w:rPr>
        <w:t>[10</w:t>
      </w:r>
      <w:r w:rsidR="005A7148" w:rsidRPr="00283002">
        <w:rPr>
          <w:rFonts w:ascii="Book Antiqua" w:hAnsi="Book Antiqua" w:cs="Times New Roman"/>
          <w:sz w:val="24"/>
          <w:szCs w:val="24"/>
          <w:vertAlign w:val="superscript"/>
          <w:lang w:val="en-US"/>
        </w:rPr>
        <w:t>,16]</w:t>
      </w:r>
      <w:r w:rsidR="005A7148" w:rsidRPr="00FA3054">
        <w:rPr>
          <w:rFonts w:ascii="Book Antiqua" w:hAnsi="Book Antiqua" w:cs="Times New Roman"/>
          <w:sz w:val="24"/>
          <w:szCs w:val="24"/>
          <w:lang w:val="en-US"/>
        </w:rPr>
        <w:t>.</w:t>
      </w:r>
    </w:p>
    <w:p w:rsidR="007334B2" w:rsidRPr="00FA3054" w:rsidRDefault="005C3E7B" w:rsidP="00BB7527">
      <w:pPr>
        <w:spacing w:after="0" w:line="360" w:lineRule="auto"/>
        <w:ind w:firstLineChars="150" w:firstLine="360"/>
        <w:jc w:val="both"/>
        <w:rPr>
          <w:rFonts w:ascii="Book Antiqua" w:hAnsi="Book Antiqua" w:cs="Times New Roman"/>
          <w:sz w:val="24"/>
          <w:szCs w:val="24"/>
          <w:lang w:val="en-US"/>
        </w:rPr>
      </w:pPr>
      <w:r w:rsidRPr="00FA3054">
        <w:rPr>
          <w:rFonts w:ascii="Book Antiqua" w:hAnsi="Book Antiqua" w:cs="Times New Roman"/>
          <w:sz w:val="24"/>
          <w:szCs w:val="24"/>
          <w:lang w:val="en-US"/>
        </w:rPr>
        <w:t>Several inflammatory bio-markers have been tested in CLMs, among them widely available and easy to use are those obtained from peripheral blood cell count such as neutrophil-to-lymphocyte ratio (NLR) and monocyte level (expressed as percentage) but none of them have been definitiv</w:t>
      </w:r>
      <w:r w:rsidR="00283002">
        <w:rPr>
          <w:rFonts w:ascii="Book Antiqua" w:hAnsi="Book Antiqua" w:cs="Times New Roman"/>
          <w:sz w:val="24"/>
          <w:szCs w:val="24"/>
          <w:lang w:val="en-US"/>
        </w:rPr>
        <w:t>ely and unequivocally validated</w:t>
      </w:r>
      <w:r w:rsidRPr="00283002">
        <w:rPr>
          <w:rFonts w:ascii="Book Antiqua" w:hAnsi="Book Antiqua" w:cs="Times New Roman"/>
          <w:sz w:val="24"/>
          <w:szCs w:val="24"/>
          <w:vertAlign w:val="superscript"/>
          <w:lang w:val="en-US"/>
        </w:rPr>
        <w:t>[17,18]</w:t>
      </w:r>
      <w:r w:rsidRPr="00FA3054">
        <w:rPr>
          <w:rFonts w:ascii="Book Antiqua" w:hAnsi="Book Antiqua" w:cs="Times New Roman"/>
          <w:sz w:val="24"/>
          <w:szCs w:val="24"/>
          <w:lang w:val="en-US"/>
        </w:rPr>
        <w:t>.</w:t>
      </w:r>
      <w:r w:rsidR="008A555D" w:rsidRPr="00FA3054">
        <w:rPr>
          <w:rFonts w:ascii="Book Antiqua" w:hAnsi="Book Antiqua" w:cs="Times New Roman"/>
          <w:sz w:val="24"/>
          <w:szCs w:val="24"/>
          <w:lang w:val="en-US"/>
        </w:rPr>
        <w:t xml:space="preserve"> Since the </w:t>
      </w:r>
      <w:r w:rsidR="00AC44D2" w:rsidRPr="00FA3054">
        <w:rPr>
          <w:rFonts w:ascii="Book Antiqua" w:hAnsi="Book Antiqua" w:cs="Times New Roman"/>
          <w:sz w:val="24"/>
          <w:szCs w:val="24"/>
          <w:lang w:val="en-US"/>
        </w:rPr>
        <w:t xml:space="preserve">pre-operative </w:t>
      </w:r>
      <w:r w:rsidR="008A555D" w:rsidRPr="00FA3054">
        <w:rPr>
          <w:rFonts w:ascii="Book Antiqua" w:hAnsi="Book Antiqua" w:cs="Times New Roman"/>
          <w:sz w:val="24"/>
          <w:szCs w:val="24"/>
          <w:lang w:val="en-US"/>
        </w:rPr>
        <w:t xml:space="preserve">lymphocyte-to-monocyte ratio (LMR) has been recently found to </w:t>
      </w:r>
      <w:r w:rsidR="00AC44D2" w:rsidRPr="00FA3054">
        <w:rPr>
          <w:rFonts w:ascii="Book Antiqua" w:hAnsi="Book Antiqua" w:cs="Times New Roman"/>
          <w:sz w:val="24"/>
          <w:szCs w:val="24"/>
          <w:lang w:val="en-US"/>
        </w:rPr>
        <w:t>correlate accurately with clinical outcomes in CLM patients undergoing hepatic resection</w:t>
      </w:r>
      <w:r w:rsidR="00AC44D2" w:rsidRPr="00283002">
        <w:rPr>
          <w:rFonts w:ascii="Book Antiqua" w:hAnsi="Book Antiqua" w:cs="Times New Roman"/>
          <w:sz w:val="24"/>
          <w:szCs w:val="24"/>
          <w:vertAlign w:val="superscript"/>
          <w:lang w:val="en-US"/>
        </w:rPr>
        <w:t>[19]</w:t>
      </w:r>
      <w:r w:rsidR="003937F8" w:rsidRPr="00FA3054">
        <w:rPr>
          <w:rFonts w:ascii="Book Antiqua" w:hAnsi="Book Antiqua" w:cs="Times New Roman"/>
          <w:sz w:val="24"/>
          <w:szCs w:val="24"/>
          <w:lang w:val="en-US"/>
        </w:rPr>
        <w:t>, we decided to test whether this marker exert</w:t>
      </w:r>
      <w:r w:rsidR="00F23D8A" w:rsidRPr="00FA3054">
        <w:rPr>
          <w:rFonts w:ascii="Book Antiqua" w:hAnsi="Book Antiqua" w:cs="Times New Roman"/>
          <w:sz w:val="24"/>
          <w:szCs w:val="24"/>
          <w:lang w:val="en-US"/>
        </w:rPr>
        <w:t>s</w:t>
      </w:r>
      <w:r w:rsidR="003937F8" w:rsidRPr="00FA3054">
        <w:rPr>
          <w:rFonts w:ascii="Book Antiqua" w:hAnsi="Book Antiqua" w:cs="Times New Roman"/>
          <w:sz w:val="24"/>
          <w:szCs w:val="24"/>
          <w:lang w:val="en-US"/>
        </w:rPr>
        <w:t xml:space="preserve"> a prognostic role and t</w:t>
      </w:r>
      <w:r w:rsidR="007334B2" w:rsidRPr="00FA3054">
        <w:rPr>
          <w:rFonts w:ascii="Book Antiqua" w:hAnsi="Book Antiqua" w:cs="Times New Roman"/>
          <w:sz w:val="24"/>
          <w:szCs w:val="24"/>
          <w:lang w:val="en-US"/>
        </w:rPr>
        <w:t xml:space="preserve">herefore can be considered a </w:t>
      </w:r>
      <w:r w:rsidR="00F23D8A" w:rsidRPr="00FA3054">
        <w:rPr>
          <w:rFonts w:ascii="Book Antiqua" w:hAnsi="Book Antiqua" w:cs="Times New Roman"/>
          <w:sz w:val="24"/>
          <w:szCs w:val="24"/>
          <w:lang w:val="en-US"/>
        </w:rPr>
        <w:t>predictor of overall survival (OS) and time to recurrence (TTR)</w:t>
      </w:r>
      <w:r w:rsidR="007334B2" w:rsidRPr="00FA3054">
        <w:rPr>
          <w:rFonts w:ascii="Book Antiqua" w:hAnsi="Book Antiqua" w:cs="Times New Roman"/>
          <w:sz w:val="24"/>
          <w:szCs w:val="24"/>
          <w:lang w:val="en-US"/>
        </w:rPr>
        <w:t xml:space="preserve"> in CRC patients </w:t>
      </w:r>
      <w:r w:rsidR="00CA11FC" w:rsidRPr="00FA3054">
        <w:rPr>
          <w:rFonts w:ascii="Book Antiqua" w:hAnsi="Book Antiqua" w:cs="Times New Roman"/>
          <w:sz w:val="24"/>
          <w:szCs w:val="24"/>
          <w:lang w:val="en-US"/>
        </w:rPr>
        <w:t xml:space="preserve">with liver metastases </w:t>
      </w:r>
      <w:r w:rsidR="007334B2" w:rsidRPr="00FA3054">
        <w:rPr>
          <w:rFonts w:ascii="Book Antiqua" w:hAnsi="Book Antiqua" w:cs="Times New Roman"/>
          <w:sz w:val="24"/>
          <w:szCs w:val="24"/>
          <w:lang w:val="en-US"/>
        </w:rPr>
        <w:t>treated with percutaneous RFA.</w:t>
      </w:r>
      <w:r w:rsidR="00287FB0" w:rsidRPr="00FA3054">
        <w:rPr>
          <w:rFonts w:ascii="Book Antiqua" w:hAnsi="Book Antiqua" w:cs="Times New Roman"/>
          <w:sz w:val="24"/>
          <w:szCs w:val="24"/>
          <w:lang w:val="en-US"/>
        </w:rPr>
        <w:t xml:space="preserve"> </w:t>
      </w:r>
    </w:p>
    <w:p w:rsidR="00ED1418" w:rsidRPr="00FA3054" w:rsidRDefault="00ED1418" w:rsidP="00BB7527">
      <w:pPr>
        <w:spacing w:after="0" w:line="360" w:lineRule="auto"/>
        <w:jc w:val="both"/>
        <w:rPr>
          <w:rFonts w:ascii="Book Antiqua" w:hAnsi="Book Antiqua" w:cs="Times New Roman"/>
          <w:sz w:val="24"/>
          <w:szCs w:val="24"/>
          <w:lang w:val="en-US"/>
        </w:rPr>
      </w:pPr>
    </w:p>
    <w:p w:rsidR="00ED1418" w:rsidRPr="00FA3054" w:rsidRDefault="001E4609" w:rsidP="00BB7527">
      <w:pPr>
        <w:spacing w:after="0" w:line="360" w:lineRule="auto"/>
        <w:jc w:val="both"/>
        <w:rPr>
          <w:rFonts w:ascii="Book Antiqua" w:hAnsi="Book Antiqua" w:cs="Times New Roman"/>
          <w:b/>
          <w:sz w:val="24"/>
          <w:szCs w:val="24"/>
          <w:lang w:val="en-US"/>
        </w:rPr>
      </w:pPr>
      <w:r w:rsidRPr="00FA3054">
        <w:rPr>
          <w:rFonts w:ascii="Book Antiqua" w:hAnsi="Book Antiqua" w:cs="Times New Roman"/>
          <w:b/>
          <w:sz w:val="24"/>
          <w:szCs w:val="24"/>
          <w:lang w:val="en-US"/>
        </w:rPr>
        <w:t>MATERIAL AND METHODS</w:t>
      </w:r>
    </w:p>
    <w:p w:rsidR="001E4609" w:rsidRPr="00FA3054" w:rsidRDefault="001E4609" w:rsidP="00BB7527">
      <w:pPr>
        <w:spacing w:after="0" w:line="360" w:lineRule="auto"/>
        <w:jc w:val="both"/>
        <w:rPr>
          <w:rFonts w:ascii="Book Antiqua" w:hAnsi="Book Antiqua" w:cs="Times New Roman"/>
          <w:sz w:val="24"/>
          <w:szCs w:val="24"/>
          <w:lang w:val="en-US"/>
        </w:rPr>
      </w:pPr>
    </w:p>
    <w:p w:rsidR="00D30DD1" w:rsidRPr="00BB7527" w:rsidRDefault="00D30DD1" w:rsidP="00BB7527">
      <w:pPr>
        <w:spacing w:after="0" w:line="360" w:lineRule="auto"/>
        <w:jc w:val="both"/>
        <w:rPr>
          <w:rFonts w:ascii="Book Antiqua" w:eastAsia="Calibri" w:hAnsi="Book Antiqua" w:cs="Times New Roman"/>
          <w:b/>
          <w:i/>
          <w:sz w:val="24"/>
          <w:szCs w:val="24"/>
          <w:lang w:val="en-US"/>
        </w:rPr>
      </w:pPr>
      <w:r w:rsidRPr="00BB7527">
        <w:rPr>
          <w:rFonts w:ascii="Book Antiqua" w:eastAsia="Calibri" w:hAnsi="Book Antiqua" w:cs="Times New Roman"/>
          <w:b/>
          <w:i/>
          <w:sz w:val="24"/>
          <w:szCs w:val="24"/>
          <w:lang w:val="en-US"/>
        </w:rPr>
        <w:t>Patients</w:t>
      </w:r>
    </w:p>
    <w:p w:rsidR="00D30DD1" w:rsidRPr="00FA3054" w:rsidRDefault="008522D0" w:rsidP="00BB7527">
      <w:pPr>
        <w:spacing w:after="0" w:line="360" w:lineRule="auto"/>
        <w:jc w:val="both"/>
        <w:rPr>
          <w:rFonts w:ascii="Book Antiqua" w:eastAsia="Calibri" w:hAnsi="Book Antiqua" w:cs="Times New Roman"/>
          <w:sz w:val="24"/>
          <w:szCs w:val="24"/>
          <w:lang w:val="en-US"/>
        </w:rPr>
      </w:pPr>
      <w:r w:rsidRPr="00FA3054">
        <w:rPr>
          <w:rFonts w:ascii="Book Antiqua" w:eastAsia="Calibri" w:hAnsi="Book Antiqua" w:cs="Times New Roman"/>
          <w:sz w:val="24"/>
          <w:szCs w:val="24"/>
          <w:lang w:val="en-US"/>
        </w:rPr>
        <w:t>From July 2003 to Feb 2012</w:t>
      </w:r>
      <w:r w:rsidR="001B17D4" w:rsidRPr="00FA3054">
        <w:rPr>
          <w:rFonts w:ascii="Book Antiqua" w:eastAsia="Calibri" w:hAnsi="Book Antiqua" w:cs="Times New Roman"/>
          <w:sz w:val="24"/>
          <w:szCs w:val="24"/>
          <w:lang w:val="en-US"/>
        </w:rPr>
        <w:t>, 127</w:t>
      </w:r>
      <w:r w:rsidR="00D30DD1" w:rsidRPr="00FA3054">
        <w:rPr>
          <w:rFonts w:ascii="Book Antiqua" w:eastAsia="Calibri" w:hAnsi="Book Antiqua" w:cs="Times New Roman"/>
          <w:sz w:val="24"/>
          <w:szCs w:val="24"/>
          <w:lang w:val="en-US"/>
        </w:rPr>
        <w:t xml:space="preserve"> consecutive patients with </w:t>
      </w:r>
      <w:r w:rsidR="00E2760E" w:rsidRPr="00FA3054">
        <w:rPr>
          <w:rFonts w:ascii="Book Antiqua" w:eastAsia="Calibri" w:hAnsi="Book Antiqua" w:cs="Times New Roman"/>
          <w:sz w:val="24"/>
          <w:szCs w:val="24"/>
          <w:lang w:val="en-US"/>
        </w:rPr>
        <w:t>193</w:t>
      </w:r>
      <w:r w:rsidR="008C18D9" w:rsidRPr="00FA3054">
        <w:rPr>
          <w:rFonts w:ascii="Book Antiqua" w:eastAsia="Calibri" w:hAnsi="Book Antiqua" w:cs="Times New Roman"/>
          <w:sz w:val="24"/>
          <w:szCs w:val="24"/>
          <w:lang w:val="en-US"/>
        </w:rPr>
        <w:t xml:space="preserve"> </w:t>
      </w:r>
      <w:r w:rsidR="00365A71" w:rsidRPr="00FA3054">
        <w:rPr>
          <w:rFonts w:ascii="Book Antiqua" w:eastAsia="Calibri" w:hAnsi="Book Antiqua" w:cs="Times New Roman"/>
          <w:sz w:val="24"/>
          <w:szCs w:val="24"/>
          <w:lang w:val="en-US"/>
        </w:rPr>
        <w:t xml:space="preserve">histologically-proven </w:t>
      </w:r>
      <w:r w:rsidR="00B3005F" w:rsidRPr="00FA3054">
        <w:rPr>
          <w:rFonts w:ascii="Book Antiqua" w:eastAsia="Calibri" w:hAnsi="Book Antiqua" w:cs="Times New Roman"/>
          <w:sz w:val="24"/>
          <w:szCs w:val="24"/>
          <w:lang w:val="en-US"/>
        </w:rPr>
        <w:t xml:space="preserve">CLMs </w:t>
      </w:r>
      <w:r w:rsidR="00A611DE" w:rsidRPr="00FA3054">
        <w:rPr>
          <w:rFonts w:ascii="Book Antiqua" w:eastAsia="Calibri" w:hAnsi="Book Antiqua" w:cs="Times New Roman"/>
          <w:sz w:val="24"/>
          <w:szCs w:val="24"/>
          <w:lang w:val="en-US"/>
        </w:rPr>
        <w:t>deemed</w:t>
      </w:r>
      <w:r w:rsidR="008C18D9" w:rsidRPr="00FA3054">
        <w:rPr>
          <w:rFonts w:ascii="Book Antiqua" w:eastAsia="Calibri" w:hAnsi="Book Antiqua" w:cs="Times New Roman"/>
          <w:sz w:val="24"/>
          <w:szCs w:val="24"/>
          <w:lang w:val="en-US"/>
        </w:rPr>
        <w:t xml:space="preserve"> unresectable by consensus of a multidisciplinary team or who refused surgery </w:t>
      </w:r>
      <w:r w:rsidR="00D30DD1" w:rsidRPr="00FA3054">
        <w:rPr>
          <w:rFonts w:ascii="Book Antiqua" w:eastAsia="Calibri" w:hAnsi="Book Antiqua" w:cs="Times New Roman"/>
          <w:sz w:val="24"/>
          <w:szCs w:val="24"/>
          <w:lang w:val="en-US"/>
        </w:rPr>
        <w:t>were treated with percutaneo</w:t>
      </w:r>
      <w:r w:rsidR="00EF45FF" w:rsidRPr="00FA3054">
        <w:rPr>
          <w:rFonts w:ascii="Book Antiqua" w:eastAsia="Calibri" w:hAnsi="Book Antiqua" w:cs="Times New Roman"/>
          <w:sz w:val="24"/>
          <w:szCs w:val="24"/>
          <w:lang w:val="en-US"/>
        </w:rPr>
        <w:t>us RFA</w:t>
      </w:r>
      <w:r w:rsidR="00855E00" w:rsidRPr="00FA3054">
        <w:rPr>
          <w:rFonts w:ascii="Book Antiqua" w:eastAsia="Calibri" w:hAnsi="Book Antiqua" w:cs="Times New Roman"/>
          <w:sz w:val="24"/>
          <w:szCs w:val="24"/>
          <w:lang w:val="en-US"/>
        </w:rPr>
        <w:t xml:space="preserve"> at the University of Foggia</w:t>
      </w:r>
      <w:r w:rsidR="00D30DD1" w:rsidRPr="00FA3054">
        <w:rPr>
          <w:rFonts w:ascii="Book Antiqua" w:eastAsia="Calibri" w:hAnsi="Book Antiqua" w:cs="Times New Roman"/>
          <w:sz w:val="24"/>
          <w:szCs w:val="24"/>
          <w:lang w:val="en-US"/>
        </w:rPr>
        <w:t>.</w:t>
      </w:r>
      <w:r w:rsidR="00DF6389" w:rsidRPr="00FA3054">
        <w:rPr>
          <w:rFonts w:ascii="Book Antiqua" w:eastAsia="Calibri" w:hAnsi="Book Antiqua" w:cs="Times New Roman"/>
          <w:sz w:val="24"/>
          <w:szCs w:val="24"/>
          <w:lang w:val="en-US"/>
        </w:rPr>
        <w:t xml:space="preserve"> </w:t>
      </w:r>
    </w:p>
    <w:p w:rsidR="00D30DD1" w:rsidRPr="00FA3054" w:rsidRDefault="00EF45FF" w:rsidP="00BB7527">
      <w:pPr>
        <w:spacing w:after="0" w:line="360" w:lineRule="auto"/>
        <w:ind w:firstLineChars="150" w:firstLine="360"/>
        <w:jc w:val="both"/>
        <w:rPr>
          <w:rFonts w:ascii="Book Antiqua" w:eastAsia="Calibri" w:hAnsi="Book Antiqua" w:cs="Times New Roman"/>
          <w:sz w:val="24"/>
          <w:szCs w:val="24"/>
          <w:lang w:val="en-US"/>
        </w:rPr>
      </w:pPr>
      <w:r w:rsidRPr="00FA3054">
        <w:rPr>
          <w:rFonts w:ascii="Book Antiqua" w:eastAsia="Calibri" w:hAnsi="Book Antiqua" w:cs="Times New Roman"/>
          <w:sz w:val="24"/>
          <w:szCs w:val="24"/>
          <w:lang w:val="en-US"/>
        </w:rPr>
        <w:t>All patients had undergone primary colorec</w:t>
      </w:r>
      <w:r w:rsidR="00365A71" w:rsidRPr="00FA3054">
        <w:rPr>
          <w:rFonts w:ascii="Book Antiqua" w:eastAsia="Calibri" w:hAnsi="Book Antiqua" w:cs="Times New Roman"/>
          <w:sz w:val="24"/>
          <w:szCs w:val="24"/>
          <w:lang w:val="en-US"/>
        </w:rPr>
        <w:t xml:space="preserve">tal tumor resection before RFA and </w:t>
      </w:r>
      <w:r w:rsidR="00C24726" w:rsidRPr="00FA3054">
        <w:rPr>
          <w:rFonts w:ascii="Book Antiqua" w:eastAsia="Calibri" w:hAnsi="Book Antiqua" w:cs="Times New Roman"/>
          <w:sz w:val="24"/>
          <w:szCs w:val="24"/>
          <w:lang w:val="en-US"/>
        </w:rPr>
        <w:t xml:space="preserve">tumor staging was assessed by </w:t>
      </w:r>
      <w:r w:rsidR="00D30DD1" w:rsidRPr="00FA3054">
        <w:rPr>
          <w:rFonts w:ascii="Book Antiqua" w:eastAsia="Calibri" w:hAnsi="Book Antiqua" w:cs="Times New Roman"/>
          <w:sz w:val="24"/>
          <w:szCs w:val="24"/>
          <w:lang w:val="en-US"/>
        </w:rPr>
        <w:t>multiphasic contrast-enhanced computed tomography (CT) or gadolinium-enhanced magnetic resonance</w:t>
      </w:r>
      <w:r w:rsidR="00CA1172" w:rsidRPr="00FA3054">
        <w:rPr>
          <w:rFonts w:ascii="Book Antiqua" w:eastAsia="Calibri" w:hAnsi="Book Antiqua" w:cs="Times New Roman"/>
          <w:sz w:val="24"/>
          <w:szCs w:val="24"/>
          <w:lang w:val="en-US"/>
        </w:rPr>
        <w:t xml:space="preserve"> imaging (MRI)</w:t>
      </w:r>
      <w:r w:rsidR="00012CFF" w:rsidRPr="00FA3054">
        <w:rPr>
          <w:rFonts w:ascii="Book Antiqua" w:eastAsia="Calibri" w:hAnsi="Book Antiqua" w:cs="Times New Roman"/>
          <w:sz w:val="24"/>
          <w:szCs w:val="24"/>
          <w:lang w:val="en-US"/>
        </w:rPr>
        <w:t>, according to current guidelines</w:t>
      </w:r>
      <w:r w:rsidR="00657CB6" w:rsidRPr="00283002">
        <w:rPr>
          <w:rFonts w:ascii="Book Antiqua" w:eastAsia="Calibri" w:hAnsi="Book Antiqua" w:cs="Times New Roman"/>
          <w:sz w:val="24"/>
          <w:szCs w:val="24"/>
          <w:vertAlign w:val="superscript"/>
          <w:lang w:val="en-US"/>
        </w:rPr>
        <w:t>[3]</w:t>
      </w:r>
      <w:r w:rsidR="00012CFF" w:rsidRPr="00FA3054">
        <w:rPr>
          <w:rFonts w:ascii="Book Antiqua" w:eastAsia="Calibri" w:hAnsi="Book Antiqua" w:cs="Times New Roman"/>
          <w:sz w:val="24"/>
          <w:szCs w:val="24"/>
          <w:lang w:val="en-US"/>
        </w:rPr>
        <w:t xml:space="preserve">. </w:t>
      </w:r>
      <w:r w:rsidR="00D30DD1" w:rsidRPr="00FA3054">
        <w:rPr>
          <w:rFonts w:ascii="Book Antiqua" w:eastAsia="Calibri" w:hAnsi="Book Antiqua" w:cs="Times New Roman"/>
          <w:sz w:val="24"/>
          <w:szCs w:val="24"/>
          <w:lang w:val="en-US"/>
        </w:rPr>
        <w:t xml:space="preserve"> </w:t>
      </w:r>
    </w:p>
    <w:p w:rsidR="00232173" w:rsidRPr="00FA3054" w:rsidRDefault="00D30DD1" w:rsidP="00BB7527">
      <w:pPr>
        <w:spacing w:after="0" w:line="360" w:lineRule="auto"/>
        <w:ind w:firstLineChars="150" w:firstLine="360"/>
        <w:jc w:val="both"/>
        <w:rPr>
          <w:rFonts w:ascii="Book Antiqua" w:eastAsia="Calibri" w:hAnsi="Book Antiqua" w:cs="Times New Roman"/>
          <w:sz w:val="24"/>
          <w:szCs w:val="24"/>
          <w:lang w:val="en-US"/>
        </w:rPr>
      </w:pPr>
      <w:r w:rsidRPr="00FA3054">
        <w:rPr>
          <w:rFonts w:ascii="Book Antiqua" w:eastAsia="Calibri" w:hAnsi="Book Antiqua" w:cs="Times New Roman"/>
          <w:sz w:val="24"/>
          <w:szCs w:val="24"/>
          <w:lang w:val="en-US"/>
        </w:rPr>
        <w:t xml:space="preserve">Inclusion criteria were: </w:t>
      </w:r>
      <w:r w:rsidR="00BB7527">
        <w:rPr>
          <w:rFonts w:ascii="Book Antiqua" w:hAnsi="Book Antiqua" w:cs="Times New Roman" w:hint="eastAsia"/>
          <w:sz w:val="24"/>
          <w:szCs w:val="24"/>
          <w:lang w:val="en-US" w:eastAsia="zh-CN"/>
        </w:rPr>
        <w:t>(</w:t>
      </w:r>
      <w:r w:rsidRPr="00FA3054">
        <w:rPr>
          <w:rFonts w:ascii="Book Antiqua" w:eastAsia="Calibri" w:hAnsi="Book Antiqua" w:cs="Times New Roman"/>
          <w:sz w:val="24"/>
          <w:szCs w:val="24"/>
          <w:lang w:val="en-US"/>
        </w:rPr>
        <w:t>1</w:t>
      </w:r>
      <w:r w:rsidR="00241177" w:rsidRPr="00FA3054">
        <w:rPr>
          <w:rFonts w:ascii="Book Antiqua" w:eastAsia="Calibri" w:hAnsi="Book Antiqua" w:cs="Times New Roman"/>
          <w:sz w:val="24"/>
          <w:szCs w:val="24"/>
          <w:lang w:val="en-US"/>
        </w:rPr>
        <w:t>) confirmed proof of malignancy of CLM;</w:t>
      </w:r>
      <w:r w:rsidRPr="00FA3054">
        <w:rPr>
          <w:rFonts w:ascii="Book Antiqua" w:eastAsia="Calibri" w:hAnsi="Book Antiqua" w:cs="Times New Roman"/>
          <w:sz w:val="24"/>
          <w:szCs w:val="24"/>
          <w:lang w:val="en-US"/>
        </w:rPr>
        <w:t xml:space="preserve"> </w:t>
      </w:r>
      <w:r w:rsidR="00BB7527">
        <w:rPr>
          <w:rFonts w:ascii="Book Antiqua" w:hAnsi="Book Antiqua" w:cs="Times New Roman" w:hint="eastAsia"/>
          <w:sz w:val="24"/>
          <w:szCs w:val="24"/>
          <w:lang w:val="en-US" w:eastAsia="zh-CN"/>
        </w:rPr>
        <w:t>(</w:t>
      </w:r>
      <w:r w:rsidRPr="00FA3054">
        <w:rPr>
          <w:rFonts w:ascii="Book Antiqua" w:eastAsia="Calibri" w:hAnsi="Book Antiqua" w:cs="Times New Roman"/>
          <w:sz w:val="24"/>
          <w:szCs w:val="24"/>
          <w:lang w:val="en-US"/>
        </w:rPr>
        <w:t xml:space="preserve">2) patients not suitable to surgery </w:t>
      </w:r>
      <w:r w:rsidR="00DF6389" w:rsidRPr="00FA3054">
        <w:rPr>
          <w:rFonts w:ascii="Book Antiqua" w:eastAsia="Calibri" w:hAnsi="Book Antiqua" w:cs="Times New Roman"/>
          <w:sz w:val="24"/>
          <w:szCs w:val="24"/>
          <w:lang w:val="en-US"/>
        </w:rPr>
        <w:t xml:space="preserve">(due to comorbidities, unfavorable tumor location or those requiring large/difficult surgery)  </w:t>
      </w:r>
      <w:r w:rsidRPr="00FA3054">
        <w:rPr>
          <w:rFonts w:ascii="Book Antiqua" w:eastAsia="Calibri" w:hAnsi="Book Antiqua" w:cs="Times New Roman"/>
          <w:sz w:val="24"/>
          <w:szCs w:val="24"/>
          <w:lang w:val="en-US"/>
        </w:rPr>
        <w:t xml:space="preserve">or </w:t>
      </w:r>
      <w:r w:rsidR="008D3A89" w:rsidRPr="00FA3054">
        <w:rPr>
          <w:rFonts w:ascii="Book Antiqua" w:eastAsia="Calibri" w:hAnsi="Book Antiqua" w:cs="Times New Roman"/>
          <w:sz w:val="24"/>
          <w:szCs w:val="24"/>
          <w:lang w:val="en-US"/>
        </w:rPr>
        <w:t>who refused liver resection</w:t>
      </w:r>
      <w:r w:rsidRPr="00FA3054">
        <w:rPr>
          <w:rFonts w:ascii="Book Antiqua" w:eastAsia="Calibri" w:hAnsi="Book Antiqua" w:cs="Times New Roman"/>
          <w:sz w:val="24"/>
          <w:szCs w:val="24"/>
          <w:lang w:val="en-US"/>
        </w:rPr>
        <w:t xml:space="preserve">; </w:t>
      </w:r>
      <w:r w:rsidR="00BB7527">
        <w:rPr>
          <w:rFonts w:ascii="Book Antiqua" w:hAnsi="Book Antiqua" w:cs="Times New Roman" w:hint="eastAsia"/>
          <w:sz w:val="24"/>
          <w:szCs w:val="24"/>
          <w:lang w:val="en-US" w:eastAsia="zh-CN"/>
        </w:rPr>
        <w:t>(</w:t>
      </w:r>
      <w:r w:rsidRPr="00FA3054">
        <w:rPr>
          <w:rFonts w:ascii="Book Antiqua" w:eastAsia="Calibri" w:hAnsi="Book Antiqua" w:cs="Times New Roman"/>
          <w:sz w:val="24"/>
          <w:szCs w:val="24"/>
          <w:lang w:val="en-US"/>
        </w:rPr>
        <w:t xml:space="preserve">3) </w:t>
      </w:r>
      <w:r w:rsidR="00E60D1F" w:rsidRPr="00FA3054">
        <w:rPr>
          <w:rFonts w:ascii="Book Antiqua" w:eastAsia="Calibri" w:hAnsi="Book Antiqua" w:cs="Times New Roman"/>
          <w:sz w:val="24"/>
          <w:szCs w:val="24"/>
          <w:lang w:val="en-US"/>
        </w:rPr>
        <w:t>nodule size &lt;</w:t>
      </w:r>
      <w:r w:rsidR="00A0489E" w:rsidRPr="00FA3054">
        <w:rPr>
          <w:rFonts w:ascii="Book Antiqua" w:eastAsia="Calibri" w:hAnsi="Book Antiqua" w:cs="Times New Roman"/>
          <w:sz w:val="24"/>
          <w:szCs w:val="24"/>
          <w:lang w:val="en-US"/>
        </w:rPr>
        <w:t xml:space="preserve"> 5 cm</w:t>
      </w:r>
      <w:r w:rsidRPr="00FA3054">
        <w:rPr>
          <w:rFonts w:ascii="Book Antiqua" w:eastAsia="Calibri" w:hAnsi="Book Antiqua" w:cs="Times New Roman"/>
          <w:sz w:val="24"/>
          <w:szCs w:val="24"/>
          <w:lang w:val="en-US"/>
        </w:rPr>
        <w:t xml:space="preserve">; </w:t>
      </w:r>
      <w:r w:rsidR="00BB7527">
        <w:rPr>
          <w:rFonts w:ascii="Book Antiqua" w:hAnsi="Book Antiqua" w:cs="Times New Roman" w:hint="eastAsia"/>
          <w:sz w:val="24"/>
          <w:szCs w:val="24"/>
          <w:lang w:val="en-US" w:eastAsia="zh-CN"/>
        </w:rPr>
        <w:t>(</w:t>
      </w:r>
      <w:r w:rsidRPr="00FA3054">
        <w:rPr>
          <w:rFonts w:ascii="Book Antiqua" w:eastAsia="Calibri" w:hAnsi="Book Antiqua" w:cs="Times New Roman"/>
          <w:sz w:val="24"/>
          <w:szCs w:val="24"/>
          <w:lang w:val="en-US"/>
        </w:rPr>
        <w:t xml:space="preserve">4) </w:t>
      </w:r>
      <w:r w:rsidR="00AC6643" w:rsidRPr="00FA3054">
        <w:rPr>
          <w:rFonts w:ascii="Book Antiqua" w:eastAsia="Calibri" w:hAnsi="Book Antiqua" w:cs="Times New Roman"/>
          <w:sz w:val="24"/>
          <w:szCs w:val="24"/>
          <w:lang w:val="en-US"/>
        </w:rPr>
        <w:t>no more</w:t>
      </w:r>
      <w:r w:rsidR="00E60D1F" w:rsidRPr="00FA3054">
        <w:rPr>
          <w:rFonts w:ascii="Book Antiqua" w:eastAsia="Calibri" w:hAnsi="Book Antiqua" w:cs="Times New Roman"/>
          <w:sz w:val="24"/>
          <w:szCs w:val="24"/>
          <w:lang w:val="en-US"/>
        </w:rPr>
        <w:t xml:space="preserve"> than three lesions</w:t>
      </w:r>
      <w:r w:rsidRPr="00FA3054">
        <w:rPr>
          <w:rFonts w:ascii="Book Antiqua" w:eastAsia="Calibri" w:hAnsi="Book Antiqua" w:cs="Times New Roman"/>
          <w:sz w:val="24"/>
          <w:szCs w:val="24"/>
          <w:lang w:val="en-US"/>
        </w:rPr>
        <w:t xml:space="preserve">; </w:t>
      </w:r>
      <w:r w:rsidR="00BB7527">
        <w:rPr>
          <w:rFonts w:ascii="Book Antiqua" w:hAnsi="Book Antiqua" w:cs="Times New Roman" w:hint="eastAsia"/>
          <w:sz w:val="24"/>
          <w:szCs w:val="24"/>
          <w:lang w:val="en-US" w:eastAsia="zh-CN"/>
        </w:rPr>
        <w:t>(</w:t>
      </w:r>
      <w:r w:rsidRPr="00FA3054">
        <w:rPr>
          <w:rFonts w:ascii="Book Antiqua" w:eastAsia="Calibri" w:hAnsi="Book Antiqua" w:cs="Times New Roman"/>
          <w:sz w:val="24"/>
          <w:szCs w:val="24"/>
          <w:lang w:val="en-US"/>
        </w:rPr>
        <w:t xml:space="preserve">5) </w:t>
      </w:r>
      <w:r w:rsidR="00E37144" w:rsidRPr="00FA3054">
        <w:rPr>
          <w:rFonts w:ascii="Book Antiqua" w:eastAsia="Calibri" w:hAnsi="Book Antiqua" w:cs="Times New Roman"/>
          <w:sz w:val="24"/>
          <w:szCs w:val="24"/>
          <w:lang w:val="en-US"/>
        </w:rPr>
        <w:t>com</w:t>
      </w:r>
      <w:r w:rsidR="00283423" w:rsidRPr="00FA3054">
        <w:rPr>
          <w:rFonts w:ascii="Book Antiqua" w:eastAsia="Calibri" w:hAnsi="Book Antiqua" w:cs="Times New Roman"/>
          <w:sz w:val="24"/>
          <w:szCs w:val="24"/>
          <w:lang w:val="en-US"/>
        </w:rPr>
        <w:t>plete resection of primary neoplasm</w:t>
      </w:r>
      <w:r w:rsidR="00E37144" w:rsidRPr="00FA3054">
        <w:rPr>
          <w:rFonts w:ascii="Book Antiqua" w:eastAsia="Calibri" w:hAnsi="Book Antiqua" w:cs="Times New Roman"/>
          <w:sz w:val="24"/>
          <w:szCs w:val="24"/>
          <w:lang w:val="en-US"/>
        </w:rPr>
        <w:t xml:space="preserve"> and no extrahepatic </w:t>
      </w:r>
      <w:r w:rsidR="00283423" w:rsidRPr="00FA3054">
        <w:rPr>
          <w:rFonts w:ascii="Book Antiqua" w:eastAsia="Calibri" w:hAnsi="Book Antiqua" w:cs="Times New Roman"/>
          <w:sz w:val="24"/>
          <w:szCs w:val="24"/>
          <w:lang w:val="en-US"/>
        </w:rPr>
        <w:t>tumors</w:t>
      </w:r>
      <w:r w:rsidRPr="00FA3054">
        <w:rPr>
          <w:rFonts w:ascii="Book Antiqua" w:eastAsia="Calibri" w:hAnsi="Book Antiqua" w:cs="Times New Roman"/>
          <w:sz w:val="24"/>
          <w:szCs w:val="24"/>
          <w:lang w:val="en-US"/>
        </w:rPr>
        <w:t xml:space="preserve">; </w:t>
      </w:r>
      <w:r w:rsidR="00BB7527">
        <w:rPr>
          <w:rFonts w:ascii="Book Antiqua" w:hAnsi="Book Antiqua" w:cs="Times New Roman" w:hint="eastAsia"/>
          <w:sz w:val="24"/>
          <w:szCs w:val="24"/>
          <w:lang w:val="en-US" w:eastAsia="zh-CN"/>
        </w:rPr>
        <w:t>(</w:t>
      </w:r>
      <w:r w:rsidRPr="00FA3054">
        <w:rPr>
          <w:rFonts w:ascii="Book Antiqua" w:eastAsia="Calibri" w:hAnsi="Book Antiqua" w:cs="Times New Roman"/>
          <w:sz w:val="24"/>
          <w:szCs w:val="24"/>
          <w:lang w:val="en-US"/>
        </w:rPr>
        <w:t xml:space="preserve">6) </w:t>
      </w:r>
      <w:r w:rsidR="00BB7527">
        <w:rPr>
          <w:rFonts w:ascii="Book Antiqua" w:eastAsia="Calibri" w:hAnsi="Book Antiqua" w:cs="Times New Roman"/>
          <w:sz w:val="24"/>
          <w:szCs w:val="24"/>
          <w:lang w:val="en-US"/>
        </w:rPr>
        <w:t>platelet count &gt;</w:t>
      </w:r>
      <w:r w:rsidR="00BB7527">
        <w:rPr>
          <w:rFonts w:ascii="Book Antiqua" w:hAnsi="Book Antiqua" w:cs="Times New Roman" w:hint="eastAsia"/>
          <w:sz w:val="24"/>
          <w:szCs w:val="24"/>
          <w:lang w:val="en-US" w:eastAsia="zh-CN"/>
        </w:rPr>
        <w:t xml:space="preserve"> </w:t>
      </w:r>
      <w:r w:rsidR="00BB7527">
        <w:rPr>
          <w:rFonts w:ascii="Book Antiqua" w:eastAsia="Calibri" w:hAnsi="Book Antiqua" w:cs="Times New Roman"/>
          <w:sz w:val="24"/>
          <w:szCs w:val="24"/>
          <w:lang w:val="en-US"/>
        </w:rPr>
        <w:t>40</w:t>
      </w:r>
      <w:r w:rsidRPr="00FA3054">
        <w:rPr>
          <w:rFonts w:ascii="Book Antiqua" w:eastAsia="Calibri" w:hAnsi="Book Antiqua" w:cs="Times New Roman"/>
          <w:sz w:val="24"/>
          <w:szCs w:val="24"/>
          <w:lang w:val="en-US"/>
        </w:rPr>
        <w:t>000/ m</w:t>
      </w:r>
      <w:r w:rsidR="00B56814" w:rsidRPr="00FA3054">
        <w:rPr>
          <w:rFonts w:ascii="Book Antiqua" w:eastAsia="Calibri" w:hAnsi="Book Antiqua" w:cs="Times New Roman"/>
          <w:sz w:val="24"/>
          <w:szCs w:val="24"/>
          <w:lang w:val="en-US"/>
        </w:rPr>
        <w:t>m</w:t>
      </w:r>
      <w:r w:rsidR="00B56814" w:rsidRPr="00BB7527">
        <w:rPr>
          <w:rFonts w:ascii="Book Antiqua" w:eastAsia="Calibri" w:hAnsi="Book Antiqua" w:cs="Times New Roman"/>
          <w:sz w:val="24"/>
          <w:szCs w:val="24"/>
          <w:vertAlign w:val="superscript"/>
          <w:lang w:val="en-US"/>
        </w:rPr>
        <w:t>3</w:t>
      </w:r>
      <w:r w:rsidR="00B56814" w:rsidRPr="00FA3054">
        <w:rPr>
          <w:rFonts w:ascii="Book Antiqua" w:eastAsia="Calibri" w:hAnsi="Book Antiqua" w:cs="Times New Roman"/>
          <w:sz w:val="24"/>
          <w:szCs w:val="24"/>
          <w:lang w:val="en-US"/>
        </w:rPr>
        <w:t xml:space="preserve"> and</w:t>
      </w:r>
      <w:r w:rsidR="009C1DC9" w:rsidRPr="00FA3054">
        <w:rPr>
          <w:rFonts w:ascii="Book Antiqua" w:eastAsia="Calibri" w:hAnsi="Book Antiqua" w:cs="Times New Roman"/>
          <w:sz w:val="24"/>
          <w:szCs w:val="24"/>
          <w:lang w:val="en-US"/>
        </w:rPr>
        <w:t xml:space="preserve"> prothrombin time ratio &gt;</w:t>
      </w:r>
      <w:r w:rsidR="00BB7527">
        <w:rPr>
          <w:rFonts w:ascii="Book Antiqua" w:hAnsi="Book Antiqua" w:cs="Times New Roman" w:hint="eastAsia"/>
          <w:sz w:val="24"/>
          <w:szCs w:val="24"/>
          <w:lang w:val="en-US" w:eastAsia="zh-CN"/>
        </w:rPr>
        <w:t xml:space="preserve"> </w:t>
      </w:r>
      <w:r w:rsidR="009C1DC9" w:rsidRPr="00FA3054">
        <w:rPr>
          <w:rFonts w:ascii="Book Antiqua" w:eastAsia="Calibri" w:hAnsi="Book Antiqua" w:cs="Times New Roman"/>
          <w:sz w:val="24"/>
          <w:szCs w:val="24"/>
          <w:lang w:val="en-US"/>
        </w:rPr>
        <w:t xml:space="preserve">40%; </w:t>
      </w:r>
      <w:r w:rsidR="00C03255">
        <w:rPr>
          <w:rFonts w:ascii="Book Antiqua" w:hAnsi="Book Antiqua" w:cs="Times New Roman" w:hint="eastAsia"/>
          <w:sz w:val="24"/>
          <w:szCs w:val="24"/>
          <w:lang w:val="en-US" w:eastAsia="zh-CN"/>
        </w:rPr>
        <w:t xml:space="preserve">and </w:t>
      </w:r>
      <w:r w:rsidR="00BB7527">
        <w:rPr>
          <w:rFonts w:ascii="Book Antiqua" w:hAnsi="Book Antiqua" w:cs="Times New Roman" w:hint="eastAsia"/>
          <w:sz w:val="24"/>
          <w:szCs w:val="24"/>
          <w:lang w:val="en-US" w:eastAsia="zh-CN"/>
        </w:rPr>
        <w:t>(</w:t>
      </w:r>
      <w:r w:rsidR="009C1DC9" w:rsidRPr="00FA3054">
        <w:rPr>
          <w:rFonts w:ascii="Book Antiqua" w:eastAsia="Calibri" w:hAnsi="Book Antiqua" w:cs="Times New Roman"/>
          <w:sz w:val="24"/>
          <w:szCs w:val="24"/>
          <w:lang w:val="en-US"/>
        </w:rPr>
        <w:t xml:space="preserve">7) no pre-treatment hematology disease, infection or hyperpyrexia. </w:t>
      </w:r>
    </w:p>
    <w:p w:rsidR="001D3D8C" w:rsidRPr="00BB7527" w:rsidRDefault="001D3D8C" w:rsidP="00BB7527">
      <w:pPr>
        <w:spacing w:after="0" w:line="360" w:lineRule="auto"/>
        <w:ind w:firstLineChars="150" w:firstLine="360"/>
        <w:jc w:val="both"/>
        <w:rPr>
          <w:rFonts w:ascii="Book Antiqua" w:hAnsi="Book Antiqua" w:cs="Times New Roman"/>
          <w:sz w:val="24"/>
          <w:szCs w:val="24"/>
          <w:lang w:val="en-US" w:eastAsia="zh-CN"/>
        </w:rPr>
      </w:pPr>
      <w:r w:rsidRPr="00FA3054">
        <w:rPr>
          <w:rFonts w:ascii="Book Antiqua" w:eastAsia="Calibri" w:hAnsi="Book Antiqua" w:cs="Times New Roman"/>
          <w:sz w:val="24"/>
          <w:szCs w:val="24"/>
          <w:lang w:val="en-US"/>
        </w:rPr>
        <w:t>All patients received systemic chemotherapy, mostly according to Douillard regimen (irinotecan, leucovorin, and 5-florouracil) for four to six cycles</w:t>
      </w:r>
      <w:r w:rsidR="00FB74C0" w:rsidRPr="00283002">
        <w:rPr>
          <w:rFonts w:ascii="Book Antiqua" w:eastAsia="Calibri" w:hAnsi="Book Antiqua" w:cs="Times New Roman"/>
          <w:sz w:val="24"/>
          <w:szCs w:val="24"/>
          <w:vertAlign w:val="superscript"/>
          <w:lang w:val="en-US"/>
        </w:rPr>
        <w:t>[20</w:t>
      </w:r>
      <w:r w:rsidR="00657CB6" w:rsidRPr="00283002">
        <w:rPr>
          <w:rFonts w:ascii="Book Antiqua" w:eastAsia="Calibri" w:hAnsi="Book Antiqua" w:cs="Times New Roman"/>
          <w:sz w:val="24"/>
          <w:szCs w:val="24"/>
          <w:vertAlign w:val="superscript"/>
          <w:lang w:val="en-US"/>
        </w:rPr>
        <w:t>]</w:t>
      </w:r>
      <w:r w:rsidRPr="00FA3054">
        <w:rPr>
          <w:rFonts w:ascii="Book Antiqua" w:eastAsia="Calibri" w:hAnsi="Book Antiqua" w:cs="Times New Roman"/>
          <w:sz w:val="24"/>
          <w:szCs w:val="24"/>
          <w:lang w:val="en-US"/>
        </w:rPr>
        <w:t xml:space="preserve">, as adjuvant treatment.  In cases of tumor progression the FOLFOX (folinic acid, fluorouracil, oxaliplatin) regimen was adopted. </w:t>
      </w:r>
    </w:p>
    <w:p w:rsidR="009C1DC9" w:rsidRPr="00FA3054" w:rsidRDefault="0071303B" w:rsidP="00BB7527">
      <w:pPr>
        <w:spacing w:after="0" w:line="360" w:lineRule="auto"/>
        <w:ind w:firstLineChars="150" w:firstLine="360"/>
        <w:jc w:val="both"/>
        <w:rPr>
          <w:rFonts w:ascii="Book Antiqua" w:hAnsi="Book Antiqua" w:cs="Times New Roman"/>
          <w:sz w:val="24"/>
          <w:szCs w:val="24"/>
          <w:lang w:val="en-US"/>
        </w:rPr>
      </w:pPr>
      <w:r w:rsidRPr="00FA3054">
        <w:rPr>
          <w:rFonts w:ascii="Book Antiqua" w:hAnsi="Book Antiqua" w:cs="Times New Roman"/>
          <w:sz w:val="24"/>
          <w:szCs w:val="24"/>
          <w:lang w:val="en-US"/>
        </w:rPr>
        <w:t>The absolute peripheral blood lymphocyte and monocyte counts were derived from the complete blood cell count before RFA, with LMR calculated by dividing lymphocyte count by monocyte count.</w:t>
      </w:r>
    </w:p>
    <w:p w:rsidR="009730DD" w:rsidRPr="00FA3054" w:rsidRDefault="009730DD" w:rsidP="00BB7527">
      <w:pPr>
        <w:spacing w:after="0" w:line="360" w:lineRule="auto"/>
        <w:ind w:firstLineChars="150" w:firstLine="360"/>
        <w:jc w:val="both"/>
        <w:rPr>
          <w:rFonts w:ascii="Book Antiqua" w:eastAsia="Calibri" w:hAnsi="Book Antiqua" w:cs="Times New Roman"/>
          <w:sz w:val="24"/>
          <w:szCs w:val="24"/>
          <w:lang w:val="en-US"/>
        </w:rPr>
      </w:pPr>
      <w:r w:rsidRPr="00FA3054">
        <w:rPr>
          <w:rFonts w:ascii="Book Antiqua" w:eastAsia="Calibri" w:hAnsi="Book Antiqua" w:cs="Times New Roman"/>
          <w:sz w:val="24"/>
          <w:szCs w:val="24"/>
          <w:lang w:val="en-US"/>
        </w:rPr>
        <w:t>This study was approved by our Institutional Review Board for retrospective evaluation of de-identified patients.</w:t>
      </w:r>
    </w:p>
    <w:p w:rsidR="00D30DD1" w:rsidRPr="00FA3054" w:rsidRDefault="00B33D98" w:rsidP="00BB7527">
      <w:pPr>
        <w:spacing w:after="0" w:line="360" w:lineRule="auto"/>
        <w:ind w:firstLineChars="150" w:firstLine="360"/>
        <w:jc w:val="both"/>
        <w:rPr>
          <w:rFonts w:ascii="Book Antiqua" w:eastAsia="Calibri" w:hAnsi="Book Antiqua" w:cs="Times New Roman"/>
          <w:sz w:val="24"/>
          <w:szCs w:val="24"/>
          <w:lang w:val="en-US"/>
        </w:rPr>
      </w:pPr>
      <w:r>
        <w:rPr>
          <w:rFonts w:ascii="Book Antiqua" w:eastAsia="Calibri" w:hAnsi="Book Antiqua" w:cs="Times New Roman"/>
          <w:sz w:val="24"/>
          <w:szCs w:val="24"/>
          <w:lang w:val="en-US"/>
        </w:rPr>
        <w:t>Patients were f</w:t>
      </w:r>
      <w:r w:rsidR="00AA21F3" w:rsidRPr="00FA3054">
        <w:rPr>
          <w:rFonts w:ascii="Book Antiqua" w:eastAsia="Calibri" w:hAnsi="Book Antiqua" w:cs="Times New Roman"/>
          <w:sz w:val="24"/>
          <w:szCs w:val="24"/>
          <w:lang w:val="en-US"/>
        </w:rPr>
        <w:t>ollow</w:t>
      </w:r>
      <w:r>
        <w:rPr>
          <w:rFonts w:ascii="Book Antiqua" w:eastAsia="Calibri" w:hAnsi="Book Antiqua" w:cs="Times New Roman"/>
          <w:sz w:val="24"/>
          <w:szCs w:val="24"/>
          <w:lang w:val="en-US"/>
        </w:rPr>
        <w:t>ed</w:t>
      </w:r>
      <w:r w:rsidR="00AA21F3" w:rsidRPr="00FA3054">
        <w:rPr>
          <w:rFonts w:ascii="Book Antiqua" w:eastAsia="Calibri" w:hAnsi="Book Antiqua" w:cs="Times New Roman"/>
          <w:sz w:val="24"/>
          <w:szCs w:val="24"/>
          <w:lang w:val="en-US"/>
        </w:rPr>
        <w:t xml:space="preserve"> up </w:t>
      </w:r>
      <w:r>
        <w:rPr>
          <w:rFonts w:ascii="Book Antiqua" w:eastAsia="Calibri" w:hAnsi="Book Antiqua" w:cs="Times New Roman"/>
          <w:sz w:val="24"/>
          <w:szCs w:val="24"/>
          <w:lang w:val="en-US"/>
        </w:rPr>
        <w:t xml:space="preserve">until </w:t>
      </w:r>
      <w:r w:rsidR="00AA21F3" w:rsidRPr="00FA3054">
        <w:rPr>
          <w:rFonts w:ascii="Book Antiqua" w:eastAsia="Calibri" w:hAnsi="Book Antiqua" w:cs="Times New Roman"/>
          <w:sz w:val="24"/>
          <w:szCs w:val="24"/>
          <w:lang w:val="en-US"/>
        </w:rPr>
        <w:t>July 2015</w:t>
      </w:r>
      <w:r w:rsidR="00D30DD1" w:rsidRPr="00FA3054">
        <w:rPr>
          <w:rFonts w:ascii="Book Antiqua" w:eastAsia="Calibri" w:hAnsi="Book Antiqua" w:cs="Times New Roman"/>
          <w:sz w:val="24"/>
          <w:szCs w:val="24"/>
          <w:lang w:val="en-US"/>
        </w:rPr>
        <w:t xml:space="preserve"> </w:t>
      </w:r>
      <w:r w:rsidR="00C55639">
        <w:rPr>
          <w:rFonts w:ascii="Book Antiqua" w:eastAsia="Calibri" w:hAnsi="Book Antiqua" w:cs="Times New Roman"/>
          <w:sz w:val="24"/>
          <w:szCs w:val="24"/>
          <w:lang w:val="en-US"/>
        </w:rPr>
        <w:t>(</w:t>
      </w:r>
      <w:r w:rsidR="00D02FA5" w:rsidRPr="00FA3054">
        <w:rPr>
          <w:rFonts w:ascii="Book Antiqua" w:eastAsia="Calibri" w:hAnsi="Book Antiqua" w:cs="Times New Roman"/>
          <w:sz w:val="24"/>
          <w:szCs w:val="24"/>
          <w:lang w:val="en-US"/>
        </w:rPr>
        <w:t xml:space="preserve">median </w:t>
      </w:r>
      <w:r w:rsidR="008522D0" w:rsidRPr="00FA3054">
        <w:rPr>
          <w:rFonts w:ascii="Book Antiqua" w:eastAsia="Calibri" w:hAnsi="Book Antiqua" w:cs="Times New Roman"/>
          <w:sz w:val="24"/>
          <w:szCs w:val="24"/>
          <w:lang w:val="en-US"/>
        </w:rPr>
        <w:t xml:space="preserve">63 </w:t>
      </w:r>
      <w:r w:rsidR="00BB7527">
        <w:rPr>
          <w:rFonts w:ascii="Book Antiqua" w:hAnsi="Book Antiqua" w:cs="Times New Roman" w:hint="eastAsia"/>
          <w:sz w:val="24"/>
          <w:szCs w:val="24"/>
          <w:lang w:val="en-US" w:eastAsia="zh-CN"/>
        </w:rPr>
        <w:t>mo</w:t>
      </w:r>
      <w:r w:rsidR="00C55639">
        <w:rPr>
          <w:rFonts w:ascii="Book Antiqua" w:eastAsia="Calibri" w:hAnsi="Book Antiqua" w:cs="Times New Roman"/>
          <w:sz w:val="24"/>
          <w:szCs w:val="24"/>
          <w:lang w:val="en-US"/>
        </w:rPr>
        <w:t xml:space="preserve">, </w:t>
      </w:r>
      <w:r w:rsidR="008522D0" w:rsidRPr="00FA3054">
        <w:rPr>
          <w:rFonts w:ascii="Book Antiqua" w:eastAsia="Calibri" w:hAnsi="Book Antiqua" w:cs="Times New Roman"/>
          <w:sz w:val="24"/>
          <w:szCs w:val="24"/>
          <w:lang w:val="en-US"/>
        </w:rPr>
        <w:t>95%CI</w:t>
      </w:r>
      <w:r w:rsidR="00BB7527">
        <w:rPr>
          <w:rFonts w:ascii="Book Antiqua" w:hAnsi="Book Antiqua" w:cs="Times New Roman" w:hint="eastAsia"/>
          <w:sz w:val="24"/>
          <w:szCs w:val="24"/>
          <w:lang w:val="en-US" w:eastAsia="zh-CN"/>
        </w:rPr>
        <w:t>:</w:t>
      </w:r>
      <w:r w:rsidR="008522D0" w:rsidRPr="00FA3054">
        <w:rPr>
          <w:rFonts w:ascii="Book Antiqua" w:eastAsia="Calibri" w:hAnsi="Book Antiqua" w:cs="Times New Roman"/>
          <w:sz w:val="24"/>
          <w:szCs w:val="24"/>
          <w:lang w:val="en-US"/>
        </w:rPr>
        <w:t xml:space="preserve"> 54-71</w:t>
      </w:r>
      <w:r w:rsidR="00BB7527">
        <w:rPr>
          <w:rFonts w:ascii="Book Antiqua" w:hAnsi="Book Antiqua" w:cs="Times New Roman" w:hint="eastAsia"/>
          <w:sz w:val="24"/>
          <w:szCs w:val="24"/>
          <w:lang w:val="en-US" w:eastAsia="zh-CN"/>
        </w:rPr>
        <w:t>)</w:t>
      </w:r>
      <w:r w:rsidR="00D30DD1" w:rsidRPr="00FA3054">
        <w:rPr>
          <w:rFonts w:ascii="Book Antiqua" w:eastAsia="Calibri" w:hAnsi="Book Antiqua" w:cs="Times New Roman"/>
          <w:sz w:val="24"/>
          <w:szCs w:val="24"/>
          <w:lang w:val="en-US"/>
        </w:rPr>
        <w:t>.</w:t>
      </w:r>
    </w:p>
    <w:p w:rsidR="00D30DD1" w:rsidRPr="00BB7527" w:rsidRDefault="00D30DD1" w:rsidP="00BB7527">
      <w:pPr>
        <w:spacing w:after="0" w:line="360" w:lineRule="auto"/>
        <w:jc w:val="both"/>
        <w:rPr>
          <w:rFonts w:ascii="Book Antiqua" w:hAnsi="Book Antiqua" w:cs="Times New Roman"/>
          <w:b/>
          <w:sz w:val="24"/>
          <w:szCs w:val="24"/>
          <w:lang w:val="en-US" w:eastAsia="zh-CN"/>
        </w:rPr>
      </w:pPr>
    </w:p>
    <w:p w:rsidR="00D30DD1" w:rsidRPr="00BB7527" w:rsidRDefault="00D30DD1" w:rsidP="00BB7527">
      <w:pPr>
        <w:spacing w:after="0" w:line="360" w:lineRule="auto"/>
        <w:jc w:val="both"/>
        <w:rPr>
          <w:rFonts w:ascii="Book Antiqua" w:eastAsia="Calibri" w:hAnsi="Book Antiqua" w:cs="Times New Roman"/>
          <w:b/>
          <w:i/>
          <w:sz w:val="24"/>
          <w:szCs w:val="24"/>
          <w:lang w:val="en-US"/>
        </w:rPr>
      </w:pPr>
      <w:r w:rsidRPr="00BB7527">
        <w:rPr>
          <w:rFonts w:ascii="Book Antiqua" w:eastAsia="Calibri" w:hAnsi="Book Antiqua" w:cs="Times New Roman"/>
          <w:b/>
          <w:i/>
          <w:sz w:val="24"/>
          <w:szCs w:val="24"/>
          <w:lang w:val="en-US"/>
        </w:rPr>
        <w:t>Treatment protocol</w:t>
      </w:r>
    </w:p>
    <w:p w:rsidR="00D5386E" w:rsidRPr="00FA3054" w:rsidRDefault="00D5386E" w:rsidP="00BB7527">
      <w:pPr>
        <w:spacing w:after="0" w:line="360" w:lineRule="auto"/>
        <w:jc w:val="both"/>
        <w:rPr>
          <w:rFonts w:ascii="Book Antiqua" w:eastAsia="Calibri" w:hAnsi="Book Antiqua" w:cs="Times New Roman"/>
          <w:sz w:val="24"/>
          <w:szCs w:val="24"/>
          <w:lang w:val="en-US"/>
        </w:rPr>
      </w:pPr>
      <w:r w:rsidRPr="00FA3054">
        <w:rPr>
          <w:rFonts w:ascii="Book Antiqua" w:eastAsia="Calibri" w:hAnsi="Book Antiqua" w:cs="Times New Roman"/>
          <w:sz w:val="24"/>
          <w:szCs w:val="24"/>
          <w:lang w:val="en-US"/>
        </w:rPr>
        <w:t>The technical details of the ablative procedures performed in our center have been described elsewhere</w:t>
      </w:r>
      <w:r w:rsidR="008A7EDD">
        <w:rPr>
          <w:rFonts w:ascii="Book Antiqua" w:eastAsia="Calibri" w:hAnsi="Book Antiqua" w:cs="Times New Roman"/>
          <w:sz w:val="24"/>
          <w:szCs w:val="24"/>
          <w:vertAlign w:val="superscript"/>
          <w:lang w:val="en-US"/>
        </w:rPr>
        <w:t>[4-6</w:t>
      </w:r>
      <w:r w:rsidR="00657CB6" w:rsidRPr="00DD6E33">
        <w:rPr>
          <w:rFonts w:ascii="Book Antiqua" w:eastAsia="Calibri" w:hAnsi="Book Antiqua" w:cs="Times New Roman"/>
          <w:sz w:val="24"/>
          <w:szCs w:val="24"/>
          <w:vertAlign w:val="superscript"/>
          <w:lang w:val="en-US"/>
        </w:rPr>
        <w:t>]</w:t>
      </w:r>
      <w:r w:rsidR="00DD6E33">
        <w:rPr>
          <w:rFonts w:ascii="Book Antiqua" w:eastAsia="Calibri" w:hAnsi="Book Antiqua" w:cs="Times New Roman"/>
          <w:sz w:val="24"/>
          <w:szCs w:val="24"/>
          <w:lang w:val="en-US"/>
        </w:rPr>
        <w:t>.</w:t>
      </w:r>
      <w:r w:rsidRPr="00FA3054">
        <w:rPr>
          <w:rFonts w:ascii="Book Antiqua" w:eastAsia="Calibri" w:hAnsi="Book Antiqua" w:cs="Times New Roman"/>
          <w:sz w:val="24"/>
          <w:szCs w:val="24"/>
          <w:lang w:val="en-US"/>
        </w:rPr>
        <w:t xml:space="preserve"> Briefly, </w:t>
      </w:r>
      <w:r w:rsidR="00031C75">
        <w:rPr>
          <w:rFonts w:ascii="Book Antiqua" w:eastAsia="Calibri" w:hAnsi="Book Antiqua" w:cs="Times New Roman"/>
          <w:sz w:val="24"/>
          <w:szCs w:val="24"/>
          <w:lang w:val="en-US"/>
        </w:rPr>
        <w:t>ultrasound-guided RFA was</w:t>
      </w:r>
      <w:r w:rsidRPr="00FA3054">
        <w:rPr>
          <w:rFonts w:ascii="Book Antiqua" w:eastAsia="Calibri" w:hAnsi="Book Antiqua" w:cs="Times New Roman"/>
          <w:sz w:val="24"/>
          <w:szCs w:val="24"/>
          <w:lang w:val="en-US"/>
        </w:rPr>
        <w:t xml:space="preserve"> performed </w:t>
      </w:r>
      <w:r w:rsidR="00AD0054">
        <w:rPr>
          <w:rFonts w:ascii="Book Antiqua" w:eastAsia="Calibri" w:hAnsi="Book Antiqua" w:cs="Times New Roman"/>
          <w:sz w:val="24"/>
          <w:szCs w:val="24"/>
          <w:lang w:val="en-US"/>
        </w:rPr>
        <w:t xml:space="preserve">under conscious sedation </w:t>
      </w:r>
      <w:r w:rsidRPr="00FA3054">
        <w:rPr>
          <w:rFonts w:ascii="Book Antiqua" w:eastAsia="Calibri" w:hAnsi="Book Antiqua" w:cs="Times New Roman"/>
          <w:sz w:val="24"/>
          <w:szCs w:val="24"/>
          <w:lang w:val="en-US"/>
        </w:rPr>
        <w:t>with a 150W generator (Model 1500 L; RITA Medical System, Mountain Vie</w:t>
      </w:r>
      <w:r w:rsidR="006F4236">
        <w:rPr>
          <w:rFonts w:ascii="Book Antiqua" w:eastAsia="Calibri" w:hAnsi="Book Antiqua" w:cs="Times New Roman"/>
          <w:sz w:val="24"/>
          <w:szCs w:val="24"/>
          <w:lang w:val="en-US"/>
        </w:rPr>
        <w:t>w, California), connected to a 15–14-gauge probe</w:t>
      </w:r>
      <w:r w:rsidRPr="00FA3054">
        <w:rPr>
          <w:rFonts w:ascii="Book Antiqua" w:eastAsia="Calibri" w:hAnsi="Book Antiqua" w:cs="Times New Roman"/>
          <w:sz w:val="24"/>
          <w:szCs w:val="24"/>
          <w:lang w:val="en-US"/>
        </w:rPr>
        <w:t xml:space="preserve"> with a 2.0</w:t>
      </w:r>
      <w:r w:rsidR="006F4236">
        <w:rPr>
          <w:rFonts w:ascii="Book Antiqua" w:eastAsia="Calibri" w:hAnsi="Book Antiqua" w:cs="Times New Roman"/>
          <w:sz w:val="24"/>
          <w:szCs w:val="24"/>
          <w:lang w:val="en-US"/>
        </w:rPr>
        <w:t>-cm-long exposed tip</w:t>
      </w:r>
      <w:r w:rsidR="004714F5">
        <w:rPr>
          <w:rFonts w:ascii="Book Antiqua" w:eastAsia="Calibri" w:hAnsi="Book Antiqua" w:cs="Times New Roman"/>
          <w:sz w:val="24"/>
          <w:szCs w:val="24"/>
          <w:lang w:val="en-US"/>
        </w:rPr>
        <w:t xml:space="preserve"> </w:t>
      </w:r>
      <w:r w:rsidR="006F4236">
        <w:rPr>
          <w:rFonts w:ascii="Book Antiqua" w:eastAsia="Calibri" w:hAnsi="Book Antiqua" w:cs="Times New Roman"/>
          <w:sz w:val="24"/>
          <w:szCs w:val="24"/>
          <w:lang w:val="en-US"/>
        </w:rPr>
        <w:t>able to deploy seven hooks</w:t>
      </w:r>
      <w:r w:rsidRPr="00FA3054">
        <w:rPr>
          <w:rFonts w:ascii="Book Antiqua" w:eastAsia="Calibri" w:hAnsi="Book Antiqua" w:cs="Times New Roman"/>
          <w:sz w:val="24"/>
          <w:szCs w:val="24"/>
          <w:lang w:val="en-US"/>
        </w:rPr>
        <w:t xml:space="preserve">. The </w:t>
      </w:r>
      <w:r w:rsidR="00D667BF">
        <w:rPr>
          <w:rFonts w:ascii="Book Antiqua" w:eastAsia="Calibri" w:hAnsi="Book Antiqua" w:cs="Times New Roman"/>
          <w:sz w:val="24"/>
          <w:szCs w:val="24"/>
          <w:lang w:val="en-US"/>
        </w:rPr>
        <w:t>needle</w:t>
      </w:r>
      <w:r w:rsidRPr="00FA3054">
        <w:rPr>
          <w:rFonts w:ascii="Book Antiqua" w:eastAsia="Calibri" w:hAnsi="Book Antiqua" w:cs="Times New Roman"/>
          <w:sz w:val="24"/>
          <w:szCs w:val="24"/>
          <w:lang w:val="en-US"/>
        </w:rPr>
        <w:t xml:space="preserve"> was</w:t>
      </w:r>
      <w:r w:rsidR="00D667BF">
        <w:rPr>
          <w:rFonts w:ascii="Book Antiqua" w:eastAsia="Calibri" w:hAnsi="Book Antiqua" w:cs="Times New Roman"/>
          <w:sz w:val="24"/>
          <w:szCs w:val="24"/>
          <w:lang w:val="en-US"/>
        </w:rPr>
        <w:t xml:space="preserve"> then inserted into the centre of the nodul</w:t>
      </w:r>
      <w:r w:rsidRPr="00FA3054">
        <w:rPr>
          <w:rFonts w:ascii="Book Antiqua" w:eastAsia="Calibri" w:hAnsi="Book Antiqua" w:cs="Times New Roman"/>
          <w:sz w:val="24"/>
          <w:szCs w:val="24"/>
          <w:lang w:val="en-US"/>
        </w:rPr>
        <w:t xml:space="preserve"> maintaining </w:t>
      </w:r>
      <w:r w:rsidRPr="00FA3054">
        <w:rPr>
          <w:rFonts w:ascii="Book Antiqua" w:eastAsia="Calibri" w:hAnsi="Book Antiqua" w:cs="Times New Roman"/>
          <w:sz w:val="24"/>
          <w:szCs w:val="24"/>
          <w:lang w:val="en-US"/>
        </w:rPr>
        <w:lastRenderedPageBreak/>
        <w:t>the temperature of the tip at 80-110</w:t>
      </w:r>
      <w:r w:rsidR="00BB7527">
        <w:rPr>
          <w:rFonts w:ascii="Book Antiqua" w:hAnsi="Book Antiqua" w:cs="Times New Roman" w:hint="eastAsia"/>
          <w:sz w:val="24"/>
          <w:szCs w:val="24"/>
          <w:lang w:val="en-US" w:eastAsia="zh-CN"/>
        </w:rPr>
        <w:t xml:space="preserve"> </w:t>
      </w:r>
      <w:r w:rsidRPr="00FA3054">
        <w:rPr>
          <w:rFonts w:ascii="Book Antiqua" w:eastAsia="Calibri" w:hAnsi="Book Antiqua" w:cs="Times New Roman"/>
          <w:sz w:val="24"/>
          <w:szCs w:val="24"/>
          <w:lang w:val="en-US"/>
        </w:rPr>
        <w:t xml:space="preserve">°C for 10–12 min. </w:t>
      </w:r>
      <w:r w:rsidR="008224CA" w:rsidRPr="008224CA">
        <w:rPr>
          <w:rFonts w:ascii="Book Antiqua" w:eastAsia="Calibri" w:hAnsi="Book Antiqua" w:cs="Times New Roman"/>
          <w:sz w:val="24"/>
          <w:szCs w:val="24"/>
          <w:lang w:val="en-US"/>
        </w:rPr>
        <w:t xml:space="preserve">At the end of the </w:t>
      </w:r>
      <w:r w:rsidR="008224CA">
        <w:rPr>
          <w:rFonts w:ascii="Book Antiqua" w:eastAsia="Calibri" w:hAnsi="Book Antiqua" w:cs="Times New Roman"/>
          <w:sz w:val="24"/>
          <w:szCs w:val="24"/>
          <w:lang w:val="en-US"/>
        </w:rPr>
        <w:t>RFA</w:t>
      </w:r>
      <w:r w:rsidR="008224CA" w:rsidRPr="008224CA">
        <w:rPr>
          <w:rFonts w:ascii="Book Antiqua" w:eastAsia="Calibri" w:hAnsi="Book Antiqua" w:cs="Times New Roman"/>
          <w:sz w:val="24"/>
          <w:szCs w:val="24"/>
          <w:lang w:val="en-US"/>
        </w:rPr>
        <w:t xml:space="preserve"> cycle, track ablation was performed in order to prevent tumoral seeding or hemorrhage</w:t>
      </w:r>
      <w:r w:rsidR="008224CA">
        <w:rPr>
          <w:rFonts w:ascii="Book Antiqua" w:eastAsia="Calibri" w:hAnsi="Book Antiqua" w:cs="Times New Roman"/>
          <w:sz w:val="24"/>
          <w:szCs w:val="24"/>
          <w:lang w:val="en-US"/>
        </w:rPr>
        <w:t>.</w:t>
      </w:r>
      <w:r w:rsidR="008224CA" w:rsidRPr="008224CA">
        <w:rPr>
          <w:rFonts w:ascii="Book Antiqua" w:eastAsia="Calibri" w:hAnsi="Book Antiqua" w:cs="Times New Roman"/>
          <w:sz w:val="24"/>
          <w:szCs w:val="24"/>
          <w:lang w:val="en-US"/>
        </w:rPr>
        <w:t xml:space="preserve"> </w:t>
      </w:r>
      <w:r w:rsidR="00AD4724">
        <w:rPr>
          <w:rFonts w:ascii="Book Antiqua" w:eastAsia="Calibri" w:hAnsi="Book Antiqua" w:cs="Times New Roman"/>
          <w:sz w:val="24"/>
          <w:szCs w:val="24"/>
          <w:lang w:val="en-US"/>
        </w:rPr>
        <w:t>In the case of multinodular disease, all nodules</w:t>
      </w:r>
      <w:r w:rsidRPr="00FA3054">
        <w:rPr>
          <w:rFonts w:ascii="Book Antiqua" w:eastAsia="Calibri" w:hAnsi="Book Antiqua" w:cs="Times New Roman"/>
          <w:sz w:val="24"/>
          <w:szCs w:val="24"/>
          <w:lang w:val="en-US"/>
        </w:rPr>
        <w:t xml:space="preserve"> were treated in a single session. </w:t>
      </w:r>
      <w:r w:rsidR="006162DC">
        <w:rPr>
          <w:rFonts w:ascii="Book Antiqua" w:eastAsia="Calibri" w:hAnsi="Book Antiqua" w:cs="Times New Roman"/>
          <w:sz w:val="24"/>
          <w:szCs w:val="24"/>
          <w:lang w:val="en-US"/>
        </w:rPr>
        <w:t xml:space="preserve">Aim of the procedure was to achieve complete nodule ablation with a </w:t>
      </w:r>
      <w:r w:rsidRPr="00FA3054">
        <w:rPr>
          <w:rFonts w:ascii="Book Antiqua" w:eastAsia="Calibri" w:hAnsi="Book Antiqua" w:cs="Times New Roman"/>
          <w:sz w:val="24"/>
          <w:szCs w:val="24"/>
          <w:lang w:val="en-US"/>
        </w:rPr>
        <w:t xml:space="preserve">5 mm safety margin around the </w:t>
      </w:r>
      <w:r w:rsidR="006162DC">
        <w:rPr>
          <w:rFonts w:ascii="Book Antiqua" w:eastAsia="Calibri" w:hAnsi="Book Antiqua" w:cs="Times New Roman"/>
          <w:sz w:val="24"/>
          <w:szCs w:val="24"/>
          <w:lang w:val="en-US"/>
        </w:rPr>
        <w:t>target area</w:t>
      </w:r>
      <w:r w:rsidRPr="00FA3054">
        <w:rPr>
          <w:rFonts w:ascii="Book Antiqua" w:eastAsia="Calibri" w:hAnsi="Book Antiqua" w:cs="Times New Roman"/>
          <w:sz w:val="24"/>
          <w:szCs w:val="24"/>
          <w:lang w:val="en-US"/>
        </w:rPr>
        <w:t xml:space="preserve">. </w:t>
      </w:r>
      <w:r w:rsidR="007343C3">
        <w:rPr>
          <w:rFonts w:ascii="Book Antiqua" w:eastAsia="Calibri" w:hAnsi="Book Antiqua" w:cs="Times New Roman"/>
          <w:sz w:val="24"/>
          <w:szCs w:val="24"/>
          <w:lang w:val="en-US"/>
        </w:rPr>
        <w:t xml:space="preserve">All the cycles were performed with no pre-procedural </w:t>
      </w:r>
      <w:r w:rsidRPr="00FA3054">
        <w:rPr>
          <w:rFonts w:ascii="Book Antiqua" w:eastAsia="Calibri" w:hAnsi="Book Antiqua" w:cs="Times New Roman"/>
          <w:sz w:val="24"/>
          <w:szCs w:val="24"/>
          <w:lang w:val="en-US"/>
        </w:rPr>
        <w:t xml:space="preserve">antibiotic </w:t>
      </w:r>
      <w:r w:rsidR="007343C3">
        <w:rPr>
          <w:rFonts w:ascii="Book Antiqua" w:eastAsia="Calibri" w:hAnsi="Book Antiqua" w:cs="Times New Roman"/>
          <w:sz w:val="24"/>
          <w:szCs w:val="24"/>
          <w:lang w:val="en-US"/>
        </w:rPr>
        <w:t>or anti-inflammatory drug administration</w:t>
      </w:r>
      <w:r w:rsidRPr="00FA3054">
        <w:rPr>
          <w:rFonts w:ascii="Book Antiqua" w:eastAsia="Calibri" w:hAnsi="Book Antiqua" w:cs="Times New Roman"/>
          <w:sz w:val="24"/>
          <w:szCs w:val="24"/>
          <w:lang w:val="en-US"/>
        </w:rPr>
        <w:t>.</w:t>
      </w:r>
    </w:p>
    <w:p w:rsidR="00D30DD1" w:rsidRPr="00FA3054" w:rsidRDefault="00D30DD1" w:rsidP="00BB7527">
      <w:pPr>
        <w:spacing w:after="0" w:line="360" w:lineRule="auto"/>
        <w:jc w:val="both"/>
        <w:rPr>
          <w:rFonts w:ascii="Book Antiqua" w:eastAsia="Calibri" w:hAnsi="Book Antiqua" w:cs="Times New Roman"/>
          <w:sz w:val="24"/>
          <w:szCs w:val="24"/>
          <w:lang w:val="en-US"/>
        </w:rPr>
      </w:pPr>
    </w:p>
    <w:p w:rsidR="00D30DD1" w:rsidRPr="00BB7527" w:rsidRDefault="00D30DD1" w:rsidP="00BB7527">
      <w:pPr>
        <w:spacing w:after="0" w:line="360" w:lineRule="auto"/>
        <w:jc w:val="both"/>
        <w:rPr>
          <w:rFonts w:ascii="Book Antiqua" w:eastAsia="Calibri" w:hAnsi="Book Antiqua" w:cs="Times New Roman"/>
          <w:b/>
          <w:i/>
          <w:sz w:val="24"/>
          <w:szCs w:val="24"/>
          <w:lang w:val="en-US"/>
        </w:rPr>
      </w:pPr>
      <w:r w:rsidRPr="00BB7527">
        <w:rPr>
          <w:rFonts w:ascii="Book Antiqua" w:eastAsia="Calibri" w:hAnsi="Book Antiqua" w:cs="Times New Roman"/>
          <w:b/>
          <w:i/>
          <w:sz w:val="24"/>
          <w:szCs w:val="24"/>
          <w:lang w:val="en-US"/>
        </w:rPr>
        <w:t>Patient monitoring and response evaluation</w:t>
      </w:r>
    </w:p>
    <w:p w:rsidR="00D30DD1" w:rsidRPr="00FA3054" w:rsidRDefault="006A192E" w:rsidP="00BB7527">
      <w:pPr>
        <w:spacing w:after="0" w:line="360" w:lineRule="auto"/>
        <w:jc w:val="both"/>
        <w:rPr>
          <w:rFonts w:ascii="Book Antiqua" w:eastAsia="Calibri" w:hAnsi="Book Antiqua" w:cs="Times New Roman"/>
          <w:sz w:val="24"/>
          <w:szCs w:val="24"/>
          <w:lang w:val="en-US"/>
        </w:rPr>
      </w:pPr>
      <w:r>
        <w:rPr>
          <w:rFonts w:ascii="Book Antiqua" w:eastAsia="Calibri" w:hAnsi="Book Antiqua" w:cs="Times New Roman"/>
          <w:sz w:val="24"/>
          <w:szCs w:val="24"/>
          <w:lang w:val="en-US"/>
        </w:rPr>
        <w:t xml:space="preserve">Patients were </w:t>
      </w:r>
      <w:r w:rsidR="00D30DD1" w:rsidRPr="00FA3054">
        <w:rPr>
          <w:rFonts w:ascii="Book Antiqua" w:eastAsia="Calibri" w:hAnsi="Book Antiqua" w:cs="Times New Roman"/>
          <w:sz w:val="24"/>
          <w:szCs w:val="24"/>
          <w:lang w:val="en-US"/>
        </w:rPr>
        <w:t>follow</w:t>
      </w:r>
      <w:r>
        <w:rPr>
          <w:rFonts w:ascii="Book Antiqua" w:eastAsia="Calibri" w:hAnsi="Book Antiqua" w:cs="Times New Roman"/>
          <w:sz w:val="24"/>
          <w:szCs w:val="24"/>
          <w:lang w:val="en-US"/>
        </w:rPr>
        <w:t>ed</w:t>
      </w:r>
      <w:r w:rsidR="00D30DD1" w:rsidRPr="00FA3054">
        <w:rPr>
          <w:rFonts w:ascii="Book Antiqua" w:eastAsia="Calibri" w:hAnsi="Book Antiqua" w:cs="Times New Roman"/>
          <w:sz w:val="24"/>
          <w:szCs w:val="24"/>
          <w:lang w:val="en-US"/>
        </w:rPr>
        <w:t xml:space="preserve">-up </w:t>
      </w:r>
      <w:r>
        <w:rPr>
          <w:rFonts w:ascii="Book Antiqua" w:eastAsia="Calibri" w:hAnsi="Book Antiqua" w:cs="Times New Roman"/>
          <w:sz w:val="24"/>
          <w:szCs w:val="24"/>
          <w:lang w:val="en-US"/>
        </w:rPr>
        <w:t>by means of m</w:t>
      </w:r>
      <w:r w:rsidR="00D30DD1" w:rsidRPr="00FA3054">
        <w:rPr>
          <w:rFonts w:ascii="Book Antiqua" w:eastAsia="Calibri" w:hAnsi="Book Antiqua" w:cs="Times New Roman"/>
          <w:sz w:val="24"/>
          <w:szCs w:val="24"/>
          <w:lang w:val="en-US"/>
        </w:rPr>
        <w:t>ultiphasic CT scan</w:t>
      </w:r>
      <w:r w:rsidR="003F6F6D" w:rsidRPr="00FA3054">
        <w:rPr>
          <w:rFonts w:ascii="Book Antiqua" w:eastAsia="Calibri" w:hAnsi="Book Antiqua" w:cs="Times New Roman"/>
          <w:sz w:val="24"/>
          <w:szCs w:val="24"/>
          <w:lang w:val="en-US"/>
        </w:rPr>
        <w:t xml:space="preserve"> imaging and adverse events</w:t>
      </w:r>
      <w:r w:rsidR="00D30DD1" w:rsidRPr="00FA3054">
        <w:rPr>
          <w:rFonts w:ascii="Book Antiqua" w:eastAsia="Calibri" w:hAnsi="Book Antiqua" w:cs="Times New Roman"/>
          <w:sz w:val="24"/>
          <w:szCs w:val="24"/>
          <w:lang w:val="en-US"/>
        </w:rPr>
        <w:t xml:space="preserve"> </w:t>
      </w:r>
      <w:r>
        <w:rPr>
          <w:rFonts w:ascii="Book Antiqua" w:eastAsia="Calibri" w:hAnsi="Book Antiqua" w:cs="Times New Roman"/>
          <w:sz w:val="24"/>
          <w:szCs w:val="24"/>
          <w:lang w:val="en-US"/>
        </w:rPr>
        <w:t xml:space="preserve">were assessed </w:t>
      </w:r>
      <w:r w:rsidR="00225E3F" w:rsidRPr="00FA3054">
        <w:rPr>
          <w:rFonts w:ascii="Book Antiqua" w:eastAsia="Calibri" w:hAnsi="Book Antiqua" w:cs="Times New Roman"/>
          <w:sz w:val="24"/>
          <w:szCs w:val="24"/>
          <w:lang w:val="en-US"/>
        </w:rPr>
        <w:t>according to</w:t>
      </w:r>
      <w:r w:rsidR="00D30DD1" w:rsidRPr="00FA3054">
        <w:rPr>
          <w:rFonts w:ascii="Book Antiqua" w:eastAsia="Calibri" w:hAnsi="Book Antiqua" w:cs="Times New Roman"/>
          <w:sz w:val="24"/>
          <w:szCs w:val="24"/>
          <w:lang w:val="en-US"/>
        </w:rPr>
        <w:t xml:space="preserve"> Common Terminology Criteria for Adverse Events</w:t>
      </w:r>
      <w:r w:rsidR="00C03255">
        <w:rPr>
          <w:rFonts w:ascii="Book Antiqua" w:hAnsi="Book Antiqua" w:cs="Times New Roman" w:hint="eastAsia"/>
          <w:sz w:val="24"/>
          <w:szCs w:val="24"/>
          <w:lang w:val="en-US" w:eastAsia="zh-CN"/>
        </w:rPr>
        <w:t xml:space="preserve"> </w:t>
      </w:r>
      <w:r w:rsidR="00D30DD1" w:rsidRPr="00FA3054">
        <w:rPr>
          <w:rFonts w:ascii="Book Antiqua" w:eastAsia="Calibri" w:hAnsi="Book Antiqua" w:cs="Times New Roman"/>
          <w:sz w:val="24"/>
          <w:szCs w:val="24"/>
          <w:lang w:val="en-US"/>
        </w:rPr>
        <w:t>4.0.</w:t>
      </w:r>
      <w:r w:rsidR="008B3F18">
        <w:rPr>
          <w:rFonts w:ascii="Book Antiqua" w:eastAsia="Calibri" w:hAnsi="Book Antiqua" w:cs="Times New Roman"/>
          <w:sz w:val="24"/>
          <w:szCs w:val="24"/>
          <w:vertAlign w:val="superscript"/>
          <w:lang w:val="en-US"/>
        </w:rPr>
        <w:t>[4-6,21</w:t>
      </w:r>
      <w:r w:rsidR="00657CB6" w:rsidRPr="00DD6E33">
        <w:rPr>
          <w:rFonts w:ascii="Book Antiqua" w:eastAsia="Calibri" w:hAnsi="Book Antiqua" w:cs="Times New Roman"/>
          <w:sz w:val="24"/>
          <w:szCs w:val="24"/>
          <w:vertAlign w:val="superscript"/>
          <w:lang w:val="en-US"/>
        </w:rPr>
        <w:t>]</w:t>
      </w:r>
      <w:r w:rsidR="00D30DD1" w:rsidRPr="00FA3054">
        <w:rPr>
          <w:rFonts w:ascii="Book Antiqua" w:eastAsia="Calibri" w:hAnsi="Book Antiqua" w:cs="Times New Roman"/>
          <w:sz w:val="24"/>
          <w:szCs w:val="24"/>
          <w:lang w:val="en-US"/>
        </w:rPr>
        <w:t xml:space="preserve">  at 1 </w:t>
      </w:r>
      <w:r w:rsidR="00BB7527">
        <w:rPr>
          <w:rFonts w:ascii="Book Antiqua" w:hAnsi="Book Antiqua" w:cs="Times New Roman" w:hint="eastAsia"/>
          <w:sz w:val="24"/>
          <w:szCs w:val="24"/>
          <w:lang w:val="en-US" w:eastAsia="zh-CN"/>
        </w:rPr>
        <w:t>mo</w:t>
      </w:r>
      <w:r w:rsidR="00D30DD1" w:rsidRPr="00FA3054">
        <w:rPr>
          <w:rFonts w:ascii="Book Antiqua" w:eastAsia="Calibri" w:hAnsi="Book Antiqua" w:cs="Times New Roman"/>
          <w:sz w:val="24"/>
          <w:szCs w:val="24"/>
          <w:lang w:val="en-US"/>
        </w:rPr>
        <w:t xml:space="preserve"> after the procedure and, in </w:t>
      </w:r>
      <w:r w:rsidR="001D2AAC" w:rsidRPr="00FA3054">
        <w:rPr>
          <w:rFonts w:ascii="Book Antiqua" w:eastAsia="Calibri" w:hAnsi="Book Antiqua" w:cs="Times New Roman"/>
          <w:sz w:val="24"/>
          <w:szCs w:val="24"/>
          <w:lang w:val="en-US"/>
        </w:rPr>
        <w:t xml:space="preserve">the </w:t>
      </w:r>
      <w:r w:rsidR="00D30DD1" w:rsidRPr="00FA3054">
        <w:rPr>
          <w:rFonts w:ascii="Book Antiqua" w:eastAsia="Calibri" w:hAnsi="Book Antiqua" w:cs="Times New Roman"/>
          <w:sz w:val="24"/>
          <w:szCs w:val="24"/>
          <w:lang w:val="en-US"/>
        </w:rPr>
        <w:t>case</w:t>
      </w:r>
      <w:r w:rsidR="00F37518" w:rsidRPr="00FA3054">
        <w:rPr>
          <w:rFonts w:ascii="Book Antiqua" w:eastAsia="Calibri" w:hAnsi="Book Antiqua" w:cs="Times New Roman"/>
          <w:sz w:val="24"/>
          <w:szCs w:val="24"/>
          <w:lang w:val="en-US"/>
        </w:rPr>
        <w:t xml:space="preserve"> of complete response, every 4</w:t>
      </w:r>
      <w:r w:rsidR="00D30DD1" w:rsidRPr="00FA3054">
        <w:rPr>
          <w:rFonts w:ascii="Book Antiqua" w:eastAsia="Calibri" w:hAnsi="Book Antiqua" w:cs="Times New Roman"/>
          <w:sz w:val="24"/>
          <w:szCs w:val="24"/>
          <w:lang w:val="en-US"/>
        </w:rPr>
        <w:t xml:space="preserve"> </w:t>
      </w:r>
      <w:r w:rsidR="00BB7527">
        <w:rPr>
          <w:rFonts w:ascii="Book Antiqua" w:hAnsi="Book Antiqua" w:cs="Times New Roman" w:hint="eastAsia"/>
          <w:sz w:val="24"/>
          <w:szCs w:val="24"/>
          <w:lang w:val="en-US" w:eastAsia="zh-CN"/>
        </w:rPr>
        <w:t>mo</w:t>
      </w:r>
      <w:r w:rsidR="00F37518" w:rsidRPr="00FA3054">
        <w:rPr>
          <w:rFonts w:ascii="Book Antiqua" w:eastAsia="Calibri" w:hAnsi="Book Antiqua" w:cs="Times New Roman"/>
          <w:sz w:val="24"/>
          <w:szCs w:val="24"/>
          <w:lang w:val="en-US"/>
        </w:rPr>
        <w:t xml:space="preserve"> for the first 3 years and at 5-6 </w:t>
      </w:r>
      <w:r w:rsidR="00BB7527">
        <w:rPr>
          <w:rFonts w:ascii="Book Antiqua" w:hAnsi="Book Antiqua" w:cs="Times New Roman" w:hint="eastAsia"/>
          <w:sz w:val="24"/>
          <w:szCs w:val="24"/>
          <w:lang w:val="en-US" w:eastAsia="zh-CN"/>
        </w:rPr>
        <w:t>mo</w:t>
      </w:r>
      <w:r w:rsidR="00F37518" w:rsidRPr="00FA3054">
        <w:rPr>
          <w:rFonts w:ascii="Book Antiqua" w:eastAsia="Calibri" w:hAnsi="Book Antiqua" w:cs="Times New Roman"/>
          <w:sz w:val="24"/>
          <w:szCs w:val="24"/>
          <w:lang w:val="en-US"/>
        </w:rPr>
        <w:t xml:space="preserve"> thereafter</w:t>
      </w:r>
      <w:r w:rsidR="00D30DD1" w:rsidRPr="00FA3054">
        <w:rPr>
          <w:rFonts w:ascii="Book Antiqua" w:eastAsia="Calibri" w:hAnsi="Book Antiqua" w:cs="Times New Roman"/>
          <w:sz w:val="24"/>
          <w:szCs w:val="24"/>
          <w:lang w:val="en-US"/>
        </w:rPr>
        <w:t xml:space="preserve">. </w:t>
      </w:r>
      <w:r w:rsidR="0076631B" w:rsidRPr="00FA3054">
        <w:rPr>
          <w:rFonts w:ascii="Book Antiqua" w:eastAsia="Calibri" w:hAnsi="Book Antiqua" w:cs="Times New Roman"/>
          <w:sz w:val="24"/>
          <w:szCs w:val="24"/>
          <w:lang w:val="en-US"/>
        </w:rPr>
        <w:t>Treatment-related toxicity was defined as any adverse events occurred</w:t>
      </w:r>
      <w:r w:rsidR="00D30DD1" w:rsidRPr="00FA3054">
        <w:rPr>
          <w:rFonts w:ascii="Book Antiqua" w:eastAsia="Calibri" w:hAnsi="Book Antiqua" w:cs="Times New Roman"/>
          <w:sz w:val="24"/>
          <w:szCs w:val="24"/>
          <w:lang w:val="en-US"/>
        </w:rPr>
        <w:t xml:space="preserve"> within 4 </w:t>
      </w:r>
      <w:r w:rsidR="00C03255">
        <w:rPr>
          <w:rFonts w:ascii="Book Antiqua" w:hAnsi="Book Antiqua" w:cs="Times New Roman" w:hint="eastAsia"/>
          <w:sz w:val="24"/>
          <w:szCs w:val="24"/>
          <w:lang w:val="en-US" w:eastAsia="zh-CN"/>
        </w:rPr>
        <w:t>wk</w:t>
      </w:r>
      <w:r w:rsidR="00D30DD1" w:rsidRPr="00FA3054">
        <w:rPr>
          <w:rFonts w:ascii="Book Antiqua" w:eastAsia="Calibri" w:hAnsi="Book Antiqua" w:cs="Times New Roman"/>
          <w:sz w:val="24"/>
          <w:szCs w:val="24"/>
          <w:lang w:val="en-US"/>
        </w:rPr>
        <w:t xml:space="preserve"> after the procedure. </w:t>
      </w:r>
    </w:p>
    <w:p w:rsidR="00D30DD1" w:rsidRPr="00FA3054" w:rsidRDefault="00D30DD1" w:rsidP="00BB7527">
      <w:pPr>
        <w:spacing w:after="0" w:line="360" w:lineRule="auto"/>
        <w:ind w:firstLineChars="150" w:firstLine="360"/>
        <w:jc w:val="both"/>
        <w:rPr>
          <w:rFonts w:ascii="Book Antiqua" w:eastAsia="Calibri" w:hAnsi="Book Antiqua" w:cs="Times New Roman"/>
          <w:sz w:val="24"/>
          <w:szCs w:val="24"/>
          <w:lang w:val="en-US"/>
        </w:rPr>
      </w:pPr>
      <w:r w:rsidRPr="00FA3054">
        <w:rPr>
          <w:rFonts w:ascii="Book Antiqua" w:eastAsia="Calibri" w:hAnsi="Book Antiqua" w:cs="Times New Roman"/>
          <w:sz w:val="24"/>
          <w:szCs w:val="24"/>
          <w:lang w:val="en-US"/>
        </w:rPr>
        <w:t xml:space="preserve">Response rate was defined according to </w:t>
      </w:r>
      <w:r w:rsidR="005509ED" w:rsidRPr="00FA3054">
        <w:rPr>
          <w:rFonts w:ascii="Book Antiqua" w:eastAsia="Calibri" w:hAnsi="Book Antiqua" w:cs="Times New Roman"/>
          <w:sz w:val="24"/>
          <w:szCs w:val="24"/>
          <w:lang w:val="en-US"/>
        </w:rPr>
        <w:t xml:space="preserve">commonly accepted </w:t>
      </w:r>
      <w:r w:rsidRPr="00FA3054">
        <w:rPr>
          <w:rFonts w:ascii="Book Antiqua" w:eastAsia="Calibri" w:hAnsi="Book Antiqua" w:cs="Times New Roman"/>
          <w:sz w:val="24"/>
          <w:szCs w:val="24"/>
          <w:lang w:val="en-US"/>
        </w:rPr>
        <w:t>criteria</w:t>
      </w:r>
      <w:r w:rsidR="005509ED" w:rsidRPr="00FA3054">
        <w:rPr>
          <w:rFonts w:ascii="Book Antiqua" w:eastAsia="Calibri" w:hAnsi="Book Antiqua" w:cs="Times New Roman"/>
          <w:sz w:val="24"/>
          <w:szCs w:val="24"/>
          <w:lang w:val="en-US"/>
        </w:rPr>
        <w:t xml:space="preserve"> recently proposed by a group of experts and complete response was considered the absence of contrast e</w:t>
      </w:r>
      <w:r w:rsidR="00BB7527">
        <w:rPr>
          <w:rFonts w:ascii="Book Antiqua" w:eastAsia="Calibri" w:hAnsi="Book Antiqua" w:cs="Times New Roman"/>
          <w:sz w:val="24"/>
          <w:szCs w:val="24"/>
          <w:lang w:val="en-US"/>
        </w:rPr>
        <w:t>nhancement in the target nodule</w:t>
      </w:r>
      <w:r w:rsidR="00657CB6" w:rsidRPr="00DD6E33">
        <w:rPr>
          <w:rFonts w:ascii="Book Antiqua" w:eastAsia="Calibri" w:hAnsi="Book Antiqua" w:cs="Times New Roman"/>
          <w:sz w:val="24"/>
          <w:szCs w:val="24"/>
          <w:vertAlign w:val="superscript"/>
          <w:lang w:val="en-US"/>
        </w:rPr>
        <w:t>[</w:t>
      </w:r>
      <w:r w:rsidR="00311EE2">
        <w:rPr>
          <w:rFonts w:ascii="Book Antiqua" w:eastAsia="Calibri" w:hAnsi="Book Antiqua" w:cs="Times New Roman"/>
          <w:sz w:val="24"/>
          <w:szCs w:val="24"/>
          <w:vertAlign w:val="superscript"/>
          <w:lang w:val="en-US"/>
        </w:rPr>
        <w:t>22</w:t>
      </w:r>
      <w:r w:rsidR="00657CB6" w:rsidRPr="00DD6E33">
        <w:rPr>
          <w:rFonts w:ascii="Book Antiqua" w:eastAsia="Calibri" w:hAnsi="Book Antiqua" w:cs="Times New Roman"/>
          <w:sz w:val="24"/>
          <w:szCs w:val="24"/>
          <w:vertAlign w:val="superscript"/>
          <w:lang w:val="en-US"/>
        </w:rPr>
        <w:t>]</w:t>
      </w:r>
      <w:r w:rsidR="005C3CEC" w:rsidRPr="00FA3054">
        <w:rPr>
          <w:rFonts w:ascii="Book Antiqua" w:eastAsia="Calibri" w:hAnsi="Book Antiqua" w:cs="Times New Roman"/>
          <w:sz w:val="24"/>
          <w:szCs w:val="24"/>
          <w:lang w:val="en-US"/>
        </w:rPr>
        <w:t xml:space="preserve">. </w:t>
      </w:r>
    </w:p>
    <w:p w:rsidR="00D30DD1" w:rsidRPr="00FA3054" w:rsidRDefault="006B3838" w:rsidP="00BB7527">
      <w:pPr>
        <w:spacing w:after="0" w:line="360" w:lineRule="auto"/>
        <w:ind w:firstLineChars="150" w:firstLine="360"/>
        <w:jc w:val="both"/>
        <w:rPr>
          <w:rFonts w:ascii="Book Antiqua" w:eastAsia="Calibri" w:hAnsi="Book Antiqua" w:cs="Times New Roman"/>
          <w:sz w:val="24"/>
          <w:szCs w:val="24"/>
          <w:lang w:val="en-US"/>
        </w:rPr>
      </w:pPr>
      <w:r w:rsidRPr="00FA3054">
        <w:rPr>
          <w:rFonts w:ascii="Book Antiqua" w:eastAsia="Calibri" w:hAnsi="Book Antiqua" w:cs="Times New Roman"/>
          <w:sz w:val="24"/>
          <w:szCs w:val="24"/>
          <w:lang w:val="en-US"/>
        </w:rPr>
        <w:t>When</w:t>
      </w:r>
      <w:r w:rsidR="00D30DD1" w:rsidRPr="00FA3054">
        <w:rPr>
          <w:rFonts w:ascii="Book Antiqua" w:eastAsia="Calibri" w:hAnsi="Book Antiqua" w:cs="Times New Roman"/>
          <w:sz w:val="24"/>
          <w:szCs w:val="24"/>
          <w:lang w:val="en-US"/>
        </w:rPr>
        <w:t xml:space="preserve"> </w:t>
      </w:r>
      <w:r w:rsidR="00C3228B" w:rsidRPr="00FA3054">
        <w:rPr>
          <w:rFonts w:ascii="Book Antiqua" w:eastAsia="Calibri" w:hAnsi="Book Antiqua" w:cs="Times New Roman"/>
          <w:sz w:val="24"/>
          <w:szCs w:val="24"/>
          <w:lang w:val="en-US"/>
        </w:rPr>
        <w:t>local tumor progression</w:t>
      </w:r>
      <w:r w:rsidRPr="00FA3054">
        <w:rPr>
          <w:rFonts w:ascii="Book Antiqua" w:eastAsia="Calibri" w:hAnsi="Book Antiqua" w:cs="Times New Roman"/>
          <w:sz w:val="24"/>
          <w:szCs w:val="24"/>
          <w:lang w:val="en-US"/>
        </w:rPr>
        <w:t xml:space="preserve"> occurred</w:t>
      </w:r>
      <w:r w:rsidR="00C3228B" w:rsidRPr="00FA3054">
        <w:rPr>
          <w:rFonts w:ascii="Book Antiqua" w:eastAsia="Calibri" w:hAnsi="Book Antiqua" w:cs="Times New Roman"/>
          <w:sz w:val="24"/>
          <w:szCs w:val="24"/>
          <w:lang w:val="en-US"/>
        </w:rPr>
        <w:t xml:space="preserve">, </w:t>
      </w:r>
      <w:r w:rsidR="00D30DD1" w:rsidRPr="00FA3054">
        <w:rPr>
          <w:rFonts w:ascii="Book Antiqua" w:eastAsia="Calibri" w:hAnsi="Book Antiqua" w:cs="Times New Roman"/>
          <w:sz w:val="24"/>
          <w:szCs w:val="24"/>
          <w:lang w:val="en-US"/>
        </w:rPr>
        <w:t xml:space="preserve">RFA </w:t>
      </w:r>
      <w:r w:rsidR="00C3228B" w:rsidRPr="00FA3054">
        <w:rPr>
          <w:rFonts w:ascii="Book Antiqua" w:eastAsia="Calibri" w:hAnsi="Book Antiqua" w:cs="Times New Roman"/>
          <w:sz w:val="24"/>
          <w:szCs w:val="24"/>
          <w:lang w:val="en-US"/>
        </w:rPr>
        <w:t xml:space="preserve">was re-planned when technically feasible and on the basis of the likelihood of achieving complete response. </w:t>
      </w:r>
      <w:r w:rsidR="00ED7F3C" w:rsidRPr="00FA3054">
        <w:rPr>
          <w:rFonts w:ascii="Book Antiqua" w:eastAsia="Calibri" w:hAnsi="Book Antiqua" w:cs="Times New Roman"/>
          <w:sz w:val="24"/>
          <w:szCs w:val="24"/>
          <w:lang w:val="en-US"/>
        </w:rPr>
        <w:t xml:space="preserve">For those who developed more extensive metastases or extrahepatic disease, systemic chemotherapy was given whenever possible. </w:t>
      </w:r>
    </w:p>
    <w:p w:rsidR="009458DC" w:rsidRPr="00FA3054" w:rsidRDefault="009458DC" w:rsidP="00BB7527">
      <w:pPr>
        <w:spacing w:after="0" w:line="360" w:lineRule="auto"/>
        <w:jc w:val="both"/>
        <w:rPr>
          <w:rFonts w:ascii="Book Antiqua" w:eastAsia="Calibri" w:hAnsi="Book Antiqua" w:cs="Times New Roman"/>
          <w:sz w:val="24"/>
          <w:szCs w:val="24"/>
          <w:lang w:val="en-US"/>
        </w:rPr>
      </w:pPr>
    </w:p>
    <w:p w:rsidR="00D30DD1" w:rsidRPr="00BB7527" w:rsidRDefault="00D30DD1" w:rsidP="00BB7527">
      <w:pPr>
        <w:spacing w:after="0" w:line="360" w:lineRule="auto"/>
        <w:jc w:val="both"/>
        <w:rPr>
          <w:rFonts w:ascii="Book Antiqua" w:eastAsia="Calibri" w:hAnsi="Book Antiqua" w:cs="Times New Roman"/>
          <w:b/>
          <w:i/>
          <w:sz w:val="24"/>
          <w:szCs w:val="24"/>
          <w:lang w:val="en-US"/>
        </w:rPr>
      </w:pPr>
      <w:r w:rsidRPr="00BB7527">
        <w:rPr>
          <w:rFonts w:ascii="Book Antiqua" w:eastAsia="Calibri" w:hAnsi="Book Antiqua" w:cs="Times New Roman"/>
          <w:b/>
          <w:i/>
          <w:sz w:val="24"/>
          <w:szCs w:val="24"/>
          <w:lang w:val="en-US"/>
        </w:rPr>
        <w:t>Statistical analysis</w:t>
      </w:r>
    </w:p>
    <w:p w:rsidR="00663957" w:rsidRPr="00FA3054" w:rsidRDefault="00D3717B" w:rsidP="00BB7527">
      <w:pPr>
        <w:spacing w:after="0" w:line="360" w:lineRule="auto"/>
        <w:jc w:val="both"/>
        <w:rPr>
          <w:rFonts w:ascii="Book Antiqua" w:eastAsia="Calibri" w:hAnsi="Book Antiqua" w:cs="Times New Roman"/>
          <w:sz w:val="24"/>
          <w:szCs w:val="24"/>
          <w:lang w:val="en-US"/>
        </w:rPr>
      </w:pPr>
      <w:r w:rsidRPr="00FA3054">
        <w:rPr>
          <w:rFonts w:ascii="Book Antiqua" w:eastAsia="Calibri" w:hAnsi="Book Antiqua" w:cs="Times New Roman"/>
          <w:sz w:val="24"/>
          <w:szCs w:val="24"/>
          <w:lang w:val="en-US"/>
        </w:rPr>
        <w:t>Categorical variables we</w:t>
      </w:r>
      <w:r w:rsidR="00EC6893">
        <w:rPr>
          <w:rFonts w:ascii="Book Antiqua" w:eastAsia="Calibri" w:hAnsi="Book Antiqua" w:cs="Times New Roman"/>
          <w:sz w:val="24"/>
          <w:szCs w:val="24"/>
          <w:lang w:val="en-US"/>
        </w:rPr>
        <w:t>re expressed</w:t>
      </w:r>
      <w:r w:rsidR="00D30DD1" w:rsidRPr="00FA3054">
        <w:rPr>
          <w:rFonts w:ascii="Book Antiqua" w:eastAsia="Calibri" w:hAnsi="Book Antiqua" w:cs="Times New Roman"/>
          <w:sz w:val="24"/>
          <w:szCs w:val="24"/>
          <w:lang w:val="en-US"/>
        </w:rPr>
        <w:t xml:space="preserve"> as frequencies and percentages and continuous variables as medians and ranges.</w:t>
      </w:r>
    </w:p>
    <w:p w:rsidR="00813FB9" w:rsidRPr="00FA3054" w:rsidRDefault="00BB7527" w:rsidP="00BB7527">
      <w:pPr>
        <w:spacing w:after="0" w:line="360" w:lineRule="auto"/>
        <w:ind w:firstLineChars="150" w:firstLine="360"/>
        <w:jc w:val="both"/>
        <w:rPr>
          <w:rFonts w:ascii="Book Antiqua" w:eastAsia="Calibri" w:hAnsi="Book Antiqua" w:cs="Times New Roman"/>
          <w:sz w:val="24"/>
          <w:szCs w:val="24"/>
          <w:lang w:val="en-US"/>
        </w:rPr>
      </w:pPr>
      <w:r>
        <w:rPr>
          <w:rFonts w:ascii="Book Antiqua" w:eastAsia="Calibri" w:hAnsi="Book Antiqua" w:cs="Times New Roman"/>
          <w:sz w:val="24"/>
          <w:szCs w:val="24"/>
          <w:lang w:val="en-US"/>
        </w:rPr>
        <w:t>OS</w:t>
      </w:r>
      <w:r>
        <w:rPr>
          <w:rFonts w:ascii="Book Antiqua" w:hAnsi="Book Antiqua" w:cs="Times New Roman" w:hint="eastAsia"/>
          <w:sz w:val="24"/>
          <w:szCs w:val="24"/>
          <w:lang w:val="en-US" w:eastAsia="zh-CN"/>
        </w:rPr>
        <w:t xml:space="preserve"> </w:t>
      </w:r>
      <w:r w:rsidR="00813FB9" w:rsidRPr="00FA3054">
        <w:rPr>
          <w:rFonts w:ascii="Book Antiqua" w:eastAsia="Calibri" w:hAnsi="Book Antiqua" w:cs="Times New Roman"/>
          <w:sz w:val="24"/>
          <w:szCs w:val="24"/>
          <w:lang w:val="en-US"/>
        </w:rPr>
        <w:t xml:space="preserve">and </w:t>
      </w:r>
      <w:r>
        <w:rPr>
          <w:rFonts w:ascii="Book Antiqua" w:eastAsia="Calibri" w:hAnsi="Book Antiqua" w:cs="Times New Roman"/>
          <w:sz w:val="24"/>
          <w:szCs w:val="24"/>
          <w:lang w:val="en-US"/>
        </w:rPr>
        <w:t>TTR</w:t>
      </w:r>
      <w:r w:rsidR="00813FB9" w:rsidRPr="00FA3054">
        <w:rPr>
          <w:rFonts w:ascii="Book Antiqua" w:eastAsia="Calibri" w:hAnsi="Book Antiqua" w:cs="Times New Roman"/>
          <w:sz w:val="24"/>
          <w:szCs w:val="24"/>
          <w:lang w:val="en-US"/>
        </w:rPr>
        <w:t xml:space="preserve"> were </w:t>
      </w:r>
      <w:r w:rsidR="00770A53">
        <w:rPr>
          <w:rFonts w:ascii="Book Antiqua" w:eastAsia="Calibri" w:hAnsi="Book Antiqua" w:cs="Times New Roman"/>
          <w:sz w:val="24"/>
          <w:szCs w:val="24"/>
          <w:lang w:val="en-US"/>
        </w:rPr>
        <w:t>analyzed</w:t>
      </w:r>
      <w:r w:rsidR="00813FB9" w:rsidRPr="00FA3054">
        <w:rPr>
          <w:rFonts w:ascii="Book Antiqua" w:eastAsia="Calibri" w:hAnsi="Book Antiqua" w:cs="Times New Roman"/>
          <w:sz w:val="24"/>
          <w:szCs w:val="24"/>
          <w:lang w:val="en-US"/>
        </w:rPr>
        <w:t xml:space="preserve"> by Kapl</w:t>
      </w:r>
      <w:r w:rsidR="00BA2E98" w:rsidRPr="00FA3054">
        <w:rPr>
          <w:rFonts w:ascii="Book Antiqua" w:eastAsia="Calibri" w:hAnsi="Book Antiqua" w:cs="Times New Roman"/>
          <w:sz w:val="24"/>
          <w:szCs w:val="24"/>
          <w:lang w:val="en-US"/>
        </w:rPr>
        <w:t>an-M</w:t>
      </w:r>
      <w:r>
        <w:rPr>
          <w:rFonts w:ascii="Book Antiqua" w:eastAsia="Calibri" w:hAnsi="Book Antiqua" w:cs="Times New Roman"/>
          <w:sz w:val="24"/>
          <w:szCs w:val="24"/>
          <w:lang w:val="en-US"/>
        </w:rPr>
        <w:t xml:space="preserve">eier </w:t>
      </w:r>
      <w:r w:rsidR="00770A53">
        <w:rPr>
          <w:rFonts w:ascii="Book Antiqua" w:eastAsia="Calibri" w:hAnsi="Book Antiqua" w:cs="Times New Roman"/>
          <w:sz w:val="24"/>
          <w:szCs w:val="24"/>
          <w:lang w:val="en-US"/>
        </w:rPr>
        <w:t xml:space="preserve">method and expressed in terms of </w:t>
      </w:r>
      <w:r>
        <w:rPr>
          <w:rFonts w:ascii="Book Antiqua" w:eastAsia="Calibri" w:hAnsi="Book Antiqua" w:cs="Times New Roman"/>
          <w:sz w:val="24"/>
          <w:szCs w:val="24"/>
          <w:lang w:val="en-US"/>
        </w:rPr>
        <w:t>median (95%</w:t>
      </w:r>
      <w:r w:rsidR="00BA2E98" w:rsidRPr="00FA3054">
        <w:rPr>
          <w:rFonts w:ascii="Book Antiqua" w:eastAsia="Calibri" w:hAnsi="Book Antiqua" w:cs="Times New Roman"/>
          <w:sz w:val="24"/>
          <w:szCs w:val="24"/>
          <w:lang w:val="en-US"/>
        </w:rPr>
        <w:t>CI)</w:t>
      </w:r>
      <w:r w:rsidR="00813FB9" w:rsidRPr="00FA3054">
        <w:rPr>
          <w:rFonts w:ascii="Book Antiqua" w:eastAsia="Calibri" w:hAnsi="Book Antiqua" w:cs="Times New Roman"/>
          <w:sz w:val="24"/>
          <w:szCs w:val="24"/>
          <w:lang w:val="en-US"/>
        </w:rPr>
        <w:t>.</w:t>
      </w:r>
    </w:p>
    <w:p w:rsidR="007B5736" w:rsidRPr="00FA3054" w:rsidRDefault="00CA3ACE" w:rsidP="00BB7527">
      <w:pPr>
        <w:spacing w:after="0" w:line="360" w:lineRule="auto"/>
        <w:ind w:firstLineChars="150" w:firstLine="360"/>
        <w:jc w:val="both"/>
        <w:rPr>
          <w:rFonts w:ascii="Book Antiqua" w:eastAsia="Calibri" w:hAnsi="Book Antiqua" w:cs="Times New Roman"/>
          <w:sz w:val="24"/>
          <w:szCs w:val="24"/>
          <w:lang w:val="en-US"/>
        </w:rPr>
      </w:pPr>
      <w:r>
        <w:rPr>
          <w:rFonts w:ascii="Book Antiqua" w:eastAsia="Calibri" w:hAnsi="Book Antiqua" w:cs="Times New Roman"/>
          <w:sz w:val="24"/>
          <w:szCs w:val="24"/>
          <w:lang w:val="en-US"/>
        </w:rPr>
        <w:t>Candidate predictors of survival outcomes were tested with</w:t>
      </w:r>
      <w:r w:rsidR="007B5736" w:rsidRPr="00FA3054">
        <w:rPr>
          <w:rFonts w:ascii="Book Antiqua" w:eastAsia="Calibri" w:hAnsi="Book Antiqua" w:cs="Times New Roman"/>
          <w:sz w:val="24"/>
          <w:szCs w:val="24"/>
          <w:lang w:val="en-US"/>
        </w:rPr>
        <w:t xml:space="preserve"> Cox univariate a</w:t>
      </w:r>
      <w:r>
        <w:rPr>
          <w:rFonts w:ascii="Book Antiqua" w:eastAsia="Calibri" w:hAnsi="Book Antiqua" w:cs="Times New Roman"/>
          <w:sz w:val="24"/>
          <w:szCs w:val="24"/>
          <w:lang w:val="en-US"/>
        </w:rPr>
        <w:t>nd multivariate regression test</w:t>
      </w:r>
      <w:r w:rsidR="00B342CC">
        <w:rPr>
          <w:rFonts w:ascii="Book Antiqua" w:eastAsia="Calibri" w:hAnsi="Book Antiqua" w:cs="Times New Roman"/>
          <w:sz w:val="24"/>
          <w:szCs w:val="24"/>
          <w:lang w:val="en-US"/>
        </w:rPr>
        <w:t xml:space="preserve"> and results were described as</w:t>
      </w:r>
      <w:r w:rsidR="00BB7527">
        <w:rPr>
          <w:rFonts w:ascii="Book Antiqua" w:eastAsia="Calibri" w:hAnsi="Book Antiqua" w:cs="Times New Roman"/>
          <w:sz w:val="24"/>
          <w:szCs w:val="24"/>
          <w:lang w:val="en-US"/>
        </w:rPr>
        <w:t xml:space="preserve"> hazard ratios (HR) and 95%</w:t>
      </w:r>
      <w:r w:rsidR="007B5736" w:rsidRPr="00FA3054">
        <w:rPr>
          <w:rFonts w:ascii="Book Antiqua" w:eastAsia="Calibri" w:hAnsi="Book Antiqua" w:cs="Times New Roman"/>
          <w:sz w:val="24"/>
          <w:szCs w:val="24"/>
          <w:lang w:val="en-US"/>
        </w:rPr>
        <w:t xml:space="preserve">CI. </w:t>
      </w:r>
      <w:r w:rsidR="004F2BD8">
        <w:rPr>
          <w:rFonts w:ascii="Book Antiqua" w:eastAsia="Calibri" w:hAnsi="Book Antiqua" w:cs="Times New Roman"/>
          <w:sz w:val="24"/>
          <w:szCs w:val="24"/>
          <w:lang w:val="en-US"/>
        </w:rPr>
        <w:t>Only those variables which resulted significant in univariate setting were inserted into multivariate model</w:t>
      </w:r>
      <w:r w:rsidR="004A0DB9">
        <w:rPr>
          <w:rFonts w:ascii="Book Antiqua" w:eastAsia="Calibri" w:hAnsi="Book Antiqua" w:cs="Times New Roman"/>
          <w:sz w:val="24"/>
          <w:szCs w:val="24"/>
          <w:vertAlign w:val="superscript"/>
          <w:lang w:val="en-US"/>
        </w:rPr>
        <w:t>[23]</w:t>
      </w:r>
      <w:r w:rsidR="007B5736" w:rsidRPr="00FA3054">
        <w:rPr>
          <w:rFonts w:ascii="Book Antiqua" w:eastAsia="Calibri" w:hAnsi="Book Antiqua" w:cs="Times New Roman"/>
          <w:sz w:val="24"/>
          <w:szCs w:val="24"/>
          <w:lang w:val="en-US"/>
        </w:rPr>
        <w:t>.</w:t>
      </w:r>
    </w:p>
    <w:p w:rsidR="00813FB9" w:rsidRPr="00FA3054" w:rsidRDefault="00B22F8D" w:rsidP="00BB7527">
      <w:pPr>
        <w:spacing w:after="0" w:line="360" w:lineRule="auto"/>
        <w:ind w:firstLineChars="150" w:firstLine="360"/>
        <w:jc w:val="both"/>
        <w:rPr>
          <w:rFonts w:ascii="Book Antiqua" w:eastAsia="Calibri" w:hAnsi="Book Antiqua" w:cs="Times New Roman"/>
          <w:sz w:val="24"/>
          <w:szCs w:val="24"/>
          <w:lang w:val="en-US"/>
        </w:rPr>
      </w:pPr>
      <w:r>
        <w:rPr>
          <w:rFonts w:ascii="Book Antiqua" w:eastAsia="Calibri" w:hAnsi="Book Antiqua" w:cs="Times New Roman"/>
          <w:sz w:val="24"/>
          <w:szCs w:val="24"/>
          <w:lang w:val="en-US"/>
        </w:rPr>
        <w:t xml:space="preserve">Running log-rank test was performed </w:t>
      </w:r>
      <w:r w:rsidR="00C90EBE" w:rsidRPr="00FA3054">
        <w:rPr>
          <w:rFonts w:ascii="Book Antiqua" w:eastAsia="Calibri" w:hAnsi="Book Antiqua" w:cs="Times New Roman"/>
          <w:sz w:val="24"/>
          <w:szCs w:val="24"/>
          <w:lang w:val="en-US"/>
        </w:rPr>
        <w:t xml:space="preserve">to </w:t>
      </w:r>
      <w:r>
        <w:rPr>
          <w:rFonts w:ascii="Book Antiqua" w:eastAsia="Calibri" w:hAnsi="Book Antiqua" w:cs="Times New Roman"/>
          <w:sz w:val="24"/>
          <w:szCs w:val="24"/>
          <w:lang w:val="en-US"/>
        </w:rPr>
        <w:t>identify</w:t>
      </w:r>
      <w:r w:rsidR="00C90EBE" w:rsidRPr="00FA3054">
        <w:rPr>
          <w:rFonts w:ascii="Book Antiqua" w:eastAsia="Calibri" w:hAnsi="Book Antiqua" w:cs="Times New Roman"/>
          <w:sz w:val="24"/>
          <w:szCs w:val="24"/>
          <w:lang w:val="en-US"/>
        </w:rPr>
        <w:t xml:space="preserve"> a reliable LMR</w:t>
      </w:r>
      <w:r w:rsidR="00813FB9" w:rsidRPr="00FA3054">
        <w:rPr>
          <w:rFonts w:ascii="Book Antiqua" w:eastAsia="Calibri" w:hAnsi="Book Antiqua" w:cs="Times New Roman"/>
          <w:sz w:val="24"/>
          <w:szCs w:val="24"/>
          <w:lang w:val="en-US"/>
        </w:rPr>
        <w:t xml:space="preserve"> pro</w:t>
      </w:r>
      <w:r>
        <w:rPr>
          <w:rFonts w:ascii="Book Antiqua" w:eastAsia="Calibri" w:hAnsi="Book Antiqua" w:cs="Times New Roman"/>
          <w:sz w:val="24"/>
          <w:szCs w:val="24"/>
          <w:lang w:val="en-US"/>
        </w:rPr>
        <w:t>gnostic cut-off value</w:t>
      </w:r>
      <w:r w:rsidR="00C90EBE" w:rsidRPr="00AB79C7">
        <w:rPr>
          <w:rFonts w:ascii="Book Antiqua" w:eastAsia="Calibri" w:hAnsi="Book Antiqua" w:cs="Times New Roman"/>
          <w:sz w:val="24"/>
          <w:szCs w:val="24"/>
          <w:vertAlign w:val="superscript"/>
          <w:lang w:val="en-US"/>
        </w:rPr>
        <w:t>[24]</w:t>
      </w:r>
      <w:r w:rsidR="00C90EBE" w:rsidRPr="00FA3054">
        <w:rPr>
          <w:rFonts w:ascii="Book Antiqua" w:eastAsia="Calibri" w:hAnsi="Book Antiqua" w:cs="Times New Roman"/>
          <w:sz w:val="24"/>
          <w:szCs w:val="24"/>
          <w:lang w:val="en-US"/>
        </w:rPr>
        <w:t xml:space="preserve">. </w:t>
      </w:r>
      <w:r w:rsidR="00813FB9" w:rsidRPr="00FA3054">
        <w:rPr>
          <w:rFonts w:ascii="Book Antiqua" w:eastAsia="Calibri" w:hAnsi="Book Antiqua" w:cs="Times New Roman"/>
          <w:sz w:val="24"/>
          <w:szCs w:val="24"/>
          <w:lang w:val="en-US"/>
        </w:rPr>
        <w:t xml:space="preserve"> </w:t>
      </w:r>
      <w:r w:rsidR="00891EAA">
        <w:rPr>
          <w:rFonts w:ascii="Book Antiqua" w:eastAsia="Calibri" w:hAnsi="Book Antiqua" w:cs="Times New Roman"/>
          <w:sz w:val="24"/>
          <w:szCs w:val="24"/>
          <w:lang w:val="en-US"/>
        </w:rPr>
        <w:t xml:space="preserve">With this method, all the observed LMR values </w:t>
      </w:r>
      <w:r w:rsidR="00813FB9" w:rsidRPr="00FA3054">
        <w:rPr>
          <w:rFonts w:ascii="Book Antiqua" w:eastAsia="Calibri" w:hAnsi="Book Antiqua" w:cs="Times New Roman"/>
          <w:sz w:val="24"/>
          <w:szCs w:val="24"/>
          <w:lang w:val="en-US"/>
        </w:rPr>
        <w:t xml:space="preserve">were plotted against survival </w:t>
      </w:r>
      <w:r w:rsidR="00813FB9" w:rsidRPr="00FA3054">
        <w:rPr>
          <w:rFonts w:ascii="Book Antiqua" w:eastAsia="Calibri" w:hAnsi="Book Antiqua" w:cs="Times New Roman"/>
          <w:sz w:val="24"/>
          <w:szCs w:val="24"/>
          <w:lang w:val="en-US"/>
        </w:rPr>
        <w:lastRenderedPageBreak/>
        <w:t xml:space="preserve">and </w:t>
      </w:r>
      <w:r w:rsidR="005C2CF0">
        <w:rPr>
          <w:rFonts w:ascii="Book Antiqua" w:eastAsia="Calibri" w:hAnsi="Book Antiqua" w:cs="Times New Roman"/>
          <w:sz w:val="24"/>
          <w:szCs w:val="24"/>
          <w:lang w:val="en-US"/>
        </w:rPr>
        <w:t xml:space="preserve">log-rank test was performed </w:t>
      </w:r>
      <w:r w:rsidR="00813FB9" w:rsidRPr="00FA3054">
        <w:rPr>
          <w:rFonts w:ascii="Book Antiqua" w:eastAsia="Calibri" w:hAnsi="Book Antiqua" w:cs="Times New Roman"/>
          <w:sz w:val="24"/>
          <w:szCs w:val="24"/>
          <w:lang w:val="en-US"/>
        </w:rPr>
        <w:t xml:space="preserve">for each </w:t>
      </w:r>
      <w:r w:rsidR="007555D7">
        <w:rPr>
          <w:rFonts w:ascii="Book Antiqua" w:eastAsia="Calibri" w:hAnsi="Book Antiqua" w:cs="Times New Roman"/>
          <w:sz w:val="24"/>
          <w:szCs w:val="24"/>
          <w:lang w:val="en-US"/>
        </w:rPr>
        <w:t xml:space="preserve">value </w:t>
      </w:r>
      <w:r w:rsidR="00813FB9" w:rsidRPr="00FA3054">
        <w:rPr>
          <w:rFonts w:ascii="Book Antiqua" w:eastAsia="Calibri" w:hAnsi="Book Antiqua" w:cs="Times New Roman"/>
          <w:sz w:val="24"/>
          <w:szCs w:val="24"/>
          <w:lang w:val="en-US"/>
        </w:rPr>
        <w:t>up to the level that cov</w:t>
      </w:r>
      <w:r w:rsidR="008D121B" w:rsidRPr="00FA3054">
        <w:rPr>
          <w:rFonts w:ascii="Book Antiqua" w:eastAsia="Calibri" w:hAnsi="Book Antiqua" w:cs="Times New Roman"/>
          <w:sz w:val="24"/>
          <w:szCs w:val="24"/>
          <w:lang w:val="en-US"/>
        </w:rPr>
        <w:t>ered 90% of the patients. The LMR</w:t>
      </w:r>
      <w:r w:rsidR="00BB7C4A">
        <w:rPr>
          <w:rFonts w:ascii="Book Antiqua" w:eastAsia="Calibri" w:hAnsi="Book Antiqua" w:cs="Times New Roman"/>
          <w:sz w:val="24"/>
          <w:szCs w:val="24"/>
          <w:lang w:val="en-US"/>
        </w:rPr>
        <w:t xml:space="preserve"> value</w:t>
      </w:r>
      <w:r w:rsidR="00813FB9" w:rsidRPr="00FA3054">
        <w:rPr>
          <w:rFonts w:ascii="Book Antiqua" w:eastAsia="Calibri" w:hAnsi="Book Antiqua" w:cs="Times New Roman"/>
          <w:sz w:val="24"/>
          <w:szCs w:val="24"/>
          <w:lang w:val="en-US"/>
        </w:rPr>
        <w:t xml:space="preserve"> </w:t>
      </w:r>
      <w:r w:rsidR="00BB7C4A">
        <w:rPr>
          <w:rFonts w:ascii="Book Antiqua" w:eastAsia="Calibri" w:hAnsi="Book Antiqua" w:cs="Times New Roman"/>
          <w:sz w:val="24"/>
          <w:szCs w:val="24"/>
          <w:lang w:val="en-US"/>
        </w:rPr>
        <w:t>with the highest</w:t>
      </w:r>
      <w:r w:rsidR="00813FB9" w:rsidRPr="00FA3054">
        <w:rPr>
          <w:rFonts w:ascii="Book Antiqua" w:eastAsia="Calibri" w:hAnsi="Book Antiqua" w:cs="Times New Roman"/>
          <w:sz w:val="24"/>
          <w:szCs w:val="24"/>
          <w:lang w:val="en-US"/>
        </w:rPr>
        <w:t xml:space="preserve"> log-rank statistical value was </w:t>
      </w:r>
      <w:r w:rsidR="00902B48">
        <w:rPr>
          <w:rFonts w:ascii="Book Antiqua" w:eastAsia="Calibri" w:hAnsi="Book Antiqua" w:cs="Times New Roman"/>
          <w:sz w:val="24"/>
          <w:szCs w:val="24"/>
          <w:lang w:val="en-US"/>
        </w:rPr>
        <w:t>finally chosen as the</w:t>
      </w:r>
      <w:r w:rsidR="00813FB9" w:rsidRPr="00FA3054">
        <w:rPr>
          <w:rFonts w:ascii="Book Antiqua" w:eastAsia="Calibri" w:hAnsi="Book Antiqua" w:cs="Times New Roman"/>
          <w:sz w:val="24"/>
          <w:szCs w:val="24"/>
          <w:lang w:val="en-US"/>
        </w:rPr>
        <w:t xml:space="preserve"> optimal cutoff point</w:t>
      </w:r>
      <w:r w:rsidR="006A4197" w:rsidRPr="0092088D">
        <w:rPr>
          <w:rFonts w:ascii="Book Antiqua" w:eastAsia="Calibri" w:hAnsi="Book Antiqua" w:cs="Times New Roman"/>
          <w:sz w:val="24"/>
          <w:szCs w:val="24"/>
          <w:vertAlign w:val="superscript"/>
          <w:lang w:val="en-US"/>
        </w:rPr>
        <w:t>[24]</w:t>
      </w:r>
      <w:r w:rsidR="00813FB9" w:rsidRPr="00FA3054">
        <w:rPr>
          <w:rFonts w:ascii="Book Antiqua" w:eastAsia="Calibri" w:hAnsi="Book Antiqua" w:cs="Times New Roman"/>
          <w:sz w:val="24"/>
          <w:szCs w:val="24"/>
          <w:lang w:val="en-US"/>
        </w:rPr>
        <w:t>.</w:t>
      </w:r>
    </w:p>
    <w:p w:rsidR="00D50CE6" w:rsidRPr="00FA3054" w:rsidRDefault="00D50CE6" w:rsidP="00BB7527">
      <w:pPr>
        <w:spacing w:after="0" w:line="360" w:lineRule="auto"/>
        <w:ind w:firstLineChars="150" w:firstLine="360"/>
        <w:jc w:val="both"/>
        <w:rPr>
          <w:rFonts w:ascii="Book Antiqua" w:eastAsia="Calibri" w:hAnsi="Book Antiqua" w:cs="Times New Roman"/>
          <w:sz w:val="24"/>
          <w:szCs w:val="24"/>
          <w:lang w:val="en-US"/>
        </w:rPr>
      </w:pPr>
      <w:r w:rsidRPr="00FA3054">
        <w:rPr>
          <w:rFonts w:ascii="Book Antiqua" w:eastAsia="Calibri" w:hAnsi="Book Antiqua" w:cs="Times New Roman"/>
          <w:sz w:val="24"/>
          <w:szCs w:val="24"/>
          <w:lang w:val="en-US"/>
        </w:rPr>
        <w:t xml:space="preserve">Furthermore, in order to assess the independence of LMR from other clinical and tumoral markers, </w:t>
      </w:r>
      <w:r w:rsidR="008C14AD" w:rsidRPr="00FA3054">
        <w:rPr>
          <w:rFonts w:ascii="Book Antiqua" w:eastAsia="Calibri" w:hAnsi="Book Antiqua" w:cs="Times New Roman"/>
          <w:sz w:val="24"/>
          <w:szCs w:val="24"/>
          <w:lang w:val="en-US"/>
        </w:rPr>
        <w:t xml:space="preserve">linear and logistic </w:t>
      </w:r>
      <w:r w:rsidRPr="00FA3054">
        <w:rPr>
          <w:rFonts w:ascii="Book Antiqua" w:eastAsia="Calibri" w:hAnsi="Book Antiqua" w:cs="Times New Roman"/>
          <w:sz w:val="24"/>
          <w:szCs w:val="24"/>
          <w:lang w:val="en-US"/>
        </w:rPr>
        <w:t>regression models correlating this inflammatory index and the main laboratory and tumoral parameters at baseline were built.</w:t>
      </w:r>
    </w:p>
    <w:p w:rsidR="00856FCB" w:rsidRPr="00FA3054" w:rsidRDefault="00D30DD1" w:rsidP="00BB7527">
      <w:pPr>
        <w:spacing w:after="0" w:line="360" w:lineRule="auto"/>
        <w:ind w:firstLineChars="150" w:firstLine="360"/>
        <w:jc w:val="both"/>
        <w:rPr>
          <w:rFonts w:ascii="Book Antiqua" w:eastAsia="Calibri" w:hAnsi="Book Antiqua" w:cs="Times New Roman"/>
          <w:sz w:val="24"/>
          <w:szCs w:val="24"/>
          <w:lang w:val="en-US"/>
        </w:rPr>
      </w:pPr>
      <w:r w:rsidRPr="00FA3054">
        <w:rPr>
          <w:rFonts w:ascii="Book Antiqua" w:eastAsia="Calibri" w:hAnsi="Book Antiqua" w:cs="Times New Roman"/>
          <w:sz w:val="24"/>
          <w:szCs w:val="24"/>
          <w:lang w:val="en-US"/>
        </w:rPr>
        <w:t xml:space="preserve">The analysis was performed using R Statistical Software (Foundation for Statistical Computing, Vienna, Austria) and significance </w:t>
      </w:r>
      <w:r w:rsidR="00856FCB" w:rsidRPr="00FA3054">
        <w:rPr>
          <w:rFonts w:ascii="Book Antiqua" w:eastAsia="Calibri" w:hAnsi="Book Antiqua" w:cs="Times New Roman"/>
          <w:sz w:val="24"/>
          <w:szCs w:val="24"/>
          <w:lang w:val="en-US"/>
        </w:rPr>
        <w:t xml:space="preserve">threshold </w:t>
      </w:r>
      <w:r w:rsidRPr="00FA3054">
        <w:rPr>
          <w:rFonts w:ascii="Book Antiqua" w:eastAsia="Calibri" w:hAnsi="Book Antiqua" w:cs="Times New Roman"/>
          <w:sz w:val="24"/>
          <w:szCs w:val="24"/>
          <w:lang w:val="en-US"/>
        </w:rPr>
        <w:t>was established at the 0.05 level (two-sided).</w:t>
      </w:r>
    </w:p>
    <w:p w:rsidR="00856FCB" w:rsidRPr="00FA3054" w:rsidRDefault="00856FCB" w:rsidP="00BB7527">
      <w:pPr>
        <w:spacing w:after="0" w:line="360" w:lineRule="auto"/>
        <w:jc w:val="both"/>
        <w:rPr>
          <w:rFonts w:ascii="Book Antiqua" w:hAnsi="Book Antiqua" w:cs="Times New Roman"/>
          <w:b/>
          <w:sz w:val="24"/>
          <w:szCs w:val="24"/>
          <w:lang w:val="en-US"/>
        </w:rPr>
      </w:pPr>
    </w:p>
    <w:p w:rsidR="001E4609" w:rsidRPr="00FA3054" w:rsidRDefault="002611C6" w:rsidP="00BB7527">
      <w:pPr>
        <w:spacing w:after="0" w:line="360" w:lineRule="auto"/>
        <w:jc w:val="both"/>
        <w:rPr>
          <w:rFonts w:ascii="Book Antiqua" w:hAnsi="Book Antiqua" w:cs="Times New Roman"/>
          <w:b/>
          <w:sz w:val="24"/>
          <w:szCs w:val="24"/>
          <w:lang w:val="en-US"/>
        </w:rPr>
      </w:pPr>
      <w:r w:rsidRPr="00FA3054">
        <w:rPr>
          <w:rFonts w:ascii="Book Antiqua" w:hAnsi="Book Antiqua" w:cs="Times New Roman"/>
          <w:b/>
          <w:sz w:val="24"/>
          <w:szCs w:val="24"/>
          <w:lang w:val="en-US"/>
        </w:rPr>
        <w:t>RESULTS</w:t>
      </w:r>
    </w:p>
    <w:p w:rsidR="00E232F1" w:rsidRPr="00BB7527" w:rsidRDefault="00E232F1" w:rsidP="00BB7527">
      <w:pPr>
        <w:spacing w:before="240" w:after="0" w:line="360" w:lineRule="auto"/>
        <w:jc w:val="both"/>
        <w:rPr>
          <w:rFonts w:ascii="Book Antiqua" w:eastAsia="Calibri" w:hAnsi="Book Antiqua" w:cs="Times New Roman"/>
          <w:b/>
          <w:i/>
          <w:sz w:val="24"/>
          <w:szCs w:val="24"/>
          <w:lang w:val="en-US"/>
        </w:rPr>
      </w:pPr>
      <w:r w:rsidRPr="00BB7527">
        <w:rPr>
          <w:rFonts w:ascii="Book Antiqua" w:eastAsia="Calibri" w:hAnsi="Book Antiqua" w:cs="Times New Roman"/>
          <w:b/>
          <w:i/>
          <w:sz w:val="24"/>
          <w:szCs w:val="24"/>
          <w:lang w:val="en-US"/>
        </w:rPr>
        <w:t>Clinical characteristics of patients</w:t>
      </w:r>
    </w:p>
    <w:p w:rsidR="00E232F1" w:rsidRPr="00FA3054" w:rsidRDefault="00E232F1" w:rsidP="00BB7527">
      <w:pPr>
        <w:spacing w:after="0" w:line="360" w:lineRule="auto"/>
        <w:jc w:val="both"/>
        <w:rPr>
          <w:rFonts w:ascii="Book Antiqua" w:eastAsia="Calibri" w:hAnsi="Book Antiqua" w:cs="Times New Roman"/>
          <w:sz w:val="24"/>
          <w:szCs w:val="24"/>
          <w:lang w:val="en-US"/>
        </w:rPr>
      </w:pPr>
      <w:r w:rsidRPr="00FA3054">
        <w:rPr>
          <w:rFonts w:ascii="Book Antiqua" w:eastAsia="Calibri" w:hAnsi="Book Antiqua" w:cs="Times New Roman"/>
          <w:sz w:val="24"/>
          <w:szCs w:val="24"/>
          <w:lang w:val="en-US"/>
        </w:rPr>
        <w:t>Clinical and demographic characteristics are summarized in Table 1.</w:t>
      </w:r>
      <w:r w:rsidR="00E61534" w:rsidRPr="00FA3054">
        <w:rPr>
          <w:rFonts w:ascii="Book Antiqua" w:eastAsia="Calibri" w:hAnsi="Book Antiqua" w:cs="Times New Roman"/>
          <w:sz w:val="24"/>
          <w:szCs w:val="24"/>
          <w:lang w:val="en-US"/>
        </w:rPr>
        <w:t xml:space="preserve"> </w:t>
      </w:r>
      <w:r w:rsidR="00A06F1F" w:rsidRPr="00FA3054">
        <w:rPr>
          <w:rFonts w:ascii="Book Antiqua" w:eastAsia="Calibri" w:hAnsi="Book Antiqua" w:cs="Times New Roman"/>
          <w:sz w:val="24"/>
          <w:szCs w:val="24"/>
          <w:lang w:val="en-US"/>
        </w:rPr>
        <w:t>Median age was</w:t>
      </w:r>
      <w:r w:rsidR="00E61534" w:rsidRPr="00FA3054">
        <w:rPr>
          <w:rFonts w:ascii="Book Antiqua" w:eastAsia="Calibri" w:hAnsi="Book Antiqua" w:cs="Times New Roman"/>
          <w:sz w:val="24"/>
          <w:szCs w:val="24"/>
          <w:lang w:val="en-US"/>
        </w:rPr>
        <w:t xml:space="preserve"> 66</w:t>
      </w:r>
      <w:r w:rsidRPr="00FA3054">
        <w:rPr>
          <w:rFonts w:ascii="Book Antiqua" w:eastAsia="Calibri" w:hAnsi="Book Antiqua" w:cs="Times New Roman"/>
          <w:sz w:val="24"/>
          <w:szCs w:val="24"/>
          <w:lang w:val="en-US"/>
        </w:rPr>
        <w:t xml:space="preserve"> years</w:t>
      </w:r>
      <w:r w:rsidR="00E61534" w:rsidRPr="00FA3054">
        <w:rPr>
          <w:rFonts w:ascii="Book Antiqua" w:eastAsia="Calibri" w:hAnsi="Book Antiqua" w:cs="Times New Roman"/>
          <w:sz w:val="24"/>
          <w:szCs w:val="24"/>
          <w:lang w:val="en-US"/>
        </w:rPr>
        <w:t xml:space="preserve"> (range 38-88</w:t>
      </w:r>
      <w:r w:rsidR="00F77113" w:rsidRPr="00FA3054">
        <w:rPr>
          <w:rFonts w:ascii="Book Antiqua" w:eastAsia="Calibri" w:hAnsi="Book Antiqua" w:cs="Times New Roman"/>
          <w:sz w:val="24"/>
          <w:szCs w:val="24"/>
          <w:lang w:val="en-US"/>
        </w:rPr>
        <w:t>)</w:t>
      </w:r>
      <w:r w:rsidR="00A06F1F" w:rsidRPr="00FA3054">
        <w:rPr>
          <w:rFonts w:ascii="Book Antiqua" w:eastAsia="Calibri" w:hAnsi="Book Antiqua" w:cs="Times New Roman"/>
          <w:sz w:val="24"/>
          <w:szCs w:val="24"/>
          <w:lang w:val="en-US"/>
        </w:rPr>
        <w:t xml:space="preserve"> and patients were</w:t>
      </w:r>
      <w:r w:rsidR="00E61534" w:rsidRPr="00FA3054">
        <w:rPr>
          <w:rFonts w:ascii="Book Antiqua" w:eastAsia="Calibri" w:hAnsi="Book Antiqua" w:cs="Times New Roman"/>
          <w:sz w:val="24"/>
          <w:szCs w:val="24"/>
          <w:lang w:val="en-US"/>
        </w:rPr>
        <w:t xml:space="preserve"> prevalently male (69.2</w:t>
      </w:r>
      <w:r w:rsidR="008D339F" w:rsidRPr="00FA3054">
        <w:rPr>
          <w:rFonts w:ascii="Book Antiqua" w:eastAsia="Calibri" w:hAnsi="Book Antiqua" w:cs="Times New Roman"/>
          <w:sz w:val="24"/>
          <w:szCs w:val="24"/>
          <w:lang w:val="en-US"/>
        </w:rPr>
        <w:t>%).</w:t>
      </w:r>
      <w:r w:rsidR="004E0C99" w:rsidRPr="00FA3054">
        <w:rPr>
          <w:rFonts w:ascii="Book Antiqua" w:eastAsia="Calibri" w:hAnsi="Book Antiqua" w:cs="Times New Roman"/>
          <w:sz w:val="24"/>
          <w:szCs w:val="24"/>
          <w:lang w:val="en-US"/>
        </w:rPr>
        <w:t xml:space="preserve"> Median </w:t>
      </w:r>
      <w:r w:rsidR="00B76E7D" w:rsidRPr="00FA3054">
        <w:rPr>
          <w:rFonts w:ascii="Book Antiqua" w:eastAsia="Calibri" w:hAnsi="Book Antiqua" w:cs="Times New Roman"/>
          <w:sz w:val="24"/>
          <w:szCs w:val="24"/>
          <w:lang w:val="en-US"/>
        </w:rPr>
        <w:t xml:space="preserve">NLR </w:t>
      </w:r>
      <w:r w:rsidRPr="00FA3054">
        <w:rPr>
          <w:rFonts w:ascii="Book Antiqua" w:eastAsia="Calibri" w:hAnsi="Book Antiqua" w:cs="Times New Roman"/>
          <w:sz w:val="24"/>
          <w:szCs w:val="24"/>
          <w:lang w:val="en-US"/>
        </w:rPr>
        <w:t xml:space="preserve">was </w:t>
      </w:r>
      <w:r w:rsidR="00B76E7D" w:rsidRPr="00FA3054">
        <w:rPr>
          <w:rFonts w:ascii="Book Antiqua" w:eastAsia="Calibri" w:hAnsi="Book Antiqua" w:cs="Times New Roman"/>
          <w:sz w:val="24"/>
          <w:szCs w:val="24"/>
          <w:lang w:val="en-US"/>
        </w:rPr>
        <w:t>1.74</w:t>
      </w:r>
      <w:r w:rsidR="00CC4B61" w:rsidRPr="00FA3054">
        <w:rPr>
          <w:rFonts w:ascii="Book Antiqua" w:eastAsia="Calibri" w:hAnsi="Book Antiqua" w:cs="Times New Roman"/>
          <w:sz w:val="24"/>
          <w:szCs w:val="24"/>
          <w:lang w:val="en-US"/>
        </w:rPr>
        <w:t xml:space="preserve"> %</w:t>
      </w:r>
      <w:r w:rsidR="00B76E7D" w:rsidRPr="00FA3054">
        <w:rPr>
          <w:rFonts w:ascii="Book Antiqua" w:eastAsia="Calibri" w:hAnsi="Book Antiqua" w:cs="Times New Roman"/>
          <w:sz w:val="24"/>
          <w:szCs w:val="24"/>
          <w:lang w:val="en-US"/>
        </w:rPr>
        <w:t xml:space="preserve"> (0.33-13.09) whereas LMR was 4.38 </w:t>
      </w:r>
      <w:r w:rsidR="00CC4B61" w:rsidRPr="00FA3054">
        <w:rPr>
          <w:rFonts w:ascii="Book Antiqua" w:eastAsia="Calibri" w:hAnsi="Book Antiqua" w:cs="Times New Roman"/>
          <w:sz w:val="24"/>
          <w:szCs w:val="24"/>
          <w:lang w:val="en-US"/>
        </w:rPr>
        <w:t xml:space="preserve">% </w:t>
      </w:r>
      <w:r w:rsidR="00B76E7D" w:rsidRPr="00FA3054">
        <w:rPr>
          <w:rFonts w:ascii="Book Antiqua" w:eastAsia="Calibri" w:hAnsi="Book Antiqua" w:cs="Times New Roman"/>
          <w:sz w:val="24"/>
          <w:szCs w:val="24"/>
          <w:lang w:val="en-US"/>
        </w:rPr>
        <w:t xml:space="preserve">(0.79-88). </w:t>
      </w:r>
      <w:r w:rsidR="00FD6294" w:rsidRPr="00FA3054">
        <w:rPr>
          <w:rFonts w:ascii="Book Antiqua" w:eastAsia="Calibri" w:hAnsi="Book Antiqua" w:cs="Times New Roman"/>
          <w:sz w:val="24"/>
          <w:szCs w:val="24"/>
          <w:lang w:val="en-US"/>
        </w:rPr>
        <w:t xml:space="preserve">Median </w:t>
      </w:r>
      <w:r w:rsidR="00AF250A" w:rsidRPr="00FA3054">
        <w:rPr>
          <w:rFonts w:ascii="Book Antiqua" w:eastAsia="Calibri" w:hAnsi="Book Antiqua" w:cs="Times New Roman"/>
          <w:sz w:val="24"/>
          <w:szCs w:val="24"/>
          <w:lang w:val="en-US"/>
        </w:rPr>
        <w:t>Carcinoem</w:t>
      </w:r>
      <w:r w:rsidR="003477D9" w:rsidRPr="00FA3054">
        <w:rPr>
          <w:rFonts w:ascii="Book Antiqua" w:eastAsia="Calibri" w:hAnsi="Book Antiqua" w:cs="Times New Roman"/>
          <w:sz w:val="24"/>
          <w:szCs w:val="24"/>
          <w:lang w:val="en-US"/>
        </w:rPr>
        <w:t>bryonic Antigen (CEA) level was</w:t>
      </w:r>
      <w:r w:rsidRPr="00FA3054">
        <w:rPr>
          <w:rFonts w:ascii="Book Antiqua" w:eastAsia="Calibri" w:hAnsi="Book Antiqua" w:cs="Times New Roman"/>
          <w:sz w:val="24"/>
          <w:szCs w:val="24"/>
          <w:lang w:val="en-US"/>
        </w:rPr>
        <w:t xml:space="preserve"> </w:t>
      </w:r>
      <w:r w:rsidR="00E76490" w:rsidRPr="00FA3054">
        <w:rPr>
          <w:rFonts w:ascii="Book Antiqua" w:eastAsia="Calibri" w:hAnsi="Book Antiqua" w:cs="Times New Roman"/>
          <w:sz w:val="24"/>
          <w:szCs w:val="24"/>
          <w:lang w:val="en-US"/>
        </w:rPr>
        <w:t>34.2 ng/mL (1.5-1198)</w:t>
      </w:r>
      <w:r w:rsidR="00AF250A" w:rsidRPr="00FA3054">
        <w:rPr>
          <w:rFonts w:ascii="Book Antiqua" w:eastAsia="Calibri" w:hAnsi="Book Antiqua" w:cs="Times New Roman"/>
          <w:sz w:val="24"/>
          <w:szCs w:val="24"/>
          <w:lang w:val="en-US"/>
        </w:rPr>
        <w:t xml:space="preserve">.  </w:t>
      </w:r>
      <w:r w:rsidR="00AD5F15" w:rsidRPr="00FA3054">
        <w:rPr>
          <w:rFonts w:ascii="Book Antiqua" w:eastAsia="Calibri" w:hAnsi="Book Antiqua" w:cs="Times New Roman"/>
          <w:sz w:val="24"/>
          <w:szCs w:val="24"/>
          <w:lang w:val="en-US"/>
        </w:rPr>
        <w:t>Median number of nodules was 2 (1-3) with</w:t>
      </w:r>
      <w:r w:rsidR="00354F27" w:rsidRPr="00FA3054">
        <w:rPr>
          <w:rFonts w:ascii="Book Antiqua" w:eastAsia="Calibri" w:hAnsi="Book Antiqua" w:cs="Times New Roman"/>
          <w:sz w:val="24"/>
          <w:szCs w:val="24"/>
          <w:lang w:val="en-US"/>
        </w:rPr>
        <w:t xml:space="preserve"> a median maximum diameter of 27 mm (10-45</w:t>
      </w:r>
      <w:r w:rsidR="00AD5F15" w:rsidRPr="00FA3054">
        <w:rPr>
          <w:rFonts w:ascii="Book Antiqua" w:eastAsia="Calibri" w:hAnsi="Book Antiqua" w:cs="Times New Roman"/>
          <w:sz w:val="24"/>
          <w:szCs w:val="24"/>
          <w:lang w:val="en-US"/>
        </w:rPr>
        <w:t xml:space="preserve">). </w:t>
      </w:r>
      <w:r w:rsidR="00F72CC8" w:rsidRPr="00FA3054">
        <w:rPr>
          <w:rFonts w:ascii="Book Antiqua" w:eastAsia="Calibri" w:hAnsi="Book Antiqua" w:cs="Times New Roman"/>
          <w:sz w:val="24"/>
          <w:szCs w:val="24"/>
          <w:lang w:val="en-US"/>
        </w:rPr>
        <w:t xml:space="preserve">Most metastatic lesions were </w:t>
      </w:r>
      <w:r w:rsidR="00266CD5" w:rsidRPr="00FA3054">
        <w:rPr>
          <w:rFonts w:ascii="Book Antiqua" w:eastAsia="Calibri" w:hAnsi="Book Antiqua" w:cs="Times New Roman"/>
          <w:sz w:val="24"/>
          <w:szCs w:val="24"/>
          <w:lang w:val="en-US"/>
        </w:rPr>
        <w:t xml:space="preserve">synchronous </w:t>
      </w:r>
      <w:r w:rsidR="00F72CC8" w:rsidRPr="00FA3054">
        <w:rPr>
          <w:rFonts w:ascii="Book Antiqua" w:eastAsia="Calibri" w:hAnsi="Book Antiqua" w:cs="Times New Roman"/>
          <w:sz w:val="24"/>
          <w:szCs w:val="24"/>
          <w:lang w:val="en-US"/>
        </w:rPr>
        <w:t xml:space="preserve">(77.1%) and </w:t>
      </w:r>
      <w:r w:rsidR="00266CD5" w:rsidRPr="00FA3054">
        <w:rPr>
          <w:rFonts w:ascii="Book Antiqua" w:eastAsia="Calibri" w:hAnsi="Book Antiqua" w:cs="Times New Roman"/>
          <w:sz w:val="24"/>
          <w:szCs w:val="24"/>
          <w:lang w:val="en-US"/>
        </w:rPr>
        <w:t>colon was the most common loc</w:t>
      </w:r>
      <w:r w:rsidR="00C811B6" w:rsidRPr="00FA3054">
        <w:rPr>
          <w:rFonts w:ascii="Book Antiqua" w:eastAsia="Calibri" w:hAnsi="Book Antiqua" w:cs="Times New Roman"/>
          <w:sz w:val="24"/>
          <w:szCs w:val="24"/>
          <w:lang w:val="en-US"/>
        </w:rPr>
        <w:t>ation of the primary tumor (74.8</w:t>
      </w:r>
      <w:r w:rsidR="00266CD5" w:rsidRPr="00FA3054">
        <w:rPr>
          <w:rFonts w:ascii="Book Antiqua" w:eastAsia="Calibri" w:hAnsi="Book Antiqua" w:cs="Times New Roman"/>
          <w:sz w:val="24"/>
          <w:szCs w:val="24"/>
          <w:lang w:val="en-US"/>
        </w:rPr>
        <w:t xml:space="preserve">%). </w:t>
      </w:r>
    </w:p>
    <w:p w:rsidR="00165928" w:rsidRPr="00FA3054" w:rsidRDefault="00A2636B" w:rsidP="00BB7527">
      <w:pPr>
        <w:spacing w:after="0" w:line="360" w:lineRule="auto"/>
        <w:ind w:firstLineChars="150" w:firstLine="360"/>
        <w:jc w:val="both"/>
        <w:rPr>
          <w:rFonts w:ascii="Book Antiqua" w:hAnsi="Book Antiqua" w:cs="Times New Roman"/>
          <w:sz w:val="24"/>
          <w:szCs w:val="24"/>
          <w:lang w:val="en-US"/>
        </w:rPr>
      </w:pPr>
      <w:r w:rsidRPr="00FA3054">
        <w:rPr>
          <w:rFonts w:ascii="Book Antiqua" w:hAnsi="Book Antiqua" w:cs="Times New Roman"/>
          <w:sz w:val="24"/>
          <w:szCs w:val="24"/>
          <w:lang w:val="en-US"/>
        </w:rPr>
        <w:t>R</w:t>
      </w:r>
      <w:r w:rsidR="00A34AAE" w:rsidRPr="00FA3054">
        <w:rPr>
          <w:rFonts w:ascii="Book Antiqua" w:hAnsi="Book Antiqua" w:cs="Times New Roman"/>
          <w:sz w:val="24"/>
          <w:szCs w:val="24"/>
          <w:lang w:val="en-US"/>
        </w:rPr>
        <w:t>egression analysis found no</w:t>
      </w:r>
      <w:r w:rsidRPr="00FA3054">
        <w:rPr>
          <w:rFonts w:ascii="Book Antiqua" w:hAnsi="Book Antiqua" w:cs="Times New Roman"/>
          <w:sz w:val="24"/>
          <w:szCs w:val="24"/>
          <w:lang w:val="en-US"/>
        </w:rPr>
        <w:t xml:space="preserve"> significant correlation between LMR and the </w:t>
      </w:r>
      <w:r w:rsidR="006E4091" w:rsidRPr="00FA3054">
        <w:rPr>
          <w:rFonts w:ascii="Book Antiqua" w:hAnsi="Book Antiqua" w:cs="Times New Roman"/>
          <w:sz w:val="24"/>
          <w:szCs w:val="24"/>
          <w:lang w:val="en-US"/>
        </w:rPr>
        <w:t xml:space="preserve">other </w:t>
      </w:r>
      <w:r w:rsidR="00380592" w:rsidRPr="00FA3054">
        <w:rPr>
          <w:rFonts w:ascii="Book Antiqua" w:hAnsi="Book Antiqua" w:cs="Times New Roman"/>
          <w:sz w:val="24"/>
          <w:szCs w:val="24"/>
          <w:lang w:val="en-US"/>
        </w:rPr>
        <w:t xml:space="preserve">clinical and tumoral </w:t>
      </w:r>
      <w:r w:rsidR="006E4091" w:rsidRPr="00FA3054">
        <w:rPr>
          <w:rFonts w:ascii="Book Antiqua" w:hAnsi="Book Antiqua" w:cs="Times New Roman"/>
          <w:sz w:val="24"/>
          <w:szCs w:val="24"/>
          <w:lang w:val="en-US"/>
        </w:rPr>
        <w:t>markers</w:t>
      </w:r>
      <w:r w:rsidRPr="00FA3054">
        <w:rPr>
          <w:rFonts w:ascii="Book Antiqua" w:hAnsi="Book Antiqua" w:cs="Times New Roman"/>
          <w:sz w:val="24"/>
          <w:szCs w:val="24"/>
          <w:lang w:val="en-US"/>
        </w:rPr>
        <w:t xml:space="preserve"> at baseline. I</w:t>
      </w:r>
      <w:r w:rsidR="00255593" w:rsidRPr="00FA3054">
        <w:rPr>
          <w:rFonts w:ascii="Book Antiqua" w:hAnsi="Book Antiqua" w:cs="Times New Roman"/>
          <w:sz w:val="24"/>
          <w:szCs w:val="24"/>
          <w:lang w:val="en-US"/>
        </w:rPr>
        <w:t xml:space="preserve">n fact, </w:t>
      </w:r>
      <w:r w:rsidR="00621AD6" w:rsidRPr="00FA3054">
        <w:rPr>
          <w:rFonts w:ascii="Book Antiqua" w:hAnsi="Book Antiqua" w:cs="Times New Roman"/>
          <w:sz w:val="24"/>
          <w:szCs w:val="24"/>
          <w:lang w:val="en-US"/>
        </w:rPr>
        <w:t xml:space="preserve">LMR </w:t>
      </w:r>
      <w:r w:rsidR="00165928" w:rsidRPr="00FA3054">
        <w:rPr>
          <w:rFonts w:ascii="Book Antiqua" w:hAnsi="Book Antiqua" w:cs="Times New Roman"/>
          <w:sz w:val="24"/>
          <w:szCs w:val="24"/>
          <w:lang w:val="en-US"/>
        </w:rPr>
        <w:t>did no</w:t>
      </w:r>
      <w:r w:rsidR="0078684C" w:rsidRPr="00FA3054">
        <w:rPr>
          <w:rFonts w:ascii="Book Antiqua" w:hAnsi="Book Antiqua" w:cs="Times New Roman"/>
          <w:sz w:val="24"/>
          <w:szCs w:val="24"/>
          <w:lang w:val="en-US"/>
        </w:rPr>
        <w:t>t correlate with age (rho: -0.21</w:t>
      </w:r>
      <w:r w:rsidR="00BB7527">
        <w:rPr>
          <w:rFonts w:ascii="Book Antiqua" w:hAnsi="Book Antiqua" w:cs="Times New Roman"/>
          <w:sz w:val="24"/>
          <w:szCs w:val="24"/>
          <w:lang w:val="en-US"/>
        </w:rPr>
        <w:t xml:space="preserve">, </w:t>
      </w:r>
      <w:r w:rsidR="00BB7527" w:rsidRPr="00BB7527">
        <w:rPr>
          <w:rFonts w:ascii="Book Antiqua" w:hAnsi="Book Antiqua" w:cs="Times New Roman"/>
          <w:i/>
          <w:sz w:val="24"/>
          <w:szCs w:val="24"/>
          <w:lang w:val="en-US"/>
        </w:rPr>
        <w:t>P</w:t>
      </w:r>
      <w:r w:rsidR="00BB7527" w:rsidRPr="00FA3054">
        <w:rPr>
          <w:rFonts w:ascii="Book Antiqua" w:hAnsi="Book Antiqua" w:cs="Times New Roman"/>
          <w:sz w:val="24"/>
          <w:szCs w:val="24"/>
          <w:lang w:val="en-US"/>
        </w:rPr>
        <w:t xml:space="preserve"> </w:t>
      </w:r>
      <w:r w:rsidR="0078684C" w:rsidRPr="00FA3054">
        <w:rPr>
          <w:rFonts w:ascii="Book Antiqua" w:hAnsi="Book Antiqua" w:cs="Times New Roman"/>
          <w:sz w:val="24"/>
          <w:szCs w:val="24"/>
          <w:lang w:val="en-US"/>
        </w:rPr>
        <w:t>=</w:t>
      </w:r>
      <w:r w:rsidR="00BB7527">
        <w:rPr>
          <w:rFonts w:ascii="Book Antiqua" w:hAnsi="Book Antiqua" w:cs="Times New Roman" w:hint="eastAsia"/>
          <w:sz w:val="24"/>
          <w:szCs w:val="24"/>
          <w:lang w:val="en-US" w:eastAsia="zh-CN"/>
        </w:rPr>
        <w:t xml:space="preserve"> </w:t>
      </w:r>
      <w:r w:rsidR="0078684C" w:rsidRPr="00FA3054">
        <w:rPr>
          <w:rFonts w:ascii="Book Antiqua" w:hAnsi="Book Antiqua" w:cs="Times New Roman"/>
          <w:sz w:val="24"/>
          <w:szCs w:val="24"/>
          <w:lang w:val="en-US"/>
        </w:rPr>
        <w:t xml:space="preserve">0.34), </w:t>
      </w:r>
      <w:r w:rsidR="00135E5B" w:rsidRPr="00FA3054">
        <w:rPr>
          <w:rFonts w:ascii="Book Antiqua" w:hAnsi="Book Antiqua" w:cs="Times New Roman"/>
          <w:sz w:val="24"/>
          <w:szCs w:val="24"/>
          <w:lang w:val="en-US"/>
        </w:rPr>
        <w:t>NLR (rho</w:t>
      </w:r>
      <w:r w:rsidR="00C03255">
        <w:rPr>
          <w:rFonts w:ascii="Book Antiqua" w:hAnsi="Book Antiqua" w:cs="Times New Roman" w:hint="eastAsia"/>
          <w:sz w:val="24"/>
          <w:szCs w:val="24"/>
          <w:lang w:val="en-US" w:eastAsia="zh-CN"/>
        </w:rPr>
        <w:t xml:space="preserve"> =</w:t>
      </w:r>
      <w:r w:rsidR="00BB7527">
        <w:rPr>
          <w:rFonts w:ascii="Book Antiqua" w:hAnsi="Book Antiqua" w:cs="Times New Roman" w:hint="eastAsia"/>
          <w:sz w:val="24"/>
          <w:szCs w:val="24"/>
          <w:lang w:val="en-US" w:eastAsia="zh-CN"/>
        </w:rPr>
        <w:t xml:space="preserve"> </w:t>
      </w:r>
      <w:r w:rsidR="00135E5B" w:rsidRPr="00FA3054">
        <w:rPr>
          <w:rFonts w:ascii="Book Antiqua" w:hAnsi="Book Antiqua" w:cs="Times New Roman"/>
          <w:sz w:val="24"/>
          <w:szCs w:val="24"/>
          <w:lang w:val="en-US"/>
        </w:rPr>
        <w:t xml:space="preserve">0.27, </w:t>
      </w:r>
      <w:r w:rsidR="00BB7527" w:rsidRPr="00BB7527">
        <w:rPr>
          <w:rFonts w:ascii="Book Antiqua" w:hAnsi="Book Antiqua" w:cs="Times New Roman"/>
          <w:i/>
          <w:sz w:val="24"/>
          <w:szCs w:val="24"/>
          <w:lang w:val="en-US"/>
        </w:rPr>
        <w:t>P</w:t>
      </w:r>
      <w:r w:rsidR="00BB7527">
        <w:rPr>
          <w:rFonts w:ascii="Book Antiqua" w:hAnsi="Book Antiqua" w:cs="Times New Roman" w:hint="eastAsia"/>
          <w:sz w:val="24"/>
          <w:szCs w:val="24"/>
          <w:lang w:val="en-US" w:eastAsia="zh-CN"/>
        </w:rPr>
        <w:t xml:space="preserve"> </w:t>
      </w:r>
      <w:r w:rsidR="00135E5B" w:rsidRPr="00FA3054">
        <w:rPr>
          <w:rFonts w:ascii="Book Antiqua" w:hAnsi="Book Antiqua" w:cs="Times New Roman"/>
          <w:sz w:val="24"/>
          <w:szCs w:val="24"/>
          <w:lang w:val="en-US"/>
        </w:rPr>
        <w:t>=</w:t>
      </w:r>
      <w:r w:rsidR="00BB7527">
        <w:rPr>
          <w:rFonts w:ascii="Book Antiqua" w:hAnsi="Book Antiqua" w:cs="Times New Roman" w:hint="eastAsia"/>
          <w:sz w:val="24"/>
          <w:szCs w:val="24"/>
          <w:lang w:val="en-US" w:eastAsia="zh-CN"/>
        </w:rPr>
        <w:t xml:space="preserve"> </w:t>
      </w:r>
      <w:r w:rsidR="00135E5B" w:rsidRPr="00FA3054">
        <w:rPr>
          <w:rFonts w:ascii="Book Antiqua" w:hAnsi="Book Antiqua" w:cs="Times New Roman"/>
          <w:sz w:val="24"/>
          <w:szCs w:val="24"/>
          <w:lang w:val="en-US"/>
        </w:rPr>
        <w:t xml:space="preserve">0.10), </w:t>
      </w:r>
      <w:r w:rsidR="0078684C" w:rsidRPr="00FA3054">
        <w:rPr>
          <w:rFonts w:ascii="Book Antiqua" w:hAnsi="Book Antiqua" w:cs="Times New Roman"/>
          <w:sz w:val="24"/>
          <w:szCs w:val="24"/>
          <w:lang w:val="en-US"/>
        </w:rPr>
        <w:t>gender (</w:t>
      </w:r>
      <w:r w:rsidR="00BB7527" w:rsidRPr="00BB7527">
        <w:rPr>
          <w:rFonts w:ascii="Book Antiqua" w:hAnsi="Book Antiqua" w:cs="Times New Roman"/>
          <w:i/>
          <w:sz w:val="24"/>
          <w:szCs w:val="24"/>
          <w:lang w:val="en-US"/>
        </w:rPr>
        <w:t>P</w:t>
      </w:r>
      <w:r w:rsidR="00BB7527" w:rsidRPr="00FA3054">
        <w:rPr>
          <w:rFonts w:ascii="Book Antiqua" w:hAnsi="Book Antiqua" w:cs="Times New Roman"/>
          <w:sz w:val="24"/>
          <w:szCs w:val="24"/>
          <w:lang w:val="en-US"/>
        </w:rPr>
        <w:t xml:space="preserve"> </w:t>
      </w:r>
      <w:r w:rsidR="0078684C" w:rsidRPr="00FA3054">
        <w:rPr>
          <w:rFonts w:ascii="Book Antiqua" w:hAnsi="Book Antiqua" w:cs="Times New Roman"/>
          <w:sz w:val="24"/>
          <w:szCs w:val="24"/>
          <w:lang w:val="en-US"/>
        </w:rPr>
        <w:t>=</w:t>
      </w:r>
      <w:r w:rsidR="00BB7527">
        <w:rPr>
          <w:rFonts w:ascii="Book Antiqua" w:hAnsi="Book Antiqua" w:cs="Times New Roman" w:hint="eastAsia"/>
          <w:sz w:val="24"/>
          <w:szCs w:val="24"/>
          <w:lang w:val="en-US" w:eastAsia="zh-CN"/>
        </w:rPr>
        <w:t xml:space="preserve"> </w:t>
      </w:r>
      <w:r w:rsidR="0078684C" w:rsidRPr="00FA3054">
        <w:rPr>
          <w:rFonts w:ascii="Book Antiqua" w:hAnsi="Book Antiqua" w:cs="Times New Roman"/>
          <w:sz w:val="24"/>
          <w:szCs w:val="24"/>
          <w:lang w:val="en-US"/>
        </w:rPr>
        <w:t>0.49</w:t>
      </w:r>
      <w:r w:rsidR="00165928" w:rsidRPr="00FA3054">
        <w:rPr>
          <w:rFonts w:ascii="Book Antiqua" w:hAnsi="Book Antiqua" w:cs="Times New Roman"/>
          <w:sz w:val="24"/>
          <w:szCs w:val="24"/>
          <w:lang w:val="en-US"/>
        </w:rPr>
        <w:t>), CEA (rho</w:t>
      </w:r>
      <w:r w:rsidR="00C03255">
        <w:rPr>
          <w:rFonts w:ascii="Book Antiqua" w:hAnsi="Book Antiqua" w:cs="Times New Roman" w:hint="eastAsia"/>
          <w:sz w:val="24"/>
          <w:szCs w:val="24"/>
          <w:lang w:val="en-US" w:eastAsia="zh-CN"/>
        </w:rPr>
        <w:t xml:space="preserve"> =</w:t>
      </w:r>
      <w:r w:rsidR="0078684C" w:rsidRPr="00FA3054">
        <w:rPr>
          <w:rFonts w:ascii="Book Antiqua" w:hAnsi="Book Antiqua" w:cs="Times New Roman"/>
          <w:sz w:val="24"/>
          <w:szCs w:val="24"/>
          <w:lang w:val="en-US"/>
        </w:rPr>
        <w:t xml:space="preserve"> 0.19</w:t>
      </w:r>
      <w:r w:rsidR="00165928" w:rsidRPr="00FA3054">
        <w:rPr>
          <w:rFonts w:ascii="Book Antiqua" w:hAnsi="Book Antiqua" w:cs="Times New Roman"/>
          <w:sz w:val="24"/>
          <w:szCs w:val="24"/>
          <w:lang w:val="en-US"/>
        </w:rPr>
        <w:t xml:space="preserve">, </w:t>
      </w:r>
      <w:r w:rsidR="00BB7527" w:rsidRPr="00BB7527">
        <w:rPr>
          <w:rFonts w:ascii="Book Antiqua" w:hAnsi="Book Antiqua" w:cs="Times New Roman"/>
          <w:i/>
          <w:sz w:val="24"/>
          <w:szCs w:val="24"/>
          <w:lang w:val="en-US"/>
        </w:rPr>
        <w:t>P</w:t>
      </w:r>
      <w:r w:rsidR="00BB7527" w:rsidRPr="00FA3054">
        <w:rPr>
          <w:rFonts w:ascii="Book Antiqua" w:hAnsi="Book Antiqua" w:cs="Times New Roman"/>
          <w:sz w:val="24"/>
          <w:szCs w:val="24"/>
          <w:lang w:val="en-US"/>
        </w:rPr>
        <w:t xml:space="preserve"> </w:t>
      </w:r>
      <w:r w:rsidR="00165928" w:rsidRPr="00FA3054">
        <w:rPr>
          <w:rFonts w:ascii="Book Antiqua" w:hAnsi="Book Antiqua" w:cs="Times New Roman"/>
          <w:sz w:val="24"/>
          <w:szCs w:val="24"/>
          <w:lang w:val="en-US"/>
        </w:rPr>
        <w:t>=</w:t>
      </w:r>
      <w:r w:rsidR="00BB7527">
        <w:rPr>
          <w:rFonts w:ascii="Book Antiqua" w:hAnsi="Book Antiqua" w:cs="Times New Roman" w:hint="eastAsia"/>
          <w:sz w:val="24"/>
          <w:szCs w:val="24"/>
          <w:lang w:val="en-US" w:eastAsia="zh-CN"/>
        </w:rPr>
        <w:t xml:space="preserve"> </w:t>
      </w:r>
      <w:r w:rsidR="00165928" w:rsidRPr="00FA3054">
        <w:rPr>
          <w:rFonts w:ascii="Book Antiqua" w:hAnsi="Book Antiqua" w:cs="Times New Roman"/>
          <w:sz w:val="24"/>
          <w:szCs w:val="24"/>
          <w:lang w:val="en-US"/>
        </w:rPr>
        <w:t>0.1</w:t>
      </w:r>
      <w:r w:rsidR="0078684C" w:rsidRPr="00FA3054">
        <w:rPr>
          <w:rFonts w:ascii="Book Antiqua" w:hAnsi="Book Antiqua" w:cs="Times New Roman"/>
          <w:sz w:val="24"/>
          <w:szCs w:val="24"/>
          <w:lang w:val="en-US"/>
        </w:rPr>
        <w:t>2</w:t>
      </w:r>
      <w:r w:rsidR="00165928" w:rsidRPr="00FA3054">
        <w:rPr>
          <w:rFonts w:ascii="Book Antiqua" w:hAnsi="Book Antiqua" w:cs="Times New Roman"/>
          <w:sz w:val="24"/>
          <w:szCs w:val="24"/>
          <w:lang w:val="en-US"/>
        </w:rPr>
        <w:t>),</w:t>
      </w:r>
      <w:r w:rsidR="00BB7527">
        <w:rPr>
          <w:rFonts w:ascii="Book Antiqua" w:hAnsi="Book Antiqua" w:cs="Times New Roman"/>
          <w:sz w:val="24"/>
          <w:szCs w:val="24"/>
          <w:lang w:val="en-US"/>
        </w:rPr>
        <w:t xml:space="preserve"> </w:t>
      </w:r>
      <w:r w:rsidR="0078684C" w:rsidRPr="00FA3054">
        <w:rPr>
          <w:rFonts w:ascii="Book Antiqua" w:hAnsi="Book Antiqua" w:cs="Times New Roman"/>
          <w:sz w:val="24"/>
          <w:szCs w:val="24"/>
          <w:lang w:val="en-US"/>
        </w:rPr>
        <w:t>max nodule diameter (rho</w:t>
      </w:r>
      <w:r w:rsidR="00C03255">
        <w:rPr>
          <w:rFonts w:ascii="Book Antiqua" w:hAnsi="Book Antiqua" w:cs="Times New Roman" w:hint="eastAsia"/>
          <w:sz w:val="24"/>
          <w:szCs w:val="24"/>
          <w:lang w:val="en-US" w:eastAsia="zh-CN"/>
        </w:rPr>
        <w:t xml:space="preserve"> =</w:t>
      </w:r>
      <w:r w:rsidR="0078684C" w:rsidRPr="00FA3054">
        <w:rPr>
          <w:rFonts w:ascii="Book Antiqua" w:hAnsi="Book Antiqua" w:cs="Times New Roman"/>
          <w:sz w:val="24"/>
          <w:szCs w:val="24"/>
          <w:lang w:val="en-US"/>
        </w:rPr>
        <w:t xml:space="preserve"> 0.12, </w:t>
      </w:r>
      <w:r w:rsidR="00BB7527" w:rsidRPr="00BB7527">
        <w:rPr>
          <w:rFonts w:ascii="Book Antiqua" w:hAnsi="Book Antiqua" w:cs="Times New Roman"/>
          <w:i/>
          <w:sz w:val="24"/>
          <w:szCs w:val="24"/>
          <w:lang w:val="en-US"/>
        </w:rPr>
        <w:t>P</w:t>
      </w:r>
      <w:r w:rsidR="00BB7527" w:rsidRPr="00FA3054">
        <w:rPr>
          <w:rFonts w:ascii="Book Antiqua" w:hAnsi="Book Antiqua" w:cs="Times New Roman"/>
          <w:sz w:val="24"/>
          <w:szCs w:val="24"/>
          <w:lang w:val="en-US"/>
        </w:rPr>
        <w:t xml:space="preserve"> </w:t>
      </w:r>
      <w:r w:rsidR="0078684C" w:rsidRPr="00FA3054">
        <w:rPr>
          <w:rFonts w:ascii="Book Antiqua" w:hAnsi="Book Antiqua" w:cs="Times New Roman"/>
          <w:sz w:val="24"/>
          <w:szCs w:val="24"/>
          <w:lang w:val="en-US"/>
        </w:rPr>
        <w:t>=</w:t>
      </w:r>
      <w:r w:rsidR="00BB7527">
        <w:rPr>
          <w:rFonts w:ascii="Book Antiqua" w:hAnsi="Book Antiqua" w:cs="Times New Roman" w:hint="eastAsia"/>
          <w:sz w:val="24"/>
          <w:szCs w:val="24"/>
          <w:lang w:val="en-US" w:eastAsia="zh-CN"/>
        </w:rPr>
        <w:t xml:space="preserve"> </w:t>
      </w:r>
      <w:r w:rsidR="0078684C" w:rsidRPr="00FA3054">
        <w:rPr>
          <w:rFonts w:ascii="Book Antiqua" w:hAnsi="Book Antiqua" w:cs="Times New Roman"/>
          <w:sz w:val="24"/>
          <w:szCs w:val="24"/>
          <w:lang w:val="en-US"/>
        </w:rPr>
        <w:t>0.31</w:t>
      </w:r>
      <w:r w:rsidR="00165928" w:rsidRPr="00FA3054">
        <w:rPr>
          <w:rFonts w:ascii="Book Antiqua" w:hAnsi="Book Antiqua" w:cs="Times New Roman"/>
          <w:sz w:val="24"/>
          <w:szCs w:val="24"/>
          <w:lang w:val="en-US"/>
        </w:rPr>
        <w:t xml:space="preserve">), timing </w:t>
      </w:r>
      <w:r w:rsidR="0078684C" w:rsidRPr="00FA3054">
        <w:rPr>
          <w:rFonts w:ascii="Book Antiqua" w:hAnsi="Book Antiqua" w:cs="Times New Roman"/>
          <w:sz w:val="24"/>
          <w:szCs w:val="24"/>
          <w:lang w:val="en-US"/>
        </w:rPr>
        <w:t>of metastases occurrence (</w:t>
      </w:r>
      <w:r w:rsidR="00BB7527" w:rsidRPr="00BB7527">
        <w:rPr>
          <w:rFonts w:ascii="Book Antiqua" w:hAnsi="Book Antiqua" w:cs="Times New Roman"/>
          <w:i/>
          <w:sz w:val="24"/>
          <w:szCs w:val="24"/>
          <w:lang w:val="en-US"/>
        </w:rPr>
        <w:t>P</w:t>
      </w:r>
      <w:r w:rsidR="00BB7527" w:rsidRPr="00FA3054">
        <w:rPr>
          <w:rFonts w:ascii="Book Antiqua" w:hAnsi="Book Antiqua" w:cs="Times New Roman"/>
          <w:sz w:val="24"/>
          <w:szCs w:val="24"/>
          <w:lang w:val="en-US"/>
        </w:rPr>
        <w:t xml:space="preserve"> </w:t>
      </w:r>
      <w:r w:rsidR="0078684C" w:rsidRPr="00FA3054">
        <w:rPr>
          <w:rFonts w:ascii="Book Antiqua" w:hAnsi="Book Antiqua" w:cs="Times New Roman"/>
          <w:sz w:val="24"/>
          <w:szCs w:val="24"/>
          <w:lang w:val="en-US"/>
        </w:rPr>
        <w:t>=</w:t>
      </w:r>
      <w:r w:rsidR="00BB7527">
        <w:rPr>
          <w:rFonts w:ascii="Book Antiqua" w:hAnsi="Book Antiqua" w:cs="Times New Roman" w:hint="eastAsia"/>
          <w:sz w:val="24"/>
          <w:szCs w:val="24"/>
          <w:lang w:val="en-US" w:eastAsia="zh-CN"/>
        </w:rPr>
        <w:t xml:space="preserve"> </w:t>
      </w:r>
      <w:r w:rsidR="0078684C" w:rsidRPr="00FA3054">
        <w:rPr>
          <w:rFonts w:ascii="Book Antiqua" w:hAnsi="Book Antiqua" w:cs="Times New Roman"/>
          <w:sz w:val="24"/>
          <w:szCs w:val="24"/>
          <w:lang w:val="en-US"/>
        </w:rPr>
        <w:t>0.24</w:t>
      </w:r>
      <w:r w:rsidR="006E4091" w:rsidRPr="00FA3054">
        <w:rPr>
          <w:rFonts w:ascii="Book Antiqua" w:hAnsi="Book Antiqua" w:cs="Times New Roman"/>
          <w:sz w:val="24"/>
          <w:szCs w:val="24"/>
          <w:lang w:val="en-US"/>
        </w:rPr>
        <w:t xml:space="preserve">), </w:t>
      </w:r>
      <w:r w:rsidR="0078684C" w:rsidRPr="00FA3054">
        <w:rPr>
          <w:rFonts w:ascii="Book Antiqua" w:hAnsi="Book Antiqua" w:cs="Times New Roman"/>
          <w:sz w:val="24"/>
          <w:szCs w:val="24"/>
          <w:lang w:val="en-US"/>
        </w:rPr>
        <w:t>and performance status (</w:t>
      </w:r>
      <w:r w:rsidR="00BB7527" w:rsidRPr="00BB7527">
        <w:rPr>
          <w:rFonts w:ascii="Book Antiqua" w:hAnsi="Book Antiqua" w:cs="Times New Roman"/>
          <w:i/>
          <w:sz w:val="24"/>
          <w:szCs w:val="24"/>
          <w:lang w:val="en-US"/>
        </w:rPr>
        <w:t>P</w:t>
      </w:r>
      <w:r w:rsidR="00BB7527" w:rsidRPr="00FA3054">
        <w:rPr>
          <w:rFonts w:ascii="Book Antiqua" w:hAnsi="Book Antiqua" w:cs="Times New Roman"/>
          <w:sz w:val="24"/>
          <w:szCs w:val="24"/>
          <w:lang w:val="en-US"/>
        </w:rPr>
        <w:t xml:space="preserve"> </w:t>
      </w:r>
      <w:r w:rsidR="0078684C" w:rsidRPr="00FA3054">
        <w:rPr>
          <w:rFonts w:ascii="Book Antiqua" w:hAnsi="Book Antiqua" w:cs="Times New Roman"/>
          <w:sz w:val="24"/>
          <w:szCs w:val="24"/>
          <w:lang w:val="en-US"/>
        </w:rPr>
        <w:t>=</w:t>
      </w:r>
      <w:r w:rsidR="00BB7527">
        <w:rPr>
          <w:rFonts w:ascii="Book Antiqua" w:hAnsi="Book Antiqua" w:cs="Times New Roman" w:hint="eastAsia"/>
          <w:sz w:val="24"/>
          <w:szCs w:val="24"/>
          <w:lang w:val="en-US" w:eastAsia="zh-CN"/>
        </w:rPr>
        <w:t xml:space="preserve"> </w:t>
      </w:r>
      <w:r w:rsidR="0078684C" w:rsidRPr="00FA3054">
        <w:rPr>
          <w:rFonts w:ascii="Book Antiqua" w:hAnsi="Book Antiqua" w:cs="Times New Roman"/>
          <w:sz w:val="24"/>
          <w:szCs w:val="24"/>
          <w:lang w:val="en-US"/>
        </w:rPr>
        <w:t>0.62</w:t>
      </w:r>
      <w:r w:rsidR="00165928" w:rsidRPr="00FA3054">
        <w:rPr>
          <w:rFonts w:ascii="Book Antiqua" w:hAnsi="Book Antiqua" w:cs="Times New Roman"/>
          <w:sz w:val="24"/>
          <w:szCs w:val="24"/>
          <w:lang w:val="en-US"/>
        </w:rPr>
        <w:t>).</w:t>
      </w:r>
    </w:p>
    <w:p w:rsidR="002611C6" w:rsidRPr="00FA3054" w:rsidRDefault="002611C6" w:rsidP="00BB7527">
      <w:pPr>
        <w:spacing w:after="0" w:line="360" w:lineRule="auto"/>
        <w:jc w:val="both"/>
        <w:rPr>
          <w:rFonts w:ascii="Book Antiqua" w:hAnsi="Book Antiqua" w:cs="Times New Roman"/>
          <w:sz w:val="24"/>
          <w:szCs w:val="24"/>
          <w:lang w:val="en-US"/>
        </w:rPr>
      </w:pPr>
    </w:p>
    <w:p w:rsidR="00A45C54" w:rsidRPr="00BB7527" w:rsidRDefault="00A45C54" w:rsidP="00BB7527">
      <w:pPr>
        <w:spacing w:after="0" w:line="360" w:lineRule="auto"/>
        <w:jc w:val="both"/>
        <w:rPr>
          <w:rFonts w:ascii="Book Antiqua" w:hAnsi="Book Antiqua" w:cs="Times New Roman"/>
          <w:b/>
          <w:i/>
          <w:sz w:val="24"/>
          <w:szCs w:val="24"/>
          <w:lang w:val="en-US"/>
        </w:rPr>
      </w:pPr>
      <w:r w:rsidRPr="00BB7527">
        <w:rPr>
          <w:rFonts w:ascii="Book Antiqua" w:hAnsi="Book Antiqua" w:cs="Times New Roman"/>
          <w:b/>
          <w:i/>
          <w:sz w:val="24"/>
          <w:szCs w:val="24"/>
          <w:lang w:val="en-US"/>
        </w:rPr>
        <w:t>Tumor response and safety data</w:t>
      </w:r>
    </w:p>
    <w:p w:rsidR="004D06BD" w:rsidRPr="00FA3054" w:rsidRDefault="003F0512" w:rsidP="00BB7527">
      <w:pPr>
        <w:spacing w:after="0" w:line="360" w:lineRule="auto"/>
        <w:jc w:val="both"/>
        <w:rPr>
          <w:rFonts w:ascii="Book Antiqua" w:hAnsi="Book Antiqua" w:cs="Times New Roman"/>
          <w:sz w:val="24"/>
          <w:szCs w:val="24"/>
          <w:lang w:val="en-US"/>
        </w:rPr>
      </w:pPr>
      <w:r w:rsidRPr="00FA3054">
        <w:rPr>
          <w:rFonts w:ascii="Book Antiqua" w:hAnsi="Book Antiqua" w:cs="Times New Roman"/>
          <w:sz w:val="24"/>
          <w:szCs w:val="24"/>
          <w:lang w:val="en-US"/>
        </w:rPr>
        <w:t>Out of 127</w:t>
      </w:r>
      <w:r w:rsidR="004D06BD" w:rsidRPr="00FA3054">
        <w:rPr>
          <w:rFonts w:ascii="Book Antiqua" w:hAnsi="Book Antiqua" w:cs="Times New Roman"/>
          <w:sz w:val="24"/>
          <w:szCs w:val="24"/>
          <w:lang w:val="en-US"/>
        </w:rPr>
        <w:t xml:space="preserve"> treated pa</w:t>
      </w:r>
      <w:r w:rsidRPr="00FA3054">
        <w:rPr>
          <w:rFonts w:ascii="Book Antiqua" w:hAnsi="Book Antiqua" w:cs="Times New Roman"/>
          <w:sz w:val="24"/>
          <w:szCs w:val="24"/>
          <w:lang w:val="en-US"/>
        </w:rPr>
        <w:t>tients, 115</w:t>
      </w:r>
      <w:r w:rsidR="004D06BD" w:rsidRPr="00FA3054">
        <w:rPr>
          <w:rFonts w:ascii="Book Antiqua" w:hAnsi="Book Antiqua" w:cs="Times New Roman"/>
          <w:sz w:val="24"/>
          <w:szCs w:val="24"/>
          <w:lang w:val="en-US"/>
        </w:rPr>
        <w:t xml:space="preserve"> reached the complete</w:t>
      </w:r>
      <w:r w:rsidR="00A45C54" w:rsidRPr="00FA3054">
        <w:rPr>
          <w:rFonts w:ascii="Book Antiqua" w:hAnsi="Book Antiqua" w:cs="Times New Roman"/>
          <w:sz w:val="24"/>
          <w:szCs w:val="24"/>
          <w:lang w:val="en-US"/>
        </w:rPr>
        <w:t xml:space="preserve"> resp</w:t>
      </w:r>
      <w:r w:rsidRPr="00FA3054">
        <w:rPr>
          <w:rFonts w:ascii="Book Antiqua" w:hAnsi="Book Antiqua" w:cs="Times New Roman"/>
          <w:sz w:val="24"/>
          <w:szCs w:val="24"/>
          <w:lang w:val="en-US"/>
        </w:rPr>
        <w:t>onse (90.5</w:t>
      </w:r>
      <w:r w:rsidR="00A45C54" w:rsidRPr="00FA3054">
        <w:rPr>
          <w:rFonts w:ascii="Book Antiqua" w:hAnsi="Book Antiqua" w:cs="Times New Roman"/>
          <w:sz w:val="24"/>
          <w:szCs w:val="24"/>
          <w:lang w:val="en-US"/>
        </w:rPr>
        <w:t>%)</w:t>
      </w:r>
      <w:r w:rsidR="004D06BD" w:rsidRPr="00FA3054">
        <w:rPr>
          <w:rFonts w:ascii="Book Antiqua" w:hAnsi="Book Antiqua" w:cs="Times New Roman"/>
          <w:sz w:val="24"/>
          <w:szCs w:val="24"/>
          <w:lang w:val="en-US"/>
        </w:rPr>
        <w:t xml:space="preserve"> after the first RFA and the remaining </w:t>
      </w:r>
      <w:r w:rsidR="003D61B4" w:rsidRPr="00FA3054">
        <w:rPr>
          <w:rFonts w:ascii="Book Antiqua" w:hAnsi="Book Antiqua" w:cs="Times New Roman"/>
          <w:sz w:val="24"/>
          <w:szCs w:val="24"/>
          <w:lang w:val="en-US"/>
        </w:rPr>
        <w:t>1</w:t>
      </w:r>
      <w:r w:rsidRPr="00FA3054">
        <w:rPr>
          <w:rFonts w:ascii="Book Antiqua" w:hAnsi="Book Antiqua" w:cs="Times New Roman"/>
          <w:sz w:val="24"/>
          <w:szCs w:val="24"/>
          <w:lang w:val="en-US"/>
        </w:rPr>
        <w:t>2</w:t>
      </w:r>
      <w:r w:rsidR="004D06BD" w:rsidRPr="00FA3054">
        <w:rPr>
          <w:rFonts w:ascii="Book Antiqua" w:hAnsi="Book Antiqua" w:cs="Times New Roman"/>
          <w:sz w:val="24"/>
          <w:szCs w:val="24"/>
          <w:lang w:val="en-US"/>
        </w:rPr>
        <w:t xml:space="preserve"> patients needed a second procedure in order to achieve the complete tumor ablation.</w:t>
      </w:r>
    </w:p>
    <w:p w:rsidR="00A45C54" w:rsidRPr="00FA3054" w:rsidRDefault="00A45C54" w:rsidP="00BB7527">
      <w:pPr>
        <w:spacing w:after="0" w:line="360" w:lineRule="auto"/>
        <w:ind w:firstLineChars="150" w:firstLine="360"/>
        <w:jc w:val="both"/>
        <w:rPr>
          <w:rFonts w:ascii="Book Antiqua" w:hAnsi="Book Antiqua" w:cs="Times New Roman"/>
          <w:sz w:val="24"/>
          <w:szCs w:val="24"/>
          <w:lang w:val="en-US"/>
        </w:rPr>
      </w:pPr>
      <w:r w:rsidRPr="00FA3054">
        <w:rPr>
          <w:rFonts w:ascii="Book Antiqua" w:hAnsi="Book Antiqua" w:cs="Times New Roman"/>
          <w:sz w:val="24"/>
          <w:szCs w:val="24"/>
          <w:lang w:val="en-US"/>
        </w:rPr>
        <w:t>Mean number of RFA sessions needed to achiev</w:t>
      </w:r>
      <w:r w:rsidR="003E258A" w:rsidRPr="00FA3054">
        <w:rPr>
          <w:rFonts w:ascii="Book Antiqua" w:hAnsi="Book Antiqua" w:cs="Times New Roman"/>
          <w:sz w:val="24"/>
          <w:szCs w:val="24"/>
          <w:lang w:val="en-US"/>
        </w:rPr>
        <w:t xml:space="preserve">e the </w:t>
      </w:r>
      <w:r w:rsidR="00472FA8" w:rsidRPr="00FA3054">
        <w:rPr>
          <w:rFonts w:ascii="Book Antiqua" w:hAnsi="Book Antiqua" w:cs="Times New Roman"/>
          <w:sz w:val="24"/>
          <w:szCs w:val="24"/>
          <w:lang w:val="en-US"/>
        </w:rPr>
        <w:t>complete ablation</w:t>
      </w:r>
      <w:r w:rsidR="00BB7527">
        <w:rPr>
          <w:rFonts w:ascii="Book Antiqua" w:hAnsi="Book Antiqua" w:cs="Times New Roman"/>
          <w:sz w:val="24"/>
          <w:szCs w:val="24"/>
          <w:lang w:val="en-US"/>
        </w:rPr>
        <w:t xml:space="preserve"> was 1.09 </w:t>
      </w:r>
      <w:r w:rsidR="00D11877" w:rsidRPr="00FA3054">
        <w:rPr>
          <w:rFonts w:ascii="Book Antiqua" w:hAnsi="Book Antiqua" w:cs="Times New Roman"/>
          <w:sz w:val="24"/>
          <w:szCs w:val="24"/>
          <w:lang w:val="en-US"/>
        </w:rPr>
        <w:t>± 0.23</w:t>
      </w:r>
      <w:r w:rsidR="00BB7527">
        <w:rPr>
          <w:rFonts w:ascii="Book Antiqua" w:hAnsi="Book Antiqua" w:cs="Times New Roman" w:hint="eastAsia"/>
          <w:sz w:val="24"/>
          <w:szCs w:val="24"/>
          <w:lang w:val="en-US" w:eastAsia="zh-CN"/>
        </w:rPr>
        <w:t xml:space="preserve"> </w:t>
      </w:r>
      <w:r w:rsidRPr="00FA3054">
        <w:rPr>
          <w:rFonts w:ascii="Book Antiqua" w:hAnsi="Book Antiqua" w:cs="Times New Roman"/>
          <w:sz w:val="24"/>
          <w:szCs w:val="24"/>
          <w:lang w:val="en-US"/>
        </w:rPr>
        <w:t>with a median ti</w:t>
      </w:r>
      <w:r w:rsidR="00BB7527">
        <w:rPr>
          <w:rFonts w:ascii="Book Antiqua" w:hAnsi="Book Antiqua" w:cs="Times New Roman"/>
          <w:sz w:val="24"/>
          <w:szCs w:val="24"/>
          <w:lang w:val="en-US"/>
        </w:rPr>
        <w:t>me to response of 3 months (95%</w:t>
      </w:r>
      <w:r w:rsidRPr="00FA3054">
        <w:rPr>
          <w:rFonts w:ascii="Book Antiqua" w:hAnsi="Book Antiqua" w:cs="Times New Roman"/>
          <w:sz w:val="24"/>
          <w:szCs w:val="24"/>
          <w:lang w:val="en-US"/>
        </w:rPr>
        <w:t>CI</w:t>
      </w:r>
      <w:r w:rsidR="00BB7527">
        <w:rPr>
          <w:rFonts w:ascii="Book Antiqua" w:hAnsi="Book Antiqua" w:cs="Times New Roman" w:hint="eastAsia"/>
          <w:sz w:val="24"/>
          <w:szCs w:val="24"/>
          <w:lang w:val="en-US" w:eastAsia="zh-CN"/>
        </w:rPr>
        <w:t>:</w:t>
      </w:r>
      <w:r w:rsidRPr="00FA3054">
        <w:rPr>
          <w:rFonts w:ascii="Book Antiqua" w:hAnsi="Book Antiqua" w:cs="Times New Roman"/>
          <w:sz w:val="24"/>
          <w:szCs w:val="24"/>
          <w:lang w:val="en-US"/>
        </w:rPr>
        <w:t xml:space="preserve"> 2-4). </w:t>
      </w:r>
      <w:r w:rsidRPr="00FA3054">
        <w:rPr>
          <w:rFonts w:ascii="Book Antiqua" w:hAnsi="Book Antiqua" w:cs="Times New Roman"/>
          <w:sz w:val="24"/>
          <w:szCs w:val="24"/>
          <w:lang w:val="en-US"/>
        </w:rPr>
        <w:tab/>
      </w:r>
    </w:p>
    <w:p w:rsidR="00385AB3" w:rsidRPr="00FA3054" w:rsidRDefault="00A45C54" w:rsidP="00BB7527">
      <w:pPr>
        <w:spacing w:after="0" w:line="360" w:lineRule="auto"/>
        <w:ind w:firstLineChars="150" w:firstLine="360"/>
        <w:jc w:val="both"/>
        <w:rPr>
          <w:rFonts w:ascii="Book Antiqua" w:hAnsi="Book Antiqua" w:cs="Times New Roman"/>
          <w:sz w:val="24"/>
          <w:szCs w:val="24"/>
          <w:lang w:val="en-US"/>
        </w:rPr>
      </w:pPr>
      <w:r w:rsidRPr="00FA3054">
        <w:rPr>
          <w:rFonts w:ascii="Book Antiqua" w:hAnsi="Book Antiqua" w:cs="Times New Roman"/>
          <w:sz w:val="24"/>
          <w:szCs w:val="24"/>
          <w:lang w:val="en-US"/>
        </w:rPr>
        <w:t xml:space="preserve">No treatment-related deaths </w:t>
      </w:r>
      <w:r w:rsidR="002A3363" w:rsidRPr="00FA3054">
        <w:rPr>
          <w:rFonts w:ascii="Book Antiqua" w:hAnsi="Book Antiqua" w:cs="Times New Roman"/>
          <w:sz w:val="24"/>
          <w:szCs w:val="24"/>
          <w:lang w:val="en-US"/>
        </w:rPr>
        <w:t xml:space="preserve">nor severe adverse events were observed. </w:t>
      </w:r>
    </w:p>
    <w:p w:rsidR="002A3363" w:rsidRPr="00FA3054" w:rsidRDefault="002A3363" w:rsidP="00BB7527">
      <w:pPr>
        <w:spacing w:after="0" w:line="360" w:lineRule="auto"/>
        <w:jc w:val="both"/>
        <w:rPr>
          <w:rFonts w:ascii="Book Antiqua" w:hAnsi="Book Antiqua" w:cs="Times New Roman"/>
          <w:i/>
          <w:sz w:val="24"/>
          <w:szCs w:val="24"/>
          <w:lang w:val="en-US"/>
        </w:rPr>
      </w:pPr>
    </w:p>
    <w:p w:rsidR="004B38AB" w:rsidRPr="00BB7527" w:rsidRDefault="004B38AB" w:rsidP="00BB7527">
      <w:pPr>
        <w:spacing w:after="0" w:line="360" w:lineRule="auto"/>
        <w:jc w:val="both"/>
        <w:rPr>
          <w:rFonts w:ascii="Book Antiqua" w:hAnsi="Book Antiqua" w:cs="Times New Roman"/>
          <w:b/>
          <w:i/>
          <w:sz w:val="24"/>
          <w:szCs w:val="24"/>
          <w:lang w:val="en-US"/>
        </w:rPr>
      </w:pPr>
      <w:r w:rsidRPr="00BB7527">
        <w:rPr>
          <w:rFonts w:ascii="Book Antiqua" w:hAnsi="Book Antiqua" w:cs="Times New Roman"/>
          <w:b/>
          <w:i/>
          <w:sz w:val="24"/>
          <w:szCs w:val="24"/>
          <w:lang w:val="en-US"/>
        </w:rPr>
        <w:t>Prognostic cut-off level of LMR</w:t>
      </w:r>
    </w:p>
    <w:p w:rsidR="004B38AB" w:rsidRPr="00FA3054" w:rsidRDefault="008F55AB" w:rsidP="00BB7527">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Running log-rank analysis was performed to find </w:t>
      </w:r>
      <w:r w:rsidR="004B38AB" w:rsidRPr="00FA3054">
        <w:rPr>
          <w:rFonts w:ascii="Book Antiqua" w:hAnsi="Book Antiqua" w:cs="Times New Roman"/>
          <w:sz w:val="24"/>
          <w:szCs w:val="24"/>
          <w:lang w:val="en-US"/>
        </w:rPr>
        <w:t xml:space="preserve">a reliable </w:t>
      </w:r>
      <w:r w:rsidR="00135E5B" w:rsidRPr="00FA3054">
        <w:rPr>
          <w:rFonts w:ascii="Book Antiqua" w:hAnsi="Book Antiqua" w:cs="Times New Roman"/>
          <w:sz w:val="24"/>
          <w:szCs w:val="24"/>
          <w:lang w:val="en-US"/>
        </w:rPr>
        <w:t>LMR</w:t>
      </w:r>
      <w:r w:rsidR="004B38AB" w:rsidRPr="00FA3054">
        <w:rPr>
          <w:rFonts w:ascii="Book Antiqua" w:hAnsi="Book Antiqua" w:cs="Times New Roman"/>
          <w:sz w:val="24"/>
          <w:szCs w:val="24"/>
          <w:lang w:val="en-US"/>
        </w:rPr>
        <w:t xml:space="preserve"> cut-off value able</w:t>
      </w:r>
      <w:r>
        <w:rPr>
          <w:rFonts w:ascii="Book Antiqua" w:hAnsi="Book Antiqua" w:cs="Times New Roman"/>
          <w:sz w:val="24"/>
          <w:szCs w:val="24"/>
          <w:lang w:val="en-US"/>
        </w:rPr>
        <w:t xml:space="preserve"> to predict OS</w:t>
      </w:r>
      <w:r w:rsidR="00B64696">
        <w:rPr>
          <w:rFonts w:ascii="Book Antiqua" w:hAnsi="Book Antiqua" w:cs="Times New Roman"/>
          <w:sz w:val="24"/>
          <w:szCs w:val="24"/>
          <w:lang w:val="en-US"/>
        </w:rPr>
        <w:t xml:space="preserve"> as described </w:t>
      </w:r>
      <w:r w:rsidR="004B38AB" w:rsidRPr="00FA3054">
        <w:rPr>
          <w:rFonts w:ascii="Book Antiqua" w:hAnsi="Book Antiqua" w:cs="Times New Roman"/>
          <w:sz w:val="24"/>
          <w:szCs w:val="24"/>
          <w:lang w:val="en-US"/>
        </w:rPr>
        <w:t>in Figure 1.</w:t>
      </w:r>
    </w:p>
    <w:p w:rsidR="003D4722" w:rsidRPr="00FA3054" w:rsidRDefault="004B38AB" w:rsidP="00BB7527">
      <w:pPr>
        <w:spacing w:after="0" w:line="360" w:lineRule="auto"/>
        <w:ind w:firstLineChars="150" w:firstLine="360"/>
        <w:jc w:val="both"/>
        <w:rPr>
          <w:rFonts w:ascii="Book Antiqua" w:hAnsi="Book Antiqua" w:cs="Times New Roman"/>
          <w:sz w:val="24"/>
          <w:szCs w:val="24"/>
          <w:lang w:val="en-US"/>
        </w:rPr>
      </w:pPr>
      <w:r w:rsidRPr="00FA3054">
        <w:rPr>
          <w:rFonts w:ascii="Book Antiqua" w:hAnsi="Book Antiqua" w:cs="Times New Roman"/>
          <w:sz w:val="24"/>
          <w:szCs w:val="24"/>
          <w:lang w:val="en-US"/>
        </w:rPr>
        <w:t>The most s</w:t>
      </w:r>
      <w:r w:rsidR="00B67FB5" w:rsidRPr="00FA3054">
        <w:rPr>
          <w:rFonts w:ascii="Book Antiqua" w:hAnsi="Book Antiqua" w:cs="Times New Roman"/>
          <w:sz w:val="24"/>
          <w:szCs w:val="24"/>
          <w:lang w:val="en-US"/>
        </w:rPr>
        <w:t>ignificant cut-off value was 3.96%</w:t>
      </w:r>
      <w:r w:rsidRPr="00FA3054">
        <w:rPr>
          <w:rFonts w:ascii="Book Antiqua" w:hAnsi="Book Antiqua" w:cs="Times New Roman"/>
          <w:sz w:val="24"/>
          <w:szCs w:val="24"/>
          <w:lang w:val="en-US"/>
        </w:rPr>
        <w:t>. Stratifying the study population by this cut-</w:t>
      </w:r>
      <w:r w:rsidR="00D952FD" w:rsidRPr="00FA3054">
        <w:rPr>
          <w:rFonts w:ascii="Book Antiqua" w:hAnsi="Book Antiqua" w:cs="Times New Roman"/>
          <w:sz w:val="24"/>
          <w:szCs w:val="24"/>
          <w:lang w:val="en-US"/>
        </w:rPr>
        <w:t xml:space="preserve">off point, median OS resulted </w:t>
      </w:r>
      <w:r w:rsidR="00DD4EBC" w:rsidRPr="00FA3054">
        <w:rPr>
          <w:rFonts w:ascii="Book Antiqua" w:hAnsi="Book Antiqua" w:cs="Times New Roman"/>
          <w:sz w:val="24"/>
          <w:szCs w:val="24"/>
          <w:lang w:val="en-US"/>
        </w:rPr>
        <w:t>55</w:t>
      </w:r>
      <w:r w:rsidR="00D952FD" w:rsidRPr="00FA3054">
        <w:rPr>
          <w:rFonts w:ascii="Book Antiqua" w:hAnsi="Book Antiqua" w:cs="Times New Roman"/>
          <w:sz w:val="24"/>
          <w:szCs w:val="24"/>
          <w:lang w:val="en-US"/>
        </w:rPr>
        <w:t xml:space="preserve"> </w:t>
      </w:r>
      <w:r w:rsidR="00BB7527">
        <w:rPr>
          <w:rFonts w:ascii="Book Antiqua" w:hAnsi="Book Antiqua" w:cs="Times New Roman" w:hint="eastAsia"/>
          <w:sz w:val="24"/>
          <w:szCs w:val="24"/>
          <w:lang w:val="en-US" w:eastAsia="zh-CN"/>
        </w:rPr>
        <w:t>mo</w:t>
      </w:r>
      <w:r w:rsidR="00D952FD" w:rsidRPr="00FA3054">
        <w:rPr>
          <w:rFonts w:ascii="Book Antiqua" w:hAnsi="Book Antiqua" w:cs="Times New Roman"/>
          <w:sz w:val="24"/>
          <w:szCs w:val="24"/>
          <w:lang w:val="en-US"/>
        </w:rPr>
        <w:t xml:space="preserve"> (</w:t>
      </w:r>
      <w:r w:rsidR="00DD4EBC" w:rsidRPr="00FA3054">
        <w:rPr>
          <w:rFonts w:ascii="Book Antiqua" w:hAnsi="Book Antiqua" w:cs="Times New Roman"/>
          <w:sz w:val="24"/>
          <w:szCs w:val="24"/>
          <w:lang w:val="en-US"/>
        </w:rPr>
        <w:t>37-69</w:t>
      </w:r>
      <w:r w:rsidR="00D952FD" w:rsidRPr="00FA3054">
        <w:rPr>
          <w:rFonts w:ascii="Book Antiqua" w:hAnsi="Book Antiqua" w:cs="Times New Roman"/>
          <w:sz w:val="24"/>
          <w:szCs w:val="24"/>
          <w:lang w:val="en-US"/>
        </w:rPr>
        <w:t>) in patients with LMR</w:t>
      </w:r>
      <w:r w:rsidRPr="00FA3054">
        <w:rPr>
          <w:rFonts w:ascii="Book Antiqua" w:hAnsi="Book Antiqua" w:cs="Times New Roman"/>
          <w:sz w:val="24"/>
          <w:szCs w:val="24"/>
          <w:lang w:val="en-US"/>
        </w:rPr>
        <w:t xml:space="preserve"> </w:t>
      </w:r>
      <w:r w:rsidR="00D952FD" w:rsidRPr="00FA3054">
        <w:rPr>
          <w:rFonts w:ascii="Book Antiqua" w:hAnsi="Book Antiqua" w:cs="Times New Roman"/>
          <w:sz w:val="24"/>
          <w:szCs w:val="24"/>
          <w:lang w:val="en-US"/>
        </w:rPr>
        <w:t>&gt; 3.96 % and 3</w:t>
      </w:r>
      <w:r w:rsidR="00DD4EBC" w:rsidRPr="00FA3054">
        <w:rPr>
          <w:rFonts w:ascii="Book Antiqua" w:hAnsi="Book Antiqua" w:cs="Times New Roman"/>
          <w:sz w:val="24"/>
          <w:szCs w:val="24"/>
          <w:lang w:val="en-US"/>
        </w:rPr>
        <w:t>4 (26</w:t>
      </w:r>
      <w:r w:rsidR="00D952FD" w:rsidRPr="00FA3054">
        <w:rPr>
          <w:rFonts w:ascii="Book Antiqua" w:hAnsi="Book Antiqua" w:cs="Times New Roman"/>
          <w:sz w:val="24"/>
          <w:szCs w:val="24"/>
          <w:lang w:val="en-US"/>
        </w:rPr>
        <w:t>-</w:t>
      </w:r>
      <w:r w:rsidR="00DD4EBC" w:rsidRPr="00FA3054">
        <w:rPr>
          <w:rFonts w:ascii="Book Antiqua" w:hAnsi="Book Antiqua" w:cs="Times New Roman"/>
          <w:sz w:val="24"/>
          <w:szCs w:val="24"/>
          <w:lang w:val="en-US"/>
        </w:rPr>
        <w:t>39</w:t>
      </w:r>
      <w:r w:rsidR="00D952FD" w:rsidRPr="00FA3054">
        <w:rPr>
          <w:rFonts w:ascii="Book Antiqua" w:hAnsi="Book Antiqua" w:cs="Times New Roman"/>
          <w:sz w:val="24"/>
          <w:szCs w:val="24"/>
          <w:lang w:val="en-US"/>
        </w:rPr>
        <w:t xml:space="preserve">) </w:t>
      </w:r>
      <w:r w:rsidR="00BB7527">
        <w:rPr>
          <w:rFonts w:ascii="Book Antiqua" w:hAnsi="Book Antiqua" w:cs="Times New Roman" w:hint="eastAsia"/>
          <w:sz w:val="24"/>
          <w:szCs w:val="24"/>
          <w:lang w:val="en-US" w:eastAsia="zh-CN"/>
        </w:rPr>
        <w:t>mo</w:t>
      </w:r>
      <w:r w:rsidR="00D952FD" w:rsidRPr="00FA3054">
        <w:rPr>
          <w:rFonts w:ascii="Book Antiqua" w:hAnsi="Book Antiqua" w:cs="Times New Roman"/>
          <w:sz w:val="24"/>
          <w:szCs w:val="24"/>
          <w:lang w:val="en-US"/>
        </w:rPr>
        <w:t xml:space="preserve"> in patients with LMR ≤ 3.96 %</w:t>
      </w:r>
      <w:r w:rsidR="001A43B9" w:rsidRPr="00FA3054">
        <w:rPr>
          <w:rFonts w:ascii="Book Antiqua" w:hAnsi="Book Antiqua" w:cs="Times New Roman"/>
          <w:sz w:val="24"/>
          <w:szCs w:val="24"/>
          <w:lang w:val="en-US"/>
        </w:rPr>
        <w:t xml:space="preserve"> (HR</w:t>
      </w:r>
      <w:r w:rsidR="00BB7527">
        <w:rPr>
          <w:rFonts w:ascii="Book Antiqua" w:hAnsi="Book Antiqua" w:cs="Times New Roman" w:hint="eastAsia"/>
          <w:sz w:val="24"/>
          <w:szCs w:val="24"/>
          <w:lang w:val="en-US" w:eastAsia="zh-CN"/>
        </w:rPr>
        <w:t xml:space="preserve"> =</w:t>
      </w:r>
      <w:r w:rsidR="001A43B9" w:rsidRPr="00FA3054">
        <w:rPr>
          <w:rFonts w:ascii="Book Antiqua" w:hAnsi="Book Antiqua" w:cs="Times New Roman"/>
          <w:sz w:val="24"/>
          <w:szCs w:val="24"/>
          <w:lang w:val="en-US"/>
        </w:rPr>
        <w:t xml:space="preserve"> </w:t>
      </w:r>
      <w:r w:rsidR="00EB177D" w:rsidRPr="00FA3054">
        <w:rPr>
          <w:rFonts w:ascii="Book Antiqua" w:hAnsi="Book Antiqua" w:cs="Times New Roman"/>
          <w:sz w:val="24"/>
          <w:szCs w:val="24"/>
          <w:lang w:val="en-US"/>
        </w:rPr>
        <w:t>0.53, 0.34-0.85</w:t>
      </w:r>
      <w:r w:rsidR="001A43B9" w:rsidRPr="00FA3054">
        <w:rPr>
          <w:rFonts w:ascii="Book Antiqua" w:hAnsi="Book Antiqua" w:cs="Times New Roman"/>
          <w:sz w:val="24"/>
          <w:szCs w:val="24"/>
          <w:lang w:val="en-US"/>
        </w:rPr>
        <w:t xml:space="preserve">, </w:t>
      </w:r>
      <w:r w:rsidR="00BB7527" w:rsidRPr="00BB7527">
        <w:rPr>
          <w:rFonts w:ascii="Book Antiqua" w:hAnsi="Book Antiqua" w:cs="Times New Roman"/>
          <w:i/>
          <w:sz w:val="24"/>
          <w:szCs w:val="24"/>
          <w:lang w:val="en-US"/>
        </w:rPr>
        <w:t>P</w:t>
      </w:r>
      <w:r w:rsidR="00BB7527" w:rsidRPr="00FA3054">
        <w:rPr>
          <w:rFonts w:ascii="Book Antiqua" w:hAnsi="Book Antiqua" w:cs="Times New Roman"/>
          <w:sz w:val="24"/>
          <w:szCs w:val="24"/>
          <w:lang w:val="en-US"/>
        </w:rPr>
        <w:t xml:space="preserve"> </w:t>
      </w:r>
      <w:r w:rsidR="001A43B9" w:rsidRPr="00FA3054">
        <w:rPr>
          <w:rFonts w:ascii="Book Antiqua" w:hAnsi="Book Antiqua" w:cs="Times New Roman"/>
          <w:sz w:val="24"/>
          <w:szCs w:val="24"/>
          <w:lang w:val="en-US"/>
        </w:rPr>
        <w:t>=</w:t>
      </w:r>
      <w:r w:rsidR="00BB7527">
        <w:rPr>
          <w:rFonts w:ascii="Book Antiqua" w:hAnsi="Book Antiqua" w:cs="Times New Roman" w:hint="eastAsia"/>
          <w:sz w:val="24"/>
          <w:szCs w:val="24"/>
          <w:lang w:val="en-US" w:eastAsia="zh-CN"/>
        </w:rPr>
        <w:t xml:space="preserve"> </w:t>
      </w:r>
      <w:r w:rsidR="001A43B9" w:rsidRPr="00FA3054">
        <w:rPr>
          <w:rFonts w:ascii="Book Antiqua" w:hAnsi="Book Antiqua" w:cs="Times New Roman"/>
          <w:sz w:val="24"/>
          <w:szCs w:val="24"/>
          <w:lang w:val="en-US"/>
        </w:rPr>
        <w:t>0.007</w:t>
      </w:r>
      <w:r w:rsidRPr="00FA3054">
        <w:rPr>
          <w:rFonts w:ascii="Book Antiqua" w:hAnsi="Book Antiqua" w:cs="Times New Roman"/>
          <w:sz w:val="24"/>
          <w:szCs w:val="24"/>
          <w:lang w:val="en-US"/>
        </w:rPr>
        <w:t>) (Figure 2</w:t>
      </w:r>
      <w:r w:rsidR="007171FF">
        <w:rPr>
          <w:rFonts w:ascii="Book Antiqua" w:hAnsi="Book Antiqua" w:cs="Times New Roman" w:hint="eastAsia"/>
          <w:sz w:val="24"/>
          <w:szCs w:val="24"/>
          <w:lang w:val="en-US" w:eastAsia="zh-CN"/>
        </w:rPr>
        <w:t>A</w:t>
      </w:r>
      <w:r w:rsidRPr="00FA3054">
        <w:rPr>
          <w:rFonts w:ascii="Book Antiqua" w:hAnsi="Book Antiqua" w:cs="Times New Roman"/>
          <w:sz w:val="24"/>
          <w:szCs w:val="24"/>
          <w:lang w:val="en-US"/>
        </w:rPr>
        <w:t xml:space="preserve">).         </w:t>
      </w:r>
    </w:p>
    <w:p w:rsidR="004B38AB" w:rsidRPr="00FA3054" w:rsidRDefault="003D4722" w:rsidP="00BB7527">
      <w:pPr>
        <w:spacing w:after="0" w:line="360" w:lineRule="auto"/>
        <w:ind w:firstLineChars="150" w:firstLine="360"/>
        <w:jc w:val="both"/>
        <w:rPr>
          <w:rFonts w:ascii="Book Antiqua" w:hAnsi="Book Antiqua" w:cs="Times New Roman"/>
          <w:sz w:val="24"/>
          <w:szCs w:val="24"/>
          <w:lang w:val="en-US"/>
        </w:rPr>
      </w:pPr>
      <w:r w:rsidRPr="00FA3054">
        <w:rPr>
          <w:rFonts w:ascii="Book Antiqua" w:hAnsi="Book Antiqua" w:cs="Times New Roman"/>
          <w:sz w:val="24"/>
          <w:szCs w:val="24"/>
          <w:lang w:val="en-US"/>
        </w:rPr>
        <w:t>As for absolute monocyte count and NLR, the respective cut-off points used in uni/multivariate regression analysis were selected</w:t>
      </w:r>
      <w:r w:rsidR="004B38AB" w:rsidRPr="00FA3054">
        <w:rPr>
          <w:rFonts w:ascii="Book Antiqua" w:hAnsi="Book Antiqua" w:cs="Times New Roman"/>
          <w:sz w:val="24"/>
          <w:szCs w:val="24"/>
          <w:lang w:val="en-US"/>
        </w:rPr>
        <w:t xml:space="preserve"> </w:t>
      </w:r>
      <w:r w:rsidRPr="00FA3054">
        <w:rPr>
          <w:rFonts w:ascii="Book Antiqua" w:hAnsi="Book Antiqua" w:cs="Times New Roman"/>
          <w:sz w:val="24"/>
          <w:szCs w:val="24"/>
          <w:lang w:val="en-US"/>
        </w:rPr>
        <w:t xml:space="preserve">by means of Receiver Operating Characteristic (ROC) curve (data not shown). </w:t>
      </w:r>
    </w:p>
    <w:p w:rsidR="004B38AB" w:rsidRPr="00FA3054" w:rsidRDefault="004B38AB" w:rsidP="00BB7527">
      <w:pPr>
        <w:spacing w:after="0" w:line="360" w:lineRule="auto"/>
        <w:jc w:val="both"/>
        <w:rPr>
          <w:rFonts w:ascii="Book Antiqua" w:hAnsi="Book Antiqua" w:cs="Times New Roman"/>
          <w:i/>
          <w:sz w:val="24"/>
          <w:szCs w:val="24"/>
          <w:lang w:val="en-US"/>
        </w:rPr>
      </w:pPr>
    </w:p>
    <w:p w:rsidR="003571DC" w:rsidRPr="00BB7527" w:rsidRDefault="003571DC" w:rsidP="00BB7527">
      <w:pPr>
        <w:spacing w:after="0" w:line="360" w:lineRule="auto"/>
        <w:jc w:val="both"/>
        <w:rPr>
          <w:rFonts w:ascii="Book Antiqua" w:hAnsi="Book Antiqua" w:cs="Times New Roman"/>
          <w:b/>
          <w:i/>
          <w:sz w:val="24"/>
          <w:szCs w:val="24"/>
          <w:lang w:val="en-US"/>
        </w:rPr>
      </w:pPr>
      <w:r w:rsidRPr="00BB7527">
        <w:rPr>
          <w:rFonts w:ascii="Book Antiqua" w:hAnsi="Book Antiqua" w:cs="Times New Roman"/>
          <w:b/>
          <w:i/>
          <w:sz w:val="24"/>
          <w:szCs w:val="24"/>
          <w:lang w:val="en-US"/>
        </w:rPr>
        <w:t>Overall survival</w:t>
      </w:r>
    </w:p>
    <w:p w:rsidR="00BB7527" w:rsidRDefault="00D614B5" w:rsidP="00C03255">
      <w:pPr>
        <w:spacing w:after="0" w:line="360" w:lineRule="auto"/>
        <w:ind w:firstLineChars="100" w:firstLine="240"/>
        <w:jc w:val="both"/>
        <w:rPr>
          <w:rFonts w:ascii="Book Antiqua" w:hAnsi="Book Antiqua" w:cs="Times New Roman"/>
          <w:sz w:val="24"/>
          <w:szCs w:val="24"/>
          <w:lang w:val="en-US" w:eastAsia="zh-CN"/>
        </w:rPr>
      </w:pPr>
      <w:r w:rsidRPr="00BB7527">
        <w:rPr>
          <w:rFonts w:ascii="Book Antiqua" w:hAnsi="Book Antiqua" w:cs="Times New Roman"/>
          <w:sz w:val="24"/>
          <w:szCs w:val="24"/>
          <w:lang w:val="en-US"/>
        </w:rPr>
        <w:t>D</w:t>
      </w:r>
      <w:r w:rsidR="00235AA6" w:rsidRPr="00BB7527">
        <w:rPr>
          <w:rFonts w:ascii="Book Antiqua" w:hAnsi="Book Antiqua" w:cs="Times New Roman"/>
          <w:sz w:val="24"/>
          <w:szCs w:val="24"/>
          <w:lang w:val="en-US"/>
        </w:rPr>
        <w:t>uring the study follow-up, 82</w:t>
      </w:r>
      <w:r w:rsidR="003571DC" w:rsidRPr="00BB7527">
        <w:rPr>
          <w:rFonts w:ascii="Book Antiqua" w:hAnsi="Book Antiqua" w:cs="Times New Roman"/>
          <w:sz w:val="24"/>
          <w:szCs w:val="24"/>
          <w:lang w:val="en-US"/>
        </w:rPr>
        <w:t xml:space="preserve"> patients died</w:t>
      </w:r>
      <w:r w:rsidR="00BB7527" w:rsidRPr="00BB7527">
        <w:rPr>
          <w:rFonts w:ascii="Book Antiqua" w:hAnsi="Book Antiqua" w:cs="Times New Roman" w:hint="eastAsia"/>
          <w:sz w:val="24"/>
          <w:szCs w:val="24"/>
          <w:lang w:val="en-US" w:eastAsia="zh-CN"/>
        </w:rPr>
        <w:t xml:space="preserve">. </w:t>
      </w:r>
    </w:p>
    <w:p w:rsidR="003571DC" w:rsidRPr="00FA3054" w:rsidRDefault="00235AA6" w:rsidP="00BB7527">
      <w:pPr>
        <w:spacing w:after="0" w:line="360" w:lineRule="auto"/>
        <w:ind w:firstLineChars="100" w:firstLine="240"/>
        <w:jc w:val="both"/>
        <w:rPr>
          <w:rFonts w:ascii="Book Antiqua" w:hAnsi="Book Antiqua" w:cs="Times New Roman"/>
          <w:sz w:val="24"/>
          <w:szCs w:val="24"/>
          <w:lang w:val="en-US" w:eastAsia="zh-CN"/>
        </w:rPr>
      </w:pPr>
      <w:r w:rsidRPr="00FA3054">
        <w:rPr>
          <w:rFonts w:ascii="Book Antiqua" w:hAnsi="Book Antiqua" w:cs="Times New Roman"/>
          <w:sz w:val="24"/>
          <w:szCs w:val="24"/>
          <w:lang w:val="en-US"/>
        </w:rPr>
        <w:t xml:space="preserve">Median OS was 38 </w:t>
      </w:r>
      <w:r w:rsidR="00C03255">
        <w:rPr>
          <w:rFonts w:ascii="Book Antiqua" w:hAnsi="Book Antiqua" w:cs="Times New Roman" w:hint="eastAsia"/>
          <w:sz w:val="24"/>
          <w:szCs w:val="24"/>
          <w:lang w:val="en-US" w:eastAsia="zh-CN"/>
        </w:rPr>
        <w:t>mo</w:t>
      </w:r>
      <w:r w:rsidRPr="00FA3054">
        <w:rPr>
          <w:rFonts w:ascii="Book Antiqua" w:hAnsi="Book Antiqua" w:cs="Times New Roman"/>
          <w:sz w:val="24"/>
          <w:szCs w:val="24"/>
          <w:lang w:val="en-US"/>
        </w:rPr>
        <w:t xml:space="preserve"> (34-53</w:t>
      </w:r>
      <w:r w:rsidR="00B74593" w:rsidRPr="00FA3054">
        <w:rPr>
          <w:rFonts w:ascii="Book Antiqua" w:hAnsi="Book Antiqua" w:cs="Times New Roman"/>
          <w:sz w:val="24"/>
          <w:szCs w:val="24"/>
          <w:lang w:val="en-US"/>
        </w:rPr>
        <w:t>)</w:t>
      </w:r>
      <w:r w:rsidRPr="00FA3054">
        <w:rPr>
          <w:rFonts w:ascii="Book Antiqua" w:hAnsi="Book Antiqua" w:cs="Times New Roman"/>
          <w:sz w:val="24"/>
          <w:szCs w:val="24"/>
          <w:lang w:val="en-US"/>
        </w:rPr>
        <w:t xml:space="preserve"> and survival rate (SR) was 89.4%, 40.4% and 33.3</w:t>
      </w:r>
      <w:r w:rsidR="003571DC" w:rsidRPr="00FA3054">
        <w:rPr>
          <w:rFonts w:ascii="Book Antiqua" w:hAnsi="Book Antiqua" w:cs="Times New Roman"/>
          <w:sz w:val="24"/>
          <w:szCs w:val="24"/>
          <w:lang w:val="en-US"/>
        </w:rPr>
        <w:t>% at 1, 4 and 5 years respectively in the whole cohort.</w:t>
      </w:r>
    </w:p>
    <w:p w:rsidR="003571DC" w:rsidRPr="00FA3054" w:rsidRDefault="00085A01" w:rsidP="00BB7527">
      <w:pPr>
        <w:spacing w:after="0" w:line="360" w:lineRule="auto"/>
        <w:ind w:firstLineChars="150" w:firstLine="360"/>
        <w:jc w:val="both"/>
        <w:rPr>
          <w:rFonts w:ascii="Book Antiqua" w:hAnsi="Book Antiqua" w:cs="Times New Roman"/>
          <w:sz w:val="24"/>
          <w:szCs w:val="24"/>
          <w:lang w:val="en-US"/>
        </w:rPr>
      </w:pPr>
      <w:r w:rsidRPr="00FA3054">
        <w:rPr>
          <w:rFonts w:ascii="Book Antiqua" w:hAnsi="Book Antiqua" w:cs="Times New Roman"/>
          <w:sz w:val="24"/>
          <w:szCs w:val="24"/>
          <w:lang w:val="en-US"/>
        </w:rPr>
        <w:t>NLR, LMR, CEA levels, number of nodules and</w:t>
      </w:r>
      <w:r w:rsidR="00DC4F1F" w:rsidRPr="00FA3054">
        <w:rPr>
          <w:rFonts w:ascii="Book Antiqua" w:hAnsi="Book Antiqua" w:cs="Times New Roman"/>
          <w:sz w:val="24"/>
          <w:szCs w:val="24"/>
          <w:lang w:val="en-US"/>
        </w:rPr>
        <w:t xml:space="preserve"> nodule size </w:t>
      </w:r>
      <w:r w:rsidR="003571DC" w:rsidRPr="00FA3054">
        <w:rPr>
          <w:rFonts w:ascii="Book Antiqua" w:hAnsi="Book Antiqua" w:cs="Times New Roman"/>
          <w:sz w:val="24"/>
          <w:szCs w:val="24"/>
          <w:lang w:val="en-US"/>
        </w:rPr>
        <w:t xml:space="preserve">were </w:t>
      </w:r>
      <w:r w:rsidR="00BB7527">
        <w:rPr>
          <w:rFonts w:ascii="Book Antiqua" w:hAnsi="Book Antiqua" w:cs="Times New Roman"/>
          <w:sz w:val="24"/>
          <w:szCs w:val="24"/>
          <w:lang w:val="en-US"/>
        </w:rPr>
        <w:t xml:space="preserve">found to be </w:t>
      </w:r>
      <w:r w:rsidRPr="00FA3054">
        <w:rPr>
          <w:rFonts w:ascii="Book Antiqua" w:hAnsi="Book Antiqua" w:cs="Times New Roman"/>
          <w:sz w:val="24"/>
          <w:szCs w:val="24"/>
          <w:lang w:val="en-US"/>
        </w:rPr>
        <w:t>predictors of OS in</w:t>
      </w:r>
      <w:r w:rsidR="003571DC" w:rsidRPr="00FA3054">
        <w:rPr>
          <w:rFonts w:ascii="Book Antiqua" w:hAnsi="Book Antiqua" w:cs="Times New Roman"/>
          <w:sz w:val="24"/>
          <w:szCs w:val="24"/>
          <w:lang w:val="en-US"/>
        </w:rPr>
        <w:t xml:space="preserve"> univariate analysis (Table 2). The multivariate Cox analysis restricted the</w:t>
      </w:r>
      <w:r w:rsidR="00565E78" w:rsidRPr="00FA3054">
        <w:rPr>
          <w:rFonts w:ascii="Book Antiqua" w:hAnsi="Book Antiqua" w:cs="Times New Roman"/>
          <w:sz w:val="24"/>
          <w:szCs w:val="24"/>
          <w:lang w:val="en-US"/>
        </w:rPr>
        <w:t xml:space="preserve"> significant predictors of OS</w:t>
      </w:r>
      <w:r w:rsidR="003571DC" w:rsidRPr="00FA3054">
        <w:rPr>
          <w:rFonts w:ascii="Book Antiqua" w:hAnsi="Book Antiqua" w:cs="Times New Roman"/>
          <w:sz w:val="24"/>
          <w:szCs w:val="24"/>
          <w:lang w:val="en-US"/>
        </w:rPr>
        <w:t xml:space="preserve"> to </w:t>
      </w:r>
      <w:r w:rsidR="00D47E5C" w:rsidRPr="00FA3054">
        <w:rPr>
          <w:rFonts w:ascii="Book Antiqua" w:hAnsi="Book Antiqua" w:cs="Times New Roman"/>
          <w:sz w:val="24"/>
          <w:szCs w:val="24"/>
          <w:lang w:val="en-US"/>
        </w:rPr>
        <w:t>nodule size</w:t>
      </w:r>
      <w:r w:rsidR="00327056" w:rsidRPr="00FA3054">
        <w:rPr>
          <w:rFonts w:ascii="Book Antiqua" w:hAnsi="Book Antiqua" w:cs="Times New Roman"/>
          <w:sz w:val="24"/>
          <w:szCs w:val="24"/>
          <w:lang w:val="en-US"/>
        </w:rPr>
        <w:t xml:space="preserve"> (</w:t>
      </w:r>
      <w:r w:rsidR="00BB7527" w:rsidRPr="00BB7527">
        <w:rPr>
          <w:rFonts w:ascii="Book Antiqua" w:hAnsi="Book Antiqua" w:cs="Times New Roman"/>
          <w:i/>
          <w:sz w:val="24"/>
          <w:szCs w:val="24"/>
          <w:lang w:val="en-US"/>
        </w:rPr>
        <w:t>P</w:t>
      </w:r>
      <w:r w:rsidR="00BB7527" w:rsidRPr="00FA3054">
        <w:rPr>
          <w:rFonts w:ascii="Book Antiqua" w:hAnsi="Book Antiqua" w:cs="Times New Roman"/>
          <w:sz w:val="24"/>
          <w:szCs w:val="24"/>
          <w:lang w:val="en-US"/>
        </w:rPr>
        <w:t xml:space="preserve"> </w:t>
      </w:r>
      <w:r w:rsidR="00327056" w:rsidRPr="00FA3054">
        <w:rPr>
          <w:rFonts w:ascii="Book Antiqua" w:hAnsi="Book Antiqua" w:cs="Times New Roman"/>
          <w:sz w:val="24"/>
          <w:szCs w:val="24"/>
          <w:lang w:val="en-US"/>
        </w:rPr>
        <w:t>=</w:t>
      </w:r>
      <w:r w:rsidR="00BB7527">
        <w:rPr>
          <w:rFonts w:ascii="Book Antiqua" w:hAnsi="Book Antiqua" w:cs="Times New Roman" w:hint="eastAsia"/>
          <w:sz w:val="24"/>
          <w:szCs w:val="24"/>
          <w:lang w:val="en-US" w:eastAsia="zh-CN"/>
        </w:rPr>
        <w:t xml:space="preserve"> </w:t>
      </w:r>
      <w:r w:rsidR="00327056" w:rsidRPr="00FA3054">
        <w:rPr>
          <w:rFonts w:ascii="Book Antiqua" w:hAnsi="Book Antiqua" w:cs="Times New Roman"/>
          <w:sz w:val="24"/>
          <w:szCs w:val="24"/>
          <w:lang w:val="en-US"/>
        </w:rPr>
        <w:t>0.001) and LMR (</w:t>
      </w:r>
      <w:r w:rsidR="00BB7527" w:rsidRPr="00BB7527">
        <w:rPr>
          <w:rFonts w:ascii="Book Antiqua" w:hAnsi="Book Antiqua" w:cs="Times New Roman"/>
          <w:i/>
          <w:sz w:val="24"/>
          <w:szCs w:val="24"/>
          <w:lang w:val="en-US"/>
        </w:rPr>
        <w:t>P</w:t>
      </w:r>
      <w:r w:rsidR="00BB7527" w:rsidRPr="00FA3054">
        <w:rPr>
          <w:rFonts w:ascii="Book Antiqua" w:hAnsi="Book Antiqua" w:cs="Times New Roman"/>
          <w:sz w:val="24"/>
          <w:szCs w:val="24"/>
          <w:lang w:val="en-US"/>
        </w:rPr>
        <w:t xml:space="preserve"> </w:t>
      </w:r>
      <w:r w:rsidR="00327056" w:rsidRPr="00FA3054">
        <w:rPr>
          <w:rFonts w:ascii="Book Antiqua" w:hAnsi="Book Antiqua" w:cs="Times New Roman"/>
          <w:sz w:val="24"/>
          <w:szCs w:val="24"/>
          <w:lang w:val="en-US"/>
        </w:rPr>
        <w:t>=</w:t>
      </w:r>
      <w:r w:rsidR="00BB7527">
        <w:rPr>
          <w:rFonts w:ascii="Book Antiqua" w:hAnsi="Book Antiqua" w:cs="Times New Roman" w:hint="eastAsia"/>
          <w:sz w:val="24"/>
          <w:szCs w:val="24"/>
          <w:lang w:val="en-US" w:eastAsia="zh-CN"/>
        </w:rPr>
        <w:t xml:space="preserve"> </w:t>
      </w:r>
      <w:r w:rsidR="00327056" w:rsidRPr="00FA3054">
        <w:rPr>
          <w:rFonts w:ascii="Book Antiqua" w:hAnsi="Book Antiqua" w:cs="Times New Roman"/>
          <w:sz w:val="24"/>
          <w:szCs w:val="24"/>
          <w:lang w:val="en-US"/>
        </w:rPr>
        <w:t>0.02)</w:t>
      </w:r>
      <w:r w:rsidR="00C41C19" w:rsidRPr="00FA3054">
        <w:rPr>
          <w:rFonts w:ascii="Book Antiqua" w:hAnsi="Book Antiqua" w:cs="Times New Roman"/>
          <w:sz w:val="24"/>
          <w:szCs w:val="24"/>
          <w:lang w:val="en-US"/>
        </w:rPr>
        <w:t xml:space="preserve"> </w:t>
      </w:r>
      <w:r w:rsidR="003571DC" w:rsidRPr="00FA3054">
        <w:rPr>
          <w:rFonts w:ascii="Book Antiqua" w:hAnsi="Book Antiqua" w:cs="Times New Roman"/>
          <w:sz w:val="24"/>
          <w:szCs w:val="24"/>
          <w:lang w:val="en-US"/>
        </w:rPr>
        <w:t xml:space="preserve">(Table 2).   </w:t>
      </w:r>
    </w:p>
    <w:p w:rsidR="00327056" w:rsidRPr="00FA3054" w:rsidRDefault="00327056" w:rsidP="00BB7527">
      <w:pPr>
        <w:spacing w:after="0" w:line="360" w:lineRule="auto"/>
        <w:jc w:val="both"/>
        <w:rPr>
          <w:rFonts w:ascii="Book Antiqua" w:hAnsi="Book Antiqua" w:cs="Times New Roman"/>
          <w:sz w:val="24"/>
          <w:szCs w:val="24"/>
          <w:lang w:val="en-US"/>
        </w:rPr>
      </w:pPr>
    </w:p>
    <w:p w:rsidR="00ED1418" w:rsidRPr="00BB7527" w:rsidRDefault="004311E3" w:rsidP="00BB7527">
      <w:pPr>
        <w:spacing w:after="0" w:line="360" w:lineRule="auto"/>
        <w:jc w:val="both"/>
        <w:rPr>
          <w:rFonts w:ascii="Book Antiqua" w:hAnsi="Book Antiqua" w:cs="Times New Roman"/>
          <w:b/>
          <w:i/>
          <w:sz w:val="24"/>
          <w:szCs w:val="24"/>
          <w:lang w:val="en-US"/>
        </w:rPr>
      </w:pPr>
      <w:r w:rsidRPr="00BB7527">
        <w:rPr>
          <w:rFonts w:ascii="Book Antiqua" w:hAnsi="Book Antiqua" w:cs="Times New Roman"/>
          <w:b/>
          <w:i/>
          <w:sz w:val="24"/>
          <w:szCs w:val="24"/>
          <w:lang w:val="en-US"/>
        </w:rPr>
        <w:t>Tumor recurrence</w:t>
      </w:r>
    </w:p>
    <w:p w:rsidR="00240104" w:rsidRPr="00FA3054" w:rsidRDefault="00240104" w:rsidP="00BB7527">
      <w:pPr>
        <w:spacing w:after="0" w:line="360" w:lineRule="auto"/>
        <w:jc w:val="both"/>
        <w:rPr>
          <w:rFonts w:ascii="Book Antiqua" w:eastAsia="Calibri" w:hAnsi="Book Antiqua" w:cs="Times New Roman"/>
          <w:sz w:val="24"/>
          <w:szCs w:val="24"/>
          <w:lang w:val="en-US"/>
        </w:rPr>
      </w:pPr>
      <w:r w:rsidRPr="00FA3054">
        <w:rPr>
          <w:rFonts w:ascii="Book Antiqua" w:eastAsia="Calibri" w:hAnsi="Book Antiqua" w:cs="Times New Roman"/>
          <w:sz w:val="24"/>
          <w:szCs w:val="24"/>
          <w:lang w:val="en-US"/>
        </w:rPr>
        <w:t>Dur</w:t>
      </w:r>
      <w:r w:rsidR="005A6E92" w:rsidRPr="00FA3054">
        <w:rPr>
          <w:rFonts w:ascii="Book Antiqua" w:eastAsia="Calibri" w:hAnsi="Book Antiqua" w:cs="Times New Roman"/>
          <w:sz w:val="24"/>
          <w:szCs w:val="24"/>
          <w:lang w:val="en-US"/>
        </w:rPr>
        <w:t>ing the study follow-up, 90</w:t>
      </w:r>
      <w:r w:rsidRPr="00FA3054">
        <w:rPr>
          <w:rFonts w:ascii="Book Antiqua" w:eastAsia="Calibri" w:hAnsi="Book Antiqua" w:cs="Times New Roman"/>
          <w:sz w:val="24"/>
          <w:szCs w:val="24"/>
          <w:lang w:val="en-US"/>
        </w:rPr>
        <w:t xml:space="preserve"> patients experienced tumor recurrence</w:t>
      </w:r>
      <w:r w:rsidR="00A26109" w:rsidRPr="00FA3054">
        <w:rPr>
          <w:rFonts w:ascii="Book Antiqua" w:eastAsia="Calibri" w:hAnsi="Book Antiqua" w:cs="Times New Roman"/>
          <w:sz w:val="24"/>
          <w:szCs w:val="24"/>
          <w:lang w:val="en-US"/>
        </w:rPr>
        <w:t xml:space="preserve">, of </w:t>
      </w:r>
      <w:r w:rsidR="00051AC9" w:rsidRPr="00FA3054">
        <w:rPr>
          <w:rFonts w:ascii="Book Antiqua" w:eastAsia="Calibri" w:hAnsi="Book Antiqua" w:cs="Times New Roman"/>
          <w:sz w:val="24"/>
          <w:szCs w:val="24"/>
          <w:lang w:val="en-US"/>
        </w:rPr>
        <w:t>which 26</w:t>
      </w:r>
      <w:r w:rsidRPr="00FA3054">
        <w:rPr>
          <w:rFonts w:ascii="Book Antiqua" w:eastAsia="Calibri" w:hAnsi="Book Antiqua" w:cs="Times New Roman"/>
          <w:sz w:val="24"/>
          <w:szCs w:val="24"/>
          <w:lang w:val="en-US"/>
        </w:rPr>
        <w:t xml:space="preserve"> </w:t>
      </w:r>
      <w:r w:rsidR="00051AC9" w:rsidRPr="00FA3054">
        <w:rPr>
          <w:rFonts w:ascii="Book Antiqua" w:eastAsia="Calibri" w:hAnsi="Book Antiqua" w:cs="Times New Roman"/>
          <w:sz w:val="24"/>
          <w:szCs w:val="24"/>
          <w:lang w:val="en-US"/>
        </w:rPr>
        <w:t>(28.8</w:t>
      </w:r>
      <w:r w:rsidRPr="00FA3054">
        <w:rPr>
          <w:rFonts w:ascii="Book Antiqua" w:eastAsia="Calibri" w:hAnsi="Book Antiqua" w:cs="Times New Roman"/>
          <w:sz w:val="24"/>
          <w:szCs w:val="24"/>
          <w:lang w:val="en-US"/>
        </w:rPr>
        <w:t>%) were local recurrences (</w:t>
      </w:r>
      <w:r w:rsidR="00FE763D" w:rsidRPr="00BB7527">
        <w:rPr>
          <w:rFonts w:ascii="Book Antiqua" w:eastAsia="Calibri" w:hAnsi="Book Antiqua" w:cs="Times New Roman"/>
          <w:i/>
          <w:sz w:val="24"/>
          <w:szCs w:val="24"/>
          <w:lang w:val="en-US"/>
        </w:rPr>
        <w:t>i.e.</w:t>
      </w:r>
      <w:r w:rsidR="00BB7527" w:rsidRPr="00BB7527">
        <w:rPr>
          <w:rFonts w:ascii="Book Antiqua" w:hAnsi="Book Antiqua" w:cs="Times New Roman" w:hint="eastAsia"/>
          <w:i/>
          <w:sz w:val="24"/>
          <w:szCs w:val="24"/>
          <w:lang w:val="en-US" w:eastAsia="zh-CN"/>
        </w:rPr>
        <w:t>,</w:t>
      </w:r>
      <w:r w:rsidR="00FE763D" w:rsidRPr="00FA3054">
        <w:rPr>
          <w:rFonts w:ascii="Book Antiqua" w:eastAsia="Calibri" w:hAnsi="Book Antiqua" w:cs="Times New Roman"/>
          <w:sz w:val="24"/>
          <w:szCs w:val="24"/>
          <w:lang w:val="en-US"/>
        </w:rPr>
        <w:t xml:space="preserve"> i</w:t>
      </w:r>
      <w:r w:rsidR="00051AC9" w:rsidRPr="00FA3054">
        <w:rPr>
          <w:rFonts w:ascii="Book Antiqua" w:eastAsia="Calibri" w:hAnsi="Book Antiqua" w:cs="Times New Roman"/>
          <w:sz w:val="24"/>
          <w:szCs w:val="24"/>
          <w:lang w:val="en-US"/>
        </w:rPr>
        <w:t>n the same liver segment) and 64 (71.2</w:t>
      </w:r>
      <w:r w:rsidRPr="00FA3054">
        <w:rPr>
          <w:rFonts w:ascii="Book Antiqua" w:eastAsia="Calibri" w:hAnsi="Book Antiqua" w:cs="Times New Roman"/>
          <w:sz w:val="24"/>
          <w:szCs w:val="24"/>
          <w:lang w:val="en-US"/>
        </w:rPr>
        <w:t xml:space="preserve">%) </w:t>
      </w:r>
      <w:r w:rsidR="00EE6069" w:rsidRPr="00FA3054">
        <w:rPr>
          <w:rFonts w:ascii="Book Antiqua" w:eastAsia="Calibri" w:hAnsi="Book Antiqua" w:cs="Times New Roman"/>
          <w:sz w:val="24"/>
          <w:szCs w:val="24"/>
          <w:lang w:val="en-US"/>
        </w:rPr>
        <w:t>new metastases</w:t>
      </w:r>
      <w:r w:rsidRPr="00FA3054">
        <w:rPr>
          <w:rFonts w:ascii="Book Antiqua" w:eastAsia="Calibri" w:hAnsi="Book Antiqua" w:cs="Times New Roman"/>
          <w:sz w:val="24"/>
          <w:szCs w:val="24"/>
          <w:lang w:val="en-US"/>
        </w:rPr>
        <w:t>. Median</w:t>
      </w:r>
      <w:r w:rsidR="00E82CA4" w:rsidRPr="00FA3054">
        <w:rPr>
          <w:rFonts w:ascii="Book Antiqua" w:eastAsia="Calibri" w:hAnsi="Book Antiqua" w:cs="Times New Roman"/>
          <w:sz w:val="24"/>
          <w:szCs w:val="24"/>
          <w:lang w:val="en-US"/>
        </w:rPr>
        <w:t xml:space="preserve"> TTR</w:t>
      </w:r>
      <w:r w:rsidR="005A6E92" w:rsidRPr="00FA3054">
        <w:rPr>
          <w:rFonts w:ascii="Book Antiqua" w:eastAsia="Calibri" w:hAnsi="Book Antiqua" w:cs="Times New Roman"/>
          <w:sz w:val="24"/>
          <w:szCs w:val="24"/>
          <w:lang w:val="en-US"/>
        </w:rPr>
        <w:t xml:space="preserve"> was 29 </w:t>
      </w:r>
      <w:r w:rsidR="00BB7527">
        <w:rPr>
          <w:rFonts w:ascii="Book Antiqua" w:hAnsi="Book Antiqua" w:cs="Times New Roman" w:hint="eastAsia"/>
          <w:sz w:val="24"/>
          <w:szCs w:val="24"/>
          <w:lang w:val="en-US" w:eastAsia="zh-CN"/>
        </w:rPr>
        <w:t>mo</w:t>
      </w:r>
      <w:r w:rsidR="005A6E92" w:rsidRPr="00FA3054">
        <w:rPr>
          <w:rFonts w:ascii="Book Antiqua" w:eastAsia="Calibri" w:hAnsi="Book Antiqua" w:cs="Times New Roman"/>
          <w:sz w:val="24"/>
          <w:szCs w:val="24"/>
          <w:lang w:val="en-US"/>
        </w:rPr>
        <w:t xml:space="preserve"> (22-35</w:t>
      </w:r>
      <w:r w:rsidRPr="00FA3054">
        <w:rPr>
          <w:rFonts w:ascii="Book Antiqua" w:eastAsia="Calibri" w:hAnsi="Book Antiqua" w:cs="Times New Roman"/>
          <w:sz w:val="24"/>
          <w:szCs w:val="24"/>
          <w:lang w:val="en-US"/>
        </w:rPr>
        <w:t>) with a recurrence-</w:t>
      </w:r>
      <w:r w:rsidR="005A6E92" w:rsidRPr="00FA3054">
        <w:rPr>
          <w:rFonts w:ascii="Book Antiqua" w:eastAsia="Calibri" w:hAnsi="Book Antiqua" w:cs="Times New Roman"/>
          <w:sz w:val="24"/>
          <w:szCs w:val="24"/>
          <w:lang w:val="en-US"/>
        </w:rPr>
        <w:t>free survival (RFS) rate of 72.6%, 32.1% and 21.8</w:t>
      </w:r>
      <w:r w:rsidRPr="00FA3054">
        <w:rPr>
          <w:rFonts w:ascii="Book Antiqua" w:eastAsia="Calibri" w:hAnsi="Book Antiqua" w:cs="Times New Roman"/>
          <w:sz w:val="24"/>
          <w:szCs w:val="24"/>
          <w:lang w:val="en-US"/>
        </w:rPr>
        <w:t>% at 1, 4 and 5 years, respectively.</w:t>
      </w:r>
    </w:p>
    <w:p w:rsidR="00240104" w:rsidRPr="00FA3054" w:rsidRDefault="000F075F" w:rsidP="00BB7527">
      <w:pPr>
        <w:spacing w:after="0" w:line="360" w:lineRule="auto"/>
        <w:ind w:firstLineChars="150" w:firstLine="360"/>
        <w:jc w:val="both"/>
        <w:rPr>
          <w:rFonts w:ascii="Book Antiqua" w:eastAsia="Calibri" w:hAnsi="Book Antiqua" w:cs="Times New Roman"/>
          <w:sz w:val="24"/>
          <w:szCs w:val="24"/>
          <w:lang w:val="en-US"/>
        </w:rPr>
      </w:pPr>
      <w:r w:rsidRPr="00FA3054">
        <w:rPr>
          <w:rFonts w:ascii="Book Antiqua" w:eastAsia="Calibri" w:hAnsi="Book Antiqua" w:cs="Times New Roman"/>
          <w:sz w:val="24"/>
          <w:szCs w:val="24"/>
          <w:lang w:val="en-US"/>
        </w:rPr>
        <w:t>NLR, LMR, CEA levels, number of nodules and nodule size resulted predictors of TTR in</w:t>
      </w:r>
      <w:r w:rsidR="00240104" w:rsidRPr="00FA3054">
        <w:rPr>
          <w:rFonts w:ascii="Book Antiqua" w:eastAsia="Calibri" w:hAnsi="Book Antiqua" w:cs="Times New Roman"/>
          <w:sz w:val="24"/>
          <w:szCs w:val="24"/>
          <w:lang w:val="en-US"/>
        </w:rPr>
        <w:t xml:space="preserve"> univariate analysis, </w:t>
      </w:r>
      <w:r w:rsidR="00305198" w:rsidRPr="00FA3054">
        <w:rPr>
          <w:rFonts w:ascii="Book Antiqua" w:eastAsia="Calibri" w:hAnsi="Book Antiqua" w:cs="Times New Roman"/>
          <w:sz w:val="24"/>
          <w:szCs w:val="24"/>
          <w:lang w:val="en-US"/>
        </w:rPr>
        <w:t>but</w:t>
      </w:r>
      <w:r w:rsidR="00240104" w:rsidRPr="00FA3054">
        <w:rPr>
          <w:rFonts w:ascii="Book Antiqua" w:eastAsia="Calibri" w:hAnsi="Book Antiqua" w:cs="Times New Roman"/>
          <w:sz w:val="24"/>
          <w:szCs w:val="24"/>
          <w:lang w:val="en-US"/>
        </w:rPr>
        <w:t xml:space="preserve"> only </w:t>
      </w:r>
      <w:r w:rsidR="00305198" w:rsidRPr="00FA3054">
        <w:rPr>
          <w:rFonts w:ascii="Book Antiqua" w:eastAsia="Calibri" w:hAnsi="Book Antiqua" w:cs="Times New Roman"/>
          <w:sz w:val="24"/>
          <w:szCs w:val="24"/>
          <w:lang w:val="en-US"/>
        </w:rPr>
        <w:t xml:space="preserve">maximum diameter </w:t>
      </w:r>
      <w:r w:rsidRPr="00FA3054">
        <w:rPr>
          <w:rFonts w:ascii="Book Antiqua" w:eastAsia="Calibri" w:hAnsi="Book Antiqua" w:cs="Times New Roman"/>
          <w:sz w:val="24"/>
          <w:szCs w:val="24"/>
          <w:lang w:val="en-US"/>
        </w:rPr>
        <w:t>(</w:t>
      </w:r>
      <w:r w:rsidR="00BB7527" w:rsidRPr="00BB7527">
        <w:rPr>
          <w:rFonts w:ascii="Book Antiqua" w:hAnsi="Book Antiqua" w:cs="Times New Roman"/>
          <w:i/>
          <w:sz w:val="24"/>
          <w:szCs w:val="24"/>
          <w:lang w:val="en-US"/>
        </w:rPr>
        <w:t>P</w:t>
      </w:r>
      <w:r w:rsidR="00BB7527" w:rsidRPr="00FA3054">
        <w:rPr>
          <w:rFonts w:ascii="Book Antiqua" w:eastAsia="Calibri" w:hAnsi="Book Antiqua" w:cs="Times New Roman"/>
          <w:sz w:val="24"/>
          <w:szCs w:val="24"/>
          <w:lang w:val="en-US"/>
        </w:rPr>
        <w:t xml:space="preserve"> </w:t>
      </w:r>
      <w:r w:rsidRPr="00FA3054">
        <w:rPr>
          <w:rFonts w:ascii="Book Antiqua" w:eastAsia="Calibri" w:hAnsi="Book Antiqua" w:cs="Times New Roman"/>
          <w:sz w:val="24"/>
          <w:szCs w:val="24"/>
          <w:lang w:val="en-US"/>
        </w:rPr>
        <w:t>=</w:t>
      </w:r>
      <w:r w:rsidR="00BB7527">
        <w:rPr>
          <w:rFonts w:ascii="Book Antiqua" w:hAnsi="Book Antiqua" w:cs="Times New Roman" w:hint="eastAsia"/>
          <w:sz w:val="24"/>
          <w:szCs w:val="24"/>
          <w:lang w:val="en-US" w:eastAsia="zh-CN"/>
        </w:rPr>
        <w:t xml:space="preserve"> </w:t>
      </w:r>
      <w:r w:rsidRPr="00FA3054">
        <w:rPr>
          <w:rFonts w:ascii="Book Antiqua" w:eastAsia="Calibri" w:hAnsi="Book Antiqua" w:cs="Times New Roman"/>
          <w:sz w:val="24"/>
          <w:szCs w:val="24"/>
          <w:lang w:val="en-US"/>
        </w:rPr>
        <w:t xml:space="preserve">0.001) </w:t>
      </w:r>
      <w:r w:rsidR="00305198" w:rsidRPr="00FA3054">
        <w:rPr>
          <w:rFonts w:ascii="Book Antiqua" w:eastAsia="Calibri" w:hAnsi="Book Antiqua" w:cs="Times New Roman"/>
          <w:sz w:val="24"/>
          <w:szCs w:val="24"/>
          <w:lang w:val="en-US"/>
        </w:rPr>
        <w:t xml:space="preserve">and </w:t>
      </w:r>
      <w:r w:rsidRPr="00FA3054">
        <w:rPr>
          <w:rFonts w:ascii="Book Antiqua" w:eastAsia="Calibri" w:hAnsi="Book Antiqua" w:cs="Times New Roman"/>
          <w:sz w:val="24"/>
          <w:szCs w:val="24"/>
          <w:lang w:val="en-US"/>
        </w:rPr>
        <w:t>LMR (</w:t>
      </w:r>
      <w:r w:rsidR="00BB7527" w:rsidRPr="00BB7527">
        <w:rPr>
          <w:rFonts w:ascii="Book Antiqua" w:hAnsi="Book Antiqua" w:cs="Times New Roman"/>
          <w:i/>
          <w:sz w:val="24"/>
          <w:szCs w:val="24"/>
          <w:lang w:val="en-US"/>
        </w:rPr>
        <w:t>P</w:t>
      </w:r>
      <w:r w:rsidR="00BB7527" w:rsidRPr="00FA3054">
        <w:rPr>
          <w:rFonts w:ascii="Book Antiqua" w:eastAsia="Calibri" w:hAnsi="Book Antiqua" w:cs="Times New Roman"/>
          <w:sz w:val="24"/>
          <w:szCs w:val="24"/>
          <w:lang w:val="en-US"/>
        </w:rPr>
        <w:t xml:space="preserve"> </w:t>
      </w:r>
      <w:r w:rsidRPr="00FA3054">
        <w:rPr>
          <w:rFonts w:ascii="Book Antiqua" w:eastAsia="Calibri" w:hAnsi="Book Antiqua" w:cs="Times New Roman"/>
          <w:sz w:val="24"/>
          <w:szCs w:val="24"/>
          <w:lang w:val="en-US"/>
        </w:rPr>
        <w:t>=</w:t>
      </w:r>
      <w:r w:rsidR="00BB7527">
        <w:rPr>
          <w:rFonts w:ascii="Book Antiqua" w:hAnsi="Book Antiqua" w:cs="Times New Roman" w:hint="eastAsia"/>
          <w:sz w:val="24"/>
          <w:szCs w:val="24"/>
          <w:lang w:val="en-US" w:eastAsia="zh-CN"/>
        </w:rPr>
        <w:t xml:space="preserve"> </w:t>
      </w:r>
      <w:r w:rsidRPr="00FA3054">
        <w:rPr>
          <w:rFonts w:ascii="Book Antiqua" w:eastAsia="Calibri" w:hAnsi="Book Antiqua" w:cs="Times New Roman"/>
          <w:sz w:val="24"/>
          <w:szCs w:val="24"/>
          <w:lang w:val="en-US"/>
        </w:rPr>
        <w:t>0.01)</w:t>
      </w:r>
      <w:r w:rsidR="00305198" w:rsidRPr="00FA3054">
        <w:rPr>
          <w:rFonts w:ascii="Book Antiqua" w:eastAsia="Calibri" w:hAnsi="Book Antiqua" w:cs="Times New Roman"/>
          <w:sz w:val="24"/>
          <w:szCs w:val="24"/>
          <w:lang w:val="en-US"/>
        </w:rPr>
        <w:t xml:space="preserve"> were</w:t>
      </w:r>
      <w:r w:rsidRPr="00FA3054">
        <w:rPr>
          <w:rFonts w:ascii="Book Antiqua" w:eastAsia="Calibri" w:hAnsi="Book Antiqua" w:cs="Times New Roman"/>
          <w:sz w:val="24"/>
          <w:szCs w:val="24"/>
          <w:lang w:val="en-US"/>
        </w:rPr>
        <w:t xml:space="preserve"> confirmed in</w:t>
      </w:r>
      <w:r w:rsidR="00240104" w:rsidRPr="00FA3054">
        <w:rPr>
          <w:rFonts w:ascii="Book Antiqua" w:eastAsia="Calibri" w:hAnsi="Book Antiqua" w:cs="Times New Roman"/>
          <w:sz w:val="24"/>
          <w:szCs w:val="24"/>
          <w:lang w:val="en-US"/>
        </w:rPr>
        <w:t xml:space="preserve"> multivariate setting (Table 3). </w:t>
      </w:r>
    </w:p>
    <w:p w:rsidR="00810372" w:rsidRPr="00FA3054" w:rsidRDefault="00240104" w:rsidP="00BB7527">
      <w:pPr>
        <w:spacing w:after="0" w:line="360" w:lineRule="auto"/>
        <w:ind w:firstLineChars="150" w:firstLine="360"/>
        <w:jc w:val="both"/>
        <w:rPr>
          <w:rFonts w:ascii="Book Antiqua" w:eastAsia="Calibri" w:hAnsi="Book Antiqua" w:cs="Times New Roman"/>
          <w:sz w:val="24"/>
          <w:szCs w:val="24"/>
          <w:lang w:val="en-US"/>
        </w:rPr>
      </w:pPr>
      <w:r w:rsidRPr="00FA3054">
        <w:rPr>
          <w:rFonts w:ascii="Book Antiqua" w:eastAsia="Calibri" w:hAnsi="Book Antiqua" w:cs="Times New Roman"/>
          <w:sz w:val="24"/>
          <w:szCs w:val="24"/>
          <w:lang w:val="en-US"/>
        </w:rPr>
        <w:t xml:space="preserve">TTR, when stratified by </w:t>
      </w:r>
      <w:r w:rsidR="005656F4" w:rsidRPr="00FA3054">
        <w:rPr>
          <w:rFonts w:ascii="Book Antiqua" w:hAnsi="Book Antiqua" w:cs="Times New Roman"/>
          <w:sz w:val="24"/>
          <w:szCs w:val="24"/>
          <w:lang w:val="en-US"/>
        </w:rPr>
        <w:t>LMR</w:t>
      </w:r>
      <w:r w:rsidRPr="00FA3054">
        <w:rPr>
          <w:rFonts w:ascii="Book Antiqua" w:eastAsia="Calibri" w:hAnsi="Book Antiqua" w:cs="Times New Roman"/>
          <w:sz w:val="24"/>
          <w:szCs w:val="24"/>
          <w:lang w:val="en-US"/>
        </w:rPr>
        <w:t xml:space="preserve">, was </w:t>
      </w:r>
      <w:r w:rsidR="005656F4" w:rsidRPr="00FA3054">
        <w:rPr>
          <w:rFonts w:ascii="Book Antiqua" w:eastAsia="Calibri" w:hAnsi="Book Antiqua" w:cs="Times New Roman"/>
          <w:sz w:val="24"/>
          <w:szCs w:val="24"/>
          <w:lang w:val="en-US"/>
        </w:rPr>
        <w:t xml:space="preserve">35 </w:t>
      </w:r>
      <w:r w:rsidR="00BB7527">
        <w:rPr>
          <w:rFonts w:ascii="Book Antiqua" w:hAnsi="Book Antiqua" w:cs="Times New Roman" w:hint="eastAsia"/>
          <w:sz w:val="24"/>
          <w:szCs w:val="24"/>
          <w:lang w:val="en-US" w:eastAsia="zh-CN"/>
        </w:rPr>
        <w:t>mo</w:t>
      </w:r>
      <w:r w:rsidR="005656F4" w:rsidRPr="00FA3054">
        <w:rPr>
          <w:rFonts w:ascii="Book Antiqua" w:eastAsia="Calibri" w:hAnsi="Book Antiqua" w:cs="Times New Roman"/>
          <w:sz w:val="24"/>
          <w:szCs w:val="24"/>
          <w:lang w:val="en-US"/>
        </w:rPr>
        <w:t xml:space="preserve"> (28-57) in the group &gt; 3.96% and 25</w:t>
      </w:r>
      <w:r w:rsidR="004F761B" w:rsidRPr="00FA3054">
        <w:rPr>
          <w:rFonts w:ascii="Book Antiqua" w:eastAsia="Calibri" w:hAnsi="Book Antiqua" w:cs="Times New Roman"/>
          <w:sz w:val="24"/>
          <w:szCs w:val="24"/>
          <w:lang w:val="en-US"/>
        </w:rPr>
        <w:t xml:space="preserve"> </w:t>
      </w:r>
      <w:r w:rsidR="00BB7527">
        <w:rPr>
          <w:rFonts w:ascii="Book Antiqua" w:hAnsi="Book Antiqua" w:cs="Times New Roman" w:hint="eastAsia"/>
          <w:sz w:val="24"/>
          <w:szCs w:val="24"/>
          <w:lang w:val="en-US" w:eastAsia="zh-CN"/>
        </w:rPr>
        <w:t>mo</w:t>
      </w:r>
      <w:r w:rsidR="004F761B" w:rsidRPr="00FA3054">
        <w:rPr>
          <w:rFonts w:ascii="Book Antiqua" w:eastAsia="Calibri" w:hAnsi="Book Antiqua" w:cs="Times New Roman"/>
          <w:sz w:val="24"/>
          <w:szCs w:val="24"/>
          <w:lang w:val="en-US"/>
        </w:rPr>
        <w:t xml:space="preserve"> (</w:t>
      </w:r>
      <w:r w:rsidR="005656F4" w:rsidRPr="00FA3054">
        <w:rPr>
          <w:rFonts w:ascii="Book Antiqua" w:eastAsia="Calibri" w:hAnsi="Book Antiqua" w:cs="Times New Roman"/>
          <w:sz w:val="24"/>
          <w:szCs w:val="24"/>
          <w:lang w:val="en-US"/>
        </w:rPr>
        <w:t>18-30</w:t>
      </w:r>
      <w:r w:rsidR="00165C19" w:rsidRPr="00FA3054">
        <w:rPr>
          <w:rFonts w:ascii="Book Antiqua" w:eastAsia="Calibri" w:hAnsi="Book Antiqua" w:cs="Times New Roman"/>
          <w:sz w:val="24"/>
          <w:szCs w:val="24"/>
          <w:lang w:val="en-US"/>
        </w:rPr>
        <w:t>) in the grou</w:t>
      </w:r>
      <w:r w:rsidR="005656F4" w:rsidRPr="00FA3054">
        <w:rPr>
          <w:rFonts w:ascii="Book Antiqua" w:eastAsia="Calibri" w:hAnsi="Book Antiqua" w:cs="Times New Roman"/>
          <w:sz w:val="24"/>
          <w:szCs w:val="24"/>
          <w:lang w:val="en-US"/>
        </w:rPr>
        <w:t>p ≤ 3.96% (</w:t>
      </w:r>
      <w:r w:rsidR="00BB7527" w:rsidRPr="00BB7527">
        <w:rPr>
          <w:rFonts w:ascii="Book Antiqua" w:hAnsi="Book Antiqua" w:cs="Times New Roman"/>
          <w:i/>
          <w:sz w:val="24"/>
          <w:szCs w:val="24"/>
          <w:lang w:val="en-US"/>
        </w:rPr>
        <w:t>P</w:t>
      </w:r>
      <w:r w:rsidR="00BB7527" w:rsidRPr="00FA3054">
        <w:rPr>
          <w:rFonts w:ascii="Book Antiqua" w:eastAsia="Calibri" w:hAnsi="Book Antiqua" w:cs="Times New Roman"/>
          <w:sz w:val="24"/>
          <w:szCs w:val="24"/>
          <w:lang w:val="en-US"/>
        </w:rPr>
        <w:t xml:space="preserve"> </w:t>
      </w:r>
      <w:r w:rsidR="005656F4" w:rsidRPr="00FA3054">
        <w:rPr>
          <w:rFonts w:ascii="Book Antiqua" w:eastAsia="Calibri" w:hAnsi="Book Antiqua" w:cs="Times New Roman"/>
          <w:sz w:val="24"/>
          <w:szCs w:val="24"/>
          <w:lang w:val="en-US"/>
        </w:rPr>
        <w:t>=</w:t>
      </w:r>
      <w:r w:rsidR="00BB7527">
        <w:rPr>
          <w:rFonts w:ascii="Book Antiqua" w:hAnsi="Book Antiqua" w:cs="Times New Roman" w:hint="eastAsia"/>
          <w:sz w:val="24"/>
          <w:szCs w:val="24"/>
          <w:lang w:val="en-US" w:eastAsia="zh-CN"/>
        </w:rPr>
        <w:t xml:space="preserve"> </w:t>
      </w:r>
      <w:r w:rsidR="005656F4" w:rsidRPr="00FA3054">
        <w:rPr>
          <w:rFonts w:ascii="Book Antiqua" w:eastAsia="Calibri" w:hAnsi="Book Antiqua" w:cs="Times New Roman"/>
          <w:sz w:val="24"/>
          <w:szCs w:val="24"/>
          <w:lang w:val="en-US"/>
        </w:rPr>
        <w:t xml:space="preserve">0.02) (Figure </w:t>
      </w:r>
      <w:r w:rsidR="007171FF">
        <w:rPr>
          <w:rFonts w:ascii="Book Antiqua" w:hAnsi="Book Antiqua" w:cs="Times New Roman" w:hint="eastAsia"/>
          <w:sz w:val="24"/>
          <w:szCs w:val="24"/>
          <w:lang w:val="en-US" w:eastAsia="zh-CN"/>
        </w:rPr>
        <w:t>2B</w:t>
      </w:r>
      <w:r w:rsidR="00165C19" w:rsidRPr="00FA3054">
        <w:rPr>
          <w:rFonts w:ascii="Book Antiqua" w:eastAsia="Calibri" w:hAnsi="Book Antiqua" w:cs="Times New Roman"/>
          <w:sz w:val="24"/>
          <w:szCs w:val="24"/>
          <w:lang w:val="en-US"/>
        </w:rPr>
        <w:t xml:space="preserve">). </w:t>
      </w:r>
    </w:p>
    <w:p w:rsidR="006332F0" w:rsidRPr="00FA3054" w:rsidRDefault="006332F0" w:rsidP="00BB7527">
      <w:pPr>
        <w:spacing w:after="0" w:line="360" w:lineRule="auto"/>
        <w:jc w:val="both"/>
        <w:rPr>
          <w:rFonts w:ascii="Book Antiqua" w:hAnsi="Book Antiqua" w:cs="Times New Roman"/>
          <w:b/>
          <w:sz w:val="24"/>
          <w:szCs w:val="24"/>
          <w:lang w:val="en-US"/>
        </w:rPr>
      </w:pPr>
    </w:p>
    <w:p w:rsidR="006332F0" w:rsidRPr="00BB7527" w:rsidRDefault="007A0D90" w:rsidP="00BB7527">
      <w:pPr>
        <w:spacing w:after="0" w:line="360" w:lineRule="auto"/>
        <w:jc w:val="both"/>
        <w:rPr>
          <w:rFonts w:ascii="Book Antiqua" w:hAnsi="Book Antiqua" w:cs="Times New Roman"/>
          <w:b/>
          <w:sz w:val="24"/>
          <w:szCs w:val="24"/>
          <w:lang w:val="en-US" w:eastAsia="zh-CN"/>
        </w:rPr>
      </w:pPr>
      <w:r w:rsidRPr="00FA3054">
        <w:rPr>
          <w:rFonts w:ascii="Book Antiqua" w:hAnsi="Book Antiqua" w:cs="Times New Roman"/>
          <w:b/>
          <w:sz w:val="24"/>
          <w:szCs w:val="24"/>
          <w:lang w:val="en-US"/>
        </w:rPr>
        <w:t>DISCUSSION</w:t>
      </w:r>
    </w:p>
    <w:p w:rsidR="007A0D90" w:rsidRPr="00FA3054" w:rsidRDefault="00E14AA4" w:rsidP="00BB7527">
      <w:pPr>
        <w:spacing w:after="0" w:line="360" w:lineRule="auto"/>
        <w:jc w:val="both"/>
        <w:rPr>
          <w:rFonts w:ascii="Book Antiqua" w:hAnsi="Book Antiqua" w:cs="Times New Roman"/>
          <w:sz w:val="24"/>
          <w:szCs w:val="24"/>
          <w:lang w:val="en-US"/>
        </w:rPr>
      </w:pPr>
      <w:r w:rsidRPr="00FA3054">
        <w:rPr>
          <w:rFonts w:ascii="Book Antiqua" w:hAnsi="Book Antiqua" w:cs="Times New Roman"/>
          <w:sz w:val="24"/>
          <w:szCs w:val="24"/>
          <w:lang w:val="en-US"/>
        </w:rPr>
        <w:lastRenderedPageBreak/>
        <w:t>RFA represents a valuable therapeutic option for primary and secondary hepatic malignancies in patients unsuitable to surgery or unwilling to undergo major liver resection</w:t>
      </w:r>
      <w:r w:rsidR="00A8021D" w:rsidRPr="00D25D36">
        <w:rPr>
          <w:rFonts w:ascii="Book Antiqua" w:hAnsi="Book Antiqua" w:cs="Times New Roman"/>
          <w:sz w:val="24"/>
          <w:szCs w:val="24"/>
          <w:vertAlign w:val="superscript"/>
          <w:lang w:val="en-US"/>
        </w:rPr>
        <w:t>[3,25]</w:t>
      </w:r>
      <w:r w:rsidRPr="00FA3054">
        <w:rPr>
          <w:rFonts w:ascii="Book Antiqua" w:hAnsi="Book Antiqua" w:cs="Times New Roman"/>
          <w:sz w:val="24"/>
          <w:szCs w:val="24"/>
          <w:lang w:val="en-US"/>
        </w:rPr>
        <w:t xml:space="preserve">. </w:t>
      </w:r>
    </w:p>
    <w:p w:rsidR="00C90FEC" w:rsidRPr="00FA3054" w:rsidRDefault="00C90FEC" w:rsidP="00BB7527">
      <w:pPr>
        <w:spacing w:after="0" w:line="360" w:lineRule="auto"/>
        <w:ind w:firstLineChars="150" w:firstLine="360"/>
        <w:jc w:val="both"/>
        <w:rPr>
          <w:rFonts w:ascii="Book Antiqua" w:hAnsi="Book Antiqua" w:cs="Times New Roman"/>
          <w:sz w:val="24"/>
          <w:szCs w:val="24"/>
          <w:lang w:val="en-US"/>
        </w:rPr>
      </w:pPr>
      <w:r w:rsidRPr="00FA3054">
        <w:rPr>
          <w:rFonts w:ascii="Book Antiqua" w:hAnsi="Book Antiqua" w:cs="Times New Roman"/>
          <w:sz w:val="24"/>
          <w:szCs w:val="24"/>
          <w:lang w:val="en-US"/>
        </w:rPr>
        <w:t xml:space="preserve">Because of differences in inclusion criteria, local expertise and </w:t>
      </w:r>
      <w:r w:rsidR="00C11A24" w:rsidRPr="00FA3054">
        <w:rPr>
          <w:rFonts w:ascii="Book Antiqua" w:hAnsi="Book Antiqua" w:cs="Times New Roman"/>
          <w:sz w:val="24"/>
          <w:szCs w:val="24"/>
          <w:lang w:val="en-US"/>
        </w:rPr>
        <w:t>use of adjuvant chemotherapy,</w:t>
      </w:r>
      <w:r w:rsidR="006A5777" w:rsidRPr="00FA3054">
        <w:rPr>
          <w:rFonts w:ascii="Book Antiqua" w:hAnsi="Book Antiqua" w:cs="Times New Roman"/>
          <w:sz w:val="24"/>
          <w:szCs w:val="24"/>
          <w:lang w:val="en-US"/>
        </w:rPr>
        <w:t xml:space="preserve"> post-RFA outcomes vary widely </w:t>
      </w:r>
      <w:r w:rsidR="00C11A24" w:rsidRPr="00FA3054">
        <w:rPr>
          <w:rFonts w:ascii="Book Antiqua" w:hAnsi="Book Antiqua" w:cs="Times New Roman"/>
          <w:sz w:val="24"/>
          <w:szCs w:val="24"/>
          <w:lang w:val="en-US"/>
        </w:rPr>
        <w:t>between the different published series, with local recurrence rates ranging from 2% to 60%</w:t>
      </w:r>
      <w:r w:rsidR="00856EF1">
        <w:rPr>
          <w:rFonts w:ascii="Book Antiqua" w:hAnsi="Book Antiqua" w:cs="Times New Roman"/>
          <w:sz w:val="24"/>
          <w:szCs w:val="24"/>
          <w:vertAlign w:val="superscript"/>
          <w:lang w:val="en-US"/>
        </w:rPr>
        <w:t>[</w:t>
      </w:r>
      <w:r w:rsidR="007D2948" w:rsidRPr="00D25D36">
        <w:rPr>
          <w:rFonts w:ascii="Book Antiqua" w:hAnsi="Book Antiqua" w:cs="Times New Roman"/>
          <w:sz w:val="24"/>
          <w:szCs w:val="24"/>
          <w:vertAlign w:val="superscript"/>
          <w:lang w:val="en-US"/>
        </w:rPr>
        <w:t>26,27</w:t>
      </w:r>
      <w:r w:rsidR="00657CB6" w:rsidRPr="00D25D36">
        <w:rPr>
          <w:rFonts w:ascii="Book Antiqua" w:hAnsi="Book Antiqua" w:cs="Times New Roman"/>
          <w:sz w:val="24"/>
          <w:szCs w:val="24"/>
          <w:vertAlign w:val="superscript"/>
          <w:lang w:val="en-US"/>
        </w:rPr>
        <w:t>]</w:t>
      </w:r>
      <w:r w:rsidR="004150FA" w:rsidRPr="00FA3054">
        <w:rPr>
          <w:rFonts w:ascii="Book Antiqua" w:hAnsi="Book Antiqua" w:cs="Times New Roman"/>
          <w:sz w:val="24"/>
          <w:szCs w:val="24"/>
          <w:lang w:val="en-US"/>
        </w:rPr>
        <w:t xml:space="preserve">. </w:t>
      </w:r>
    </w:p>
    <w:p w:rsidR="00F753D2" w:rsidRPr="00FA3054" w:rsidRDefault="00247CAE" w:rsidP="00BB7527">
      <w:pPr>
        <w:spacing w:after="0" w:line="360" w:lineRule="auto"/>
        <w:ind w:firstLineChars="100" w:firstLine="240"/>
        <w:jc w:val="both"/>
        <w:rPr>
          <w:rFonts w:ascii="Book Antiqua" w:hAnsi="Book Antiqua" w:cs="Times New Roman"/>
          <w:sz w:val="24"/>
          <w:szCs w:val="24"/>
          <w:lang w:val="en-US"/>
        </w:rPr>
      </w:pPr>
      <w:r w:rsidRPr="00FA3054">
        <w:rPr>
          <w:rFonts w:ascii="Book Antiqua" w:hAnsi="Book Antiqua" w:cs="Times New Roman"/>
          <w:sz w:val="24"/>
          <w:szCs w:val="24"/>
          <w:lang w:val="en-US"/>
        </w:rPr>
        <w:t>The</w:t>
      </w:r>
      <w:r w:rsidR="005765B4" w:rsidRPr="00FA3054">
        <w:rPr>
          <w:rFonts w:ascii="Book Antiqua" w:hAnsi="Book Antiqua" w:cs="Times New Roman"/>
          <w:sz w:val="24"/>
          <w:szCs w:val="24"/>
          <w:lang w:val="en-US"/>
        </w:rPr>
        <w:t xml:space="preserve"> significant difference in patient outcomes </w:t>
      </w:r>
      <w:r w:rsidRPr="00FA3054">
        <w:rPr>
          <w:rFonts w:ascii="Book Antiqua" w:hAnsi="Book Antiqua" w:cs="Times New Roman"/>
          <w:sz w:val="24"/>
          <w:szCs w:val="24"/>
          <w:lang w:val="en-US"/>
        </w:rPr>
        <w:t xml:space="preserve">reported throughout the literature has raised an increasing interest on the research and characterization of </w:t>
      </w:r>
      <w:r w:rsidR="004319EA" w:rsidRPr="00FA3054">
        <w:rPr>
          <w:rFonts w:ascii="Book Antiqua" w:hAnsi="Book Antiqua" w:cs="Times New Roman"/>
          <w:sz w:val="24"/>
          <w:szCs w:val="24"/>
          <w:lang w:val="en-US"/>
        </w:rPr>
        <w:t>the main prognost</w:t>
      </w:r>
      <w:r w:rsidRPr="00FA3054">
        <w:rPr>
          <w:rFonts w:ascii="Book Antiqua" w:hAnsi="Book Antiqua" w:cs="Times New Roman"/>
          <w:sz w:val="24"/>
          <w:szCs w:val="24"/>
          <w:lang w:val="en-US"/>
        </w:rPr>
        <w:t>ic factors able to influence</w:t>
      </w:r>
      <w:r w:rsidR="004319EA" w:rsidRPr="00FA3054">
        <w:rPr>
          <w:rFonts w:ascii="Book Antiqua" w:hAnsi="Book Antiqua" w:cs="Times New Roman"/>
          <w:sz w:val="24"/>
          <w:szCs w:val="24"/>
          <w:lang w:val="en-US"/>
        </w:rPr>
        <w:t xml:space="preserve"> post-treatment results. </w:t>
      </w:r>
      <w:r w:rsidR="00E67C16" w:rsidRPr="00FA3054">
        <w:rPr>
          <w:rFonts w:ascii="Book Antiqua" w:hAnsi="Book Antiqua" w:cs="Times New Roman"/>
          <w:sz w:val="24"/>
          <w:szCs w:val="24"/>
          <w:lang w:val="en-US"/>
        </w:rPr>
        <w:t>Among them, biomarkers of the infiltrating inflammatory microenvironment may represent an important determinant for the clinical outcome in several ma</w:t>
      </w:r>
      <w:r w:rsidR="00BB7527">
        <w:rPr>
          <w:rFonts w:ascii="Book Antiqua" w:hAnsi="Book Antiqua" w:cs="Times New Roman"/>
          <w:sz w:val="24"/>
          <w:szCs w:val="24"/>
          <w:lang w:val="en-US"/>
        </w:rPr>
        <w:t>lignancies such as HCC and CLMs</w:t>
      </w:r>
      <w:r w:rsidR="00E67C16" w:rsidRPr="00D25D36">
        <w:rPr>
          <w:rFonts w:ascii="Book Antiqua" w:hAnsi="Book Antiqua" w:cs="Times New Roman"/>
          <w:sz w:val="24"/>
          <w:szCs w:val="24"/>
          <w:vertAlign w:val="superscript"/>
          <w:lang w:val="en-US"/>
        </w:rPr>
        <w:t>[10,17]</w:t>
      </w:r>
      <w:r w:rsidR="00E67C16" w:rsidRPr="00FA3054">
        <w:rPr>
          <w:rFonts w:ascii="Book Antiqua" w:hAnsi="Book Antiqua" w:cs="Times New Roman"/>
          <w:sz w:val="24"/>
          <w:szCs w:val="24"/>
          <w:lang w:val="en-US"/>
        </w:rPr>
        <w:t xml:space="preserve">. </w:t>
      </w:r>
    </w:p>
    <w:p w:rsidR="00F753D2" w:rsidRPr="00FA3054" w:rsidRDefault="00F753D2" w:rsidP="00BB7527">
      <w:pPr>
        <w:spacing w:after="0" w:line="360" w:lineRule="auto"/>
        <w:ind w:firstLineChars="150" w:firstLine="360"/>
        <w:jc w:val="both"/>
        <w:rPr>
          <w:rFonts w:ascii="Book Antiqua" w:hAnsi="Book Antiqua" w:cs="Times New Roman"/>
          <w:sz w:val="24"/>
          <w:szCs w:val="24"/>
          <w:lang w:val="en-US"/>
        </w:rPr>
      </w:pPr>
      <w:r w:rsidRPr="00FA3054">
        <w:rPr>
          <w:rFonts w:ascii="Book Antiqua" w:hAnsi="Book Antiqua" w:cs="Times New Roman"/>
          <w:sz w:val="24"/>
          <w:szCs w:val="24"/>
          <w:lang w:val="en-US"/>
        </w:rPr>
        <w:t xml:space="preserve">In fact, the immune system plays an important role in cancer as it can destroy cancer cells but also establish the tumor microenvironment that facilitates cancer cell proliferation and metastasis occurrence. Lymphocytes are key immune cells in both humoral and cellular antitumor immune responses </w:t>
      </w:r>
      <w:r w:rsidR="00D3473D" w:rsidRPr="00FA3054">
        <w:rPr>
          <w:rFonts w:ascii="Book Antiqua" w:hAnsi="Book Antiqua" w:cs="Times New Roman"/>
          <w:sz w:val="24"/>
          <w:szCs w:val="24"/>
          <w:lang w:val="en-US"/>
        </w:rPr>
        <w:t>while</w:t>
      </w:r>
      <w:r w:rsidRPr="00FA3054">
        <w:rPr>
          <w:rFonts w:ascii="Book Antiqua" w:hAnsi="Book Antiqua" w:cs="Times New Roman"/>
          <w:sz w:val="24"/>
          <w:szCs w:val="24"/>
          <w:lang w:val="en-US"/>
        </w:rPr>
        <w:t xml:space="preserve"> monocytes are recruited into tumors where they alter the tumor microenvironment to promote cancer progression through local immu</w:t>
      </w:r>
      <w:r w:rsidR="00BB7527">
        <w:rPr>
          <w:rFonts w:ascii="Book Antiqua" w:hAnsi="Book Antiqua" w:cs="Times New Roman"/>
          <w:sz w:val="24"/>
          <w:szCs w:val="24"/>
          <w:lang w:val="en-US"/>
        </w:rPr>
        <w:t>ne suppression and angiogenesis</w:t>
      </w:r>
      <w:r w:rsidRPr="00D25D36">
        <w:rPr>
          <w:rFonts w:ascii="Book Antiqua" w:hAnsi="Book Antiqua" w:cs="Times New Roman"/>
          <w:sz w:val="24"/>
          <w:szCs w:val="24"/>
          <w:vertAlign w:val="superscript"/>
          <w:lang w:val="en-US"/>
        </w:rPr>
        <w:t>[28]</w:t>
      </w:r>
      <w:r w:rsidRPr="00FA3054">
        <w:rPr>
          <w:rFonts w:ascii="Book Antiqua" w:hAnsi="Book Antiqua" w:cs="Times New Roman"/>
          <w:sz w:val="24"/>
          <w:szCs w:val="24"/>
          <w:lang w:val="en-US"/>
        </w:rPr>
        <w:t xml:space="preserve">. </w:t>
      </w:r>
      <w:r w:rsidR="00B66312" w:rsidRPr="00FA3054">
        <w:rPr>
          <w:rFonts w:ascii="Book Antiqua" w:hAnsi="Book Antiqua" w:cs="Times New Roman"/>
          <w:sz w:val="24"/>
          <w:szCs w:val="24"/>
          <w:lang w:val="en-US"/>
        </w:rPr>
        <w:t>As a consequence</w:t>
      </w:r>
      <w:r w:rsidR="00B765F3" w:rsidRPr="00FA3054">
        <w:rPr>
          <w:rFonts w:ascii="Book Antiqua" w:hAnsi="Book Antiqua" w:cs="Times New Roman"/>
          <w:sz w:val="24"/>
          <w:szCs w:val="24"/>
          <w:lang w:val="en-US"/>
        </w:rPr>
        <w:t xml:space="preserve"> high monocyte count</w:t>
      </w:r>
      <w:r w:rsidR="008E3ADE" w:rsidRPr="00FA3054">
        <w:rPr>
          <w:rFonts w:ascii="Book Antiqua" w:hAnsi="Book Antiqua" w:cs="Times New Roman"/>
          <w:sz w:val="24"/>
          <w:szCs w:val="24"/>
          <w:lang w:val="en-US"/>
        </w:rPr>
        <w:t>s</w:t>
      </w:r>
      <w:r w:rsidR="00B765F3" w:rsidRPr="00FA3054">
        <w:rPr>
          <w:rFonts w:ascii="Book Antiqua" w:hAnsi="Book Antiqua" w:cs="Times New Roman"/>
          <w:sz w:val="24"/>
          <w:szCs w:val="24"/>
          <w:lang w:val="en-US"/>
        </w:rPr>
        <w:t xml:space="preserve"> </w:t>
      </w:r>
      <w:r w:rsidR="008E3ADE" w:rsidRPr="00FA3054">
        <w:rPr>
          <w:rFonts w:ascii="Book Antiqua" w:hAnsi="Book Antiqua" w:cs="Times New Roman"/>
          <w:sz w:val="24"/>
          <w:szCs w:val="24"/>
          <w:lang w:val="en-US"/>
        </w:rPr>
        <w:t>have</w:t>
      </w:r>
      <w:r w:rsidRPr="00FA3054">
        <w:rPr>
          <w:rFonts w:ascii="Book Antiqua" w:hAnsi="Book Antiqua" w:cs="Times New Roman"/>
          <w:sz w:val="24"/>
          <w:szCs w:val="24"/>
          <w:lang w:val="en-US"/>
        </w:rPr>
        <w:t xml:space="preserve"> been reported to be a poor pro</w:t>
      </w:r>
      <w:r w:rsidR="00B765F3" w:rsidRPr="00FA3054">
        <w:rPr>
          <w:rFonts w:ascii="Book Antiqua" w:hAnsi="Book Antiqua" w:cs="Times New Roman"/>
          <w:sz w:val="24"/>
          <w:szCs w:val="24"/>
          <w:lang w:val="en-US"/>
        </w:rPr>
        <w:t xml:space="preserve">gnostic factor in patients with </w:t>
      </w:r>
      <w:r w:rsidR="00BB7527">
        <w:rPr>
          <w:rFonts w:ascii="Book Antiqua" w:hAnsi="Book Antiqua" w:cs="Times New Roman"/>
          <w:sz w:val="24"/>
          <w:szCs w:val="24"/>
          <w:lang w:val="en-US"/>
        </w:rPr>
        <w:t>solid tumors</w:t>
      </w:r>
      <w:r w:rsidR="00B66312" w:rsidRPr="00D25D36">
        <w:rPr>
          <w:rFonts w:ascii="Book Antiqua" w:hAnsi="Book Antiqua" w:cs="Times New Roman"/>
          <w:sz w:val="24"/>
          <w:szCs w:val="24"/>
          <w:vertAlign w:val="superscript"/>
          <w:lang w:val="en-US"/>
        </w:rPr>
        <w:t>[18,29]</w:t>
      </w:r>
      <w:r w:rsidR="0074429D" w:rsidRPr="00FA3054">
        <w:rPr>
          <w:rFonts w:ascii="Book Antiqua" w:hAnsi="Book Antiqua" w:cs="Times New Roman"/>
          <w:sz w:val="24"/>
          <w:szCs w:val="24"/>
          <w:lang w:val="en-US"/>
        </w:rPr>
        <w:t xml:space="preserve"> and a low lymphocyte-to-monocyte ratio (LMR),</w:t>
      </w:r>
      <w:r w:rsidRPr="00FA3054">
        <w:rPr>
          <w:rFonts w:ascii="Book Antiqua" w:hAnsi="Book Antiqua" w:cs="Times New Roman"/>
          <w:sz w:val="24"/>
          <w:szCs w:val="24"/>
          <w:lang w:val="en-US"/>
        </w:rPr>
        <w:t xml:space="preserve"> defined a</w:t>
      </w:r>
      <w:r w:rsidR="0074429D" w:rsidRPr="00FA3054">
        <w:rPr>
          <w:rFonts w:ascii="Book Antiqua" w:hAnsi="Book Antiqua" w:cs="Times New Roman"/>
          <w:sz w:val="24"/>
          <w:szCs w:val="24"/>
          <w:lang w:val="en-US"/>
        </w:rPr>
        <w:t xml:space="preserve">s the absolute lymphocyte count </w:t>
      </w:r>
      <w:r w:rsidRPr="00FA3054">
        <w:rPr>
          <w:rFonts w:ascii="Book Antiqua" w:hAnsi="Book Antiqua" w:cs="Times New Roman"/>
          <w:sz w:val="24"/>
          <w:szCs w:val="24"/>
          <w:lang w:val="en-US"/>
        </w:rPr>
        <w:t>divided by the absolute monocy</w:t>
      </w:r>
      <w:r w:rsidR="0074429D" w:rsidRPr="00FA3054">
        <w:rPr>
          <w:rFonts w:ascii="Book Antiqua" w:hAnsi="Book Antiqua" w:cs="Times New Roman"/>
          <w:sz w:val="24"/>
          <w:szCs w:val="24"/>
          <w:lang w:val="en-US"/>
        </w:rPr>
        <w:t>te count, has been proposed as a more reliable predictor of poorer prognosis</w:t>
      </w:r>
      <w:r w:rsidRPr="00FA3054">
        <w:rPr>
          <w:rFonts w:ascii="Book Antiqua" w:hAnsi="Book Antiqua" w:cs="Times New Roman"/>
          <w:sz w:val="24"/>
          <w:szCs w:val="24"/>
          <w:lang w:val="en-US"/>
        </w:rPr>
        <w:t xml:space="preserve"> in a wide range of </w:t>
      </w:r>
      <w:r w:rsidR="0074429D" w:rsidRPr="00FA3054">
        <w:rPr>
          <w:rFonts w:ascii="Book Antiqua" w:hAnsi="Book Antiqua" w:cs="Times New Roman"/>
          <w:sz w:val="24"/>
          <w:szCs w:val="24"/>
          <w:lang w:val="en-US"/>
        </w:rPr>
        <w:t xml:space="preserve"> </w:t>
      </w:r>
      <w:r w:rsidRPr="00FA3054">
        <w:rPr>
          <w:rFonts w:ascii="Book Antiqua" w:hAnsi="Book Antiqua" w:cs="Times New Roman"/>
          <w:sz w:val="24"/>
          <w:szCs w:val="24"/>
          <w:lang w:val="en-US"/>
        </w:rPr>
        <w:t>cancers</w:t>
      </w:r>
      <w:r w:rsidR="0074429D" w:rsidRPr="00D25D36">
        <w:rPr>
          <w:rFonts w:ascii="Book Antiqua" w:hAnsi="Book Antiqua" w:cs="Times New Roman"/>
          <w:sz w:val="24"/>
          <w:szCs w:val="24"/>
          <w:vertAlign w:val="superscript"/>
          <w:lang w:val="en-US"/>
        </w:rPr>
        <w:t>[30]</w:t>
      </w:r>
      <w:r w:rsidRPr="00FA3054">
        <w:rPr>
          <w:rFonts w:ascii="Book Antiqua" w:hAnsi="Book Antiqua" w:cs="Times New Roman"/>
          <w:sz w:val="24"/>
          <w:szCs w:val="24"/>
          <w:lang w:val="en-US"/>
        </w:rPr>
        <w:t>.</w:t>
      </w:r>
      <w:r w:rsidR="009D02E1" w:rsidRPr="00FA3054">
        <w:rPr>
          <w:rFonts w:ascii="Book Antiqua" w:hAnsi="Book Antiqua" w:cs="Times New Roman"/>
          <w:sz w:val="24"/>
          <w:szCs w:val="24"/>
          <w:lang w:val="en-US"/>
        </w:rPr>
        <w:t xml:space="preserve"> </w:t>
      </w:r>
      <w:r w:rsidR="00747CA2" w:rsidRPr="00FA3054">
        <w:rPr>
          <w:rFonts w:ascii="Book Antiqua" w:hAnsi="Book Antiqua" w:cs="Times New Roman"/>
          <w:sz w:val="24"/>
          <w:szCs w:val="24"/>
          <w:lang w:val="en-US"/>
        </w:rPr>
        <w:t>Thus</w:t>
      </w:r>
      <w:r w:rsidR="009D02E1" w:rsidRPr="00FA3054">
        <w:rPr>
          <w:rFonts w:ascii="Book Antiqua" w:hAnsi="Book Antiqua" w:cs="Times New Roman"/>
          <w:sz w:val="24"/>
          <w:szCs w:val="24"/>
          <w:lang w:val="en-US"/>
        </w:rPr>
        <w:t xml:space="preserve"> a low LMR, which reflects the imbalance in immune response in favor of monocytes/macrophages over lymphocytes, may be responsible of a week antitumor immunity and a favorable microenvironment for tumor growth.</w:t>
      </w:r>
    </w:p>
    <w:p w:rsidR="004F3376" w:rsidRPr="00FA3054" w:rsidRDefault="004F3376" w:rsidP="00BB7527">
      <w:pPr>
        <w:spacing w:after="0" w:line="360" w:lineRule="auto"/>
        <w:ind w:firstLineChars="150" w:firstLine="360"/>
        <w:jc w:val="both"/>
        <w:rPr>
          <w:rFonts w:ascii="Book Antiqua" w:hAnsi="Book Antiqua" w:cs="Times New Roman"/>
          <w:sz w:val="24"/>
          <w:szCs w:val="24"/>
          <w:lang w:val="en-US"/>
        </w:rPr>
      </w:pPr>
      <w:r w:rsidRPr="00FA3054">
        <w:rPr>
          <w:rFonts w:ascii="Book Antiqua" w:hAnsi="Book Antiqua" w:cs="Times New Roman"/>
          <w:sz w:val="24"/>
          <w:szCs w:val="24"/>
          <w:lang w:val="en-US"/>
        </w:rPr>
        <w:t>The interesting results of a recent study seem to support the use of pre-operative LMR as prognostic factor in CLMs</w:t>
      </w:r>
      <w:r w:rsidR="00BB7527">
        <w:rPr>
          <w:rFonts w:ascii="Book Antiqua" w:hAnsi="Book Antiqua" w:cs="Times New Roman"/>
          <w:sz w:val="24"/>
          <w:szCs w:val="24"/>
          <w:lang w:val="en-US"/>
        </w:rPr>
        <w:t xml:space="preserve"> patients after liver resection</w:t>
      </w:r>
      <w:r w:rsidRPr="00D25D36">
        <w:rPr>
          <w:rFonts w:ascii="Book Antiqua" w:hAnsi="Book Antiqua" w:cs="Times New Roman"/>
          <w:sz w:val="24"/>
          <w:szCs w:val="24"/>
          <w:vertAlign w:val="superscript"/>
          <w:lang w:val="en-US"/>
        </w:rPr>
        <w:t>[19]</w:t>
      </w:r>
      <w:r w:rsidRPr="00FA3054">
        <w:rPr>
          <w:rFonts w:ascii="Book Antiqua" w:hAnsi="Book Antiqua" w:cs="Times New Roman"/>
          <w:sz w:val="24"/>
          <w:szCs w:val="24"/>
          <w:lang w:val="en-US"/>
        </w:rPr>
        <w:t xml:space="preserve"> but further studies are needed in order to confirm such findings; furthermore, whether this index may represent a reliable predictor of patients survival in other therapeut</w:t>
      </w:r>
      <w:r w:rsidR="00EB33D2" w:rsidRPr="00FA3054">
        <w:rPr>
          <w:rFonts w:ascii="Book Antiqua" w:hAnsi="Book Antiqua" w:cs="Times New Roman"/>
          <w:sz w:val="24"/>
          <w:szCs w:val="24"/>
          <w:lang w:val="en-US"/>
        </w:rPr>
        <w:t xml:space="preserve">ic fields such as loco-regional </w:t>
      </w:r>
      <w:r w:rsidRPr="00FA3054">
        <w:rPr>
          <w:rFonts w:ascii="Book Antiqua" w:hAnsi="Book Antiqua" w:cs="Times New Roman"/>
          <w:sz w:val="24"/>
          <w:szCs w:val="24"/>
          <w:lang w:val="en-US"/>
        </w:rPr>
        <w:t>treatment</w:t>
      </w:r>
      <w:r w:rsidR="00E7128B" w:rsidRPr="00FA3054">
        <w:rPr>
          <w:rFonts w:ascii="Book Antiqua" w:hAnsi="Book Antiqua" w:cs="Times New Roman"/>
          <w:sz w:val="24"/>
          <w:szCs w:val="24"/>
          <w:lang w:val="en-US"/>
        </w:rPr>
        <w:t>s</w:t>
      </w:r>
      <w:r w:rsidRPr="00FA3054">
        <w:rPr>
          <w:rFonts w:ascii="Book Antiqua" w:hAnsi="Book Antiqua" w:cs="Times New Roman"/>
          <w:sz w:val="24"/>
          <w:szCs w:val="24"/>
          <w:lang w:val="en-US"/>
        </w:rPr>
        <w:t xml:space="preserve"> is still unknown.</w:t>
      </w:r>
    </w:p>
    <w:p w:rsidR="001B1AE4" w:rsidRPr="00FA3054" w:rsidRDefault="004F3376" w:rsidP="00BB7527">
      <w:pPr>
        <w:spacing w:after="0" w:line="360" w:lineRule="auto"/>
        <w:ind w:firstLineChars="150" w:firstLine="360"/>
        <w:jc w:val="both"/>
        <w:rPr>
          <w:rFonts w:ascii="Book Antiqua" w:hAnsi="Book Antiqua" w:cs="Times New Roman"/>
          <w:sz w:val="24"/>
          <w:szCs w:val="24"/>
          <w:lang w:val="en-US"/>
        </w:rPr>
      </w:pPr>
      <w:r w:rsidRPr="00FA3054">
        <w:rPr>
          <w:rFonts w:ascii="Book Antiqua" w:hAnsi="Book Antiqua" w:cs="Times New Roman"/>
          <w:sz w:val="24"/>
          <w:szCs w:val="24"/>
          <w:lang w:val="en-US"/>
        </w:rPr>
        <w:t>Therefore, a</w:t>
      </w:r>
      <w:r w:rsidR="001B1AE4" w:rsidRPr="00FA3054">
        <w:rPr>
          <w:rFonts w:ascii="Book Antiqua" w:hAnsi="Book Antiqua" w:cs="Times New Roman"/>
          <w:sz w:val="24"/>
          <w:szCs w:val="24"/>
          <w:lang w:val="en-US"/>
        </w:rPr>
        <w:t xml:space="preserve">im of our study was to test the correlation between baseline </w:t>
      </w:r>
      <w:r w:rsidR="001A605F" w:rsidRPr="00FA3054">
        <w:rPr>
          <w:rFonts w:ascii="Book Antiqua" w:hAnsi="Book Antiqua" w:cs="Times New Roman"/>
          <w:sz w:val="24"/>
          <w:szCs w:val="24"/>
          <w:lang w:val="en-US"/>
        </w:rPr>
        <w:t>LMR</w:t>
      </w:r>
      <w:r w:rsidR="001B1AE4" w:rsidRPr="00FA3054">
        <w:rPr>
          <w:rFonts w:ascii="Book Antiqua" w:hAnsi="Book Antiqua" w:cs="Times New Roman"/>
          <w:sz w:val="24"/>
          <w:szCs w:val="24"/>
          <w:lang w:val="en-US"/>
        </w:rPr>
        <w:t xml:space="preserve"> and survival outcomes in our series of CLM patients treated with RFA. </w:t>
      </w:r>
      <w:r w:rsidR="009F49D9" w:rsidRPr="00FA3054">
        <w:rPr>
          <w:rFonts w:ascii="Book Antiqua" w:hAnsi="Book Antiqua" w:cs="Times New Roman"/>
          <w:sz w:val="24"/>
          <w:szCs w:val="24"/>
          <w:lang w:val="en-US"/>
        </w:rPr>
        <w:t xml:space="preserve">To the best of our </w:t>
      </w:r>
      <w:r w:rsidR="009F49D9" w:rsidRPr="00FA3054">
        <w:rPr>
          <w:rFonts w:ascii="Book Antiqua" w:hAnsi="Book Antiqua" w:cs="Times New Roman"/>
          <w:sz w:val="24"/>
          <w:szCs w:val="24"/>
          <w:lang w:val="en-US"/>
        </w:rPr>
        <w:lastRenderedPageBreak/>
        <w:t xml:space="preserve">knowledge our study is the first report on the prognostic role of </w:t>
      </w:r>
      <w:r w:rsidR="000A7AA7" w:rsidRPr="00FA3054">
        <w:rPr>
          <w:rFonts w:ascii="Book Antiqua" w:hAnsi="Book Antiqua" w:cs="Times New Roman"/>
          <w:sz w:val="24"/>
          <w:szCs w:val="24"/>
          <w:lang w:val="en-US"/>
        </w:rPr>
        <w:t>this novel inflammatory biomarker</w:t>
      </w:r>
      <w:r w:rsidR="009F49D9" w:rsidRPr="00FA3054">
        <w:rPr>
          <w:rFonts w:ascii="Book Antiqua" w:hAnsi="Book Antiqua" w:cs="Times New Roman"/>
          <w:sz w:val="24"/>
          <w:szCs w:val="24"/>
          <w:lang w:val="en-US"/>
        </w:rPr>
        <w:t xml:space="preserve"> in metastatic CRC patients. </w:t>
      </w:r>
    </w:p>
    <w:p w:rsidR="000B6AB5" w:rsidRPr="00FA3054" w:rsidRDefault="00D72077" w:rsidP="00BB7527">
      <w:pPr>
        <w:spacing w:after="0" w:line="360" w:lineRule="auto"/>
        <w:ind w:firstLineChars="150" w:firstLine="360"/>
        <w:jc w:val="both"/>
        <w:rPr>
          <w:rFonts w:ascii="Book Antiqua" w:hAnsi="Book Antiqua" w:cs="Times New Roman"/>
          <w:sz w:val="24"/>
          <w:szCs w:val="24"/>
          <w:lang w:val="en-US"/>
        </w:rPr>
      </w:pPr>
      <w:r w:rsidRPr="00FA3054">
        <w:rPr>
          <w:rFonts w:ascii="Book Antiqua" w:hAnsi="Book Antiqua" w:cs="Times New Roman"/>
          <w:sz w:val="24"/>
          <w:szCs w:val="24"/>
          <w:lang w:val="en-US"/>
        </w:rPr>
        <w:t xml:space="preserve">In order to </w:t>
      </w:r>
      <w:r w:rsidR="00117902" w:rsidRPr="00FA3054">
        <w:rPr>
          <w:rFonts w:ascii="Book Antiqua" w:hAnsi="Book Antiqua" w:cs="Times New Roman"/>
          <w:sz w:val="24"/>
          <w:szCs w:val="24"/>
          <w:lang w:val="en-US"/>
        </w:rPr>
        <w:t>exclude</w:t>
      </w:r>
      <w:r w:rsidRPr="00FA3054">
        <w:rPr>
          <w:rFonts w:ascii="Book Antiqua" w:hAnsi="Book Antiqua" w:cs="Times New Roman"/>
          <w:sz w:val="24"/>
          <w:szCs w:val="24"/>
          <w:lang w:val="en-US"/>
        </w:rPr>
        <w:t xml:space="preserve"> any theoretical influence of other tumoral and clinical parameters on </w:t>
      </w:r>
      <w:r w:rsidR="00117902" w:rsidRPr="00FA3054">
        <w:rPr>
          <w:rFonts w:ascii="Book Antiqua" w:hAnsi="Book Antiqua" w:cs="Times New Roman"/>
          <w:sz w:val="24"/>
          <w:szCs w:val="24"/>
          <w:lang w:val="en-US"/>
        </w:rPr>
        <w:t>LMR values</w:t>
      </w:r>
      <w:r w:rsidRPr="00FA3054">
        <w:rPr>
          <w:rFonts w:ascii="Book Antiqua" w:hAnsi="Book Antiqua" w:cs="Times New Roman"/>
          <w:sz w:val="24"/>
          <w:szCs w:val="24"/>
          <w:lang w:val="en-US"/>
        </w:rPr>
        <w:t xml:space="preserve">, linear and logistic regression analyses were performed which confirmed the independence of </w:t>
      </w:r>
      <w:r w:rsidR="00117902" w:rsidRPr="00FA3054">
        <w:rPr>
          <w:rFonts w:ascii="Book Antiqua" w:hAnsi="Book Antiqua" w:cs="Times New Roman"/>
          <w:sz w:val="24"/>
          <w:szCs w:val="24"/>
          <w:lang w:val="en-US"/>
        </w:rPr>
        <w:t>lymphocyte-to-monocyte ratio</w:t>
      </w:r>
      <w:r w:rsidRPr="00FA3054">
        <w:rPr>
          <w:rFonts w:ascii="Book Antiqua" w:hAnsi="Book Antiqua" w:cs="Times New Roman"/>
          <w:sz w:val="24"/>
          <w:szCs w:val="24"/>
          <w:lang w:val="en-US"/>
        </w:rPr>
        <w:t xml:space="preserve"> from other baseline features. </w:t>
      </w:r>
      <w:r w:rsidR="00EF516A" w:rsidRPr="00FA3054">
        <w:rPr>
          <w:rFonts w:ascii="Book Antiqua" w:hAnsi="Book Antiqua" w:cs="Times New Roman"/>
          <w:sz w:val="24"/>
          <w:szCs w:val="24"/>
          <w:lang w:val="en-US"/>
        </w:rPr>
        <w:t>Aft</w:t>
      </w:r>
      <w:r w:rsidR="00D22020" w:rsidRPr="00FA3054">
        <w:rPr>
          <w:rFonts w:ascii="Book Antiqua" w:hAnsi="Book Antiqua" w:cs="Times New Roman"/>
          <w:sz w:val="24"/>
          <w:szCs w:val="24"/>
          <w:lang w:val="en-US"/>
        </w:rPr>
        <w:t xml:space="preserve">erwards, </w:t>
      </w:r>
      <w:r w:rsidR="00EF516A" w:rsidRPr="00FA3054">
        <w:rPr>
          <w:rFonts w:ascii="Book Antiqua" w:hAnsi="Book Antiqua" w:cs="Times New Roman"/>
          <w:sz w:val="24"/>
          <w:szCs w:val="24"/>
          <w:lang w:val="en-US"/>
        </w:rPr>
        <w:t>since LM</w:t>
      </w:r>
      <w:r w:rsidR="000F5FD2">
        <w:rPr>
          <w:rFonts w:ascii="Book Antiqua" w:hAnsi="Book Antiqua" w:cs="Times New Roman"/>
          <w:sz w:val="24"/>
          <w:szCs w:val="24"/>
          <w:lang w:val="en-US"/>
        </w:rPr>
        <w:t>R is a continuous variable,</w:t>
      </w:r>
      <w:r w:rsidR="00EF516A" w:rsidRPr="00FA3054">
        <w:rPr>
          <w:rFonts w:ascii="Book Antiqua" w:hAnsi="Book Antiqua" w:cs="Times New Roman"/>
          <w:sz w:val="24"/>
          <w:szCs w:val="24"/>
          <w:lang w:val="en-US"/>
        </w:rPr>
        <w:t xml:space="preserve"> </w:t>
      </w:r>
      <w:r w:rsidR="000F5FD2">
        <w:rPr>
          <w:rFonts w:ascii="Book Antiqua" w:hAnsi="Book Antiqua" w:cs="Times New Roman"/>
          <w:sz w:val="24"/>
          <w:szCs w:val="24"/>
          <w:lang w:val="en-US"/>
        </w:rPr>
        <w:t xml:space="preserve">all </w:t>
      </w:r>
      <w:r w:rsidR="00EF516A" w:rsidRPr="00FA3054">
        <w:rPr>
          <w:rFonts w:ascii="Book Antiqua" w:hAnsi="Book Antiqua" w:cs="Times New Roman"/>
          <w:sz w:val="24"/>
          <w:szCs w:val="24"/>
          <w:lang w:val="en-US"/>
        </w:rPr>
        <w:t>value</w:t>
      </w:r>
      <w:r w:rsidR="000F5FD2">
        <w:rPr>
          <w:rFonts w:ascii="Book Antiqua" w:hAnsi="Book Antiqua" w:cs="Times New Roman"/>
          <w:sz w:val="24"/>
          <w:szCs w:val="24"/>
          <w:lang w:val="en-US"/>
        </w:rPr>
        <w:t>s observed in our population were</w:t>
      </w:r>
      <w:r w:rsidR="00EF516A" w:rsidRPr="00FA3054">
        <w:rPr>
          <w:rFonts w:ascii="Book Antiqua" w:hAnsi="Book Antiqua" w:cs="Times New Roman"/>
          <w:sz w:val="24"/>
          <w:szCs w:val="24"/>
          <w:lang w:val="en-US"/>
        </w:rPr>
        <w:t xml:space="preserve"> tested </w:t>
      </w:r>
      <w:r w:rsidR="00F1637E">
        <w:rPr>
          <w:rFonts w:ascii="Book Antiqua" w:hAnsi="Book Antiqua" w:cs="Times New Roman"/>
          <w:sz w:val="24"/>
          <w:szCs w:val="24"/>
          <w:lang w:val="en-US"/>
        </w:rPr>
        <w:t>with log-rank analysis as</w:t>
      </w:r>
      <w:r w:rsidR="00EF516A" w:rsidRPr="00FA3054">
        <w:rPr>
          <w:rFonts w:ascii="Book Antiqua" w:hAnsi="Book Antiqua" w:cs="Times New Roman"/>
          <w:sz w:val="24"/>
          <w:szCs w:val="24"/>
          <w:lang w:val="en-US"/>
        </w:rPr>
        <w:t xml:space="preserve"> predictor</w:t>
      </w:r>
      <w:r w:rsidR="00F1637E">
        <w:rPr>
          <w:rFonts w:ascii="Book Antiqua" w:hAnsi="Book Antiqua" w:cs="Times New Roman"/>
          <w:sz w:val="24"/>
          <w:szCs w:val="24"/>
          <w:lang w:val="en-US"/>
        </w:rPr>
        <w:t>s of survival</w:t>
      </w:r>
      <w:r w:rsidR="003D04C3">
        <w:rPr>
          <w:rFonts w:ascii="Book Antiqua" w:hAnsi="Book Antiqua" w:cs="Times New Roman"/>
          <w:sz w:val="24"/>
          <w:szCs w:val="24"/>
          <w:lang w:val="en-US"/>
        </w:rPr>
        <w:t xml:space="preserve"> in order to identify</w:t>
      </w:r>
      <w:r w:rsidR="00EF516A" w:rsidRPr="00FA3054">
        <w:rPr>
          <w:rFonts w:ascii="Book Antiqua" w:hAnsi="Book Antiqua" w:cs="Times New Roman"/>
          <w:sz w:val="24"/>
          <w:szCs w:val="24"/>
          <w:lang w:val="en-US"/>
        </w:rPr>
        <w:t xml:space="preserve"> a</w:t>
      </w:r>
      <w:r w:rsidR="003D04C3">
        <w:rPr>
          <w:rFonts w:ascii="Book Antiqua" w:hAnsi="Book Antiqua" w:cs="Times New Roman"/>
          <w:sz w:val="24"/>
          <w:szCs w:val="24"/>
          <w:lang w:val="en-US"/>
        </w:rPr>
        <w:t>n accurate cut-off point aimed at</w:t>
      </w:r>
      <w:r w:rsidR="00EF516A" w:rsidRPr="00FA3054">
        <w:rPr>
          <w:rFonts w:ascii="Book Antiqua" w:hAnsi="Book Antiqua" w:cs="Times New Roman"/>
          <w:sz w:val="24"/>
          <w:szCs w:val="24"/>
          <w:lang w:val="en-US"/>
        </w:rPr>
        <w:t xml:space="preserve"> stratify</w:t>
      </w:r>
      <w:r w:rsidR="003D04C3">
        <w:rPr>
          <w:rFonts w:ascii="Book Antiqua" w:hAnsi="Book Antiqua" w:cs="Times New Roman"/>
          <w:sz w:val="24"/>
          <w:szCs w:val="24"/>
          <w:lang w:val="en-US"/>
        </w:rPr>
        <w:t>ing</w:t>
      </w:r>
      <w:r w:rsidR="00EF516A" w:rsidRPr="00FA3054">
        <w:rPr>
          <w:rFonts w:ascii="Book Antiqua" w:hAnsi="Book Antiqua" w:cs="Times New Roman"/>
          <w:sz w:val="24"/>
          <w:szCs w:val="24"/>
          <w:lang w:val="en-US"/>
        </w:rPr>
        <w:t xml:space="preserve"> </w:t>
      </w:r>
      <w:r w:rsidR="003D04C3">
        <w:rPr>
          <w:rFonts w:ascii="Book Antiqua" w:hAnsi="Book Antiqua" w:cs="Times New Roman"/>
          <w:sz w:val="24"/>
          <w:szCs w:val="24"/>
          <w:lang w:val="en-US"/>
        </w:rPr>
        <w:t>the whole cohort</w:t>
      </w:r>
      <w:r w:rsidR="00EF516A" w:rsidRPr="00FA3054">
        <w:rPr>
          <w:rFonts w:ascii="Book Antiqua" w:hAnsi="Book Antiqua" w:cs="Times New Roman"/>
          <w:sz w:val="24"/>
          <w:szCs w:val="24"/>
          <w:lang w:val="en-US"/>
        </w:rPr>
        <w:t xml:space="preserve"> in two different prognostic groups. The higher HR was obtained using as </w:t>
      </w:r>
      <w:r w:rsidR="000B6AB5" w:rsidRPr="00FA3054">
        <w:rPr>
          <w:rFonts w:ascii="Book Antiqua" w:hAnsi="Book Antiqua" w:cs="Times New Roman"/>
          <w:sz w:val="24"/>
          <w:szCs w:val="24"/>
          <w:lang w:val="en-US"/>
        </w:rPr>
        <w:t>LMR</w:t>
      </w:r>
      <w:r w:rsidR="00EF516A" w:rsidRPr="00FA3054">
        <w:rPr>
          <w:rFonts w:ascii="Book Antiqua" w:hAnsi="Book Antiqua" w:cs="Times New Roman"/>
          <w:sz w:val="24"/>
          <w:szCs w:val="24"/>
          <w:lang w:val="en-US"/>
        </w:rPr>
        <w:t xml:space="preserve"> cut-off level </w:t>
      </w:r>
      <w:r w:rsidR="000B6AB5" w:rsidRPr="00FA3054">
        <w:rPr>
          <w:rFonts w:ascii="Book Antiqua" w:hAnsi="Book Antiqua" w:cs="Times New Roman"/>
          <w:sz w:val="24"/>
          <w:szCs w:val="24"/>
          <w:lang w:val="en-US"/>
        </w:rPr>
        <w:t>3.96%</w:t>
      </w:r>
      <w:r w:rsidR="00EF516A" w:rsidRPr="00FA3054">
        <w:rPr>
          <w:rFonts w:ascii="Book Antiqua" w:hAnsi="Book Antiqua" w:cs="Times New Roman"/>
          <w:sz w:val="24"/>
          <w:szCs w:val="24"/>
          <w:lang w:val="en-US"/>
        </w:rPr>
        <w:t xml:space="preserve">. </w:t>
      </w:r>
    </w:p>
    <w:p w:rsidR="000B6AB5" w:rsidRPr="00FA3054" w:rsidRDefault="007A7BEA" w:rsidP="00BB7527">
      <w:pPr>
        <w:spacing w:after="0" w:line="360" w:lineRule="auto"/>
        <w:ind w:firstLineChars="150" w:firstLine="360"/>
        <w:jc w:val="both"/>
        <w:rPr>
          <w:rFonts w:ascii="Book Antiqua" w:hAnsi="Book Antiqua" w:cs="Times New Roman"/>
          <w:sz w:val="24"/>
          <w:szCs w:val="24"/>
          <w:lang w:val="en-US"/>
        </w:rPr>
      </w:pPr>
      <w:r w:rsidRPr="00FA3054">
        <w:rPr>
          <w:rFonts w:ascii="Book Antiqua" w:hAnsi="Book Antiqua" w:cs="Times New Roman"/>
          <w:sz w:val="24"/>
          <w:szCs w:val="24"/>
          <w:lang w:val="en-US"/>
        </w:rPr>
        <w:t>Noteworthy,</w:t>
      </w:r>
      <w:r w:rsidR="00991010" w:rsidRPr="00FA3054">
        <w:rPr>
          <w:rFonts w:ascii="Book Antiqua" w:hAnsi="Book Antiqua" w:cs="Times New Roman"/>
          <w:sz w:val="24"/>
          <w:szCs w:val="24"/>
          <w:lang w:val="en-US"/>
        </w:rPr>
        <w:t xml:space="preserve"> the cut-off point found in our analysis is consistent with other reports using LMR as predictor of patients survival</w:t>
      </w:r>
      <w:r w:rsidR="00DD3CA9" w:rsidRPr="00FA3054">
        <w:rPr>
          <w:rFonts w:ascii="Book Antiqua" w:hAnsi="Book Antiqua" w:cs="Times New Roman"/>
          <w:sz w:val="24"/>
          <w:szCs w:val="24"/>
          <w:lang w:val="en-US"/>
        </w:rPr>
        <w:t xml:space="preserve"> in several cancers</w:t>
      </w:r>
      <w:r w:rsidR="00991010" w:rsidRPr="00FA3054">
        <w:rPr>
          <w:rFonts w:ascii="Book Antiqua" w:hAnsi="Book Antiqua" w:cs="Times New Roman"/>
          <w:sz w:val="24"/>
          <w:szCs w:val="24"/>
          <w:lang w:val="en-US"/>
        </w:rPr>
        <w:t xml:space="preserve"> and this aspect further strengthen</w:t>
      </w:r>
      <w:r w:rsidR="00B52AAC" w:rsidRPr="00FA3054">
        <w:rPr>
          <w:rFonts w:ascii="Book Antiqua" w:hAnsi="Book Antiqua" w:cs="Times New Roman"/>
          <w:sz w:val="24"/>
          <w:szCs w:val="24"/>
          <w:lang w:val="en-US"/>
        </w:rPr>
        <w:t>s</w:t>
      </w:r>
      <w:r w:rsidR="00991010" w:rsidRPr="00FA3054">
        <w:rPr>
          <w:rFonts w:ascii="Book Antiqua" w:hAnsi="Book Antiqua" w:cs="Times New Roman"/>
          <w:sz w:val="24"/>
          <w:szCs w:val="24"/>
          <w:lang w:val="en-US"/>
        </w:rPr>
        <w:t xml:space="preserve"> and put</w:t>
      </w:r>
      <w:r w:rsidR="00B52AAC" w:rsidRPr="00FA3054">
        <w:rPr>
          <w:rFonts w:ascii="Book Antiqua" w:hAnsi="Book Antiqua" w:cs="Times New Roman"/>
          <w:sz w:val="24"/>
          <w:szCs w:val="24"/>
          <w:lang w:val="en-US"/>
        </w:rPr>
        <w:t>s</w:t>
      </w:r>
      <w:r w:rsidR="00991010" w:rsidRPr="00FA3054">
        <w:rPr>
          <w:rFonts w:ascii="Book Antiqua" w:hAnsi="Book Antiqua" w:cs="Times New Roman"/>
          <w:sz w:val="24"/>
          <w:szCs w:val="24"/>
          <w:lang w:val="en-US"/>
        </w:rPr>
        <w:t xml:space="preserve"> our results in l</w:t>
      </w:r>
      <w:r w:rsidR="00BB7527">
        <w:rPr>
          <w:rFonts w:ascii="Book Antiqua" w:hAnsi="Book Antiqua" w:cs="Times New Roman"/>
          <w:sz w:val="24"/>
          <w:szCs w:val="24"/>
          <w:lang w:val="en-US"/>
        </w:rPr>
        <w:t>ine with the current literature</w:t>
      </w:r>
      <w:r w:rsidR="00991010" w:rsidRPr="00D25D36">
        <w:rPr>
          <w:rFonts w:ascii="Book Antiqua" w:hAnsi="Book Antiqua" w:cs="Times New Roman"/>
          <w:sz w:val="24"/>
          <w:szCs w:val="24"/>
          <w:vertAlign w:val="superscript"/>
          <w:lang w:val="en-US"/>
        </w:rPr>
        <w:t>[19,30]</w:t>
      </w:r>
      <w:r w:rsidR="00991010" w:rsidRPr="00FA3054">
        <w:rPr>
          <w:rFonts w:ascii="Book Antiqua" w:hAnsi="Book Antiqua" w:cs="Times New Roman"/>
          <w:sz w:val="24"/>
          <w:szCs w:val="24"/>
          <w:lang w:val="en-US"/>
        </w:rPr>
        <w:t xml:space="preserve">.  </w:t>
      </w:r>
      <w:r w:rsidRPr="00FA3054">
        <w:rPr>
          <w:rFonts w:ascii="Book Antiqua" w:hAnsi="Book Antiqua" w:cs="Times New Roman"/>
          <w:sz w:val="24"/>
          <w:szCs w:val="24"/>
          <w:lang w:val="en-US"/>
        </w:rPr>
        <w:t xml:space="preserve"> </w:t>
      </w:r>
    </w:p>
    <w:p w:rsidR="00EF0D9F" w:rsidRPr="00FA3054" w:rsidRDefault="00581FFB" w:rsidP="00BB7527">
      <w:pPr>
        <w:spacing w:after="0" w:line="360" w:lineRule="auto"/>
        <w:ind w:firstLineChars="150" w:firstLine="360"/>
        <w:jc w:val="both"/>
        <w:rPr>
          <w:rFonts w:ascii="Book Antiqua" w:hAnsi="Book Antiqua" w:cs="Times New Roman"/>
          <w:sz w:val="24"/>
          <w:szCs w:val="24"/>
          <w:lang w:val="en-US"/>
        </w:rPr>
      </w:pPr>
      <w:r w:rsidRPr="00FA3054">
        <w:rPr>
          <w:rFonts w:ascii="Book Antiqua" w:hAnsi="Book Antiqua" w:cs="Times New Roman"/>
          <w:sz w:val="24"/>
          <w:szCs w:val="24"/>
          <w:lang w:val="en-US"/>
        </w:rPr>
        <w:t xml:space="preserve">Patients presenting </w:t>
      </w:r>
      <w:r w:rsidR="00EF0D9F" w:rsidRPr="00FA3054">
        <w:rPr>
          <w:rFonts w:ascii="Book Antiqua" w:hAnsi="Book Antiqua" w:cs="Times New Roman"/>
          <w:sz w:val="24"/>
          <w:szCs w:val="24"/>
          <w:lang w:val="en-US"/>
        </w:rPr>
        <w:t>a higher pre-treatment LMR</w:t>
      </w:r>
      <w:r w:rsidRPr="00FA3054">
        <w:rPr>
          <w:rFonts w:ascii="Book Antiqua" w:hAnsi="Book Antiqua" w:cs="Times New Roman"/>
          <w:sz w:val="24"/>
          <w:szCs w:val="24"/>
          <w:lang w:val="en-US"/>
        </w:rPr>
        <w:t xml:space="preserve"> </w:t>
      </w:r>
      <w:r w:rsidR="00EF0D9F" w:rsidRPr="00FA3054">
        <w:rPr>
          <w:rFonts w:ascii="Book Antiqua" w:hAnsi="Book Antiqua" w:cs="Times New Roman"/>
          <w:sz w:val="24"/>
          <w:szCs w:val="24"/>
          <w:lang w:val="en-US"/>
        </w:rPr>
        <w:t xml:space="preserve">beyond the aforementioned cut-off </w:t>
      </w:r>
      <w:r w:rsidRPr="00FA3054">
        <w:rPr>
          <w:rFonts w:ascii="Book Antiqua" w:hAnsi="Book Antiqua" w:cs="Times New Roman"/>
          <w:sz w:val="24"/>
          <w:szCs w:val="24"/>
          <w:lang w:val="en-US"/>
        </w:rPr>
        <w:t>showed significant</w:t>
      </w:r>
      <w:r w:rsidR="00EF0D9F" w:rsidRPr="00FA3054">
        <w:rPr>
          <w:rFonts w:ascii="Book Antiqua" w:hAnsi="Book Antiqua" w:cs="Times New Roman"/>
          <w:sz w:val="24"/>
          <w:szCs w:val="24"/>
          <w:lang w:val="en-US"/>
        </w:rPr>
        <w:t>ly better</w:t>
      </w:r>
      <w:r w:rsidRPr="00FA3054">
        <w:rPr>
          <w:rFonts w:ascii="Book Antiqua" w:hAnsi="Book Antiqua" w:cs="Times New Roman"/>
          <w:sz w:val="24"/>
          <w:szCs w:val="24"/>
          <w:lang w:val="en-US"/>
        </w:rPr>
        <w:t xml:space="preserve"> survival </w:t>
      </w:r>
      <w:r w:rsidR="00007115" w:rsidRPr="00FA3054">
        <w:rPr>
          <w:rFonts w:ascii="Book Antiqua" w:hAnsi="Book Antiqua" w:cs="Times New Roman"/>
          <w:sz w:val="24"/>
          <w:szCs w:val="24"/>
          <w:lang w:val="en-US"/>
        </w:rPr>
        <w:t xml:space="preserve">outcomes with </w:t>
      </w:r>
      <w:r w:rsidR="00E70EBD" w:rsidRPr="00FA3054">
        <w:rPr>
          <w:rFonts w:ascii="Book Antiqua" w:hAnsi="Book Antiqua" w:cs="Times New Roman"/>
          <w:sz w:val="24"/>
          <w:szCs w:val="24"/>
          <w:lang w:val="en-US"/>
        </w:rPr>
        <w:t xml:space="preserve">a </w:t>
      </w:r>
      <w:r w:rsidR="00007115" w:rsidRPr="00FA3054">
        <w:rPr>
          <w:rFonts w:ascii="Book Antiqua" w:hAnsi="Book Antiqua" w:cs="Times New Roman"/>
          <w:sz w:val="24"/>
          <w:szCs w:val="24"/>
          <w:lang w:val="en-US"/>
        </w:rPr>
        <w:t xml:space="preserve">median OS of </w:t>
      </w:r>
      <w:r w:rsidR="00EF0D9F" w:rsidRPr="00FA3054">
        <w:rPr>
          <w:rFonts w:ascii="Book Antiqua" w:hAnsi="Book Antiqua" w:cs="Times New Roman"/>
          <w:sz w:val="24"/>
          <w:szCs w:val="24"/>
          <w:lang w:val="en-US"/>
        </w:rPr>
        <w:t xml:space="preserve">55 </w:t>
      </w:r>
      <w:r w:rsidR="00BB7527">
        <w:rPr>
          <w:rFonts w:ascii="Book Antiqua" w:hAnsi="Book Antiqua" w:cs="Times New Roman" w:hint="eastAsia"/>
          <w:sz w:val="24"/>
          <w:szCs w:val="24"/>
          <w:lang w:val="en-US" w:eastAsia="zh-CN"/>
        </w:rPr>
        <w:t>mo</w:t>
      </w:r>
      <w:r w:rsidR="00EF0D9F" w:rsidRPr="00FA3054">
        <w:rPr>
          <w:rFonts w:ascii="Book Antiqua" w:hAnsi="Book Antiqua" w:cs="Times New Roman"/>
          <w:sz w:val="24"/>
          <w:szCs w:val="24"/>
          <w:lang w:val="en-US"/>
        </w:rPr>
        <w:t xml:space="preserve"> (</w:t>
      </w:r>
      <w:r w:rsidR="00C03255" w:rsidRPr="00BB7527">
        <w:rPr>
          <w:rFonts w:ascii="Book Antiqua" w:hAnsi="Book Antiqua" w:cs="Times New Roman" w:hint="eastAsia"/>
          <w:i/>
          <w:sz w:val="24"/>
          <w:szCs w:val="24"/>
          <w:lang w:val="en-US" w:eastAsia="zh-CN"/>
        </w:rPr>
        <w:t>vs</w:t>
      </w:r>
      <w:r w:rsidR="00C03255" w:rsidRPr="00FA3054">
        <w:rPr>
          <w:rFonts w:ascii="Book Antiqua" w:hAnsi="Book Antiqua" w:cs="Times New Roman"/>
          <w:sz w:val="24"/>
          <w:szCs w:val="24"/>
          <w:lang w:val="en-US"/>
        </w:rPr>
        <w:t xml:space="preserve"> </w:t>
      </w:r>
      <w:r w:rsidR="00EF0D9F" w:rsidRPr="00FA3054">
        <w:rPr>
          <w:rFonts w:ascii="Book Antiqua" w:hAnsi="Book Antiqua" w:cs="Times New Roman"/>
          <w:sz w:val="24"/>
          <w:szCs w:val="24"/>
          <w:lang w:val="en-US"/>
        </w:rPr>
        <w:t xml:space="preserve">34 in patients with LMR ≤ 3.96 %, </w:t>
      </w:r>
      <w:r w:rsidR="00BB7527" w:rsidRPr="00BB7527">
        <w:rPr>
          <w:rFonts w:ascii="Book Antiqua" w:hAnsi="Book Antiqua" w:cs="Times New Roman"/>
          <w:i/>
          <w:sz w:val="24"/>
          <w:szCs w:val="24"/>
          <w:lang w:val="en-US"/>
        </w:rPr>
        <w:t>P</w:t>
      </w:r>
      <w:r w:rsidR="00BB7527" w:rsidRPr="00FA3054">
        <w:rPr>
          <w:rFonts w:ascii="Book Antiqua" w:hAnsi="Book Antiqua" w:cs="Times New Roman"/>
          <w:sz w:val="24"/>
          <w:szCs w:val="24"/>
          <w:lang w:val="en-US"/>
        </w:rPr>
        <w:t xml:space="preserve"> </w:t>
      </w:r>
      <w:r w:rsidR="00EF0D9F" w:rsidRPr="00FA3054">
        <w:rPr>
          <w:rFonts w:ascii="Book Antiqua" w:hAnsi="Book Antiqua" w:cs="Times New Roman"/>
          <w:sz w:val="24"/>
          <w:szCs w:val="24"/>
          <w:lang w:val="en-US"/>
        </w:rPr>
        <w:t>=</w:t>
      </w:r>
      <w:r w:rsidR="00BB7527">
        <w:rPr>
          <w:rFonts w:ascii="Book Antiqua" w:hAnsi="Book Antiqua" w:cs="Times New Roman" w:hint="eastAsia"/>
          <w:sz w:val="24"/>
          <w:szCs w:val="24"/>
          <w:lang w:val="en-US" w:eastAsia="zh-CN"/>
        </w:rPr>
        <w:t xml:space="preserve"> </w:t>
      </w:r>
      <w:r w:rsidR="00EF0D9F" w:rsidRPr="00FA3054">
        <w:rPr>
          <w:rFonts w:ascii="Book Antiqua" w:hAnsi="Book Antiqua" w:cs="Times New Roman"/>
          <w:sz w:val="24"/>
          <w:szCs w:val="24"/>
          <w:lang w:val="en-US"/>
        </w:rPr>
        <w:t xml:space="preserve">0.007) and median TTR of 35 </w:t>
      </w:r>
      <w:r w:rsidR="00BB7527">
        <w:rPr>
          <w:rFonts w:ascii="Book Antiqua" w:hAnsi="Book Antiqua" w:cs="Times New Roman" w:hint="eastAsia"/>
          <w:sz w:val="24"/>
          <w:szCs w:val="24"/>
          <w:lang w:val="en-US" w:eastAsia="zh-CN"/>
        </w:rPr>
        <w:t>mo</w:t>
      </w:r>
      <w:r w:rsidR="00EF0D9F" w:rsidRPr="00FA3054">
        <w:rPr>
          <w:rFonts w:ascii="Book Antiqua" w:hAnsi="Book Antiqua" w:cs="Times New Roman"/>
          <w:sz w:val="24"/>
          <w:szCs w:val="24"/>
          <w:lang w:val="en-US"/>
        </w:rPr>
        <w:t xml:space="preserve"> (</w:t>
      </w:r>
      <w:r w:rsidR="00BB7527" w:rsidRPr="00BB7527">
        <w:rPr>
          <w:rFonts w:ascii="Book Antiqua" w:hAnsi="Book Antiqua" w:cs="Times New Roman" w:hint="eastAsia"/>
          <w:i/>
          <w:sz w:val="24"/>
          <w:szCs w:val="24"/>
          <w:lang w:val="en-US" w:eastAsia="zh-CN"/>
        </w:rPr>
        <w:t>vs</w:t>
      </w:r>
      <w:r w:rsidR="00EF0D9F" w:rsidRPr="00FA3054">
        <w:rPr>
          <w:rFonts w:ascii="Book Antiqua" w:hAnsi="Book Antiqua" w:cs="Times New Roman"/>
          <w:sz w:val="24"/>
          <w:szCs w:val="24"/>
          <w:lang w:val="en-US"/>
        </w:rPr>
        <w:t xml:space="preserve"> 25 in the group ≤ 3.96%, </w:t>
      </w:r>
      <w:r w:rsidR="00BB7527" w:rsidRPr="00BB7527">
        <w:rPr>
          <w:rFonts w:ascii="Book Antiqua" w:hAnsi="Book Antiqua" w:cs="Times New Roman"/>
          <w:i/>
          <w:sz w:val="24"/>
          <w:szCs w:val="24"/>
          <w:lang w:val="en-US"/>
        </w:rPr>
        <w:t>P</w:t>
      </w:r>
      <w:r w:rsidR="00BB7527" w:rsidRPr="00FA3054">
        <w:rPr>
          <w:rFonts w:ascii="Book Antiqua" w:hAnsi="Book Antiqua" w:cs="Times New Roman"/>
          <w:sz w:val="24"/>
          <w:szCs w:val="24"/>
          <w:lang w:val="en-US"/>
        </w:rPr>
        <w:t xml:space="preserve"> </w:t>
      </w:r>
      <w:r w:rsidR="00EF0D9F" w:rsidRPr="00FA3054">
        <w:rPr>
          <w:rFonts w:ascii="Book Antiqua" w:hAnsi="Book Antiqua" w:cs="Times New Roman"/>
          <w:sz w:val="24"/>
          <w:szCs w:val="24"/>
          <w:lang w:val="en-US"/>
        </w:rPr>
        <w:t>=</w:t>
      </w:r>
      <w:r w:rsidR="00BB7527">
        <w:rPr>
          <w:rFonts w:ascii="Book Antiqua" w:hAnsi="Book Antiqua" w:cs="Times New Roman" w:hint="eastAsia"/>
          <w:sz w:val="24"/>
          <w:szCs w:val="24"/>
          <w:lang w:val="en-US" w:eastAsia="zh-CN"/>
        </w:rPr>
        <w:t xml:space="preserve"> </w:t>
      </w:r>
      <w:r w:rsidR="00EF0D9F" w:rsidRPr="00FA3054">
        <w:rPr>
          <w:rFonts w:ascii="Book Antiqua" w:hAnsi="Book Antiqua" w:cs="Times New Roman"/>
          <w:sz w:val="24"/>
          <w:szCs w:val="24"/>
          <w:lang w:val="en-US"/>
        </w:rPr>
        <w:t xml:space="preserve">0.02). </w:t>
      </w:r>
    </w:p>
    <w:p w:rsidR="00EF0D9F" w:rsidRPr="00FA3054" w:rsidRDefault="0082351F" w:rsidP="00BB7527">
      <w:pPr>
        <w:spacing w:after="0" w:line="360" w:lineRule="auto"/>
        <w:ind w:firstLineChars="150" w:firstLine="360"/>
        <w:jc w:val="both"/>
        <w:rPr>
          <w:rFonts w:ascii="Book Antiqua" w:hAnsi="Book Antiqua" w:cs="Times New Roman"/>
          <w:sz w:val="24"/>
          <w:szCs w:val="24"/>
          <w:lang w:val="en-US"/>
        </w:rPr>
      </w:pPr>
      <w:r w:rsidRPr="00FA3054">
        <w:rPr>
          <w:rFonts w:ascii="Book Antiqua" w:hAnsi="Book Antiqua" w:cs="Times New Roman"/>
          <w:sz w:val="24"/>
          <w:szCs w:val="24"/>
          <w:lang w:val="en-US"/>
        </w:rPr>
        <w:t>Cox multivariate analysis confirmed LMR, together with tumor size, as a significant predictor of either OS and TTR (</w:t>
      </w:r>
      <w:r w:rsidR="00BB7527" w:rsidRPr="00BB7527">
        <w:rPr>
          <w:rFonts w:ascii="Book Antiqua" w:hAnsi="Book Antiqua" w:cs="Times New Roman"/>
          <w:i/>
          <w:sz w:val="24"/>
          <w:szCs w:val="24"/>
          <w:lang w:val="en-US"/>
        </w:rPr>
        <w:t>P</w:t>
      </w:r>
      <w:r w:rsidR="00BB7527" w:rsidRPr="00FA3054">
        <w:rPr>
          <w:rFonts w:ascii="Book Antiqua" w:hAnsi="Book Antiqua" w:cs="Times New Roman"/>
          <w:sz w:val="24"/>
          <w:szCs w:val="24"/>
          <w:lang w:val="en-US"/>
        </w:rPr>
        <w:t xml:space="preserve"> </w:t>
      </w:r>
      <w:r w:rsidRPr="00FA3054">
        <w:rPr>
          <w:rFonts w:ascii="Book Antiqua" w:hAnsi="Book Antiqua" w:cs="Times New Roman"/>
          <w:sz w:val="24"/>
          <w:szCs w:val="24"/>
          <w:lang w:val="en-US"/>
        </w:rPr>
        <w:t>= 0.02 and 0.01</w:t>
      </w:r>
      <w:r w:rsidR="00C03255">
        <w:rPr>
          <w:rFonts w:ascii="Book Antiqua" w:hAnsi="Book Antiqua" w:cs="Times New Roman" w:hint="eastAsia"/>
          <w:sz w:val="24"/>
          <w:szCs w:val="24"/>
          <w:lang w:val="en-US" w:eastAsia="zh-CN"/>
        </w:rPr>
        <w:t>;</w:t>
      </w:r>
      <w:r w:rsidRPr="00FA3054">
        <w:rPr>
          <w:rFonts w:ascii="Book Antiqua" w:hAnsi="Book Antiqua" w:cs="Times New Roman"/>
          <w:sz w:val="24"/>
          <w:szCs w:val="24"/>
          <w:lang w:val="en-US"/>
        </w:rPr>
        <w:t xml:space="preserve"> respectively). </w:t>
      </w:r>
    </w:p>
    <w:p w:rsidR="00730BF4" w:rsidRPr="00FA3054" w:rsidRDefault="006D0E7B" w:rsidP="00BB7527">
      <w:pPr>
        <w:spacing w:after="0" w:line="360" w:lineRule="auto"/>
        <w:ind w:firstLineChars="150" w:firstLine="360"/>
        <w:jc w:val="both"/>
        <w:rPr>
          <w:rFonts w:ascii="Book Antiqua" w:eastAsia="Calibri" w:hAnsi="Book Antiqua" w:cs="Times New Roman"/>
          <w:sz w:val="24"/>
          <w:szCs w:val="24"/>
          <w:lang w:val="en-US"/>
        </w:rPr>
      </w:pPr>
      <w:r w:rsidRPr="00FA3054">
        <w:rPr>
          <w:rFonts w:ascii="Book Antiqua" w:eastAsia="Calibri" w:hAnsi="Book Antiqua" w:cs="Times New Roman"/>
          <w:sz w:val="24"/>
          <w:szCs w:val="24"/>
          <w:lang w:val="en-US"/>
        </w:rPr>
        <w:t>Interestingly, LMR resulted superior to both NLR and absolute monocyte count in prognostic accuracy and this represents one of the most</w:t>
      </w:r>
      <w:r w:rsidR="00E51681" w:rsidRPr="00FA3054">
        <w:rPr>
          <w:rFonts w:ascii="Book Antiqua" w:eastAsia="Calibri" w:hAnsi="Book Antiqua" w:cs="Times New Roman"/>
          <w:sz w:val="24"/>
          <w:szCs w:val="24"/>
          <w:lang w:val="en-US"/>
        </w:rPr>
        <w:t xml:space="preserve"> important findings in our study</w:t>
      </w:r>
      <w:r w:rsidRPr="00FA3054">
        <w:rPr>
          <w:rFonts w:ascii="Book Antiqua" w:eastAsia="Calibri" w:hAnsi="Book Antiqua" w:cs="Times New Roman"/>
          <w:sz w:val="24"/>
          <w:szCs w:val="24"/>
          <w:lang w:val="en-US"/>
        </w:rPr>
        <w:t xml:space="preserve">. </w:t>
      </w:r>
      <w:r w:rsidR="009C2E4B" w:rsidRPr="00FA3054">
        <w:rPr>
          <w:rFonts w:ascii="Book Antiqua" w:eastAsia="Calibri" w:hAnsi="Book Antiqua" w:cs="Times New Roman"/>
          <w:sz w:val="24"/>
          <w:szCs w:val="24"/>
          <w:lang w:val="en-US"/>
        </w:rPr>
        <w:t xml:space="preserve">If confirmed in larger prospective series our results could pave the way to the wide use of this useful and commonly available marker in the clinical field. </w:t>
      </w:r>
    </w:p>
    <w:p w:rsidR="00AC06C1" w:rsidRPr="00FA3054" w:rsidRDefault="00AC06C1" w:rsidP="00BB7527">
      <w:pPr>
        <w:spacing w:after="0" w:line="360" w:lineRule="auto"/>
        <w:ind w:firstLineChars="150" w:firstLine="360"/>
        <w:jc w:val="both"/>
        <w:rPr>
          <w:rFonts w:ascii="Book Antiqua" w:hAnsi="Book Antiqua" w:cs="Times New Roman"/>
          <w:sz w:val="24"/>
          <w:szCs w:val="24"/>
          <w:lang w:val="en-US"/>
        </w:rPr>
      </w:pPr>
      <w:r w:rsidRPr="00FA3054">
        <w:rPr>
          <w:rFonts w:ascii="Book Antiqua" w:hAnsi="Book Antiqua" w:cs="Times New Roman"/>
          <w:sz w:val="24"/>
          <w:szCs w:val="24"/>
          <w:lang w:val="en-US"/>
        </w:rPr>
        <w:t>With regard to toxicity and tumor response, our results are in keeping with most of the published literature and confirm the effectiveness of RFA in CLM patients</w:t>
      </w:r>
      <w:r w:rsidR="009D46D3" w:rsidRPr="00393A30">
        <w:rPr>
          <w:rFonts w:ascii="Book Antiqua" w:hAnsi="Book Antiqua" w:cs="Times New Roman"/>
          <w:sz w:val="24"/>
          <w:szCs w:val="24"/>
          <w:vertAlign w:val="superscript"/>
          <w:lang w:val="en-US"/>
        </w:rPr>
        <w:t>[3,26,27]</w:t>
      </w:r>
      <w:r w:rsidRPr="00FA3054">
        <w:rPr>
          <w:rFonts w:ascii="Book Antiqua" w:hAnsi="Book Antiqua" w:cs="Times New Roman"/>
          <w:sz w:val="24"/>
          <w:szCs w:val="24"/>
          <w:lang w:val="en-US"/>
        </w:rPr>
        <w:t xml:space="preserve">. </w:t>
      </w:r>
    </w:p>
    <w:p w:rsidR="00591031" w:rsidRPr="00FA3054" w:rsidRDefault="00591031" w:rsidP="00BB7527">
      <w:pPr>
        <w:spacing w:after="0" w:line="360" w:lineRule="auto"/>
        <w:ind w:firstLineChars="150" w:firstLine="360"/>
        <w:jc w:val="both"/>
        <w:rPr>
          <w:rFonts w:ascii="Book Antiqua" w:hAnsi="Book Antiqua" w:cs="Times New Roman"/>
          <w:sz w:val="24"/>
          <w:szCs w:val="24"/>
          <w:lang w:val="en-US"/>
        </w:rPr>
      </w:pPr>
      <w:r w:rsidRPr="00FA3054">
        <w:rPr>
          <w:rFonts w:ascii="Book Antiqua" w:hAnsi="Book Antiqua" w:cs="Times New Roman"/>
          <w:sz w:val="24"/>
          <w:szCs w:val="24"/>
          <w:lang w:val="en-US"/>
        </w:rPr>
        <w:t>The main strength of the current stu</w:t>
      </w:r>
      <w:r w:rsidR="004416C4" w:rsidRPr="00FA3054">
        <w:rPr>
          <w:rFonts w:ascii="Book Antiqua" w:hAnsi="Book Antiqua" w:cs="Times New Roman"/>
          <w:sz w:val="24"/>
          <w:szCs w:val="24"/>
          <w:lang w:val="en-US"/>
        </w:rPr>
        <w:t>dy is the novelty of our findings that propose</w:t>
      </w:r>
      <w:r w:rsidR="00555DA7" w:rsidRPr="00FA3054">
        <w:rPr>
          <w:rFonts w:ascii="Book Antiqua" w:hAnsi="Book Antiqua" w:cs="Times New Roman"/>
          <w:sz w:val="24"/>
          <w:szCs w:val="24"/>
          <w:lang w:val="en-US"/>
        </w:rPr>
        <w:t xml:space="preserve"> a novel</w:t>
      </w:r>
      <w:r w:rsidRPr="00FA3054">
        <w:rPr>
          <w:rFonts w:ascii="Book Antiqua" w:hAnsi="Book Antiqua" w:cs="Times New Roman"/>
          <w:sz w:val="24"/>
          <w:szCs w:val="24"/>
          <w:lang w:val="en-US"/>
        </w:rPr>
        <w:t xml:space="preserve">, reliable and easily measurable prognostic factor for CLM patients. </w:t>
      </w:r>
      <w:r w:rsidR="006D6253" w:rsidRPr="00FA3054">
        <w:rPr>
          <w:rFonts w:ascii="Book Antiqua" w:hAnsi="Book Antiqua" w:cs="Times New Roman"/>
          <w:sz w:val="24"/>
          <w:szCs w:val="24"/>
          <w:lang w:val="en-US"/>
        </w:rPr>
        <w:t>Second, our series constitutes one of the largest mono-institutional cohort of CLM patients treated with RFA</w:t>
      </w:r>
      <w:r w:rsidR="000D7D2F" w:rsidRPr="00FA3054">
        <w:rPr>
          <w:rFonts w:ascii="Book Antiqua" w:hAnsi="Book Antiqua" w:cs="Times New Roman"/>
          <w:sz w:val="24"/>
          <w:szCs w:val="24"/>
          <w:lang w:val="en-US"/>
        </w:rPr>
        <w:t xml:space="preserve"> and gives a further proof of the efficacy and safety of such an ablative technique in this oncological setting. </w:t>
      </w:r>
      <w:r w:rsidR="008B7ED9" w:rsidRPr="00FA3054">
        <w:rPr>
          <w:rFonts w:ascii="Book Antiqua" w:hAnsi="Book Antiqua" w:cs="Times New Roman"/>
          <w:sz w:val="24"/>
          <w:szCs w:val="24"/>
          <w:lang w:val="en-US"/>
        </w:rPr>
        <w:t xml:space="preserve">Third, the very long recruitment period allowed us to report long-term data up to 10 years from the treatment. To the best of our knowledge only </w:t>
      </w:r>
      <w:r w:rsidR="009B4CB9" w:rsidRPr="00FA3054">
        <w:rPr>
          <w:rFonts w:ascii="Book Antiqua" w:hAnsi="Book Antiqua" w:cs="Times New Roman"/>
          <w:sz w:val="24"/>
          <w:szCs w:val="24"/>
          <w:lang w:val="en-US"/>
        </w:rPr>
        <w:t>a minority of clinical papers</w:t>
      </w:r>
      <w:r w:rsidR="00214D4F" w:rsidRPr="00393A30">
        <w:rPr>
          <w:rFonts w:ascii="Book Antiqua" w:hAnsi="Book Antiqua" w:cs="Times New Roman"/>
          <w:sz w:val="24"/>
          <w:szCs w:val="24"/>
          <w:vertAlign w:val="superscript"/>
          <w:lang w:val="en-US"/>
        </w:rPr>
        <w:t>[26,27</w:t>
      </w:r>
      <w:r w:rsidR="00657CB6" w:rsidRPr="00393A30">
        <w:rPr>
          <w:rFonts w:ascii="Book Antiqua" w:hAnsi="Book Antiqua" w:cs="Times New Roman"/>
          <w:sz w:val="24"/>
          <w:szCs w:val="24"/>
          <w:vertAlign w:val="superscript"/>
          <w:lang w:val="en-US"/>
        </w:rPr>
        <w:t>]</w:t>
      </w:r>
      <w:r w:rsidR="009B4CB9" w:rsidRPr="00FA3054">
        <w:rPr>
          <w:rFonts w:ascii="Book Antiqua" w:hAnsi="Book Antiqua" w:cs="Times New Roman"/>
          <w:sz w:val="24"/>
          <w:szCs w:val="24"/>
          <w:lang w:val="en-US"/>
        </w:rPr>
        <w:t xml:space="preserve"> </w:t>
      </w:r>
      <w:r w:rsidR="00CE3DD4" w:rsidRPr="00FA3054">
        <w:rPr>
          <w:rFonts w:ascii="Book Antiqua" w:hAnsi="Book Antiqua" w:cs="Times New Roman"/>
          <w:sz w:val="24"/>
          <w:szCs w:val="24"/>
          <w:lang w:val="en-US"/>
        </w:rPr>
        <w:t>provided so complete and long-term data, which are indeed essential for the proper definition of patient prognosis in colorectal cancer</w:t>
      </w:r>
      <w:r w:rsidR="001A32EF" w:rsidRPr="00FA3054">
        <w:rPr>
          <w:rFonts w:ascii="Book Antiqua" w:hAnsi="Book Antiqua" w:cs="Times New Roman"/>
          <w:sz w:val="24"/>
          <w:szCs w:val="24"/>
          <w:lang w:val="en-US"/>
        </w:rPr>
        <w:t>.</w:t>
      </w:r>
    </w:p>
    <w:p w:rsidR="00D87C24" w:rsidRPr="00FA3054" w:rsidRDefault="00D87C24" w:rsidP="00BB7527">
      <w:pPr>
        <w:spacing w:after="0" w:line="360" w:lineRule="auto"/>
        <w:ind w:firstLineChars="150" w:firstLine="360"/>
        <w:jc w:val="both"/>
        <w:rPr>
          <w:rFonts w:ascii="Book Antiqua" w:hAnsi="Book Antiqua" w:cs="Times New Roman"/>
          <w:sz w:val="24"/>
          <w:szCs w:val="24"/>
          <w:lang w:val="en-US"/>
        </w:rPr>
      </w:pPr>
      <w:r w:rsidRPr="00FA3054">
        <w:rPr>
          <w:rFonts w:ascii="Book Antiqua" w:hAnsi="Book Antiqua" w:cs="Times New Roman"/>
          <w:sz w:val="24"/>
          <w:szCs w:val="24"/>
          <w:lang w:val="en-US"/>
        </w:rPr>
        <w:lastRenderedPageBreak/>
        <w:t>On the other hand</w:t>
      </w:r>
      <w:r w:rsidR="001A32EF" w:rsidRPr="00FA3054">
        <w:rPr>
          <w:rFonts w:ascii="Book Antiqua" w:hAnsi="Book Antiqua" w:cs="Times New Roman"/>
          <w:sz w:val="24"/>
          <w:szCs w:val="24"/>
          <w:lang w:val="en-US"/>
        </w:rPr>
        <w:t>, o</w:t>
      </w:r>
      <w:r w:rsidR="00B84E32">
        <w:rPr>
          <w:rFonts w:ascii="Book Antiqua" w:hAnsi="Book Antiqua" w:cs="Times New Roman"/>
          <w:sz w:val="24"/>
          <w:szCs w:val="24"/>
          <w:lang w:val="en-US"/>
        </w:rPr>
        <w:t>ur paper presents several</w:t>
      </w:r>
      <w:r w:rsidR="00591031" w:rsidRPr="00FA3054">
        <w:rPr>
          <w:rFonts w:ascii="Book Antiqua" w:hAnsi="Book Antiqua" w:cs="Times New Roman"/>
          <w:sz w:val="24"/>
          <w:szCs w:val="24"/>
          <w:lang w:val="en-US"/>
        </w:rPr>
        <w:t xml:space="preserve"> limitation</w:t>
      </w:r>
      <w:r w:rsidRPr="00FA3054">
        <w:rPr>
          <w:rFonts w:ascii="Book Antiqua" w:hAnsi="Book Antiqua" w:cs="Times New Roman"/>
          <w:sz w:val="24"/>
          <w:szCs w:val="24"/>
          <w:lang w:val="en-US"/>
        </w:rPr>
        <w:t>s. First</w:t>
      </w:r>
      <w:r w:rsidR="00591031" w:rsidRPr="00FA3054">
        <w:rPr>
          <w:rFonts w:ascii="Book Antiqua" w:hAnsi="Book Antiqua" w:cs="Times New Roman"/>
          <w:sz w:val="24"/>
          <w:szCs w:val="24"/>
          <w:lang w:val="en-US"/>
        </w:rPr>
        <w:t xml:space="preserve">, </w:t>
      </w:r>
      <w:r w:rsidR="00266BB1">
        <w:rPr>
          <w:rFonts w:ascii="Book Antiqua" w:hAnsi="Book Antiqua" w:cs="Times New Roman"/>
          <w:sz w:val="24"/>
          <w:szCs w:val="24"/>
          <w:lang w:val="en-US"/>
        </w:rPr>
        <w:t>the findings of the current study could be weakened by its</w:t>
      </w:r>
      <w:r w:rsidR="00591031" w:rsidRPr="00FA3054">
        <w:rPr>
          <w:rFonts w:ascii="Book Antiqua" w:hAnsi="Book Antiqua" w:cs="Times New Roman"/>
          <w:sz w:val="24"/>
          <w:szCs w:val="24"/>
          <w:lang w:val="en-US"/>
        </w:rPr>
        <w:t xml:space="preserve"> </w:t>
      </w:r>
      <w:r w:rsidRPr="00FA3054">
        <w:rPr>
          <w:rFonts w:ascii="Book Antiqua" w:hAnsi="Book Antiqua" w:cs="Times New Roman"/>
          <w:sz w:val="24"/>
          <w:szCs w:val="24"/>
          <w:lang w:val="en-US"/>
        </w:rPr>
        <w:t>retrospective design</w:t>
      </w:r>
      <w:r w:rsidR="00AC0CA4">
        <w:rPr>
          <w:rFonts w:ascii="Book Antiqua" w:hAnsi="Book Antiqua" w:cs="Times New Roman"/>
          <w:sz w:val="24"/>
          <w:szCs w:val="24"/>
          <w:lang w:val="en-US"/>
        </w:rPr>
        <w:t>. However,</w:t>
      </w:r>
      <w:r w:rsidRPr="00FA3054">
        <w:rPr>
          <w:rFonts w:ascii="Book Antiqua" w:hAnsi="Book Antiqua" w:cs="Times New Roman"/>
          <w:sz w:val="24"/>
          <w:szCs w:val="24"/>
          <w:lang w:val="en-US"/>
        </w:rPr>
        <w:t xml:space="preserve"> completeness of the data</w:t>
      </w:r>
      <w:r w:rsidR="00AC0CA4">
        <w:rPr>
          <w:rFonts w:ascii="Book Antiqua" w:hAnsi="Book Antiqua" w:cs="Times New Roman"/>
          <w:sz w:val="24"/>
          <w:szCs w:val="24"/>
          <w:lang w:val="en-US"/>
        </w:rPr>
        <w:t>base</w:t>
      </w:r>
      <w:r w:rsidRPr="00FA3054">
        <w:rPr>
          <w:rFonts w:ascii="Book Antiqua" w:hAnsi="Book Antiqua" w:cs="Times New Roman"/>
          <w:sz w:val="24"/>
          <w:szCs w:val="24"/>
          <w:lang w:val="en-US"/>
        </w:rPr>
        <w:t xml:space="preserve"> and the </w:t>
      </w:r>
      <w:r w:rsidR="00012C95">
        <w:rPr>
          <w:rFonts w:ascii="Book Antiqua" w:hAnsi="Book Antiqua" w:cs="Times New Roman"/>
          <w:sz w:val="24"/>
          <w:szCs w:val="24"/>
          <w:lang w:val="en-US"/>
        </w:rPr>
        <w:t>long follow-up period</w:t>
      </w:r>
      <w:r w:rsidRPr="00FA3054">
        <w:rPr>
          <w:rFonts w:ascii="Book Antiqua" w:hAnsi="Book Antiqua" w:cs="Times New Roman"/>
          <w:sz w:val="24"/>
          <w:szCs w:val="24"/>
          <w:lang w:val="en-US"/>
        </w:rPr>
        <w:t xml:space="preserve"> </w:t>
      </w:r>
      <w:r w:rsidR="001C0D85">
        <w:rPr>
          <w:rFonts w:ascii="Book Antiqua" w:hAnsi="Book Antiqua" w:cs="Times New Roman"/>
          <w:sz w:val="24"/>
          <w:szCs w:val="24"/>
          <w:lang w:val="en-US"/>
        </w:rPr>
        <w:t>allowed us to overcome this limitation</w:t>
      </w:r>
      <w:r w:rsidRPr="00FA3054">
        <w:rPr>
          <w:rFonts w:ascii="Book Antiqua" w:hAnsi="Book Antiqua" w:cs="Times New Roman"/>
          <w:sz w:val="24"/>
          <w:szCs w:val="24"/>
          <w:lang w:val="en-US"/>
        </w:rPr>
        <w:t>.</w:t>
      </w:r>
      <w:r w:rsidR="00B9506B" w:rsidRPr="00FA3054">
        <w:rPr>
          <w:rFonts w:ascii="Book Antiqua" w:hAnsi="Book Antiqua" w:cs="Times New Roman"/>
          <w:sz w:val="24"/>
          <w:szCs w:val="24"/>
          <w:lang w:val="en-US"/>
        </w:rPr>
        <w:t xml:space="preserve"> Furthermore, the single-center nature of our experience stands for an homogenous approach to CLM patients and exclude any difference in terms of operator expertise and follow-up accuracy. </w:t>
      </w:r>
      <w:r w:rsidR="004419AC" w:rsidRPr="00FA3054">
        <w:rPr>
          <w:rFonts w:ascii="Book Antiqua" w:hAnsi="Book Antiqua" w:cs="Times New Roman"/>
          <w:sz w:val="24"/>
          <w:szCs w:val="24"/>
          <w:lang w:val="en-US"/>
        </w:rPr>
        <w:t>Second, the lack of an external validation cohort requires furth</w:t>
      </w:r>
      <w:r w:rsidR="003247AC" w:rsidRPr="00FA3054">
        <w:rPr>
          <w:rFonts w:ascii="Book Antiqua" w:hAnsi="Book Antiqua" w:cs="Times New Roman"/>
          <w:sz w:val="24"/>
          <w:szCs w:val="24"/>
          <w:lang w:val="en-US"/>
        </w:rPr>
        <w:t xml:space="preserve">er studies in order to consider </w:t>
      </w:r>
      <w:r w:rsidR="00F4796B" w:rsidRPr="00FA3054">
        <w:rPr>
          <w:rFonts w:ascii="Book Antiqua" w:hAnsi="Book Antiqua" w:cs="Times New Roman"/>
          <w:sz w:val="24"/>
          <w:szCs w:val="24"/>
          <w:lang w:val="en-US"/>
        </w:rPr>
        <w:t>LMR</w:t>
      </w:r>
      <w:r w:rsidR="003247AC" w:rsidRPr="00FA3054">
        <w:rPr>
          <w:rFonts w:ascii="Book Antiqua" w:hAnsi="Book Antiqua" w:cs="Times New Roman"/>
          <w:sz w:val="24"/>
          <w:szCs w:val="24"/>
          <w:lang w:val="en-US"/>
        </w:rPr>
        <w:t xml:space="preserve"> as a reliable prognostic tool. </w:t>
      </w:r>
      <w:r w:rsidR="00E95043" w:rsidRPr="00FA3054">
        <w:rPr>
          <w:rFonts w:ascii="Book Antiqua" w:hAnsi="Book Antiqua" w:cs="Times New Roman"/>
          <w:sz w:val="24"/>
          <w:szCs w:val="24"/>
          <w:lang w:val="en-US"/>
        </w:rPr>
        <w:t xml:space="preserve">Moreover, the relatively low number of patients with low LMR </w:t>
      </w:r>
      <w:r w:rsidR="00321B6F">
        <w:rPr>
          <w:rFonts w:ascii="Book Antiqua" w:hAnsi="Book Antiqua" w:cs="Times New Roman"/>
          <w:sz w:val="24"/>
          <w:szCs w:val="24"/>
          <w:lang w:val="en-US"/>
        </w:rPr>
        <w:t xml:space="preserve">did not allow to observe </w:t>
      </w:r>
      <w:r w:rsidR="00E95043" w:rsidRPr="00FA3054">
        <w:rPr>
          <w:rFonts w:ascii="Book Antiqua" w:hAnsi="Book Antiqua" w:cs="Times New Roman"/>
          <w:sz w:val="24"/>
          <w:szCs w:val="24"/>
          <w:lang w:val="en-US"/>
        </w:rPr>
        <w:t xml:space="preserve">a </w:t>
      </w:r>
      <w:r w:rsidR="00707852">
        <w:rPr>
          <w:rFonts w:ascii="Book Antiqua" w:hAnsi="Book Antiqua" w:cs="Times New Roman"/>
          <w:sz w:val="24"/>
          <w:szCs w:val="24"/>
          <w:lang w:val="en-US"/>
        </w:rPr>
        <w:t>linear trend of log HR for survival</w:t>
      </w:r>
      <w:r w:rsidR="004408D0">
        <w:rPr>
          <w:rFonts w:ascii="Book Antiqua" w:hAnsi="Book Antiqua" w:cs="Times New Roman"/>
          <w:sz w:val="24"/>
          <w:szCs w:val="24"/>
          <w:lang w:val="en-US"/>
        </w:rPr>
        <w:t>. Therefore</w:t>
      </w:r>
      <w:r w:rsidR="006E35D8">
        <w:rPr>
          <w:rFonts w:ascii="Book Antiqua" w:hAnsi="Book Antiqua" w:cs="Times New Roman"/>
          <w:sz w:val="24"/>
          <w:szCs w:val="24"/>
          <w:lang w:val="en-US"/>
        </w:rPr>
        <w:t xml:space="preserve">, LMR cut-off </w:t>
      </w:r>
      <w:r w:rsidR="0008190B">
        <w:rPr>
          <w:rFonts w:ascii="Book Antiqua" w:hAnsi="Book Antiqua" w:cs="Times New Roman"/>
          <w:sz w:val="24"/>
          <w:szCs w:val="24"/>
          <w:lang w:val="en-US"/>
        </w:rPr>
        <w:t>level</w:t>
      </w:r>
      <w:r w:rsidR="006E35D8">
        <w:rPr>
          <w:rFonts w:ascii="Book Antiqua" w:hAnsi="Book Antiqua" w:cs="Times New Roman"/>
          <w:sz w:val="24"/>
          <w:szCs w:val="24"/>
          <w:lang w:val="en-US"/>
        </w:rPr>
        <w:t xml:space="preserve"> we propose</w:t>
      </w:r>
      <w:r w:rsidR="00E95043" w:rsidRPr="00FA3054">
        <w:rPr>
          <w:rFonts w:ascii="Book Antiqua" w:hAnsi="Book Antiqua" w:cs="Times New Roman"/>
          <w:sz w:val="24"/>
          <w:szCs w:val="24"/>
          <w:lang w:val="en-US"/>
        </w:rPr>
        <w:t xml:space="preserve"> </w:t>
      </w:r>
      <w:r w:rsidR="00E563DB">
        <w:rPr>
          <w:rFonts w:ascii="Book Antiqua" w:hAnsi="Book Antiqua" w:cs="Times New Roman"/>
          <w:sz w:val="24"/>
          <w:szCs w:val="24"/>
          <w:lang w:val="en-US"/>
        </w:rPr>
        <w:t>needs further confirmation in wider</w:t>
      </w:r>
      <w:r w:rsidR="00E95043" w:rsidRPr="00FA3054">
        <w:rPr>
          <w:rFonts w:ascii="Book Antiqua" w:hAnsi="Book Antiqua" w:cs="Times New Roman"/>
          <w:sz w:val="24"/>
          <w:szCs w:val="24"/>
          <w:lang w:val="en-US"/>
        </w:rPr>
        <w:t xml:space="preserve"> series </w:t>
      </w:r>
      <w:r w:rsidR="00750D2E">
        <w:rPr>
          <w:rFonts w:ascii="Book Antiqua" w:hAnsi="Book Antiqua" w:cs="Times New Roman"/>
          <w:sz w:val="24"/>
          <w:szCs w:val="24"/>
          <w:lang w:val="en-US"/>
        </w:rPr>
        <w:t>with</w:t>
      </w:r>
      <w:r w:rsidR="00E95043" w:rsidRPr="00FA3054">
        <w:rPr>
          <w:rFonts w:ascii="Book Antiqua" w:hAnsi="Book Antiqua" w:cs="Times New Roman"/>
          <w:sz w:val="24"/>
          <w:szCs w:val="24"/>
          <w:lang w:val="en-US"/>
        </w:rPr>
        <w:t xml:space="preserve"> a larger range of baseline LMR values. </w:t>
      </w:r>
      <w:r w:rsidR="0048288A" w:rsidRPr="00FA3054">
        <w:rPr>
          <w:rFonts w:ascii="Book Antiqua" w:hAnsi="Book Antiqua" w:cs="Times New Roman"/>
          <w:sz w:val="24"/>
          <w:szCs w:val="24"/>
          <w:lang w:val="en-US"/>
        </w:rPr>
        <w:t>Therefore,</w:t>
      </w:r>
      <w:r w:rsidR="00FA732E" w:rsidRPr="00FA3054">
        <w:rPr>
          <w:rFonts w:ascii="Book Antiqua" w:hAnsi="Book Antiqua" w:cs="Times New Roman"/>
          <w:sz w:val="24"/>
          <w:szCs w:val="24"/>
          <w:lang w:val="en-US"/>
        </w:rPr>
        <w:t xml:space="preserve"> our study represents a pivotal report aimed at paving the way to well-designed prospective trials. </w:t>
      </w:r>
    </w:p>
    <w:p w:rsidR="00ED1418" w:rsidRPr="00FA3054" w:rsidRDefault="00591031" w:rsidP="00BB7527">
      <w:pPr>
        <w:spacing w:after="0" w:line="360" w:lineRule="auto"/>
        <w:ind w:firstLineChars="150" w:firstLine="360"/>
        <w:jc w:val="both"/>
        <w:rPr>
          <w:rFonts w:ascii="Book Antiqua" w:hAnsi="Book Antiqua" w:cs="Times New Roman"/>
          <w:sz w:val="24"/>
          <w:szCs w:val="24"/>
          <w:lang w:val="en-US"/>
        </w:rPr>
      </w:pPr>
      <w:r w:rsidRPr="00FA3054">
        <w:rPr>
          <w:rFonts w:ascii="Book Antiqua" w:hAnsi="Book Antiqua" w:cs="Times New Roman"/>
          <w:sz w:val="24"/>
          <w:szCs w:val="24"/>
          <w:lang w:val="en-US"/>
        </w:rPr>
        <w:t>In conclusion, our study p</w:t>
      </w:r>
      <w:r w:rsidR="007578EF" w:rsidRPr="00FA3054">
        <w:rPr>
          <w:rFonts w:ascii="Book Antiqua" w:hAnsi="Book Antiqua" w:cs="Times New Roman"/>
          <w:sz w:val="24"/>
          <w:szCs w:val="24"/>
          <w:lang w:val="en-US"/>
        </w:rPr>
        <w:t>rovi</w:t>
      </w:r>
      <w:r w:rsidR="00606D12" w:rsidRPr="00FA3054">
        <w:rPr>
          <w:rFonts w:ascii="Book Antiqua" w:hAnsi="Book Antiqua" w:cs="Times New Roman"/>
          <w:sz w:val="24"/>
          <w:szCs w:val="24"/>
          <w:lang w:val="en-US"/>
        </w:rPr>
        <w:t>des support for the use of a novel</w:t>
      </w:r>
      <w:r w:rsidR="007578EF" w:rsidRPr="00FA3054">
        <w:rPr>
          <w:rFonts w:ascii="Book Antiqua" w:hAnsi="Book Antiqua" w:cs="Times New Roman"/>
          <w:sz w:val="24"/>
          <w:szCs w:val="24"/>
          <w:lang w:val="en-US"/>
        </w:rPr>
        <w:t xml:space="preserve"> predictor</w:t>
      </w:r>
      <w:r w:rsidRPr="00FA3054">
        <w:rPr>
          <w:rFonts w:ascii="Book Antiqua" w:hAnsi="Book Antiqua" w:cs="Times New Roman"/>
          <w:sz w:val="24"/>
          <w:szCs w:val="24"/>
          <w:lang w:val="en-US"/>
        </w:rPr>
        <w:t xml:space="preserve"> of outcome for </w:t>
      </w:r>
      <w:r w:rsidR="007578EF" w:rsidRPr="00FA3054">
        <w:rPr>
          <w:rFonts w:ascii="Book Antiqua" w:hAnsi="Book Antiqua" w:cs="Times New Roman"/>
          <w:sz w:val="24"/>
          <w:szCs w:val="24"/>
          <w:lang w:val="en-US"/>
        </w:rPr>
        <w:t>CLM</w:t>
      </w:r>
      <w:r w:rsidR="00323C34" w:rsidRPr="00FA3054">
        <w:rPr>
          <w:rFonts w:ascii="Book Antiqua" w:hAnsi="Book Antiqua" w:cs="Times New Roman"/>
          <w:sz w:val="24"/>
          <w:szCs w:val="24"/>
          <w:lang w:val="en-US"/>
        </w:rPr>
        <w:t xml:space="preserve"> patients. Hence, </w:t>
      </w:r>
      <w:r w:rsidR="004A5307" w:rsidRPr="00FA3054">
        <w:rPr>
          <w:rFonts w:ascii="Book Antiqua" w:hAnsi="Book Antiqua" w:cs="Times New Roman"/>
          <w:sz w:val="24"/>
          <w:szCs w:val="24"/>
          <w:lang w:val="en-US"/>
        </w:rPr>
        <w:t>LMR</w:t>
      </w:r>
      <w:r w:rsidR="00323C34" w:rsidRPr="00FA3054">
        <w:rPr>
          <w:rFonts w:ascii="Book Antiqua" w:hAnsi="Book Antiqua" w:cs="Times New Roman"/>
          <w:sz w:val="24"/>
          <w:szCs w:val="24"/>
          <w:lang w:val="en-US"/>
        </w:rPr>
        <w:t xml:space="preserve"> should be tested in prospective trials in order to verify its accuracy </w:t>
      </w:r>
      <w:r w:rsidR="004A5307" w:rsidRPr="00FA3054">
        <w:rPr>
          <w:rFonts w:ascii="Book Antiqua" w:hAnsi="Book Antiqua" w:cs="Times New Roman"/>
          <w:sz w:val="24"/>
          <w:szCs w:val="24"/>
          <w:lang w:val="en-US"/>
        </w:rPr>
        <w:t>and validate an unequivocal prognostic cut-off point</w:t>
      </w:r>
      <w:r w:rsidR="00323C34" w:rsidRPr="00FA3054">
        <w:rPr>
          <w:rFonts w:ascii="Book Antiqua" w:hAnsi="Book Antiqua" w:cs="Times New Roman"/>
          <w:sz w:val="24"/>
          <w:szCs w:val="24"/>
          <w:lang w:val="en-US"/>
        </w:rPr>
        <w:t xml:space="preserve">. </w:t>
      </w:r>
    </w:p>
    <w:p w:rsidR="00ED1418" w:rsidRPr="00FA3054" w:rsidRDefault="00ED1418" w:rsidP="00BB7527">
      <w:pPr>
        <w:spacing w:after="0" w:line="360" w:lineRule="auto"/>
        <w:jc w:val="both"/>
        <w:rPr>
          <w:rFonts w:ascii="Book Antiqua" w:hAnsi="Book Antiqua" w:cs="Times New Roman"/>
          <w:sz w:val="24"/>
          <w:szCs w:val="24"/>
          <w:lang w:val="en-US"/>
        </w:rPr>
      </w:pPr>
    </w:p>
    <w:p w:rsidR="00ED1418" w:rsidRPr="00BB7527" w:rsidRDefault="00BB7527" w:rsidP="00BB7527">
      <w:pPr>
        <w:suppressAutoHyphens/>
        <w:spacing w:after="0" w:line="360" w:lineRule="auto"/>
        <w:jc w:val="both"/>
        <w:rPr>
          <w:rFonts w:ascii="Book Antiqua" w:hAnsi="Book Antiqua" w:cs="Times New Roman"/>
          <w:b/>
          <w:bCs/>
          <w:sz w:val="24"/>
          <w:szCs w:val="24"/>
          <w:lang w:val="en-GB" w:eastAsia="zh-CN"/>
        </w:rPr>
      </w:pPr>
      <w:r>
        <w:rPr>
          <w:rFonts w:ascii="Book Antiqua" w:eastAsia="Times New Roman" w:hAnsi="Book Antiqua" w:cs="Times New Roman"/>
          <w:b/>
          <w:bCs/>
          <w:sz w:val="24"/>
          <w:szCs w:val="24"/>
          <w:lang w:val="en-GB" w:eastAsia="ar-SA"/>
        </w:rPr>
        <w:t>COMMENTS</w:t>
      </w:r>
    </w:p>
    <w:p w:rsidR="00295EB4" w:rsidRDefault="00295EB4" w:rsidP="00BB7527">
      <w:pPr>
        <w:suppressAutoHyphens/>
        <w:spacing w:after="0" w:line="360" w:lineRule="auto"/>
        <w:jc w:val="both"/>
        <w:rPr>
          <w:rFonts w:ascii="Book Antiqua" w:eastAsia="Times New Roman" w:hAnsi="Book Antiqua" w:cs="Times New Roman"/>
          <w:b/>
          <w:bCs/>
          <w:i/>
          <w:sz w:val="24"/>
          <w:szCs w:val="24"/>
          <w:lang w:val="en-GB" w:eastAsia="ar-SA"/>
        </w:rPr>
      </w:pPr>
      <w:r>
        <w:rPr>
          <w:rFonts w:ascii="Book Antiqua" w:eastAsia="Times New Roman" w:hAnsi="Book Antiqua" w:cs="Times New Roman"/>
          <w:b/>
          <w:bCs/>
          <w:i/>
          <w:sz w:val="24"/>
          <w:szCs w:val="24"/>
          <w:lang w:val="en-GB" w:eastAsia="ar-SA"/>
        </w:rPr>
        <w:t>Background</w:t>
      </w:r>
    </w:p>
    <w:p w:rsidR="00295EB4" w:rsidRPr="00295EB4" w:rsidRDefault="00295EB4" w:rsidP="00BB7527">
      <w:pPr>
        <w:suppressAutoHyphens/>
        <w:spacing w:after="0" w:line="360" w:lineRule="auto"/>
        <w:jc w:val="both"/>
        <w:rPr>
          <w:rFonts w:ascii="Book Antiqua" w:eastAsia="Times New Roman" w:hAnsi="Book Antiqua" w:cs="Times New Roman"/>
          <w:bCs/>
          <w:sz w:val="24"/>
          <w:szCs w:val="24"/>
          <w:lang w:val="en-GB" w:eastAsia="ar-SA"/>
        </w:rPr>
      </w:pPr>
      <w:r w:rsidRPr="00295EB4">
        <w:rPr>
          <w:rFonts w:ascii="Book Antiqua" w:eastAsia="Times New Roman" w:hAnsi="Book Antiqua" w:cs="Times New Roman"/>
          <w:bCs/>
          <w:sz w:val="24"/>
          <w:szCs w:val="24"/>
          <w:lang w:val="en-GB" w:eastAsia="ar-SA"/>
        </w:rPr>
        <w:t>Colorectal cancer (CRC) is the second cause of cancer-related mortality in developed countries and the third mos</w:t>
      </w:r>
      <w:r>
        <w:rPr>
          <w:rFonts w:ascii="Book Antiqua" w:eastAsia="Times New Roman" w:hAnsi="Book Antiqua" w:cs="Times New Roman"/>
          <w:bCs/>
          <w:sz w:val="24"/>
          <w:szCs w:val="24"/>
          <w:lang w:val="en-GB" w:eastAsia="ar-SA"/>
        </w:rPr>
        <w:t>t common malignancy worldwide</w:t>
      </w:r>
      <w:r w:rsidRPr="00295EB4">
        <w:rPr>
          <w:rFonts w:ascii="Book Antiqua" w:eastAsia="Times New Roman" w:hAnsi="Book Antiqua" w:cs="Times New Roman"/>
          <w:bCs/>
          <w:sz w:val="24"/>
          <w:szCs w:val="24"/>
          <w:lang w:val="en-GB" w:eastAsia="ar-SA"/>
        </w:rPr>
        <w:t xml:space="preserve">. Cumulative evidence has demonstrated that inflammatory cells infiltrates in the tumor microenvironment have a large influence on the biological behavior of several malignancies, including </w:t>
      </w:r>
      <w:r>
        <w:rPr>
          <w:rFonts w:ascii="Book Antiqua" w:eastAsia="Times New Roman" w:hAnsi="Book Antiqua" w:cs="Times New Roman"/>
          <w:bCs/>
          <w:sz w:val="24"/>
          <w:szCs w:val="24"/>
          <w:lang w:val="en-GB" w:eastAsia="ar-SA"/>
        </w:rPr>
        <w:t>CRC</w:t>
      </w:r>
      <w:r w:rsidRPr="00295EB4">
        <w:rPr>
          <w:rFonts w:ascii="Book Antiqua" w:eastAsia="Times New Roman" w:hAnsi="Book Antiqua" w:cs="Times New Roman"/>
          <w:bCs/>
          <w:sz w:val="24"/>
          <w:szCs w:val="24"/>
          <w:lang w:val="en-GB" w:eastAsia="ar-SA"/>
        </w:rPr>
        <w:t xml:space="preserve">. In particular, macrophages constitute the most represented leukocyte lineage in such infiltrates and are well-known to promote tumor proliferation, neo-angiogenesis </w:t>
      </w:r>
      <w:r>
        <w:rPr>
          <w:rFonts w:ascii="Book Antiqua" w:eastAsia="Times New Roman" w:hAnsi="Book Antiqua" w:cs="Times New Roman"/>
          <w:bCs/>
          <w:sz w:val="24"/>
          <w:szCs w:val="24"/>
          <w:lang w:val="en-GB" w:eastAsia="ar-SA"/>
        </w:rPr>
        <w:t>and metastasis occurrence</w:t>
      </w:r>
      <w:r w:rsidRPr="00295EB4">
        <w:rPr>
          <w:rFonts w:ascii="Book Antiqua" w:eastAsia="Times New Roman" w:hAnsi="Book Antiqua" w:cs="Times New Roman"/>
          <w:bCs/>
          <w:sz w:val="24"/>
          <w:szCs w:val="24"/>
          <w:lang w:val="en-GB" w:eastAsia="ar-SA"/>
        </w:rPr>
        <w:t>. As a consequence, immunohistochemical studies have validated the association between high monocyte/macrophage density in the tumoral stroma and unfavorable prognosis in a n</w:t>
      </w:r>
      <w:r>
        <w:rPr>
          <w:rFonts w:ascii="Book Antiqua" w:eastAsia="Times New Roman" w:hAnsi="Book Antiqua" w:cs="Times New Roman"/>
          <w:bCs/>
          <w:sz w:val="24"/>
          <w:szCs w:val="24"/>
          <w:lang w:val="en-GB" w:eastAsia="ar-SA"/>
        </w:rPr>
        <w:t>umber of malignancies</w:t>
      </w:r>
      <w:r w:rsidRPr="00295EB4">
        <w:rPr>
          <w:rFonts w:ascii="Book Antiqua" w:eastAsia="Times New Roman" w:hAnsi="Book Antiqua" w:cs="Times New Roman"/>
          <w:bCs/>
          <w:sz w:val="24"/>
          <w:szCs w:val="24"/>
          <w:lang w:val="en-GB" w:eastAsia="ar-SA"/>
        </w:rPr>
        <w:t>.</w:t>
      </w:r>
    </w:p>
    <w:p w:rsidR="00295EB4" w:rsidRDefault="00295EB4" w:rsidP="00BB7527">
      <w:pPr>
        <w:suppressAutoHyphens/>
        <w:spacing w:after="0" w:line="360" w:lineRule="auto"/>
        <w:ind w:firstLineChars="150" w:firstLine="360"/>
        <w:jc w:val="both"/>
        <w:rPr>
          <w:rFonts w:ascii="Book Antiqua" w:eastAsia="Times New Roman" w:hAnsi="Book Antiqua" w:cs="Times New Roman"/>
          <w:bCs/>
          <w:sz w:val="24"/>
          <w:szCs w:val="24"/>
          <w:lang w:val="en-GB" w:eastAsia="ar-SA"/>
        </w:rPr>
      </w:pPr>
      <w:r w:rsidRPr="00295EB4">
        <w:rPr>
          <w:rFonts w:ascii="Book Antiqua" w:eastAsia="Times New Roman" w:hAnsi="Book Antiqua" w:cs="Times New Roman"/>
          <w:bCs/>
          <w:sz w:val="24"/>
          <w:szCs w:val="24"/>
          <w:lang w:val="en-GB" w:eastAsia="ar-SA"/>
        </w:rPr>
        <w:t xml:space="preserve">Several inflammatory bio-markers have been tested in </w:t>
      </w:r>
      <w:r>
        <w:rPr>
          <w:rFonts w:ascii="Book Antiqua" w:eastAsia="Times New Roman" w:hAnsi="Book Antiqua" w:cs="Times New Roman"/>
          <w:bCs/>
          <w:sz w:val="24"/>
          <w:szCs w:val="24"/>
          <w:lang w:val="en-GB" w:eastAsia="ar-SA"/>
        </w:rPr>
        <w:t>CRC liver metastases (</w:t>
      </w:r>
      <w:r w:rsidRPr="00295EB4">
        <w:rPr>
          <w:rFonts w:ascii="Book Antiqua" w:eastAsia="Times New Roman" w:hAnsi="Book Antiqua" w:cs="Times New Roman"/>
          <w:bCs/>
          <w:sz w:val="24"/>
          <w:szCs w:val="24"/>
          <w:lang w:val="en-GB" w:eastAsia="ar-SA"/>
        </w:rPr>
        <w:t>CLMs</w:t>
      </w:r>
      <w:r>
        <w:rPr>
          <w:rFonts w:ascii="Book Antiqua" w:eastAsia="Times New Roman" w:hAnsi="Book Antiqua" w:cs="Times New Roman"/>
          <w:bCs/>
          <w:sz w:val="24"/>
          <w:szCs w:val="24"/>
          <w:lang w:val="en-GB" w:eastAsia="ar-SA"/>
        </w:rPr>
        <w:t>)</w:t>
      </w:r>
      <w:r w:rsidRPr="00295EB4">
        <w:rPr>
          <w:rFonts w:ascii="Book Antiqua" w:eastAsia="Times New Roman" w:hAnsi="Book Antiqua" w:cs="Times New Roman"/>
          <w:bCs/>
          <w:sz w:val="24"/>
          <w:szCs w:val="24"/>
          <w:lang w:val="en-GB" w:eastAsia="ar-SA"/>
        </w:rPr>
        <w:t>, among them widely available and easy to use are those obtained from peripheral blood cell count such as neutrophil-to-lymphocyte ratio (NLR) and monocyte level (expressed as percentage) but none of them have been definitively an</w:t>
      </w:r>
      <w:r>
        <w:rPr>
          <w:rFonts w:ascii="Book Antiqua" w:eastAsia="Times New Roman" w:hAnsi="Book Antiqua" w:cs="Times New Roman"/>
          <w:bCs/>
          <w:sz w:val="24"/>
          <w:szCs w:val="24"/>
          <w:lang w:val="en-GB" w:eastAsia="ar-SA"/>
        </w:rPr>
        <w:t>d unequivocally validated</w:t>
      </w:r>
      <w:r w:rsidRPr="00295EB4">
        <w:rPr>
          <w:rFonts w:ascii="Book Antiqua" w:eastAsia="Times New Roman" w:hAnsi="Book Antiqua" w:cs="Times New Roman"/>
          <w:bCs/>
          <w:sz w:val="24"/>
          <w:szCs w:val="24"/>
          <w:lang w:val="en-GB" w:eastAsia="ar-SA"/>
        </w:rPr>
        <w:t>. Since the pre-operative lymphocyte-to-monocyte ratio (LMR) has been recently found to correlate accurately with clinical outcomes in CLM patients undergoing h</w:t>
      </w:r>
      <w:r>
        <w:rPr>
          <w:rFonts w:ascii="Book Antiqua" w:eastAsia="Times New Roman" w:hAnsi="Book Antiqua" w:cs="Times New Roman"/>
          <w:bCs/>
          <w:sz w:val="24"/>
          <w:szCs w:val="24"/>
          <w:lang w:val="en-GB" w:eastAsia="ar-SA"/>
        </w:rPr>
        <w:t>epatic resection</w:t>
      </w:r>
      <w:r w:rsidRPr="00295EB4">
        <w:rPr>
          <w:rFonts w:ascii="Book Antiqua" w:eastAsia="Times New Roman" w:hAnsi="Book Antiqua" w:cs="Times New Roman"/>
          <w:bCs/>
          <w:sz w:val="24"/>
          <w:szCs w:val="24"/>
          <w:lang w:val="en-GB" w:eastAsia="ar-SA"/>
        </w:rPr>
        <w:t xml:space="preserve">, </w:t>
      </w:r>
      <w:r w:rsidRPr="00295EB4">
        <w:rPr>
          <w:rFonts w:ascii="Book Antiqua" w:eastAsia="Times New Roman" w:hAnsi="Book Antiqua" w:cs="Times New Roman"/>
          <w:bCs/>
          <w:sz w:val="24"/>
          <w:szCs w:val="24"/>
          <w:lang w:val="en-GB" w:eastAsia="ar-SA"/>
        </w:rPr>
        <w:lastRenderedPageBreak/>
        <w:t>we decided to test whether this marker exerts a prognostic role in CRC patients with liver metastases treated with percutaneous RFA.</w:t>
      </w:r>
    </w:p>
    <w:p w:rsidR="00295EB4" w:rsidRDefault="00295EB4" w:rsidP="00BB7527">
      <w:pPr>
        <w:suppressAutoHyphens/>
        <w:spacing w:after="0" w:line="360" w:lineRule="auto"/>
        <w:jc w:val="both"/>
        <w:rPr>
          <w:rFonts w:ascii="Book Antiqua" w:eastAsia="Times New Roman" w:hAnsi="Book Antiqua" w:cs="Times New Roman"/>
          <w:bCs/>
          <w:sz w:val="24"/>
          <w:szCs w:val="24"/>
          <w:lang w:val="en-GB" w:eastAsia="ar-SA"/>
        </w:rPr>
      </w:pPr>
    </w:p>
    <w:p w:rsidR="00295EB4" w:rsidRDefault="00295EB4" w:rsidP="00BB7527">
      <w:pPr>
        <w:suppressAutoHyphens/>
        <w:spacing w:after="0" w:line="360" w:lineRule="auto"/>
        <w:jc w:val="both"/>
        <w:rPr>
          <w:rFonts w:ascii="Book Antiqua" w:eastAsia="Times New Roman" w:hAnsi="Book Antiqua" w:cs="Times New Roman"/>
          <w:b/>
          <w:bCs/>
          <w:i/>
          <w:sz w:val="24"/>
          <w:szCs w:val="24"/>
          <w:lang w:val="en-GB" w:eastAsia="ar-SA"/>
        </w:rPr>
      </w:pPr>
      <w:r>
        <w:rPr>
          <w:rFonts w:ascii="Book Antiqua" w:eastAsia="Times New Roman" w:hAnsi="Book Antiqua" w:cs="Times New Roman"/>
          <w:b/>
          <w:bCs/>
          <w:i/>
          <w:sz w:val="24"/>
          <w:szCs w:val="24"/>
          <w:lang w:val="en-GB" w:eastAsia="ar-SA"/>
        </w:rPr>
        <w:t xml:space="preserve">Research </w:t>
      </w:r>
      <w:r w:rsidR="00C03255">
        <w:rPr>
          <w:rFonts w:ascii="Book Antiqua" w:eastAsia="Times New Roman" w:hAnsi="Book Antiqua" w:cs="Times New Roman"/>
          <w:b/>
          <w:bCs/>
          <w:i/>
          <w:sz w:val="24"/>
          <w:szCs w:val="24"/>
          <w:lang w:val="en-GB" w:eastAsia="ar-SA"/>
        </w:rPr>
        <w:t>frontiers</w:t>
      </w:r>
    </w:p>
    <w:p w:rsidR="00295EB4" w:rsidRDefault="00295EB4" w:rsidP="00BB7527">
      <w:pPr>
        <w:suppressAutoHyphens/>
        <w:spacing w:after="0" w:line="360" w:lineRule="auto"/>
        <w:jc w:val="both"/>
        <w:rPr>
          <w:rFonts w:ascii="Book Antiqua" w:eastAsia="Times New Roman" w:hAnsi="Book Antiqua" w:cs="Times New Roman"/>
          <w:bCs/>
          <w:sz w:val="24"/>
          <w:szCs w:val="24"/>
          <w:lang w:val="en-GB" w:eastAsia="ar-SA"/>
        </w:rPr>
      </w:pPr>
      <w:r>
        <w:rPr>
          <w:rFonts w:ascii="Book Antiqua" w:eastAsia="Times New Roman" w:hAnsi="Book Antiqua" w:cs="Times New Roman"/>
          <w:bCs/>
          <w:sz w:val="24"/>
          <w:szCs w:val="24"/>
          <w:lang w:val="en-GB" w:eastAsia="ar-SA"/>
        </w:rPr>
        <w:t>O</w:t>
      </w:r>
      <w:r w:rsidRPr="00295EB4">
        <w:rPr>
          <w:rFonts w:ascii="Book Antiqua" w:eastAsia="Times New Roman" w:hAnsi="Book Antiqua" w:cs="Times New Roman"/>
          <w:bCs/>
          <w:sz w:val="24"/>
          <w:szCs w:val="24"/>
          <w:lang w:val="en-GB" w:eastAsia="ar-SA"/>
        </w:rPr>
        <w:t>ur study provides support for the use of a novel predictor of outcome for CLM patients. Hence, LMR should be tested in prospective trials in order to verify its accuracy and validate an unequivocal prognostic cut-off point.</w:t>
      </w:r>
    </w:p>
    <w:p w:rsidR="005E2FA7" w:rsidRDefault="005E2FA7" w:rsidP="00BB7527">
      <w:pPr>
        <w:suppressAutoHyphens/>
        <w:spacing w:after="0" w:line="360" w:lineRule="auto"/>
        <w:jc w:val="both"/>
        <w:rPr>
          <w:rFonts w:ascii="Book Antiqua" w:eastAsia="Times New Roman" w:hAnsi="Book Antiqua" w:cs="Times New Roman"/>
          <w:bCs/>
          <w:sz w:val="24"/>
          <w:szCs w:val="24"/>
          <w:lang w:val="en-GB" w:eastAsia="ar-SA"/>
        </w:rPr>
      </w:pPr>
    </w:p>
    <w:p w:rsidR="005E2FA7" w:rsidRDefault="005E2FA7" w:rsidP="00BB7527">
      <w:pPr>
        <w:suppressAutoHyphens/>
        <w:spacing w:after="0" w:line="360" w:lineRule="auto"/>
        <w:jc w:val="both"/>
        <w:rPr>
          <w:rFonts w:ascii="Book Antiqua" w:eastAsia="Times New Roman" w:hAnsi="Book Antiqua" w:cs="Times New Roman"/>
          <w:b/>
          <w:bCs/>
          <w:i/>
          <w:sz w:val="24"/>
          <w:szCs w:val="24"/>
          <w:lang w:val="en-GB" w:eastAsia="ar-SA"/>
        </w:rPr>
      </w:pPr>
      <w:r>
        <w:rPr>
          <w:rFonts w:ascii="Book Antiqua" w:eastAsia="Times New Roman" w:hAnsi="Book Antiqua" w:cs="Times New Roman"/>
          <w:b/>
          <w:bCs/>
          <w:i/>
          <w:sz w:val="24"/>
          <w:szCs w:val="24"/>
          <w:lang w:val="en-GB" w:eastAsia="ar-SA"/>
        </w:rPr>
        <w:t>Innovations and breakthroughs</w:t>
      </w:r>
    </w:p>
    <w:p w:rsidR="005E2FA7" w:rsidRPr="005E2FA7" w:rsidRDefault="005E2FA7" w:rsidP="00BB7527">
      <w:pPr>
        <w:suppressAutoHyphens/>
        <w:spacing w:after="0" w:line="360" w:lineRule="auto"/>
        <w:jc w:val="both"/>
        <w:rPr>
          <w:rFonts w:ascii="Book Antiqua" w:eastAsia="Times New Roman" w:hAnsi="Book Antiqua" w:cs="Times New Roman"/>
          <w:bCs/>
          <w:sz w:val="24"/>
          <w:szCs w:val="24"/>
          <w:lang w:val="en-GB" w:eastAsia="ar-SA"/>
        </w:rPr>
      </w:pPr>
      <w:r>
        <w:rPr>
          <w:rFonts w:ascii="Book Antiqua" w:eastAsia="Times New Roman" w:hAnsi="Book Antiqua" w:cs="Times New Roman"/>
          <w:bCs/>
          <w:sz w:val="24"/>
          <w:szCs w:val="24"/>
          <w:lang w:val="en-GB" w:eastAsia="ar-SA"/>
        </w:rPr>
        <w:t>T</w:t>
      </w:r>
      <w:r w:rsidRPr="005E2FA7">
        <w:rPr>
          <w:rFonts w:ascii="Book Antiqua" w:eastAsia="Times New Roman" w:hAnsi="Book Antiqua" w:cs="Times New Roman"/>
          <w:bCs/>
          <w:sz w:val="24"/>
          <w:szCs w:val="24"/>
          <w:lang w:val="en-GB" w:eastAsia="ar-SA"/>
        </w:rPr>
        <w:t xml:space="preserve">he cut-off point found in our analysis </w:t>
      </w:r>
      <w:r>
        <w:rPr>
          <w:rFonts w:ascii="Book Antiqua" w:eastAsia="Times New Roman" w:hAnsi="Book Antiqua" w:cs="Times New Roman"/>
          <w:bCs/>
          <w:sz w:val="24"/>
          <w:szCs w:val="24"/>
          <w:lang w:val="en-GB" w:eastAsia="ar-SA"/>
        </w:rPr>
        <w:t xml:space="preserve">(3.96%) </w:t>
      </w:r>
      <w:r w:rsidRPr="005E2FA7">
        <w:rPr>
          <w:rFonts w:ascii="Book Antiqua" w:eastAsia="Times New Roman" w:hAnsi="Book Antiqua" w:cs="Times New Roman"/>
          <w:bCs/>
          <w:sz w:val="24"/>
          <w:szCs w:val="24"/>
          <w:lang w:val="en-GB" w:eastAsia="ar-SA"/>
        </w:rPr>
        <w:t>is consistent with other reports using LMR as predictor of patients survival in several cancers and this aspect further strengthens and puts our results in line wit</w:t>
      </w:r>
      <w:r>
        <w:rPr>
          <w:rFonts w:ascii="Book Antiqua" w:eastAsia="Times New Roman" w:hAnsi="Book Antiqua" w:cs="Times New Roman"/>
          <w:bCs/>
          <w:sz w:val="24"/>
          <w:szCs w:val="24"/>
          <w:lang w:val="en-GB" w:eastAsia="ar-SA"/>
        </w:rPr>
        <w:t xml:space="preserve">h the current literature. </w:t>
      </w:r>
      <w:r w:rsidRPr="005E2FA7">
        <w:rPr>
          <w:rFonts w:ascii="Book Antiqua" w:eastAsia="Times New Roman" w:hAnsi="Book Antiqua" w:cs="Times New Roman"/>
          <w:bCs/>
          <w:sz w:val="24"/>
          <w:szCs w:val="24"/>
          <w:lang w:val="en-GB" w:eastAsia="ar-SA"/>
        </w:rPr>
        <w:t xml:space="preserve">Patients presenting a higher pre-treatment LMR beyond the aforementioned cut-off showed significantly better survival outcomes with a median OS of 55 </w:t>
      </w:r>
      <w:r w:rsidR="00BB7527">
        <w:rPr>
          <w:rFonts w:ascii="Book Antiqua" w:hAnsi="Book Antiqua" w:cs="Times New Roman" w:hint="eastAsia"/>
          <w:bCs/>
          <w:sz w:val="24"/>
          <w:szCs w:val="24"/>
          <w:lang w:val="en-GB" w:eastAsia="zh-CN"/>
        </w:rPr>
        <w:t>mo</w:t>
      </w:r>
      <w:r w:rsidRPr="005E2FA7">
        <w:rPr>
          <w:rFonts w:ascii="Book Antiqua" w:eastAsia="Times New Roman" w:hAnsi="Book Antiqua" w:cs="Times New Roman"/>
          <w:bCs/>
          <w:sz w:val="24"/>
          <w:szCs w:val="24"/>
          <w:lang w:val="en-GB" w:eastAsia="ar-SA"/>
        </w:rPr>
        <w:t xml:space="preserve"> (</w:t>
      </w:r>
      <w:bookmarkStart w:id="46" w:name="OLE_LINK1"/>
      <w:bookmarkStart w:id="47" w:name="OLE_LINK2"/>
      <w:r w:rsidR="00BB7527" w:rsidRPr="00BB7527">
        <w:rPr>
          <w:rFonts w:ascii="Book Antiqua" w:hAnsi="Book Antiqua" w:cs="Times New Roman" w:hint="eastAsia"/>
          <w:bCs/>
          <w:i/>
          <w:sz w:val="24"/>
          <w:szCs w:val="24"/>
          <w:lang w:val="en-GB" w:eastAsia="zh-CN"/>
        </w:rPr>
        <w:t>vs</w:t>
      </w:r>
      <w:r w:rsidRPr="005E2FA7">
        <w:rPr>
          <w:rFonts w:ascii="Book Antiqua" w:eastAsia="Times New Roman" w:hAnsi="Book Antiqua" w:cs="Times New Roman"/>
          <w:bCs/>
          <w:sz w:val="24"/>
          <w:szCs w:val="24"/>
          <w:lang w:val="en-GB" w:eastAsia="ar-SA"/>
        </w:rPr>
        <w:t xml:space="preserve"> </w:t>
      </w:r>
      <w:bookmarkEnd w:id="46"/>
      <w:bookmarkEnd w:id="47"/>
      <w:r w:rsidRPr="005E2FA7">
        <w:rPr>
          <w:rFonts w:ascii="Book Antiqua" w:eastAsia="Times New Roman" w:hAnsi="Book Antiqua" w:cs="Times New Roman"/>
          <w:bCs/>
          <w:sz w:val="24"/>
          <w:szCs w:val="24"/>
          <w:lang w:val="en-GB" w:eastAsia="ar-SA"/>
        </w:rPr>
        <w:t>34 in pat</w:t>
      </w:r>
      <w:r w:rsidR="00BB7527">
        <w:rPr>
          <w:rFonts w:ascii="Book Antiqua" w:eastAsia="Times New Roman" w:hAnsi="Book Antiqua" w:cs="Times New Roman"/>
          <w:bCs/>
          <w:sz w:val="24"/>
          <w:szCs w:val="24"/>
          <w:lang w:val="en-GB" w:eastAsia="ar-SA"/>
        </w:rPr>
        <w:t>ients with LMR ≤ 3.96</w:t>
      </w:r>
      <w:r>
        <w:rPr>
          <w:rFonts w:ascii="Book Antiqua" w:eastAsia="Times New Roman" w:hAnsi="Book Antiqua" w:cs="Times New Roman"/>
          <w:bCs/>
          <w:sz w:val="24"/>
          <w:szCs w:val="24"/>
          <w:lang w:val="en-GB" w:eastAsia="ar-SA"/>
        </w:rPr>
        <w:t>%</w:t>
      </w:r>
      <w:r w:rsidRPr="005E2FA7">
        <w:rPr>
          <w:rFonts w:ascii="Book Antiqua" w:eastAsia="Times New Roman" w:hAnsi="Book Antiqua" w:cs="Times New Roman"/>
          <w:bCs/>
          <w:sz w:val="24"/>
          <w:szCs w:val="24"/>
          <w:lang w:val="en-GB" w:eastAsia="ar-SA"/>
        </w:rPr>
        <w:t xml:space="preserve">) and median TTR of 35 </w:t>
      </w:r>
      <w:r w:rsidR="00BB7527">
        <w:rPr>
          <w:rFonts w:ascii="Book Antiqua" w:hAnsi="Book Antiqua" w:cs="Times New Roman" w:hint="eastAsia"/>
          <w:bCs/>
          <w:sz w:val="24"/>
          <w:szCs w:val="24"/>
          <w:lang w:val="en-GB" w:eastAsia="zh-CN"/>
        </w:rPr>
        <w:t>mo</w:t>
      </w:r>
      <w:r w:rsidRPr="005E2FA7">
        <w:rPr>
          <w:rFonts w:ascii="Book Antiqua" w:eastAsia="Times New Roman" w:hAnsi="Book Antiqua" w:cs="Times New Roman"/>
          <w:bCs/>
          <w:sz w:val="24"/>
          <w:szCs w:val="24"/>
          <w:lang w:val="en-GB" w:eastAsia="ar-SA"/>
        </w:rPr>
        <w:t xml:space="preserve"> (</w:t>
      </w:r>
      <w:r w:rsidR="00BB7527" w:rsidRPr="00BB7527">
        <w:rPr>
          <w:rFonts w:ascii="Book Antiqua" w:hAnsi="Book Antiqua" w:cs="Times New Roman" w:hint="eastAsia"/>
          <w:bCs/>
          <w:i/>
          <w:sz w:val="24"/>
          <w:szCs w:val="24"/>
          <w:lang w:val="en-GB" w:eastAsia="zh-CN"/>
        </w:rPr>
        <w:t>vs</w:t>
      </w:r>
      <w:r w:rsidR="00BB7527" w:rsidRPr="005E2FA7">
        <w:rPr>
          <w:rFonts w:ascii="Book Antiqua" w:eastAsia="Times New Roman" w:hAnsi="Book Antiqua" w:cs="Times New Roman"/>
          <w:bCs/>
          <w:sz w:val="24"/>
          <w:szCs w:val="24"/>
          <w:lang w:val="en-GB" w:eastAsia="ar-SA"/>
        </w:rPr>
        <w:t xml:space="preserve"> </w:t>
      </w:r>
      <w:r>
        <w:rPr>
          <w:rFonts w:ascii="Book Antiqua" w:eastAsia="Times New Roman" w:hAnsi="Book Antiqua" w:cs="Times New Roman"/>
          <w:bCs/>
          <w:sz w:val="24"/>
          <w:szCs w:val="24"/>
          <w:lang w:val="en-GB" w:eastAsia="ar-SA"/>
        </w:rPr>
        <w:t xml:space="preserve">25 in the group ≤ 3.96%). </w:t>
      </w:r>
      <w:r w:rsidRPr="005E2FA7">
        <w:rPr>
          <w:rFonts w:ascii="Book Antiqua" w:eastAsia="Times New Roman" w:hAnsi="Book Antiqua" w:cs="Times New Roman"/>
          <w:bCs/>
          <w:sz w:val="24"/>
          <w:szCs w:val="24"/>
          <w:lang w:val="en-GB" w:eastAsia="ar-SA"/>
        </w:rPr>
        <w:t xml:space="preserve">Interestingly, LMR resulted superior to both </w:t>
      </w:r>
      <w:r w:rsidR="009448E9">
        <w:rPr>
          <w:rFonts w:ascii="Book Antiqua" w:eastAsia="Times New Roman" w:hAnsi="Book Antiqua" w:cs="Times New Roman"/>
          <w:bCs/>
          <w:sz w:val="24"/>
          <w:szCs w:val="24"/>
          <w:lang w:val="en-GB" w:eastAsia="ar-SA"/>
        </w:rPr>
        <w:t>neutrophil-to-lymphocyte ratio</w:t>
      </w:r>
      <w:r w:rsidRPr="005E2FA7">
        <w:rPr>
          <w:rFonts w:ascii="Book Antiqua" w:eastAsia="Times New Roman" w:hAnsi="Book Antiqua" w:cs="Times New Roman"/>
          <w:bCs/>
          <w:sz w:val="24"/>
          <w:szCs w:val="24"/>
          <w:lang w:val="en-GB" w:eastAsia="ar-SA"/>
        </w:rPr>
        <w:t xml:space="preserve"> and absolute monocyte count in prognostic accuracy and this represents one of the most important findings in our study. With regard to toxicity and tumor response, our results are in keeping with most of the published literature and confirm the effectiveness </w:t>
      </w:r>
      <w:r>
        <w:rPr>
          <w:rFonts w:ascii="Book Antiqua" w:eastAsia="Times New Roman" w:hAnsi="Book Antiqua" w:cs="Times New Roman"/>
          <w:bCs/>
          <w:sz w:val="24"/>
          <w:szCs w:val="24"/>
          <w:lang w:val="en-GB" w:eastAsia="ar-SA"/>
        </w:rPr>
        <w:t>of RFA in CLM patients</w:t>
      </w:r>
      <w:r w:rsidRPr="005E2FA7">
        <w:rPr>
          <w:rFonts w:ascii="Book Antiqua" w:eastAsia="Times New Roman" w:hAnsi="Book Antiqua" w:cs="Times New Roman"/>
          <w:bCs/>
          <w:sz w:val="24"/>
          <w:szCs w:val="24"/>
          <w:lang w:val="en-GB" w:eastAsia="ar-SA"/>
        </w:rPr>
        <w:t>.</w:t>
      </w:r>
    </w:p>
    <w:p w:rsidR="00CC2056" w:rsidRDefault="00CC2056" w:rsidP="00BB7527">
      <w:pPr>
        <w:spacing w:after="0" w:line="360" w:lineRule="auto"/>
        <w:jc w:val="both"/>
        <w:rPr>
          <w:rFonts w:ascii="Book Antiqua" w:hAnsi="Book Antiqua" w:cs="Times New Roman"/>
          <w:b/>
          <w:sz w:val="24"/>
          <w:szCs w:val="24"/>
          <w:lang w:val="en-US"/>
        </w:rPr>
      </w:pPr>
    </w:p>
    <w:p w:rsidR="00BB1B14" w:rsidRDefault="00BB1B14" w:rsidP="00BB7527">
      <w:pPr>
        <w:spacing w:after="0" w:line="360" w:lineRule="auto"/>
        <w:jc w:val="both"/>
        <w:rPr>
          <w:rFonts w:ascii="Book Antiqua" w:hAnsi="Book Antiqua" w:cs="Times New Roman"/>
          <w:b/>
          <w:i/>
          <w:sz w:val="24"/>
          <w:szCs w:val="24"/>
          <w:lang w:val="en-US"/>
        </w:rPr>
      </w:pPr>
      <w:r>
        <w:rPr>
          <w:rFonts w:ascii="Book Antiqua" w:hAnsi="Book Antiqua" w:cs="Times New Roman"/>
          <w:b/>
          <w:i/>
          <w:sz w:val="24"/>
          <w:szCs w:val="24"/>
          <w:lang w:val="en-US"/>
        </w:rPr>
        <w:t>Applications</w:t>
      </w:r>
    </w:p>
    <w:p w:rsidR="00BB1B14" w:rsidRDefault="00BB1B14" w:rsidP="00BB7527">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This</w:t>
      </w:r>
      <w:r w:rsidRPr="00BB1B14">
        <w:rPr>
          <w:rFonts w:ascii="Book Antiqua" w:hAnsi="Book Antiqua" w:cs="Times New Roman"/>
          <w:sz w:val="24"/>
          <w:szCs w:val="24"/>
          <w:lang w:val="en-US"/>
        </w:rPr>
        <w:t xml:space="preserve"> study provides support for the use of </w:t>
      </w:r>
      <w:r>
        <w:rPr>
          <w:rFonts w:ascii="Book Antiqua" w:hAnsi="Book Antiqua" w:cs="Times New Roman"/>
          <w:sz w:val="24"/>
          <w:szCs w:val="24"/>
          <w:lang w:val="en-US"/>
        </w:rPr>
        <w:t>LMR as a</w:t>
      </w:r>
      <w:r w:rsidRPr="00BB1B14">
        <w:rPr>
          <w:rFonts w:ascii="Book Antiqua" w:hAnsi="Book Antiqua" w:cs="Times New Roman"/>
          <w:sz w:val="24"/>
          <w:szCs w:val="24"/>
          <w:lang w:val="en-US"/>
        </w:rPr>
        <w:t xml:space="preserve"> novel predictor of outcome for CLM patients</w:t>
      </w:r>
      <w:r>
        <w:rPr>
          <w:rFonts w:ascii="Book Antiqua" w:hAnsi="Book Antiqua" w:cs="Times New Roman"/>
          <w:sz w:val="24"/>
          <w:szCs w:val="24"/>
          <w:lang w:val="en-US"/>
        </w:rPr>
        <w:t xml:space="preserve"> treated with RFA</w:t>
      </w:r>
      <w:r w:rsidRPr="00BB1B14">
        <w:rPr>
          <w:rFonts w:ascii="Book Antiqua" w:hAnsi="Book Antiqua" w:cs="Times New Roman"/>
          <w:sz w:val="24"/>
          <w:szCs w:val="24"/>
          <w:lang w:val="en-US"/>
        </w:rPr>
        <w:t>.</w:t>
      </w:r>
      <w:r>
        <w:rPr>
          <w:rFonts w:ascii="Book Antiqua" w:hAnsi="Book Antiqua" w:cs="Times New Roman"/>
          <w:sz w:val="24"/>
          <w:szCs w:val="24"/>
          <w:lang w:val="en-US"/>
        </w:rPr>
        <w:t xml:space="preserve"> If a patient has a baseline LMR &gt; 3.96%, he will show better survival outcomes after RFA. </w:t>
      </w:r>
    </w:p>
    <w:p w:rsidR="009D309D" w:rsidRDefault="009D309D" w:rsidP="00BB7527">
      <w:pPr>
        <w:spacing w:after="0" w:line="360" w:lineRule="auto"/>
        <w:jc w:val="both"/>
        <w:rPr>
          <w:rFonts w:ascii="Book Antiqua" w:hAnsi="Book Antiqua" w:cs="Times New Roman"/>
          <w:sz w:val="24"/>
          <w:szCs w:val="24"/>
          <w:lang w:val="en-US"/>
        </w:rPr>
      </w:pPr>
    </w:p>
    <w:p w:rsidR="009D309D" w:rsidRDefault="00C03255" w:rsidP="00BB7527">
      <w:pPr>
        <w:spacing w:after="0" w:line="360" w:lineRule="auto"/>
        <w:jc w:val="both"/>
        <w:rPr>
          <w:rFonts w:ascii="Book Antiqua" w:hAnsi="Book Antiqua" w:cs="Times New Roman"/>
          <w:b/>
          <w:i/>
          <w:sz w:val="24"/>
          <w:szCs w:val="24"/>
          <w:lang w:val="en-US" w:eastAsia="zh-CN"/>
        </w:rPr>
      </w:pPr>
      <w:r>
        <w:rPr>
          <w:rFonts w:ascii="Book Antiqua" w:hAnsi="Book Antiqua" w:cs="Times New Roman" w:hint="eastAsia"/>
          <w:b/>
          <w:i/>
          <w:sz w:val="24"/>
          <w:szCs w:val="24"/>
          <w:lang w:val="en-US" w:eastAsia="zh-CN"/>
        </w:rPr>
        <w:t>Peer-review</w:t>
      </w:r>
    </w:p>
    <w:p w:rsidR="00BB7527" w:rsidRPr="00FC7FCB" w:rsidRDefault="00FC7FCB" w:rsidP="00BB7527">
      <w:pPr>
        <w:spacing w:after="0" w:line="360" w:lineRule="auto"/>
        <w:jc w:val="both"/>
        <w:rPr>
          <w:rFonts w:ascii="Book Antiqua" w:hAnsi="Book Antiqua" w:cs="Times New Roman"/>
          <w:sz w:val="24"/>
          <w:szCs w:val="24"/>
          <w:lang w:val="en-US" w:eastAsia="zh-CN"/>
        </w:rPr>
      </w:pPr>
      <w:r w:rsidRPr="00FC7FCB">
        <w:rPr>
          <w:rFonts w:ascii="Book Antiqua" w:hAnsi="Book Antiqua" w:cs="Times New Roman"/>
          <w:sz w:val="24"/>
          <w:szCs w:val="24"/>
          <w:lang w:val="en-US" w:eastAsia="zh-CN"/>
        </w:rPr>
        <w:t xml:space="preserve">Very good and interesting study focusing on use of biomarkers used to predict efficacy of locoregional treatment. Though that I am not an expert in statistics, methodology appears to be correct, the rationale of the study is convincing, and results are useful in clinical practice. I think the article should be published.  </w:t>
      </w:r>
    </w:p>
    <w:p w:rsidR="00BB7527" w:rsidRDefault="00BB7527">
      <w:pPr>
        <w:rPr>
          <w:rFonts w:ascii="Book Antiqua" w:hAnsi="Book Antiqua" w:cs="Times New Roman"/>
          <w:b/>
          <w:sz w:val="24"/>
          <w:szCs w:val="24"/>
          <w:lang w:val="en-US"/>
        </w:rPr>
      </w:pPr>
      <w:r>
        <w:rPr>
          <w:rFonts w:ascii="Book Antiqua" w:hAnsi="Book Antiqua" w:cs="Times New Roman"/>
          <w:b/>
          <w:sz w:val="24"/>
          <w:szCs w:val="24"/>
          <w:lang w:val="en-US"/>
        </w:rPr>
        <w:br w:type="page"/>
      </w:r>
    </w:p>
    <w:p w:rsidR="00ED1418" w:rsidRPr="00FA3054" w:rsidRDefault="00BB7527" w:rsidP="00BB7527">
      <w:pPr>
        <w:spacing w:after="0" w:line="360" w:lineRule="auto"/>
        <w:jc w:val="both"/>
        <w:rPr>
          <w:rFonts w:ascii="Book Antiqua" w:hAnsi="Book Antiqua" w:cs="Times New Roman"/>
          <w:b/>
          <w:sz w:val="24"/>
          <w:szCs w:val="24"/>
          <w:lang w:val="en-US"/>
        </w:rPr>
      </w:pPr>
      <w:r w:rsidRPr="00FA3054">
        <w:rPr>
          <w:rFonts w:ascii="Book Antiqua" w:hAnsi="Book Antiqua" w:cs="Times New Roman"/>
          <w:b/>
          <w:sz w:val="24"/>
          <w:szCs w:val="24"/>
          <w:lang w:val="en-US"/>
        </w:rPr>
        <w:lastRenderedPageBreak/>
        <w:t>REFERENCES</w:t>
      </w:r>
      <w:bookmarkStart w:id="48" w:name="OLE_LINK3"/>
      <w:bookmarkStart w:id="49" w:name="OLE_LINK4"/>
    </w:p>
    <w:bookmarkEnd w:id="48"/>
    <w:bookmarkEnd w:id="49"/>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t>1 </w:t>
      </w:r>
      <w:r w:rsidRPr="00B33D98">
        <w:rPr>
          <w:rFonts w:ascii="Book Antiqua" w:eastAsia="SimSun" w:hAnsi="Book Antiqua" w:cs="SimSun"/>
          <w:b/>
          <w:bCs/>
          <w:sz w:val="24"/>
          <w:szCs w:val="24"/>
          <w:lang w:val="en-US"/>
        </w:rPr>
        <w:t>Siegel RL</w:t>
      </w:r>
      <w:r w:rsidRPr="00B33D98">
        <w:rPr>
          <w:rFonts w:ascii="Book Antiqua" w:eastAsia="SimSun" w:hAnsi="Book Antiqua" w:cs="SimSun"/>
          <w:sz w:val="24"/>
          <w:szCs w:val="24"/>
          <w:lang w:val="en-US"/>
        </w:rPr>
        <w:t>, Miller KD, Jemal A. Cancer statistics, 2015. </w:t>
      </w:r>
      <w:r w:rsidRPr="00B33D98">
        <w:rPr>
          <w:rFonts w:ascii="Book Antiqua" w:eastAsia="SimSun" w:hAnsi="Book Antiqua" w:cs="SimSun"/>
          <w:i/>
          <w:iCs/>
          <w:sz w:val="24"/>
          <w:szCs w:val="24"/>
          <w:lang w:val="en-US"/>
        </w:rPr>
        <w:t>CA Cancer J Clin</w:t>
      </w:r>
      <w:r w:rsidRPr="00B33D98">
        <w:rPr>
          <w:rFonts w:ascii="Book Antiqua" w:eastAsia="SimSun" w:hAnsi="Book Antiqua" w:cs="SimSun"/>
          <w:sz w:val="24"/>
          <w:szCs w:val="24"/>
          <w:lang w:val="en-US"/>
        </w:rPr>
        <w:t> </w:t>
      </w:r>
      <w:r w:rsidRPr="00B33D98">
        <w:rPr>
          <w:rFonts w:ascii="Book Antiqua" w:eastAsia="SimSun" w:hAnsi="Book Antiqua" w:cs="SimSun" w:hint="eastAsia"/>
          <w:sz w:val="24"/>
          <w:szCs w:val="24"/>
          <w:lang w:val="en-US"/>
        </w:rPr>
        <w:t>2015</w:t>
      </w:r>
      <w:r w:rsidRPr="00B33D98">
        <w:rPr>
          <w:rFonts w:ascii="Book Antiqua" w:eastAsia="SimSun" w:hAnsi="Book Antiqua" w:cs="SimSun"/>
          <w:sz w:val="24"/>
          <w:szCs w:val="24"/>
          <w:lang w:val="en-US"/>
        </w:rPr>
        <w:t>; </w:t>
      </w:r>
      <w:r w:rsidRPr="00B33D98">
        <w:rPr>
          <w:rFonts w:ascii="Book Antiqua" w:eastAsia="SimSun" w:hAnsi="Book Antiqua" w:cs="SimSun"/>
          <w:b/>
          <w:bCs/>
          <w:sz w:val="24"/>
          <w:szCs w:val="24"/>
          <w:lang w:val="en-US"/>
        </w:rPr>
        <w:t>65</w:t>
      </w:r>
      <w:r w:rsidRPr="00B33D98">
        <w:rPr>
          <w:rFonts w:ascii="Book Antiqua" w:eastAsia="SimSun" w:hAnsi="Book Antiqua" w:cs="SimSun"/>
          <w:sz w:val="24"/>
          <w:szCs w:val="24"/>
          <w:lang w:val="en-US"/>
        </w:rPr>
        <w:t>: 5-29 [PMID: 25559415 DOI: 10.3322/caac.21254]</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t>2 </w:t>
      </w:r>
      <w:r w:rsidRPr="00B33D98">
        <w:rPr>
          <w:rFonts w:ascii="Book Antiqua" w:eastAsia="SimSun" w:hAnsi="Book Antiqua" w:cs="SimSun"/>
          <w:b/>
          <w:bCs/>
          <w:sz w:val="24"/>
          <w:szCs w:val="24"/>
          <w:lang w:val="en-US"/>
        </w:rPr>
        <w:t>Kornprat P</w:t>
      </w:r>
      <w:r w:rsidRPr="00B33D98">
        <w:rPr>
          <w:rFonts w:ascii="Book Antiqua" w:eastAsia="SimSun" w:hAnsi="Book Antiqua" w:cs="SimSun"/>
          <w:sz w:val="24"/>
          <w:szCs w:val="24"/>
          <w:lang w:val="en-US"/>
        </w:rPr>
        <w:t>, Jarnagin WR, Gonen M, DeMatteo RP, Fong Y, Blumgart LH, D'Angelica M. Outcome after hepatectomy for multiple (four or more) colorectal metastases in the era of effective chemotherapy. </w:t>
      </w:r>
      <w:r w:rsidRPr="00B33D98">
        <w:rPr>
          <w:rFonts w:ascii="Book Antiqua" w:eastAsia="SimSun" w:hAnsi="Book Antiqua" w:cs="SimSun"/>
          <w:i/>
          <w:iCs/>
          <w:sz w:val="24"/>
          <w:szCs w:val="24"/>
          <w:lang w:val="en-US"/>
        </w:rPr>
        <w:t>Ann Surg Oncol</w:t>
      </w:r>
      <w:r w:rsidRPr="00B33D98">
        <w:rPr>
          <w:rFonts w:ascii="Book Antiqua" w:eastAsia="SimSun" w:hAnsi="Book Antiqua" w:cs="SimSun"/>
          <w:sz w:val="24"/>
          <w:szCs w:val="24"/>
          <w:lang w:val="en-US"/>
        </w:rPr>
        <w:t> 2007; </w:t>
      </w:r>
      <w:r w:rsidRPr="00B33D98">
        <w:rPr>
          <w:rFonts w:ascii="Book Antiqua" w:eastAsia="SimSun" w:hAnsi="Book Antiqua" w:cs="SimSun"/>
          <w:b/>
          <w:bCs/>
          <w:sz w:val="24"/>
          <w:szCs w:val="24"/>
          <w:lang w:val="en-US"/>
        </w:rPr>
        <w:t>14</w:t>
      </w:r>
      <w:r w:rsidRPr="00B33D98">
        <w:rPr>
          <w:rFonts w:ascii="Book Antiqua" w:eastAsia="SimSun" w:hAnsi="Book Antiqua" w:cs="SimSun"/>
          <w:sz w:val="24"/>
          <w:szCs w:val="24"/>
          <w:lang w:val="en-US"/>
        </w:rPr>
        <w:t>: 1151-1160 [PMID: 17195913]</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t>3 </w:t>
      </w:r>
      <w:r w:rsidRPr="00B33D98">
        <w:rPr>
          <w:rFonts w:ascii="Book Antiqua" w:eastAsia="SimSun" w:hAnsi="Book Antiqua" w:cs="SimSun"/>
          <w:b/>
          <w:bCs/>
          <w:sz w:val="24"/>
          <w:szCs w:val="24"/>
          <w:lang w:val="en-US"/>
        </w:rPr>
        <w:t>Gillams A</w:t>
      </w:r>
      <w:r w:rsidRPr="00B33D98">
        <w:rPr>
          <w:rFonts w:ascii="Book Antiqua" w:eastAsia="SimSun" w:hAnsi="Book Antiqua" w:cs="SimSun"/>
          <w:sz w:val="24"/>
          <w:szCs w:val="24"/>
          <w:lang w:val="en-US"/>
        </w:rPr>
        <w:t>, Goldberg N, Ahmed M, Bale R, Breen D, Callstrom M, Chen MH, Choi BI, de Baere T, Dupuy D, Gangi A, Gervais D, Helmberger T, Jung EM, Lee F, Lencioni R, Liang P, Livraghi T, Lu D, Meloni F, Pereira P, Piscaglia F, Rhim H, Salem R, Sofocleous C, Solomon SB, Soulen M, Tanaka M, Vogl T, Wood B, Solbiati L. Thermal ablation of colorectal liver metastases: a position paper by an international panel of ablation experts, the interventional oncology sans frontières meeting 2013. </w:t>
      </w:r>
      <w:r w:rsidRPr="00B33D98">
        <w:rPr>
          <w:rFonts w:ascii="Book Antiqua" w:eastAsia="SimSun" w:hAnsi="Book Antiqua" w:cs="SimSun"/>
          <w:i/>
          <w:iCs/>
          <w:sz w:val="24"/>
          <w:szCs w:val="24"/>
          <w:lang w:val="en-US"/>
        </w:rPr>
        <w:t>Eur Radiol</w:t>
      </w:r>
      <w:r w:rsidRPr="00B33D98">
        <w:rPr>
          <w:rFonts w:ascii="Book Antiqua" w:eastAsia="SimSun" w:hAnsi="Book Antiqua" w:cs="SimSun"/>
          <w:sz w:val="24"/>
          <w:szCs w:val="24"/>
          <w:lang w:val="en-US"/>
        </w:rPr>
        <w:t> 2015; </w:t>
      </w:r>
      <w:r w:rsidRPr="00B33D98">
        <w:rPr>
          <w:rFonts w:ascii="Book Antiqua" w:eastAsia="SimSun" w:hAnsi="Book Antiqua" w:cs="SimSun"/>
          <w:b/>
          <w:bCs/>
          <w:sz w:val="24"/>
          <w:szCs w:val="24"/>
          <w:lang w:val="en-US"/>
        </w:rPr>
        <w:t>25</w:t>
      </w:r>
      <w:r w:rsidRPr="00B33D98">
        <w:rPr>
          <w:rFonts w:ascii="Book Antiqua" w:eastAsia="SimSun" w:hAnsi="Book Antiqua" w:cs="SimSun"/>
          <w:sz w:val="24"/>
          <w:szCs w:val="24"/>
          <w:lang w:val="en-US"/>
        </w:rPr>
        <w:t>: 3438-3454 [PMID: 25994193 DOI: 10.1007/s00330-015-3779-z]</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t>4 </w:t>
      </w:r>
      <w:r w:rsidRPr="00B33D98">
        <w:rPr>
          <w:rFonts w:ascii="Book Antiqua" w:eastAsia="SimSun" w:hAnsi="Book Antiqua" w:cs="SimSun"/>
          <w:b/>
          <w:bCs/>
          <w:sz w:val="24"/>
          <w:szCs w:val="24"/>
          <w:lang w:val="en-US"/>
        </w:rPr>
        <w:t>Facciorusso A</w:t>
      </w:r>
      <w:r w:rsidRPr="00B33D98">
        <w:rPr>
          <w:rFonts w:ascii="Book Antiqua" w:eastAsia="SimSun" w:hAnsi="Book Antiqua" w:cs="SimSun"/>
          <w:sz w:val="24"/>
          <w:szCs w:val="24"/>
          <w:lang w:val="en-US"/>
        </w:rPr>
        <w:t>, Del Prete V, Antonino M, Neve V, Amoruso A, Crucinio N, Di Leo A, Barone M. Conditional survival analysis of hepatocellular carcinoma patients treated with radiofrequency ablation. </w:t>
      </w:r>
      <w:r w:rsidRPr="00B33D98">
        <w:rPr>
          <w:rFonts w:ascii="Book Antiqua" w:eastAsia="SimSun" w:hAnsi="Book Antiqua" w:cs="SimSun"/>
          <w:i/>
          <w:iCs/>
          <w:sz w:val="24"/>
          <w:szCs w:val="24"/>
          <w:lang w:val="en-US"/>
        </w:rPr>
        <w:t>Hepatol Res</w:t>
      </w:r>
      <w:r w:rsidRPr="00B33D98">
        <w:rPr>
          <w:rFonts w:ascii="Book Antiqua" w:eastAsia="SimSun" w:hAnsi="Book Antiqua" w:cs="SimSun"/>
          <w:sz w:val="24"/>
          <w:szCs w:val="24"/>
          <w:lang w:val="en-US"/>
        </w:rPr>
        <w:t> 2015; </w:t>
      </w:r>
      <w:r w:rsidRPr="00B33D98">
        <w:rPr>
          <w:rFonts w:ascii="Book Antiqua" w:eastAsia="SimSun" w:hAnsi="Book Antiqua" w:cs="SimSun"/>
          <w:b/>
          <w:bCs/>
          <w:sz w:val="24"/>
          <w:szCs w:val="24"/>
          <w:lang w:val="en-US"/>
        </w:rPr>
        <w:t>45</w:t>
      </w:r>
      <w:r w:rsidRPr="00B33D98">
        <w:rPr>
          <w:rFonts w:ascii="Book Antiqua" w:eastAsia="SimSun" w:hAnsi="Book Antiqua" w:cs="SimSun"/>
          <w:sz w:val="24"/>
          <w:szCs w:val="24"/>
          <w:lang w:val="en-US"/>
        </w:rPr>
        <w:t>: E62-E72 [PMID: 25472869 DOI: 10.1111/hepr.12458]</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t>5 </w:t>
      </w:r>
      <w:r w:rsidRPr="00B33D98">
        <w:rPr>
          <w:rFonts w:ascii="Book Antiqua" w:eastAsia="SimSun" w:hAnsi="Book Antiqua" w:cs="SimSun"/>
          <w:b/>
          <w:bCs/>
          <w:sz w:val="24"/>
          <w:szCs w:val="24"/>
          <w:lang w:val="en-US"/>
        </w:rPr>
        <w:t>Facciorusso A</w:t>
      </w:r>
      <w:r w:rsidRPr="00B33D98">
        <w:rPr>
          <w:rFonts w:ascii="Book Antiqua" w:eastAsia="SimSun" w:hAnsi="Book Antiqua" w:cs="SimSun"/>
          <w:sz w:val="24"/>
          <w:szCs w:val="24"/>
          <w:lang w:val="en-US"/>
        </w:rPr>
        <w:t>, Del Prete V, Antonino M, Crucinio N, Neve V, Di Leo A, Carr BI, Barone M. Post-recurrence survival in hepatocellular carcinoma after percutaneous radiofrequency ablation. </w:t>
      </w:r>
      <w:r w:rsidRPr="00B33D98">
        <w:rPr>
          <w:rFonts w:ascii="Book Antiqua" w:eastAsia="SimSun" w:hAnsi="Book Antiqua" w:cs="SimSun"/>
          <w:i/>
          <w:iCs/>
          <w:sz w:val="24"/>
          <w:szCs w:val="24"/>
          <w:lang w:val="en-US"/>
        </w:rPr>
        <w:t>Dig Liver Dis</w:t>
      </w:r>
      <w:r w:rsidRPr="00B33D98">
        <w:rPr>
          <w:rFonts w:ascii="Book Antiqua" w:eastAsia="SimSun" w:hAnsi="Book Antiqua" w:cs="SimSun"/>
          <w:sz w:val="24"/>
          <w:szCs w:val="24"/>
          <w:lang w:val="en-US"/>
        </w:rPr>
        <w:t> 2014; </w:t>
      </w:r>
      <w:r w:rsidRPr="00B33D98">
        <w:rPr>
          <w:rFonts w:ascii="Book Antiqua" w:eastAsia="SimSun" w:hAnsi="Book Antiqua" w:cs="SimSun"/>
          <w:b/>
          <w:bCs/>
          <w:sz w:val="24"/>
          <w:szCs w:val="24"/>
          <w:lang w:val="en-US"/>
        </w:rPr>
        <w:t>46</w:t>
      </w:r>
      <w:r w:rsidRPr="00B33D98">
        <w:rPr>
          <w:rFonts w:ascii="Book Antiqua" w:eastAsia="SimSun" w:hAnsi="Book Antiqua" w:cs="SimSun"/>
          <w:sz w:val="24"/>
          <w:szCs w:val="24"/>
          <w:lang w:val="en-US"/>
        </w:rPr>
        <w:t>: 1014-1019 [PMID: 25085684 DOI: 10.1016/j.dld.2014.07.012]</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t>6 </w:t>
      </w:r>
      <w:r w:rsidRPr="00B33D98">
        <w:rPr>
          <w:rFonts w:ascii="Book Antiqua" w:eastAsia="SimSun" w:hAnsi="Book Antiqua" w:cs="SimSun"/>
          <w:b/>
          <w:bCs/>
          <w:sz w:val="24"/>
          <w:szCs w:val="24"/>
          <w:lang w:val="en-US"/>
        </w:rPr>
        <w:t>Facciorusso A</w:t>
      </w:r>
      <w:r w:rsidRPr="00B33D98">
        <w:rPr>
          <w:rFonts w:ascii="Book Antiqua" w:eastAsia="SimSun" w:hAnsi="Book Antiqua" w:cs="SimSun"/>
          <w:sz w:val="24"/>
          <w:szCs w:val="24"/>
          <w:lang w:val="en-US"/>
        </w:rPr>
        <w:t>, Del Prete V, Crucinio N, Muscatiello N, Carr BI, Di Leo A, Barone M. Angiotensin receptor blockers improve survival outcomes after radiofrequency ablation in hepatocarcinoma patients. </w:t>
      </w:r>
      <w:r w:rsidRPr="00B33D98">
        <w:rPr>
          <w:rFonts w:ascii="Book Antiqua" w:eastAsia="SimSun" w:hAnsi="Book Antiqua" w:cs="SimSun"/>
          <w:i/>
          <w:iCs/>
          <w:sz w:val="24"/>
          <w:szCs w:val="24"/>
          <w:lang w:val="en-US"/>
        </w:rPr>
        <w:t>J Gastroenterol Hepatol</w:t>
      </w:r>
      <w:r w:rsidRPr="00B33D98">
        <w:rPr>
          <w:rFonts w:ascii="Book Antiqua" w:eastAsia="SimSun" w:hAnsi="Book Antiqua" w:cs="SimSun"/>
          <w:sz w:val="24"/>
          <w:szCs w:val="24"/>
          <w:lang w:val="en-US"/>
        </w:rPr>
        <w:t> 2015; </w:t>
      </w:r>
      <w:r w:rsidRPr="00B33D98">
        <w:rPr>
          <w:rFonts w:ascii="Book Antiqua" w:eastAsia="SimSun" w:hAnsi="Book Antiqua" w:cs="SimSun"/>
          <w:b/>
          <w:bCs/>
          <w:sz w:val="24"/>
          <w:szCs w:val="24"/>
          <w:lang w:val="en-US"/>
        </w:rPr>
        <w:t>30</w:t>
      </w:r>
      <w:r w:rsidRPr="00B33D98">
        <w:rPr>
          <w:rFonts w:ascii="Book Antiqua" w:eastAsia="SimSun" w:hAnsi="Book Antiqua" w:cs="SimSun"/>
          <w:sz w:val="24"/>
          <w:szCs w:val="24"/>
          <w:lang w:val="en-US"/>
        </w:rPr>
        <w:t>: 1643-1650 [PMID: 25974743 DOI: 10.1111/jgh.12988]</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t>7 </w:t>
      </w:r>
      <w:r w:rsidRPr="00B33D98">
        <w:rPr>
          <w:rFonts w:ascii="Book Antiqua" w:eastAsia="SimSun" w:hAnsi="Book Antiqua" w:cs="SimSun"/>
          <w:b/>
          <w:bCs/>
          <w:sz w:val="24"/>
          <w:szCs w:val="24"/>
          <w:lang w:val="en-US"/>
        </w:rPr>
        <w:t>Wong SL</w:t>
      </w:r>
      <w:r w:rsidRPr="00B33D98">
        <w:rPr>
          <w:rFonts w:ascii="Book Antiqua" w:eastAsia="SimSun" w:hAnsi="Book Antiqua" w:cs="SimSun"/>
          <w:sz w:val="24"/>
          <w:szCs w:val="24"/>
          <w:lang w:val="en-US"/>
        </w:rPr>
        <w:t xml:space="preserve">, Mangu PB, Choti MA, Crocenzi TS, Dodd GD, Dorfman GS, Eng C, Fong Y, Giusti AF, Lu D, Marsland TA, Michelson R, Poston GJ, Schrag D, Seidenfeld J, Benson AB. American Society of Clinical Oncology 2009 clinical evidence review on </w:t>
      </w:r>
      <w:r w:rsidRPr="00B33D98">
        <w:rPr>
          <w:rFonts w:ascii="Book Antiqua" w:eastAsia="SimSun" w:hAnsi="Book Antiqua" w:cs="SimSun"/>
          <w:sz w:val="24"/>
          <w:szCs w:val="24"/>
          <w:lang w:val="en-US"/>
        </w:rPr>
        <w:lastRenderedPageBreak/>
        <w:t>radiofrequency ablation of hepatic metastases from colorectal cancer. </w:t>
      </w:r>
      <w:r w:rsidRPr="00B33D98">
        <w:rPr>
          <w:rFonts w:ascii="Book Antiqua" w:eastAsia="SimSun" w:hAnsi="Book Antiqua" w:cs="SimSun"/>
          <w:i/>
          <w:iCs/>
          <w:sz w:val="24"/>
          <w:szCs w:val="24"/>
          <w:lang w:val="en-US"/>
        </w:rPr>
        <w:t>J Clin Oncol</w:t>
      </w:r>
      <w:r w:rsidRPr="00B33D98">
        <w:rPr>
          <w:rFonts w:ascii="Book Antiqua" w:eastAsia="SimSun" w:hAnsi="Book Antiqua" w:cs="SimSun"/>
          <w:sz w:val="24"/>
          <w:szCs w:val="24"/>
          <w:lang w:val="en-US"/>
        </w:rPr>
        <w:t> 2010; </w:t>
      </w:r>
      <w:r w:rsidRPr="00B33D98">
        <w:rPr>
          <w:rFonts w:ascii="Book Antiqua" w:eastAsia="SimSun" w:hAnsi="Book Antiqua" w:cs="SimSun"/>
          <w:b/>
          <w:bCs/>
          <w:sz w:val="24"/>
          <w:szCs w:val="24"/>
          <w:lang w:val="en-US"/>
        </w:rPr>
        <w:t>28</w:t>
      </w:r>
      <w:r w:rsidRPr="00B33D98">
        <w:rPr>
          <w:rFonts w:ascii="Book Antiqua" w:eastAsia="SimSun" w:hAnsi="Book Antiqua" w:cs="SimSun"/>
          <w:sz w:val="24"/>
          <w:szCs w:val="24"/>
          <w:lang w:val="en-US"/>
        </w:rPr>
        <w:t>: 493-508 [PMID: 19841322 DOI: 10.1200/JCO.2009.23.4450]</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t>8 </w:t>
      </w:r>
      <w:r w:rsidRPr="00B33D98">
        <w:rPr>
          <w:rFonts w:ascii="Book Antiqua" w:eastAsia="SimSun" w:hAnsi="Book Antiqua" w:cs="SimSun"/>
          <w:b/>
          <w:bCs/>
          <w:sz w:val="24"/>
          <w:szCs w:val="24"/>
          <w:lang w:val="en-US"/>
        </w:rPr>
        <w:t>Lee HY</w:t>
      </w:r>
      <w:r w:rsidRPr="00B33D98">
        <w:rPr>
          <w:rFonts w:ascii="Book Antiqua" w:eastAsia="SimSun" w:hAnsi="Book Antiqua" w:cs="SimSun"/>
          <w:sz w:val="24"/>
          <w:szCs w:val="24"/>
          <w:lang w:val="en-US"/>
        </w:rPr>
        <w:t>, Ko HK, Kim SH, Lee KS, Ro J, Park IH. Percutaneous radiofrequency ablation for liver metastases in breast cancer patients. </w:t>
      </w:r>
      <w:r w:rsidRPr="00B33D98">
        <w:rPr>
          <w:rFonts w:ascii="Book Antiqua" w:eastAsia="SimSun" w:hAnsi="Book Antiqua" w:cs="SimSun"/>
          <w:i/>
          <w:iCs/>
          <w:sz w:val="24"/>
          <w:szCs w:val="24"/>
          <w:lang w:val="en-US"/>
        </w:rPr>
        <w:t>Breast J</w:t>
      </w:r>
      <w:r w:rsidRPr="00B33D98">
        <w:rPr>
          <w:rFonts w:ascii="Book Antiqua" w:eastAsia="SimSun" w:hAnsi="Book Antiqua" w:cs="SimSun"/>
          <w:sz w:val="24"/>
          <w:szCs w:val="24"/>
          <w:lang w:val="en-US"/>
        </w:rPr>
        <w:t> </w:t>
      </w:r>
      <w:r w:rsidRPr="00B33D98">
        <w:rPr>
          <w:rFonts w:ascii="Book Antiqua" w:eastAsia="SimSun" w:hAnsi="Book Antiqua" w:cs="SimSun" w:hint="eastAsia"/>
          <w:sz w:val="24"/>
          <w:szCs w:val="24"/>
          <w:lang w:val="en-US"/>
        </w:rPr>
        <w:t>2013</w:t>
      </w:r>
      <w:r w:rsidRPr="00B33D98">
        <w:rPr>
          <w:rFonts w:ascii="Book Antiqua" w:eastAsia="SimSun" w:hAnsi="Book Antiqua" w:cs="SimSun"/>
          <w:sz w:val="24"/>
          <w:szCs w:val="24"/>
          <w:lang w:val="en-US"/>
        </w:rPr>
        <w:t>; </w:t>
      </w:r>
      <w:r w:rsidRPr="00B33D98">
        <w:rPr>
          <w:rFonts w:ascii="Book Antiqua" w:eastAsia="SimSun" w:hAnsi="Book Antiqua" w:cs="SimSun"/>
          <w:b/>
          <w:bCs/>
          <w:sz w:val="24"/>
          <w:szCs w:val="24"/>
          <w:lang w:val="en-US"/>
        </w:rPr>
        <w:t>19</w:t>
      </w:r>
      <w:r w:rsidRPr="00B33D98">
        <w:rPr>
          <w:rFonts w:ascii="Book Antiqua" w:eastAsia="SimSun" w:hAnsi="Book Antiqua" w:cs="SimSun"/>
          <w:sz w:val="24"/>
          <w:szCs w:val="24"/>
          <w:lang w:val="en-US"/>
        </w:rPr>
        <w:t>: 563-565 [PMID: 24073730 DOI: 10.1111/tbj.12170]</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t>9 </w:t>
      </w:r>
      <w:r w:rsidRPr="00B33D98">
        <w:rPr>
          <w:rFonts w:ascii="Book Antiqua" w:eastAsia="SimSun" w:hAnsi="Book Antiqua" w:cs="SimSun"/>
          <w:b/>
          <w:bCs/>
          <w:sz w:val="24"/>
          <w:szCs w:val="24"/>
          <w:lang w:val="en-US"/>
        </w:rPr>
        <w:t>Gervais DA</w:t>
      </w:r>
      <w:r w:rsidRPr="00B33D98">
        <w:rPr>
          <w:rFonts w:ascii="Book Antiqua" w:eastAsia="SimSun" w:hAnsi="Book Antiqua" w:cs="SimSun"/>
          <w:sz w:val="24"/>
          <w:szCs w:val="24"/>
          <w:lang w:val="en-US"/>
        </w:rPr>
        <w:t>, Arellano RS, Mueller PR. Percutaneous radiofrequency ablation of ovarian cancer metastasis to the liver: indications, outcomes, and role in patient management. </w:t>
      </w:r>
      <w:r w:rsidRPr="00B33D98">
        <w:rPr>
          <w:rFonts w:ascii="Book Antiqua" w:eastAsia="SimSun" w:hAnsi="Book Antiqua" w:cs="SimSun"/>
          <w:i/>
          <w:iCs/>
          <w:sz w:val="24"/>
          <w:szCs w:val="24"/>
          <w:lang w:val="en-US"/>
        </w:rPr>
        <w:t>AJR Am J Roentgenol</w:t>
      </w:r>
      <w:r w:rsidRPr="00B33D98">
        <w:rPr>
          <w:rFonts w:ascii="Book Antiqua" w:eastAsia="SimSun" w:hAnsi="Book Antiqua" w:cs="SimSun"/>
          <w:sz w:val="24"/>
          <w:szCs w:val="24"/>
          <w:lang w:val="en-US"/>
        </w:rPr>
        <w:t> 2006; </w:t>
      </w:r>
      <w:r w:rsidRPr="00B33D98">
        <w:rPr>
          <w:rFonts w:ascii="Book Antiqua" w:eastAsia="SimSun" w:hAnsi="Book Antiqua" w:cs="SimSun"/>
          <w:b/>
          <w:bCs/>
          <w:sz w:val="24"/>
          <w:szCs w:val="24"/>
          <w:lang w:val="en-US"/>
        </w:rPr>
        <w:t>187</w:t>
      </w:r>
      <w:r w:rsidRPr="00B33D98">
        <w:rPr>
          <w:rFonts w:ascii="Book Antiqua" w:eastAsia="SimSun" w:hAnsi="Book Antiqua" w:cs="SimSun"/>
          <w:sz w:val="24"/>
          <w:szCs w:val="24"/>
          <w:lang w:val="en-US"/>
        </w:rPr>
        <w:t>: 746-750 [PMID: 16928940]</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t>10 </w:t>
      </w:r>
      <w:r w:rsidRPr="00B33D98">
        <w:rPr>
          <w:rFonts w:ascii="Book Antiqua" w:eastAsia="SimSun" w:hAnsi="Book Antiqua" w:cs="SimSun"/>
          <w:b/>
          <w:bCs/>
          <w:sz w:val="24"/>
          <w:szCs w:val="24"/>
          <w:lang w:val="en-US"/>
        </w:rPr>
        <w:t>Lin ZX</w:t>
      </w:r>
      <w:r w:rsidRPr="00B33D98">
        <w:rPr>
          <w:rFonts w:ascii="Book Antiqua" w:eastAsia="SimSun" w:hAnsi="Book Antiqua" w:cs="SimSun"/>
          <w:sz w:val="24"/>
          <w:szCs w:val="24"/>
          <w:lang w:val="en-US"/>
        </w:rPr>
        <w:t>, Ruan DY, Li Y, Wu DH, Ma XK, Chen J, Chen ZH, Li X, Wang TT, Lin Q, Wen JY, Wu XY. Lymphocyte-to-monocyte ratio predicts survival of patients with hepatocellular carcinoma after curative resection. </w:t>
      </w:r>
      <w:r w:rsidRPr="00B33D98">
        <w:rPr>
          <w:rFonts w:ascii="Book Antiqua" w:eastAsia="SimSun" w:hAnsi="Book Antiqua" w:cs="SimSun"/>
          <w:i/>
          <w:iCs/>
          <w:sz w:val="24"/>
          <w:szCs w:val="24"/>
          <w:lang w:val="en-US"/>
        </w:rPr>
        <w:t>World J Gastroenterol</w:t>
      </w:r>
      <w:r w:rsidRPr="00B33D98">
        <w:rPr>
          <w:rFonts w:ascii="Book Antiqua" w:eastAsia="SimSun" w:hAnsi="Book Antiqua" w:cs="SimSun"/>
          <w:sz w:val="24"/>
          <w:szCs w:val="24"/>
          <w:lang w:val="en-US"/>
        </w:rPr>
        <w:t> 2015; </w:t>
      </w:r>
      <w:r w:rsidRPr="00B33D98">
        <w:rPr>
          <w:rFonts w:ascii="Book Antiqua" w:eastAsia="SimSun" w:hAnsi="Book Antiqua" w:cs="SimSun"/>
          <w:b/>
          <w:bCs/>
          <w:sz w:val="24"/>
          <w:szCs w:val="24"/>
          <w:lang w:val="en-US"/>
        </w:rPr>
        <w:t>21</w:t>
      </w:r>
      <w:r w:rsidRPr="00B33D98">
        <w:rPr>
          <w:rFonts w:ascii="Book Antiqua" w:eastAsia="SimSun" w:hAnsi="Book Antiqua" w:cs="SimSun"/>
          <w:sz w:val="24"/>
          <w:szCs w:val="24"/>
          <w:lang w:val="en-US"/>
        </w:rPr>
        <w:t>: 10898-10906 [PMID: 26478681 DOI: 10.3748/wjg.v21.i38.10898]</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t>11 </w:t>
      </w:r>
      <w:r w:rsidRPr="00B33D98">
        <w:rPr>
          <w:rFonts w:ascii="Book Antiqua" w:eastAsia="SimSun" w:hAnsi="Book Antiqua" w:cs="SimSun"/>
          <w:b/>
          <w:bCs/>
          <w:sz w:val="24"/>
          <w:szCs w:val="24"/>
          <w:lang w:val="en-US"/>
        </w:rPr>
        <w:t>Song A</w:t>
      </w:r>
      <w:r w:rsidRPr="00B33D98">
        <w:rPr>
          <w:rFonts w:ascii="Book Antiqua" w:eastAsia="SimSun" w:hAnsi="Book Antiqua" w:cs="SimSun"/>
          <w:sz w:val="24"/>
          <w:szCs w:val="24"/>
          <w:lang w:val="en-US"/>
        </w:rPr>
        <w:t>, Eo W, Lee S. Comparison of selected inflammation-based prognostic markers in relapsed or refractory metastatic colorectal cancer patients. </w:t>
      </w:r>
      <w:r w:rsidRPr="00B33D98">
        <w:rPr>
          <w:rFonts w:ascii="Book Antiqua" w:eastAsia="SimSun" w:hAnsi="Book Antiqua" w:cs="SimSun"/>
          <w:i/>
          <w:iCs/>
          <w:sz w:val="24"/>
          <w:szCs w:val="24"/>
          <w:lang w:val="en-US"/>
        </w:rPr>
        <w:t>World J Gastroenterol</w:t>
      </w:r>
      <w:r w:rsidRPr="00B33D98">
        <w:rPr>
          <w:rFonts w:ascii="Book Antiqua" w:eastAsia="SimSun" w:hAnsi="Book Antiqua" w:cs="SimSun"/>
          <w:sz w:val="24"/>
          <w:szCs w:val="24"/>
          <w:lang w:val="en-US"/>
        </w:rPr>
        <w:t> 2015; </w:t>
      </w:r>
      <w:r w:rsidRPr="00B33D98">
        <w:rPr>
          <w:rFonts w:ascii="Book Antiqua" w:eastAsia="SimSun" w:hAnsi="Book Antiqua" w:cs="SimSun"/>
          <w:b/>
          <w:bCs/>
          <w:sz w:val="24"/>
          <w:szCs w:val="24"/>
          <w:lang w:val="en-US"/>
        </w:rPr>
        <w:t>21</w:t>
      </w:r>
      <w:r w:rsidRPr="00B33D98">
        <w:rPr>
          <w:rFonts w:ascii="Book Antiqua" w:eastAsia="SimSun" w:hAnsi="Book Antiqua" w:cs="SimSun"/>
          <w:sz w:val="24"/>
          <w:szCs w:val="24"/>
          <w:lang w:val="en-US"/>
        </w:rPr>
        <w:t>: 12410-12420 [PMID: 26604648 DOI: 10.3748/wjg.v21.i43.12410]</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t>12 </w:t>
      </w:r>
      <w:r w:rsidRPr="00B33D98">
        <w:rPr>
          <w:rFonts w:ascii="Book Antiqua" w:eastAsia="SimSun" w:hAnsi="Book Antiqua" w:cs="SimSun"/>
          <w:b/>
          <w:bCs/>
          <w:sz w:val="24"/>
          <w:szCs w:val="24"/>
          <w:lang w:val="en-US"/>
        </w:rPr>
        <w:t>Allavena P</w:t>
      </w:r>
      <w:r w:rsidRPr="00B33D98">
        <w:rPr>
          <w:rFonts w:ascii="Book Antiqua" w:eastAsia="SimSun" w:hAnsi="Book Antiqua" w:cs="SimSun"/>
          <w:sz w:val="24"/>
          <w:szCs w:val="24"/>
          <w:lang w:val="en-US"/>
        </w:rPr>
        <w:t>, Sica A, Solinas G, Porta C, Mantovani A. The inflammatory micro-environment in tumor progression: the role of tumor-associated macrophages. </w:t>
      </w:r>
      <w:r w:rsidRPr="00B33D98">
        <w:rPr>
          <w:rFonts w:ascii="Book Antiqua" w:eastAsia="SimSun" w:hAnsi="Book Antiqua" w:cs="SimSun"/>
          <w:i/>
          <w:iCs/>
          <w:sz w:val="24"/>
          <w:szCs w:val="24"/>
          <w:lang w:val="en-US"/>
        </w:rPr>
        <w:t>Crit Rev Oncol Hematol</w:t>
      </w:r>
      <w:r w:rsidRPr="00B33D98">
        <w:rPr>
          <w:rFonts w:ascii="Book Antiqua" w:eastAsia="SimSun" w:hAnsi="Book Antiqua" w:cs="SimSun"/>
          <w:sz w:val="24"/>
          <w:szCs w:val="24"/>
          <w:lang w:val="en-US"/>
        </w:rPr>
        <w:t> 2008; </w:t>
      </w:r>
      <w:r w:rsidRPr="00B33D98">
        <w:rPr>
          <w:rFonts w:ascii="Book Antiqua" w:eastAsia="SimSun" w:hAnsi="Book Antiqua" w:cs="SimSun"/>
          <w:b/>
          <w:bCs/>
          <w:sz w:val="24"/>
          <w:szCs w:val="24"/>
          <w:lang w:val="en-US"/>
        </w:rPr>
        <w:t>66</w:t>
      </w:r>
      <w:r w:rsidRPr="00B33D98">
        <w:rPr>
          <w:rFonts w:ascii="Book Antiqua" w:eastAsia="SimSun" w:hAnsi="Book Antiqua" w:cs="SimSun"/>
          <w:sz w:val="24"/>
          <w:szCs w:val="24"/>
          <w:lang w:val="en-US"/>
        </w:rPr>
        <w:t>: 1-9 [PMID: 17913510 DOI: 10.1016/j.critrevonc.2007.07.004]</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t>13 </w:t>
      </w:r>
      <w:r w:rsidRPr="00B33D98">
        <w:rPr>
          <w:rFonts w:ascii="Book Antiqua" w:eastAsia="SimSun" w:hAnsi="Book Antiqua" w:cs="SimSun"/>
          <w:b/>
          <w:bCs/>
          <w:sz w:val="24"/>
          <w:szCs w:val="24"/>
          <w:lang w:val="en-US"/>
        </w:rPr>
        <w:t>Facciorusso A</w:t>
      </w:r>
      <w:r w:rsidRPr="00B33D98">
        <w:rPr>
          <w:rFonts w:ascii="Book Antiqua" w:eastAsia="SimSun" w:hAnsi="Book Antiqua" w:cs="SimSun"/>
          <w:sz w:val="24"/>
          <w:szCs w:val="24"/>
          <w:lang w:val="en-US"/>
        </w:rPr>
        <w:t>, Licinio R, Carr BI, Di Leo A, Barone M. MEK 1/2 inhibitors in the treatment of hepatocellular carcinoma. </w:t>
      </w:r>
      <w:r w:rsidRPr="00B33D98">
        <w:rPr>
          <w:rFonts w:ascii="Book Antiqua" w:eastAsia="SimSun" w:hAnsi="Book Antiqua" w:cs="SimSun"/>
          <w:i/>
          <w:iCs/>
          <w:sz w:val="24"/>
          <w:szCs w:val="24"/>
          <w:lang w:val="en-US"/>
        </w:rPr>
        <w:t>Expert Rev Gastroenterol Hepatol</w:t>
      </w:r>
      <w:r w:rsidRPr="00B33D98">
        <w:rPr>
          <w:rFonts w:ascii="Book Antiqua" w:eastAsia="SimSun" w:hAnsi="Book Antiqua" w:cs="SimSun"/>
          <w:sz w:val="24"/>
          <w:szCs w:val="24"/>
          <w:lang w:val="en-US"/>
        </w:rPr>
        <w:t> 2015; </w:t>
      </w:r>
      <w:r w:rsidRPr="00B33D98">
        <w:rPr>
          <w:rFonts w:ascii="Book Antiqua" w:eastAsia="SimSun" w:hAnsi="Book Antiqua" w:cs="SimSun"/>
          <w:b/>
          <w:bCs/>
          <w:sz w:val="24"/>
          <w:szCs w:val="24"/>
          <w:lang w:val="en-US"/>
        </w:rPr>
        <w:t>9</w:t>
      </w:r>
      <w:r w:rsidRPr="00B33D98">
        <w:rPr>
          <w:rFonts w:ascii="Book Antiqua" w:eastAsia="SimSun" w:hAnsi="Book Antiqua" w:cs="SimSun"/>
          <w:sz w:val="24"/>
          <w:szCs w:val="24"/>
          <w:lang w:val="en-US"/>
        </w:rPr>
        <w:t>: 993-1003 [PMID: 25915713 DOI: 10.1586/17474124.2015.1040763]</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t>14 </w:t>
      </w:r>
      <w:r w:rsidRPr="00B33D98">
        <w:rPr>
          <w:rFonts w:ascii="Book Antiqua" w:eastAsia="SimSun" w:hAnsi="Book Antiqua" w:cs="SimSun"/>
          <w:b/>
          <w:bCs/>
          <w:sz w:val="24"/>
          <w:szCs w:val="24"/>
          <w:lang w:val="en-US"/>
        </w:rPr>
        <w:t>Facciorusso A</w:t>
      </w:r>
      <w:r w:rsidRPr="00B33D98">
        <w:rPr>
          <w:rFonts w:ascii="Book Antiqua" w:eastAsia="SimSun" w:hAnsi="Book Antiqua" w:cs="SimSun"/>
          <w:sz w:val="24"/>
          <w:szCs w:val="24"/>
          <w:lang w:val="en-US"/>
        </w:rPr>
        <w:t>, Antonino M, Del Prete V, Neve V, Scavo MP, Barone M. Are hematopoietic stem cells involved in hepatocarcinogenesis? </w:t>
      </w:r>
      <w:r w:rsidRPr="00B33D98">
        <w:rPr>
          <w:rFonts w:ascii="Book Antiqua" w:eastAsia="SimSun" w:hAnsi="Book Antiqua" w:cs="SimSun"/>
          <w:i/>
          <w:iCs/>
          <w:sz w:val="24"/>
          <w:szCs w:val="24"/>
          <w:lang w:val="en-US"/>
        </w:rPr>
        <w:t>Hepatobiliary Surg Nutr</w:t>
      </w:r>
      <w:r w:rsidRPr="00B33D98">
        <w:rPr>
          <w:rFonts w:ascii="Book Antiqua" w:eastAsia="SimSun" w:hAnsi="Book Antiqua" w:cs="SimSun"/>
          <w:sz w:val="24"/>
          <w:szCs w:val="24"/>
          <w:lang w:val="en-US"/>
        </w:rPr>
        <w:t> 2014; </w:t>
      </w:r>
      <w:r w:rsidRPr="00B33D98">
        <w:rPr>
          <w:rFonts w:ascii="Book Antiqua" w:eastAsia="SimSun" w:hAnsi="Book Antiqua" w:cs="SimSun"/>
          <w:b/>
          <w:bCs/>
          <w:sz w:val="24"/>
          <w:szCs w:val="24"/>
          <w:lang w:val="en-US"/>
        </w:rPr>
        <w:t>3</w:t>
      </w:r>
      <w:r w:rsidRPr="00B33D98">
        <w:rPr>
          <w:rFonts w:ascii="Book Antiqua" w:eastAsia="SimSun" w:hAnsi="Book Antiqua" w:cs="SimSun"/>
          <w:sz w:val="24"/>
          <w:szCs w:val="24"/>
          <w:lang w:val="en-US"/>
        </w:rPr>
        <w:t>: 199-206 [PMID: 25202697 DOI: 10.3978/j.issn.2304-3881.2014.06.02]</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t>15 </w:t>
      </w:r>
      <w:r w:rsidRPr="00B33D98">
        <w:rPr>
          <w:rFonts w:ascii="Book Antiqua" w:eastAsia="SimSun" w:hAnsi="Book Antiqua" w:cs="SimSun"/>
          <w:b/>
          <w:bCs/>
          <w:sz w:val="24"/>
          <w:szCs w:val="24"/>
          <w:lang w:val="en-US"/>
        </w:rPr>
        <w:t>Facciorusso A</w:t>
      </w:r>
      <w:r w:rsidRPr="00B33D98">
        <w:rPr>
          <w:rFonts w:ascii="Book Antiqua" w:eastAsia="SimSun" w:hAnsi="Book Antiqua" w:cs="SimSun"/>
          <w:sz w:val="24"/>
          <w:szCs w:val="24"/>
          <w:lang w:val="en-US"/>
        </w:rPr>
        <w:t>. The influence of diabetes in the pathogenesis and the clinical course of hepatocellular carcinoma: recent findings and new perspectives. </w:t>
      </w:r>
      <w:r w:rsidRPr="00B33D98">
        <w:rPr>
          <w:rFonts w:ascii="Book Antiqua" w:eastAsia="SimSun" w:hAnsi="Book Antiqua" w:cs="SimSun"/>
          <w:i/>
          <w:iCs/>
          <w:sz w:val="24"/>
          <w:szCs w:val="24"/>
          <w:lang w:val="en-US"/>
        </w:rPr>
        <w:t>Curr Diabetes Rev</w:t>
      </w:r>
      <w:r w:rsidRPr="00B33D98">
        <w:rPr>
          <w:rFonts w:ascii="Book Antiqua" w:eastAsia="SimSun" w:hAnsi="Book Antiqua" w:cs="SimSun"/>
          <w:sz w:val="24"/>
          <w:szCs w:val="24"/>
          <w:lang w:val="en-US"/>
        </w:rPr>
        <w:t> 2013; </w:t>
      </w:r>
      <w:r w:rsidRPr="00B33D98">
        <w:rPr>
          <w:rFonts w:ascii="Book Antiqua" w:eastAsia="SimSun" w:hAnsi="Book Antiqua" w:cs="SimSun"/>
          <w:b/>
          <w:bCs/>
          <w:sz w:val="24"/>
          <w:szCs w:val="24"/>
          <w:lang w:val="en-US"/>
        </w:rPr>
        <w:t>9</w:t>
      </w:r>
      <w:r w:rsidRPr="00B33D98">
        <w:rPr>
          <w:rFonts w:ascii="Book Antiqua" w:eastAsia="SimSun" w:hAnsi="Book Antiqua" w:cs="SimSun"/>
          <w:sz w:val="24"/>
          <w:szCs w:val="24"/>
          <w:lang w:val="en-US"/>
        </w:rPr>
        <w:t>: 382-386 [PMID: 23845075]</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lastRenderedPageBreak/>
        <w:t>16 </w:t>
      </w:r>
      <w:r w:rsidRPr="00B33D98">
        <w:rPr>
          <w:rFonts w:ascii="Book Antiqua" w:eastAsia="SimSun" w:hAnsi="Book Antiqua" w:cs="SimSun"/>
          <w:b/>
          <w:bCs/>
          <w:sz w:val="24"/>
          <w:szCs w:val="24"/>
          <w:lang w:val="en-US"/>
        </w:rPr>
        <w:t>Liu T</w:t>
      </w:r>
      <w:r w:rsidRPr="00B33D98">
        <w:rPr>
          <w:rFonts w:ascii="Book Antiqua" w:eastAsia="SimSun" w:hAnsi="Book Antiqua" w:cs="SimSun"/>
          <w:sz w:val="24"/>
          <w:szCs w:val="24"/>
          <w:lang w:val="en-US"/>
        </w:rPr>
        <w:t>, Fang XC, Ding Z, Sun ZG, Sun LM, Wang YL. Pre-operative lymphocyte-to-monocyte ratio as a predictor of overall survival in patients suffering from osteosarcoma. </w:t>
      </w:r>
      <w:r w:rsidRPr="00B33D98">
        <w:rPr>
          <w:rFonts w:ascii="Book Antiqua" w:eastAsia="SimSun" w:hAnsi="Book Antiqua" w:cs="SimSun"/>
          <w:i/>
          <w:iCs/>
          <w:sz w:val="24"/>
          <w:szCs w:val="24"/>
          <w:lang w:val="en-US"/>
        </w:rPr>
        <w:t>FEBS Open Bio</w:t>
      </w:r>
      <w:r w:rsidRPr="00B33D98">
        <w:rPr>
          <w:rFonts w:ascii="Book Antiqua" w:eastAsia="SimSun" w:hAnsi="Book Antiqua" w:cs="SimSun"/>
          <w:sz w:val="24"/>
          <w:szCs w:val="24"/>
          <w:lang w:val="en-US"/>
        </w:rPr>
        <w:t> 2015; </w:t>
      </w:r>
      <w:r w:rsidRPr="00B33D98">
        <w:rPr>
          <w:rFonts w:ascii="Book Antiqua" w:eastAsia="SimSun" w:hAnsi="Book Antiqua" w:cs="SimSun"/>
          <w:b/>
          <w:bCs/>
          <w:sz w:val="24"/>
          <w:szCs w:val="24"/>
          <w:lang w:val="en-US"/>
        </w:rPr>
        <w:t>5</w:t>
      </w:r>
      <w:r w:rsidRPr="00B33D98">
        <w:rPr>
          <w:rFonts w:ascii="Book Antiqua" w:eastAsia="SimSun" w:hAnsi="Book Antiqua" w:cs="SimSun"/>
          <w:sz w:val="24"/>
          <w:szCs w:val="24"/>
          <w:lang w:val="en-US"/>
        </w:rPr>
        <w:t>: 682-687 [PMID: 26380812 DOI: 10.1016/j.fob.2015.08.002]</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t>17 </w:t>
      </w:r>
      <w:r w:rsidRPr="00B33D98">
        <w:rPr>
          <w:rFonts w:ascii="Book Antiqua" w:eastAsia="SimSun" w:hAnsi="Book Antiqua" w:cs="SimSun"/>
          <w:b/>
          <w:bCs/>
          <w:sz w:val="24"/>
          <w:szCs w:val="24"/>
          <w:lang w:val="en-US"/>
        </w:rPr>
        <w:t>Chang Z</w:t>
      </w:r>
      <w:r w:rsidRPr="00B33D98">
        <w:rPr>
          <w:rFonts w:ascii="Book Antiqua" w:eastAsia="SimSun" w:hAnsi="Book Antiqua" w:cs="SimSun"/>
          <w:sz w:val="24"/>
          <w:szCs w:val="24"/>
          <w:lang w:val="en-US"/>
        </w:rPr>
        <w:t>, Zheng J, Ma Y, Zhao J, Wang C, Liu Z. The neutrophil-to-lymphocyte ratio as a predictor for recurrence of colorectal liver metastases following radiofrequency ablation. </w:t>
      </w:r>
      <w:r w:rsidRPr="00B33D98">
        <w:rPr>
          <w:rFonts w:ascii="Book Antiqua" w:eastAsia="SimSun" w:hAnsi="Book Antiqua" w:cs="SimSun"/>
          <w:i/>
          <w:iCs/>
          <w:sz w:val="24"/>
          <w:szCs w:val="24"/>
          <w:lang w:val="en-US"/>
        </w:rPr>
        <w:t>Med Oncol</w:t>
      </w:r>
      <w:r w:rsidRPr="00B33D98">
        <w:rPr>
          <w:rFonts w:ascii="Book Antiqua" w:eastAsia="SimSun" w:hAnsi="Book Antiqua" w:cs="SimSun"/>
          <w:sz w:val="24"/>
          <w:szCs w:val="24"/>
          <w:lang w:val="en-US"/>
        </w:rPr>
        <w:t> 2014; </w:t>
      </w:r>
      <w:r w:rsidRPr="00B33D98">
        <w:rPr>
          <w:rFonts w:ascii="Book Antiqua" w:eastAsia="SimSun" w:hAnsi="Book Antiqua" w:cs="SimSun"/>
          <w:b/>
          <w:bCs/>
          <w:sz w:val="24"/>
          <w:szCs w:val="24"/>
          <w:lang w:val="en-US"/>
        </w:rPr>
        <w:t>31</w:t>
      </w:r>
      <w:r w:rsidRPr="00B33D98">
        <w:rPr>
          <w:rFonts w:ascii="Book Antiqua" w:eastAsia="SimSun" w:hAnsi="Book Antiqua" w:cs="SimSun"/>
          <w:sz w:val="24"/>
          <w:szCs w:val="24"/>
          <w:lang w:val="en-US"/>
        </w:rPr>
        <w:t>: 855 [PMID: 24477649 DOI: 10.1007/s12032-014-0855-1]</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t>18 </w:t>
      </w:r>
      <w:r w:rsidRPr="00B33D98">
        <w:rPr>
          <w:rFonts w:ascii="Book Antiqua" w:eastAsia="SimSun" w:hAnsi="Book Antiqua" w:cs="SimSun"/>
          <w:b/>
          <w:bCs/>
          <w:sz w:val="24"/>
          <w:szCs w:val="24"/>
          <w:lang w:val="en-US"/>
        </w:rPr>
        <w:t>Haruki K</w:t>
      </w:r>
      <w:r w:rsidRPr="00B33D98">
        <w:rPr>
          <w:rFonts w:ascii="Book Antiqua" w:eastAsia="SimSun" w:hAnsi="Book Antiqua" w:cs="SimSun"/>
          <w:sz w:val="24"/>
          <w:szCs w:val="24"/>
          <w:lang w:val="en-US"/>
        </w:rPr>
        <w:t>, Shiba H, Fujiwara Y, Furukawa K, Wakiyama S, Ogawa M, Ishida Y, Misawa T, Yanaga K. Perioperative change in peripheral blood monocyte count may predict prognosis in patients with colorectal liver metastasis after hepatic resection. </w:t>
      </w:r>
      <w:r w:rsidRPr="00B33D98">
        <w:rPr>
          <w:rFonts w:ascii="Book Antiqua" w:eastAsia="SimSun" w:hAnsi="Book Antiqua" w:cs="SimSun"/>
          <w:i/>
          <w:iCs/>
          <w:sz w:val="24"/>
          <w:szCs w:val="24"/>
          <w:lang w:val="en-US"/>
        </w:rPr>
        <w:t>J Surg Oncol</w:t>
      </w:r>
      <w:r w:rsidRPr="00B33D98">
        <w:rPr>
          <w:rFonts w:ascii="Book Antiqua" w:eastAsia="SimSun" w:hAnsi="Book Antiqua" w:cs="SimSun"/>
          <w:sz w:val="24"/>
          <w:szCs w:val="24"/>
          <w:lang w:val="en-US"/>
        </w:rPr>
        <w:t> 2012; </w:t>
      </w:r>
      <w:r w:rsidRPr="00B33D98">
        <w:rPr>
          <w:rFonts w:ascii="Book Antiqua" w:eastAsia="SimSun" w:hAnsi="Book Antiqua" w:cs="SimSun"/>
          <w:b/>
          <w:bCs/>
          <w:sz w:val="24"/>
          <w:szCs w:val="24"/>
          <w:lang w:val="en-US"/>
        </w:rPr>
        <w:t>106</w:t>
      </w:r>
      <w:r w:rsidRPr="00B33D98">
        <w:rPr>
          <w:rFonts w:ascii="Book Antiqua" w:eastAsia="SimSun" w:hAnsi="Book Antiqua" w:cs="SimSun"/>
          <w:sz w:val="24"/>
          <w:szCs w:val="24"/>
          <w:lang w:val="en-US"/>
        </w:rPr>
        <w:t>: 31-35 [PMID: 22231029 DOI: 10.1002/jso.23033]</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t>19 </w:t>
      </w:r>
      <w:r w:rsidRPr="00B33D98">
        <w:rPr>
          <w:rFonts w:ascii="Book Antiqua" w:eastAsia="SimSun" w:hAnsi="Book Antiqua" w:cs="SimSun"/>
          <w:b/>
          <w:bCs/>
          <w:sz w:val="24"/>
          <w:szCs w:val="24"/>
          <w:lang w:val="en-US"/>
        </w:rPr>
        <w:t>Neofytou K</w:t>
      </w:r>
      <w:r w:rsidRPr="00B33D98">
        <w:rPr>
          <w:rFonts w:ascii="Book Antiqua" w:eastAsia="SimSun" w:hAnsi="Book Antiqua" w:cs="SimSun"/>
          <w:sz w:val="24"/>
          <w:szCs w:val="24"/>
          <w:lang w:val="en-US"/>
        </w:rPr>
        <w:t>, Smyth EC, Giakoustidis A, Khan AZ, Williams R, Cunningham D, Mudan S. The Preoperative Lymphocyte-to-Monocyte Ratio is Prognostic of Clinical Outcomes for Patients with Liver-Only Colorectal Metastases in the Neoadjuvant Setting. </w:t>
      </w:r>
      <w:r w:rsidRPr="00B33D98">
        <w:rPr>
          <w:rFonts w:ascii="Book Antiqua" w:eastAsia="SimSun" w:hAnsi="Book Antiqua" w:cs="SimSun"/>
          <w:i/>
          <w:iCs/>
          <w:sz w:val="24"/>
          <w:szCs w:val="24"/>
          <w:lang w:val="en-US"/>
        </w:rPr>
        <w:t>Ann Surg Oncol</w:t>
      </w:r>
      <w:r w:rsidRPr="00B33D98">
        <w:rPr>
          <w:rFonts w:ascii="Book Antiqua" w:eastAsia="SimSun" w:hAnsi="Book Antiqua" w:cs="SimSun"/>
          <w:sz w:val="24"/>
          <w:szCs w:val="24"/>
          <w:lang w:val="en-US"/>
        </w:rPr>
        <w:t> 2015; </w:t>
      </w:r>
      <w:r w:rsidRPr="00B33D98">
        <w:rPr>
          <w:rFonts w:ascii="Book Antiqua" w:eastAsia="SimSun" w:hAnsi="Book Antiqua" w:cs="SimSun"/>
          <w:b/>
          <w:bCs/>
          <w:sz w:val="24"/>
          <w:szCs w:val="24"/>
          <w:lang w:val="en-US"/>
        </w:rPr>
        <w:t>22</w:t>
      </w:r>
      <w:r w:rsidRPr="00B33D98">
        <w:rPr>
          <w:rFonts w:ascii="Book Antiqua" w:eastAsia="SimSun" w:hAnsi="Book Antiqua" w:cs="SimSun"/>
          <w:sz w:val="24"/>
          <w:szCs w:val="24"/>
          <w:lang w:val="en-US"/>
        </w:rPr>
        <w:t>: 4353-4362 [PMID: 25773876 DOI: 10.1245/s10434-015-4481-8]</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t>20 </w:t>
      </w:r>
      <w:r w:rsidRPr="00B33D98">
        <w:rPr>
          <w:rFonts w:ascii="Book Antiqua" w:eastAsia="SimSun" w:hAnsi="Book Antiqua" w:cs="SimSun"/>
          <w:b/>
          <w:bCs/>
          <w:sz w:val="24"/>
          <w:szCs w:val="24"/>
          <w:lang w:val="en-US"/>
        </w:rPr>
        <w:t>Douillard JY</w:t>
      </w:r>
      <w:r w:rsidRPr="00B33D98">
        <w:rPr>
          <w:rFonts w:ascii="Book Antiqua" w:eastAsia="SimSun" w:hAnsi="Book Antiqua" w:cs="SimSun"/>
          <w:sz w:val="24"/>
          <w:szCs w:val="24"/>
          <w:lang w:val="en-US"/>
        </w:rPr>
        <w:t>, Cunningham D, Roth AD, Navarro M, James RD, Karasek P, Jandik P, Iveson T, Carmichael J, Alakl M, Gruia G, Awad L, Rougier P. Irinotecan combined with fluorouracil compared with fluorouracil alone as first-line treatment for metastatic colorectal cancer: a multicentre randomised trial. </w:t>
      </w:r>
      <w:r w:rsidRPr="00B33D98">
        <w:rPr>
          <w:rFonts w:ascii="Book Antiqua" w:eastAsia="SimSun" w:hAnsi="Book Antiqua" w:cs="SimSun"/>
          <w:i/>
          <w:iCs/>
          <w:sz w:val="24"/>
          <w:szCs w:val="24"/>
          <w:lang w:val="en-US"/>
        </w:rPr>
        <w:t>Lancet</w:t>
      </w:r>
      <w:r w:rsidRPr="00B33D98">
        <w:rPr>
          <w:rFonts w:ascii="Book Antiqua" w:eastAsia="SimSun" w:hAnsi="Book Antiqua" w:cs="SimSun"/>
          <w:sz w:val="24"/>
          <w:szCs w:val="24"/>
          <w:lang w:val="en-US"/>
        </w:rPr>
        <w:t> 2000; </w:t>
      </w:r>
      <w:r w:rsidRPr="00B33D98">
        <w:rPr>
          <w:rFonts w:ascii="Book Antiqua" w:eastAsia="SimSun" w:hAnsi="Book Antiqua" w:cs="SimSun"/>
          <w:b/>
          <w:bCs/>
          <w:sz w:val="24"/>
          <w:szCs w:val="24"/>
          <w:lang w:val="en-US"/>
        </w:rPr>
        <w:t>355</w:t>
      </w:r>
      <w:r w:rsidRPr="00B33D98">
        <w:rPr>
          <w:rFonts w:ascii="Book Antiqua" w:eastAsia="SimSun" w:hAnsi="Book Antiqua" w:cs="SimSun"/>
          <w:sz w:val="24"/>
          <w:szCs w:val="24"/>
          <w:lang w:val="en-US"/>
        </w:rPr>
        <w:t>: 1041-1047 [PMID: 10744089]</w:t>
      </w:r>
    </w:p>
    <w:p w:rsidR="000E0F65" w:rsidRPr="003D7491" w:rsidRDefault="000E0F65" w:rsidP="000E0F65">
      <w:pPr>
        <w:spacing w:line="360" w:lineRule="auto"/>
        <w:jc w:val="both"/>
        <w:rPr>
          <w:rFonts w:ascii="Book Antiqua" w:eastAsia="SimSun" w:hAnsi="Book Antiqua" w:cs="SimSun"/>
          <w:sz w:val="24"/>
          <w:szCs w:val="24"/>
          <w:lang w:val="en-US"/>
        </w:rPr>
      </w:pPr>
      <w:r w:rsidRPr="003D7491">
        <w:rPr>
          <w:rFonts w:ascii="Book Antiqua" w:eastAsia="SimSun" w:hAnsi="Book Antiqua" w:cs="SimSun"/>
          <w:sz w:val="24"/>
          <w:szCs w:val="24"/>
          <w:lang w:val="en-US"/>
        </w:rPr>
        <w:t>2</w:t>
      </w:r>
      <w:r w:rsidR="00311EE2" w:rsidRPr="003D7491">
        <w:rPr>
          <w:rFonts w:ascii="Book Antiqua" w:eastAsia="SimSun" w:hAnsi="Book Antiqua" w:cs="SimSun"/>
          <w:sz w:val="24"/>
          <w:szCs w:val="24"/>
          <w:lang w:val="en-US"/>
        </w:rPr>
        <w:t>1</w:t>
      </w:r>
      <w:r w:rsidRPr="003D7491">
        <w:rPr>
          <w:rFonts w:ascii="Book Antiqua" w:eastAsia="SimSun" w:hAnsi="Book Antiqua" w:cs="SimSun"/>
          <w:sz w:val="24"/>
          <w:szCs w:val="24"/>
          <w:lang w:val="en-US"/>
        </w:rPr>
        <w:t xml:space="preserve"> </w:t>
      </w:r>
      <w:r w:rsidR="003D7491" w:rsidRPr="003D7491">
        <w:rPr>
          <w:rFonts w:ascii="Book Antiqua" w:eastAsia="SimSun" w:hAnsi="Book Antiqua" w:cs="SimSun"/>
          <w:b/>
          <w:sz w:val="24"/>
          <w:szCs w:val="24"/>
          <w:lang w:val="en-US"/>
        </w:rPr>
        <w:t>Facciorusso A,</w:t>
      </w:r>
      <w:r w:rsidR="003D7491" w:rsidRPr="003D7491">
        <w:rPr>
          <w:rFonts w:ascii="Book Antiqua" w:eastAsia="SimSun" w:hAnsi="Book Antiqua" w:cs="SimSun"/>
          <w:sz w:val="24"/>
          <w:szCs w:val="24"/>
          <w:lang w:val="en-US"/>
        </w:rPr>
        <w:t xml:space="preserve"> Di Maso M, Antonino M, Del Prete V, Panella C, Barone M, Muscatiello N. Polidocanol injection decreases the bleeding rate after colon polypectomy: a propensity score analysis.</w:t>
      </w:r>
      <w:r w:rsidR="003D7491">
        <w:rPr>
          <w:rFonts w:ascii="Book Antiqua" w:eastAsia="SimSun" w:hAnsi="Book Antiqua" w:cs="SimSun"/>
          <w:sz w:val="24"/>
          <w:szCs w:val="24"/>
          <w:lang w:val="en-US"/>
        </w:rPr>
        <w:t xml:space="preserve"> </w:t>
      </w:r>
      <w:r w:rsidR="003D7491" w:rsidRPr="003D7491">
        <w:rPr>
          <w:rFonts w:ascii="Book Antiqua" w:eastAsia="SimSun" w:hAnsi="Book Antiqua" w:cs="SimSun"/>
          <w:i/>
          <w:sz w:val="24"/>
          <w:szCs w:val="24"/>
          <w:lang w:val="en-US"/>
        </w:rPr>
        <w:t>Gastrointest Endosc</w:t>
      </w:r>
      <w:r w:rsidR="003D7491">
        <w:rPr>
          <w:rFonts w:ascii="Book Antiqua" w:eastAsia="SimSun" w:hAnsi="Book Antiqua" w:cs="SimSun"/>
          <w:sz w:val="24"/>
          <w:szCs w:val="24"/>
          <w:lang w:val="en-US"/>
        </w:rPr>
        <w:t xml:space="preserve"> 2015</w:t>
      </w:r>
      <w:r w:rsidR="003D7491" w:rsidRPr="003D7491">
        <w:rPr>
          <w:rFonts w:ascii="Book Antiqua" w:eastAsia="SimSun" w:hAnsi="Book Antiqua" w:cs="SimSun"/>
          <w:sz w:val="24"/>
          <w:szCs w:val="24"/>
          <w:lang w:val="en-US"/>
        </w:rPr>
        <w:t xml:space="preserve">;82(2):350-358.e2. </w:t>
      </w:r>
      <w:r w:rsidR="003D7491">
        <w:rPr>
          <w:rFonts w:ascii="Book Antiqua" w:eastAsia="SimSun" w:hAnsi="Book Antiqua" w:cs="SimSun"/>
          <w:sz w:val="24"/>
          <w:szCs w:val="24"/>
          <w:lang w:val="en-US"/>
        </w:rPr>
        <w:t>[</w:t>
      </w:r>
      <w:r w:rsidR="003D7491" w:rsidRPr="003D7491">
        <w:rPr>
          <w:rFonts w:ascii="Book Antiqua" w:eastAsia="SimSun" w:hAnsi="Book Antiqua" w:cs="SimSun"/>
          <w:sz w:val="24"/>
          <w:szCs w:val="24"/>
          <w:lang w:val="en-US"/>
        </w:rPr>
        <w:t xml:space="preserve">PMID: 25910664 </w:t>
      </w:r>
      <w:r w:rsidR="003D7491">
        <w:rPr>
          <w:rFonts w:ascii="Book Antiqua" w:eastAsia="SimSun" w:hAnsi="Book Antiqua" w:cs="SimSun"/>
          <w:sz w:val="24"/>
          <w:szCs w:val="24"/>
          <w:lang w:val="en-US"/>
        </w:rPr>
        <w:t>DOI</w:t>
      </w:r>
      <w:r w:rsidR="003D7491" w:rsidRPr="003D7491">
        <w:rPr>
          <w:rFonts w:ascii="Book Antiqua" w:eastAsia="SimSun" w:hAnsi="Book Antiqua" w:cs="SimSun"/>
          <w:sz w:val="24"/>
          <w:szCs w:val="24"/>
          <w:lang w:val="en-US"/>
        </w:rPr>
        <w:t>: 10.1016/j.gie.20</w:t>
      </w:r>
      <w:r w:rsidR="003D7491">
        <w:rPr>
          <w:rFonts w:ascii="Book Antiqua" w:eastAsia="SimSun" w:hAnsi="Book Antiqua" w:cs="SimSun"/>
          <w:sz w:val="24"/>
          <w:szCs w:val="24"/>
          <w:lang w:val="en-US"/>
        </w:rPr>
        <w:t>15.01.003]</w:t>
      </w:r>
    </w:p>
    <w:p w:rsidR="000E0F65" w:rsidRDefault="00311EE2" w:rsidP="000E0F65">
      <w:pPr>
        <w:spacing w:line="360" w:lineRule="auto"/>
        <w:jc w:val="both"/>
        <w:rPr>
          <w:rFonts w:ascii="Book Antiqua" w:eastAsia="SimSun" w:hAnsi="Book Antiqua" w:cs="SimSun"/>
          <w:sz w:val="24"/>
          <w:szCs w:val="24"/>
          <w:lang w:val="en-US"/>
        </w:rPr>
      </w:pPr>
      <w:r>
        <w:rPr>
          <w:rFonts w:ascii="Book Antiqua" w:eastAsia="SimSun" w:hAnsi="Book Antiqua" w:cs="SimSun"/>
          <w:sz w:val="24"/>
          <w:szCs w:val="24"/>
          <w:lang w:val="en-US"/>
        </w:rPr>
        <w:t>22</w:t>
      </w:r>
      <w:r w:rsidR="000E0F65" w:rsidRPr="00B33D98">
        <w:rPr>
          <w:rFonts w:ascii="Book Antiqua" w:eastAsia="SimSun" w:hAnsi="Book Antiqua" w:cs="SimSun"/>
          <w:sz w:val="24"/>
          <w:szCs w:val="24"/>
          <w:lang w:val="en-US"/>
        </w:rPr>
        <w:t> </w:t>
      </w:r>
      <w:r w:rsidR="000E0F65" w:rsidRPr="00B33D98">
        <w:rPr>
          <w:rFonts w:ascii="Book Antiqua" w:eastAsia="SimSun" w:hAnsi="Book Antiqua" w:cs="SimSun"/>
          <w:b/>
          <w:bCs/>
          <w:sz w:val="24"/>
          <w:szCs w:val="24"/>
          <w:lang w:val="en-US"/>
        </w:rPr>
        <w:t>Ahmed M</w:t>
      </w:r>
      <w:r w:rsidR="000E0F65" w:rsidRPr="00B33D98">
        <w:rPr>
          <w:rFonts w:ascii="Book Antiqua" w:eastAsia="SimSun" w:hAnsi="Book Antiqua" w:cs="SimSun"/>
          <w:sz w:val="24"/>
          <w:szCs w:val="24"/>
          <w:lang w:val="en-US"/>
        </w:rPr>
        <w:t xml:space="preserve">, Solbiati L, Brace CL, Breen DJ, Callstrom MR, Charboneau JW, Chen MH, Choi BI, de Baère T, Dodd GD, Dupuy DE, Gervais DA, Gianfelice D, Gillams AR, Lee FT, Leen E, Lencioni R, Littrup PJ, Livraghi T, Lu DS, McGahan JP, Meloni MF, Nikolic B, Pereira PL, Liang P, Rhim H, Rose SC, Salem R, Sofocleous CT, Solomon SB, Soulen MC, Tanaka M, Vogl TJ, Wood BJ, Goldberg SN. Image-guided tumor ablation: standardization </w:t>
      </w:r>
      <w:r w:rsidR="000E0F65" w:rsidRPr="00B33D98">
        <w:rPr>
          <w:rFonts w:ascii="Book Antiqua" w:eastAsia="SimSun" w:hAnsi="Book Antiqua" w:cs="SimSun"/>
          <w:sz w:val="24"/>
          <w:szCs w:val="24"/>
          <w:lang w:val="en-US"/>
        </w:rPr>
        <w:lastRenderedPageBreak/>
        <w:t>of terminology and reporting criteria--a 10-year update. </w:t>
      </w:r>
      <w:r w:rsidR="000E0F65" w:rsidRPr="00B33D98">
        <w:rPr>
          <w:rFonts w:ascii="Book Antiqua" w:eastAsia="SimSun" w:hAnsi="Book Antiqua" w:cs="SimSun"/>
          <w:i/>
          <w:iCs/>
          <w:sz w:val="24"/>
          <w:szCs w:val="24"/>
          <w:lang w:val="en-US"/>
        </w:rPr>
        <w:t>J Vasc Interv Radiol</w:t>
      </w:r>
      <w:r w:rsidR="000E0F65" w:rsidRPr="00B33D98">
        <w:rPr>
          <w:rFonts w:ascii="Book Antiqua" w:eastAsia="SimSun" w:hAnsi="Book Antiqua" w:cs="SimSun"/>
          <w:sz w:val="24"/>
          <w:szCs w:val="24"/>
          <w:lang w:val="en-US"/>
        </w:rPr>
        <w:t> 2014; </w:t>
      </w:r>
      <w:r w:rsidR="000E0F65" w:rsidRPr="00B33D98">
        <w:rPr>
          <w:rFonts w:ascii="Book Antiqua" w:eastAsia="SimSun" w:hAnsi="Book Antiqua" w:cs="SimSun"/>
          <w:b/>
          <w:bCs/>
          <w:sz w:val="24"/>
          <w:szCs w:val="24"/>
          <w:lang w:val="en-US"/>
        </w:rPr>
        <w:t>25</w:t>
      </w:r>
      <w:r w:rsidR="000E0F65" w:rsidRPr="00B33D98">
        <w:rPr>
          <w:rFonts w:ascii="Book Antiqua" w:eastAsia="SimSun" w:hAnsi="Book Antiqua" w:cs="SimSun"/>
          <w:sz w:val="24"/>
          <w:szCs w:val="24"/>
          <w:lang w:val="en-US"/>
        </w:rPr>
        <w:t>: 1691-705.e4 [PMID: 25442132 DOI: 10.1016/j.jvir.2014.08.027]</w:t>
      </w:r>
    </w:p>
    <w:p w:rsidR="008C6AD4" w:rsidRPr="008C6AD4" w:rsidRDefault="008C6AD4" w:rsidP="000E0F65">
      <w:pPr>
        <w:spacing w:line="360" w:lineRule="auto"/>
        <w:jc w:val="both"/>
        <w:rPr>
          <w:rFonts w:ascii="Book Antiqua" w:eastAsia="SimSun" w:hAnsi="Book Antiqua" w:cs="SimSun"/>
          <w:sz w:val="24"/>
          <w:szCs w:val="24"/>
          <w:lang w:val="en-US"/>
        </w:rPr>
      </w:pPr>
      <w:r w:rsidRPr="008C6AD4">
        <w:rPr>
          <w:rFonts w:ascii="Book Antiqua" w:eastAsia="SimSun" w:hAnsi="Book Antiqua" w:cs="SimSun"/>
          <w:sz w:val="24"/>
          <w:szCs w:val="24"/>
          <w:lang w:val="en-US"/>
        </w:rPr>
        <w:t xml:space="preserve">23 </w:t>
      </w:r>
      <w:r w:rsidRPr="008C6AD4">
        <w:rPr>
          <w:rFonts w:ascii="Book Antiqua" w:eastAsia="SimSun" w:hAnsi="Book Antiqua" w:cs="SimSun"/>
          <w:b/>
          <w:sz w:val="24"/>
          <w:szCs w:val="24"/>
          <w:lang w:val="en-US"/>
        </w:rPr>
        <w:t>Facciorusso A</w:t>
      </w:r>
      <w:r w:rsidRPr="008C6AD4">
        <w:rPr>
          <w:rFonts w:ascii="Book Antiqua" w:eastAsia="SimSun" w:hAnsi="Book Antiqua" w:cs="SimSun"/>
          <w:sz w:val="24"/>
          <w:szCs w:val="24"/>
          <w:lang w:val="en-US"/>
        </w:rPr>
        <w:t>, Mariani L, Sposito C, Spreafico C, Bongini M, Morosi C, Cascella T, Marchianò A, Camerini T, Bhoori S, Brunero F, Barone M, Mazzaferro V. Drug-eluting beads versus conventional chemoembolization for the treatment of unresectable hepatocellular carcinoma.</w:t>
      </w:r>
      <w:r>
        <w:rPr>
          <w:rFonts w:ascii="Book Antiqua" w:eastAsia="SimSun" w:hAnsi="Book Antiqua" w:cs="SimSun"/>
          <w:sz w:val="24"/>
          <w:szCs w:val="24"/>
          <w:lang w:val="en-US"/>
        </w:rPr>
        <w:t xml:space="preserve"> </w:t>
      </w:r>
      <w:r w:rsidRPr="008C6AD4">
        <w:rPr>
          <w:rFonts w:ascii="Book Antiqua" w:eastAsia="SimSun" w:hAnsi="Book Antiqua" w:cs="SimSun"/>
          <w:i/>
          <w:sz w:val="24"/>
          <w:szCs w:val="24"/>
          <w:lang w:val="en-US"/>
        </w:rPr>
        <w:t>J Gastroenterol Hepatol</w:t>
      </w:r>
      <w:r>
        <w:rPr>
          <w:rFonts w:ascii="Book Antiqua" w:eastAsia="SimSun" w:hAnsi="Book Antiqua" w:cs="SimSun"/>
          <w:sz w:val="24"/>
          <w:szCs w:val="24"/>
          <w:lang w:val="en-US"/>
        </w:rPr>
        <w:t xml:space="preserve"> 2015, in press</w:t>
      </w:r>
      <w:r w:rsidRPr="008C6AD4">
        <w:rPr>
          <w:rFonts w:ascii="Book Antiqua" w:eastAsia="SimSun" w:hAnsi="Book Antiqua" w:cs="SimSun"/>
          <w:sz w:val="24"/>
          <w:szCs w:val="24"/>
          <w:lang w:val="en-US"/>
        </w:rPr>
        <w:t xml:space="preserve">. </w:t>
      </w:r>
      <w:r>
        <w:rPr>
          <w:rFonts w:ascii="Book Antiqua" w:eastAsia="SimSun" w:hAnsi="Book Antiqua" w:cs="SimSun"/>
          <w:sz w:val="24"/>
          <w:szCs w:val="24"/>
          <w:lang w:val="en-US"/>
        </w:rPr>
        <w:t>[</w:t>
      </w:r>
      <w:r w:rsidRPr="008C6AD4">
        <w:rPr>
          <w:rFonts w:ascii="Book Antiqua" w:eastAsia="SimSun" w:hAnsi="Book Antiqua" w:cs="SimSun"/>
          <w:sz w:val="24"/>
          <w:szCs w:val="24"/>
          <w:lang w:val="en-US"/>
        </w:rPr>
        <w:t xml:space="preserve">PMID: 26331807 </w:t>
      </w:r>
      <w:r>
        <w:rPr>
          <w:rFonts w:ascii="Book Antiqua" w:eastAsia="SimSun" w:hAnsi="Book Antiqua" w:cs="SimSun"/>
          <w:sz w:val="24"/>
          <w:szCs w:val="24"/>
          <w:lang w:val="en-US"/>
        </w:rPr>
        <w:t>DOI</w:t>
      </w:r>
      <w:r w:rsidRPr="008C6AD4">
        <w:rPr>
          <w:rFonts w:ascii="Book Antiqua" w:eastAsia="SimSun" w:hAnsi="Book Antiqua" w:cs="SimSun"/>
          <w:sz w:val="24"/>
          <w:szCs w:val="24"/>
          <w:lang w:val="en-US"/>
        </w:rPr>
        <w:t>: 10.1111/</w:t>
      </w:r>
      <w:r>
        <w:rPr>
          <w:rFonts w:ascii="Book Antiqua" w:eastAsia="SimSun" w:hAnsi="Book Antiqua" w:cs="SimSun"/>
          <w:sz w:val="24"/>
          <w:szCs w:val="24"/>
          <w:lang w:val="en-US"/>
        </w:rPr>
        <w:t xml:space="preserve">jgh.13147] </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t>24 </w:t>
      </w:r>
      <w:r w:rsidRPr="00B33D98">
        <w:rPr>
          <w:rFonts w:ascii="Book Antiqua" w:eastAsia="SimSun" w:hAnsi="Book Antiqua" w:cs="SimSun"/>
          <w:b/>
          <w:bCs/>
          <w:sz w:val="24"/>
          <w:szCs w:val="24"/>
          <w:lang w:val="en-US"/>
        </w:rPr>
        <w:t>Facciorusso A</w:t>
      </w:r>
      <w:r w:rsidRPr="00B33D98">
        <w:rPr>
          <w:rFonts w:ascii="Book Antiqua" w:eastAsia="SimSun" w:hAnsi="Book Antiqua" w:cs="SimSun"/>
          <w:sz w:val="24"/>
          <w:szCs w:val="24"/>
          <w:lang w:val="en-US"/>
        </w:rPr>
        <w:t>, Del Prete V, Antonino M, Neve V, Crucinio N, Di Leo A, Carr BI, Barone M. Serum ferritin as a new prognostic factor in hepatocellular carcinoma patients treated with radiofrequency ablation. </w:t>
      </w:r>
      <w:r w:rsidRPr="00B33D98">
        <w:rPr>
          <w:rFonts w:ascii="Book Antiqua" w:eastAsia="SimSun" w:hAnsi="Book Antiqua" w:cs="SimSun"/>
          <w:i/>
          <w:iCs/>
          <w:sz w:val="24"/>
          <w:szCs w:val="24"/>
          <w:lang w:val="en-US"/>
        </w:rPr>
        <w:t>J Gastroenterol Hepatol</w:t>
      </w:r>
      <w:r w:rsidRPr="00B33D98">
        <w:rPr>
          <w:rFonts w:ascii="Book Antiqua" w:eastAsia="SimSun" w:hAnsi="Book Antiqua" w:cs="SimSun"/>
          <w:sz w:val="24"/>
          <w:szCs w:val="24"/>
          <w:lang w:val="en-US"/>
        </w:rPr>
        <w:t> 2014; </w:t>
      </w:r>
      <w:r w:rsidRPr="00B33D98">
        <w:rPr>
          <w:rFonts w:ascii="Book Antiqua" w:eastAsia="SimSun" w:hAnsi="Book Antiqua" w:cs="SimSun"/>
          <w:b/>
          <w:bCs/>
          <w:sz w:val="24"/>
          <w:szCs w:val="24"/>
          <w:lang w:val="en-US"/>
        </w:rPr>
        <w:t>29</w:t>
      </w:r>
      <w:r w:rsidRPr="00B33D98">
        <w:rPr>
          <w:rFonts w:ascii="Book Antiqua" w:eastAsia="SimSun" w:hAnsi="Book Antiqua" w:cs="SimSun"/>
          <w:sz w:val="24"/>
          <w:szCs w:val="24"/>
          <w:lang w:val="en-US"/>
        </w:rPr>
        <w:t>: 1905-1910 [PMID: 24731153 DOI: 10.1111/jgh.12618]</w:t>
      </w:r>
    </w:p>
    <w:p w:rsidR="000E0F65" w:rsidRPr="00B33D98" w:rsidRDefault="000E0F65" w:rsidP="000E0F65">
      <w:pPr>
        <w:spacing w:line="360" w:lineRule="auto"/>
        <w:jc w:val="both"/>
        <w:rPr>
          <w:rFonts w:ascii="Book Antiqua" w:eastAsia="SimSun" w:hAnsi="Book Antiqua" w:cs="SimSun"/>
          <w:sz w:val="24"/>
          <w:szCs w:val="24"/>
          <w:lang w:val="en-US"/>
        </w:rPr>
      </w:pPr>
      <w:r w:rsidRPr="00A00094">
        <w:rPr>
          <w:rFonts w:ascii="Book Antiqua" w:eastAsia="SimSun" w:hAnsi="Book Antiqua" w:cs="SimSun"/>
          <w:sz w:val="24"/>
          <w:szCs w:val="24"/>
          <w:lang w:val="en-US"/>
        </w:rPr>
        <w:t>2</w:t>
      </w:r>
      <w:r w:rsidRPr="00A00094">
        <w:rPr>
          <w:rFonts w:ascii="Book Antiqua" w:eastAsia="SimSun" w:hAnsi="Book Antiqua" w:cs="SimSun"/>
          <w:b/>
          <w:sz w:val="24"/>
          <w:szCs w:val="24"/>
          <w:lang w:val="en-US"/>
        </w:rPr>
        <w:t>5 Facciorusso A,</w:t>
      </w:r>
      <w:r w:rsidRPr="00A00094">
        <w:rPr>
          <w:rFonts w:ascii="Book Antiqua" w:eastAsia="SimSun" w:hAnsi="Book Antiqua" w:cs="SimSun"/>
          <w:sz w:val="24"/>
          <w:szCs w:val="24"/>
          <w:lang w:val="en-US"/>
        </w:rPr>
        <w:t xml:space="preserve"> Di Maso M, Muscatiello N. </w:t>
      </w:r>
      <w:bookmarkStart w:id="50" w:name="OLE_LINK7"/>
      <w:r w:rsidRPr="00A00094">
        <w:rPr>
          <w:rFonts w:ascii="Book Antiqua" w:eastAsia="SimSun" w:hAnsi="Book Antiqua" w:cs="SimSun"/>
          <w:sz w:val="24"/>
          <w:szCs w:val="24"/>
          <w:lang w:val="en-US"/>
        </w:rPr>
        <w:t>Microwave ablation versus radiofrequency ablation for the treatment of hepatocellular carcinoma: a systematic review and meta-analysis</w:t>
      </w:r>
      <w:bookmarkEnd w:id="50"/>
      <w:r w:rsidRPr="00A00094">
        <w:rPr>
          <w:rFonts w:ascii="Book Antiqua" w:eastAsia="SimSun" w:hAnsi="Book Antiqua" w:cs="SimSun"/>
          <w:sz w:val="24"/>
          <w:szCs w:val="24"/>
          <w:lang w:val="en-US"/>
        </w:rPr>
        <w:t>.</w:t>
      </w:r>
      <w:r w:rsidRPr="00A00094">
        <w:rPr>
          <w:rFonts w:ascii="Book Antiqua" w:eastAsia="SimSun" w:hAnsi="Book Antiqua" w:cs="SimSun"/>
          <w:i/>
          <w:sz w:val="24"/>
          <w:szCs w:val="24"/>
          <w:lang w:val="en-US"/>
        </w:rPr>
        <w:t xml:space="preserve"> Int J Hyperthermia</w:t>
      </w:r>
      <w:r w:rsidRPr="00A00094">
        <w:rPr>
          <w:rFonts w:ascii="Book Antiqua" w:eastAsia="SimSun" w:hAnsi="Book Antiqua" w:cs="SimSun"/>
          <w:sz w:val="24"/>
          <w:szCs w:val="24"/>
          <w:lang w:val="en-US"/>
        </w:rPr>
        <w:t xml:space="preserve"> 2015</w:t>
      </w:r>
      <w:r w:rsidRPr="00A00094">
        <w:rPr>
          <w:rFonts w:ascii="Book Antiqua" w:eastAsia="SimSun" w:hAnsi="Book Antiqua" w:cs="SimSun" w:hint="eastAsia"/>
          <w:sz w:val="24"/>
          <w:szCs w:val="24"/>
          <w:lang w:val="en-US"/>
        </w:rPr>
        <w:t>;</w:t>
      </w:r>
      <w:r w:rsidRPr="00A00094">
        <w:rPr>
          <w:rFonts w:ascii="Book Antiqua" w:eastAsia="SimSun" w:hAnsi="Book Antiqua" w:cs="SimSun"/>
          <w:sz w:val="24"/>
          <w:szCs w:val="24"/>
          <w:lang w:val="en-US"/>
        </w:rPr>
        <w:t xml:space="preserve"> In press</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t>26 </w:t>
      </w:r>
      <w:r w:rsidRPr="00B33D98">
        <w:rPr>
          <w:rFonts w:ascii="Book Antiqua" w:eastAsia="SimSun" w:hAnsi="Book Antiqua" w:cs="SimSun"/>
          <w:b/>
          <w:bCs/>
          <w:sz w:val="24"/>
          <w:szCs w:val="24"/>
          <w:lang w:val="en-US"/>
        </w:rPr>
        <w:t>Solbiati L</w:t>
      </w:r>
      <w:r w:rsidRPr="00B33D98">
        <w:rPr>
          <w:rFonts w:ascii="Book Antiqua" w:eastAsia="SimSun" w:hAnsi="Book Antiqua" w:cs="SimSun"/>
          <w:sz w:val="24"/>
          <w:szCs w:val="24"/>
          <w:lang w:val="en-US"/>
        </w:rPr>
        <w:t>, Ahmed M, Cova L, Ierace T, Brioschi M, Goldberg SN. Small liver colorectal metastases treated with percutaneous radiofrequency ablation: local response rate and long-term survival with up to 10-year follow-up. </w:t>
      </w:r>
      <w:r w:rsidRPr="00B33D98">
        <w:rPr>
          <w:rFonts w:ascii="Book Antiqua" w:eastAsia="SimSun" w:hAnsi="Book Antiqua" w:cs="SimSun"/>
          <w:i/>
          <w:iCs/>
          <w:sz w:val="24"/>
          <w:szCs w:val="24"/>
          <w:lang w:val="en-US"/>
        </w:rPr>
        <w:t>Radiology</w:t>
      </w:r>
      <w:r w:rsidRPr="00B33D98">
        <w:rPr>
          <w:rFonts w:ascii="Book Antiqua" w:eastAsia="SimSun" w:hAnsi="Book Antiqua" w:cs="SimSun"/>
          <w:sz w:val="24"/>
          <w:szCs w:val="24"/>
          <w:lang w:val="en-US"/>
        </w:rPr>
        <w:t> 2012; </w:t>
      </w:r>
      <w:r w:rsidRPr="00B33D98">
        <w:rPr>
          <w:rFonts w:ascii="Book Antiqua" w:eastAsia="SimSun" w:hAnsi="Book Antiqua" w:cs="SimSun"/>
          <w:b/>
          <w:bCs/>
          <w:sz w:val="24"/>
          <w:szCs w:val="24"/>
          <w:lang w:val="en-US"/>
        </w:rPr>
        <w:t>265</w:t>
      </w:r>
      <w:r w:rsidRPr="00B33D98">
        <w:rPr>
          <w:rFonts w:ascii="Book Antiqua" w:eastAsia="SimSun" w:hAnsi="Book Antiqua" w:cs="SimSun"/>
          <w:sz w:val="24"/>
          <w:szCs w:val="24"/>
          <w:lang w:val="en-US"/>
        </w:rPr>
        <w:t>: 958-968 [PMID: 23091175 DOI: 10.1148/radiol.12111851]</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t xml:space="preserve">27 </w:t>
      </w:r>
      <w:r w:rsidRPr="00FA3054">
        <w:rPr>
          <w:rFonts w:ascii="Book Antiqua" w:hAnsi="Book Antiqua" w:cs="Times New Roman"/>
          <w:b/>
          <w:sz w:val="24"/>
          <w:szCs w:val="24"/>
          <w:lang w:val="en-US"/>
        </w:rPr>
        <w:t>Shady W,</w:t>
      </w:r>
      <w:r w:rsidRPr="00FA3054">
        <w:rPr>
          <w:rFonts w:ascii="Book Antiqua" w:hAnsi="Book Antiqua" w:cs="Times New Roman"/>
          <w:sz w:val="24"/>
          <w:szCs w:val="24"/>
          <w:lang w:val="en-US"/>
        </w:rPr>
        <w:t xml:space="preserve"> Petre EN, Gonen M,</w:t>
      </w:r>
      <w:r>
        <w:rPr>
          <w:rFonts w:ascii="Book Antiqua" w:hAnsi="Book Antiqua" w:cs="Times New Roman"/>
          <w:sz w:val="24"/>
          <w:szCs w:val="24"/>
          <w:lang w:val="en-US"/>
        </w:rPr>
        <w:t xml:space="preserve"> </w:t>
      </w:r>
      <w:r w:rsidRPr="004A2715">
        <w:rPr>
          <w:rFonts w:ascii="Book Antiqua" w:hAnsi="Book Antiqua" w:cs="Times New Roman"/>
          <w:sz w:val="24"/>
          <w:szCs w:val="24"/>
          <w:lang w:val="en-US"/>
        </w:rPr>
        <w:t>Erinjeri JP, Brown KT, Covey AM, Alago W, Durack JC, Maybody M, Brody LA, Siegelbaum RH, D'Angelica MI, Jarnagin WR, Solomon SB, Kemeny NE, Sofocleous CT.</w:t>
      </w:r>
      <w:r w:rsidRPr="00FA3054">
        <w:rPr>
          <w:rFonts w:ascii="Book Antiqua" w:hAnsi="Book Antiqua" w:cs="Times New Roman"/>
          <w:sz w:val="24"/>
          <w:szCs w:val="24"/>
          <w:lang w:val="en-US"/>
        </w:rPr>
        <w:t xml:space="preserve"> </w:t>
      </w:r>
      <w:r w:rsidRPr="00B33D98">
        <w:rPr>
          <w:rFonts w:ascii="Book Antiqua" w:eastAsia="SimSun" w:hAnsi="Book Antiqua" w:cs="SimSun"/>
          <w:sz w:val="24"/>
          <w:szCs w:val="24"/>
          <w:lang w:val="en-US"/>
        </w:rPr>
        <w:t>Percutaneous Radiofrequency Ablation of Colorectal Cancer Liver Metastases: Factors Affecting Outcomes-A 10-year Experience at a Single Center. </w:t>
      </w:r>
      <w:r w:rsidRPr="00B33D98">
        <w:rPr>
          <w:rFonts w:ascii="Book Antiqua" w:eastAsia="SimSun" w:hAnsi="Book Antiqua" w:cs="SimSun"/>
          <w:i/>
          <w:iCs/>
          <w:sz w:val="24"/>
          <w:szCs w:val="24"/>
          <w:lang w:val="en-US"/>
        </w:rPr>
        <w:t>Radiology</w:t>
      </w:r>
      <w:r w:rsidRPr="00B33D98">
        <w:rPr>
          <w:rFonts w:ascii="Book Antiqua" w:eastAsia="SimSun" w:hAnsi="Book Antiqua" w:cs="SimSun"/>
          <w:sz w:val="24"/>
          <w:szCs w:val="24"/>
          <w:lang w:val="en-US"/>
        </w:rPr>
        <w:t xml:space="preserve"> 2015; Epub ahead of print [PMID: </w:t>
      </w:r>
      <w:bookmarkStart w:id="51" w:name="OLE_LINK9"/>
      <w:bookmarkStart w:id="52" w:name="OLE_LINK10"/>
      <w:r w:rsidRPr="00B33D98">
        <w:rPr>
          <w:rFonts w:ascii="Book Antiqua" w:eastAsia="SimSun" w:hAnsi="Book Antiqua" w:cs="SimSun"/>
          <w:sz w:val="24"/>
          <w:szCs w:val="24"/>
          <w:lang w:val="en-US"/>
        </w:rPr>
        <w:t>26267832</w:t>
      </w:r>
      <w:bookmarkEnd w:id="51"/>
      <w:bookmarkEnd w:id="52"/>
      <w:r w:rsidRPr="00B33D98">
        <w:rPr>
          <w:rFonts w:ascii="Book Antiqua" w:eastAsia="SimSun" w:hAnsi="Book Antiqua" w:cs="SimSun"/>
          <w:sz w:val="24"/>
          <w:szCs w:val="24"/>
          <w:lang w:val="en-US"/>
        </w:rPr>
        <w:t>]</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t>28 </w:t>
      </w:r>
      <w:r w:rsidRPr="00B33D98">
        <w:rPr>
          <w:rFonts w:ascii="Book Antiqua" w:eastAsia="SimSun" w:hAnsi="Book Antiqua" w:cs="SimSun"/>
          <w:b/>
          <w:bCs/>
          <w:sz w:val="24"/>
          <w:szCs w:val="24"/>
          <w:lang w:val="en-US"/>
        </w:rPr>
        <w:t>Chanmee T</w:t>
      </w:r>
      <w:r w:rsidRPr="00B33D98">
        <w:rPr>
          <w:rFonts w:ascii="Book Antiqua" w:eastAsia="SimSun" w:hAnsi="Book Antiqua" w:cs="SimSun"/>
          <w:sz w:val="24"/>
          <w:szCs w:val="24"/>
          <w:lang w:val="en-US"/>
        </w:rPr>
        <w:t>, Ontong P, Konno K, Itano N. Tumor-associated macrophages as major players in the tumor microenvironment. </w:t>
      </w:r>
      <w:r w:rsidRPr="00B33D98">
        <w:rPr>
          <w:rFonts w:ascii="Book Antiqua" w:eastAsia="SimSun" w:hAnsi="Book Antiqua" w:cs="SimSun"/>
          <w:i/>
          <w:iCs/>
          <w:sz w:val="24"/>
          <w:szCs w:val="24"/>
          <w:lang w:val="en-US"/>
        </w:rPr>
        <w:t>Cancers (Basel)</w:t>
      </w:r>
      <w:r w:rsidRPr="00B33D98">
        <w:rPr>
          <w:rFonts w:ascii="Book Antiqua" w:eastAsia="SimSun" w:hAnsi="Book Antiqua" w:cs="SimSun"/>
          <w:sz w:val="24"/>
          <w:szCs w:val="24"/>
          <w:lang w:val="en-US"/>
        </w:rPr>
        <w:t> 2014; </w:t>
      </w:r>
      <w:r w:rsidRPr="00B33D98">
        <w:rPr>
          <w:rFonts w:ascii="Book Antiqua" w:eastAsia="SimSun" w:hAnsi="Book Antiqua" w:cs="SimSun"/>
          <w:b/>
          <w:bCs/>
          <w:sz w:val="24"/>
          <w:szCs w:val="24"/>
          <w:lang w:val="en-US"/>
        </w:rPr>
        <w:t>6</w:t>
      </w:r>
      <w:r w:rsidRPr="00B33D98">
        <w:rPr>
          <w:rFonts w:ascii="Book Antiqua" w:eastAsia="SimSun" w:hAnsi="Book Antiqua" w:cs="SimSun"/>
          <w:sz w:val="24"/>
          <w:szCs w:val="24"/>
          <w:lang w:val="en-US"/>
        </w:rPr>
        <w:t>: 1670-1690 [PMID: 25125485 DOI: 10.3390/cancers6031670]</w:t>
      </w:r>
    </w:p>
    <w:p w:rsidR="000E0F65" w:rsidRPr="00B33D98" w:rsidRDefault="000E0F65" w:rsidP="000E0F65">
      <w:pPr>
        <w:spacing w:line="360" w:lineRule="auto"/>
        <w:jc w:val="both"/>
        <w:rPr>
          <w:rFonts w:ascii="Book Antiqua" w:eastAsia="SimSun" w:hAnsi="Book Antiqua" w:cs="SimSun"/>
          <w:sz w:val="24"/>
          <w:szCs w:val="24"/>
          <w:lang w:val="en-US" w:eastAsia="zh-CN"/>
        </w:rPr>
      </w:pPr>
      <w:r w:rsidRPr="00B33D98">
        <w:rPr>
          <w:rFonts w:ascii="Book Antiqua" w:eastAsia="SimSun" w:hAnsi="Book Antiqua" w:cs="SimSun"/>
          <w:sz w:val="24"/>
          <w:szCs w:val="24"/>
          <w:lang w:val="en-US"/>
        </w:rPr>
        <w:t>29 </w:t>
      </w:r>
      <w:r w:rsidRPr="00B33D98">
        <w:rPr>
          <w:rFonts w:ascii="Book Antiqua" w:eastAsia="SimSun" w:hAnsi="Book Antiqua" w:cs="SimSun"/>
          <w:b/>
          <w:bCs/>
          <w:sz w:val="24"/>
          <w:szCs w:val="24"/>
          <w:lang w:val="en-US"/>
        </w:rPr>
        <w:t>Lee SD</w:t>
      </w:r>
      <w:r w:rsidRPr="00B33D98">
        <w:rPr>
          <w:rFonts w:ascii="Book Antiqua" w:eastAsia="SimSun" w:hAnsi="Book Antiqua" w:cs="SimSun"/>
          <w:sz w:val="24"/>
          <w:szCs w:val="24"/>
          <w:lang w:val="en-US"/>
        </w:rPr>
        <w:t>, Kim SH, Kim YK, Lee SA, Park SJ. Prognostic significance of preoperative peripheral blood monocyte ratio in patients with hepatocellular carcinoma. </w:t>
      </w:r>
      <w:r w:rsidRPr="00B33D98">
        <w:rPr>
          <w:rFonts w:ascii="Book Antiqua" w:eastAsia="SimSun" w:hAnsi="Book Antiqua" w:cs="SimSun"/>
          <w:i/>
          <w:iCs/>
          <w:sz w:val="24"/>
          <w:szCs w:val="24"/>
          <w:lang w:val="en-US"/>
        </w:rPr>
        <w:t>World J Surg</w:t>
      </w:r>
      <w:r w:rsidRPr="00B33D98">
        <w:rPr>
          <w:rFonts w:ascii="Book Antiqua" w:eastAsia="SimSun" w:hAnsi="Book Antiqua" w:cs="SimSun"/>
          <w:sz w:val="24"/>
          <w:szCs w:val="24"/>
          <w:lang w:val="en-US"/>
        </w:rPr>
        <w:t> 2014; </w:t>
      </w:r>
      <w:r w:rsidRPr="00B33D98">
        <w:rPr>
          <w:rFonts w:ascii="Book Antiqua" w:eastAsia="SimSun" w:hAnsi="Book Antiqua" w:cs="SimSun"/>
          <w:b/>
          <w:bCs/>
          <w:sz w:val="24"/>
          <w:szCs w:val="24"/>
          <w:lang w:val="en-US"/>
        </w:rPr>
        <w:t>38</w:t>
      </w:r>
      <w:r w:rsidRPr="00B33D98">
        <w:rPr>
          <w:rFonts w:ascii="Book Antiqua" w:eastAsia="SimSun" w:hAnsi="Book Antiqua" w:cs="SimSun"/>
          <w:sz w:val="24"/>
          <w:szCs w:val="24"/>
          <w:lang w:val="en-US"/>
        </w:rPr>
        <w:t>: 2377-2385 [PMID: 24692003 DOI: 10.1007/s00268-014-2545-8</w:t>
      </w:r>
      <w:r w:rsidR="00DF1154">
        <w:rPr>
          <w:rFonts w:ascii="Book Antiqua" w:eastAsia="SimSun" w:hAnsi="Book Antiqua" w:cs="SimSun" w:hint="eastAsia"/>
          <w:sz w:val="24"/>
          <w:szCs w:val="24"/>
          <w:lang w:val="en-US" w:eastAsia="zh-CN"/>
        </w:rPr>
        <w:t>]</w:t>
      </w:r>
    </w:p>
    <w:p w:rsidR="000E0F65" w:rsidRPr="00B33D98" w:rsidRDefault="000E0F65" w:rsidP="000E0F65">
      <w:pPr>
        <w:spacing w:line="360" w:lineRule="auto"/>
        <w:jc w:val="both"/>
        <w:rPr>
          <w:rFonts w:ascii="Book Antiqua" w:eastAsia="SimSun" w:hAnsi="Book Antiqua" w:cs="SimSun"/>
          <w:sz w:val="24"/>
          <w:szCs w:val="24"/>
          <w:lang w:val="en-US"/>
        </w:rPr>
      </w:pPr>
      <w:r w:rsidRPr="00B33D98">
        <w:rPr>
          <w:rFonts w:ascii="Book Antiqua" w:eastAsia="SimSun" w:hAnsi="Book Antiqua" w:cs="SimSun"/>
          <w:sz w:val="24"/>
          <w:szCs w:val="24"/>
          <w:lang w:val="en-US"/>
        </w:rPr>
        <w:lastRenderedPageBreak/>
        <w:t>30 </w:t>
      </w:r>
      <w:r w:rsidRPr="00B33D98">
        <w:rPr>
          <w:rFonts w:ascii="Book Antiqua" w:eastAsia="SimSun" w:hAnsi="Book Antiqua" w:cs="SimSun"/>
          <w:b/>
          <w:bCs/>
          <w:sz w:val="24"/>
          <w:szCs w:val="24"/>
          <w:lang w:val="en-US"/>
        </w:rPr>
        <w:t>Nishijima TF</w:t>
      </w:r>
      <w:r w:rsidRPr="00B33D98">
        <w:rPr>
          <w:rFonts w:ascii="Book Antiqua" w:eastAsia="SimSun" w:hAnsi="Book Antiqua" w:cs="SimSun"/>
          <w:sz w:val="24"/>
          <w:szCs w:val="24"/>
          <w:lang w:val="en-US"/>
        </w:rPr>
        <w:t>, Muss HB, Shachar SS, Tamura K, Takamatsu Y. Prognostic value of lymphocyte-to-monocyte ratio in patients with solid tumors: A systematic review and meta-analysis. </w:t>
      </w:r>
      <w:r w:rsidRPr="00B33D98">
        <w:rPr>
          <w:rFonts w:ascii="Book Antiqua" w:eastAsia="SimSun" w:hAnsi="Book Antiqua" w:cs="SimSun"/>
          <w:i/>
          <w:iCs/>
          <w:sz w:val="24"/>
          <w:szCs w:val="24"/>
          <w:lang w:val="en-US"/>
        </w:rPr>
        <w:t>Cancer Treat Rev</w:t>
      </w:r>
      <w:r w:rsidRPr="00B33D98">
        <w:rPr>
          <w:rFonts w:ascii="Book Antiqua" w:eastAsia="SimSun" w:hAnsi="Book Antiqua" w:cs="SimSun"/>
          <w:sz w:val="24"/>
          <w:szCs w:val="24"/>
          <w:lang w:val="en-US"/>
        </w:rPr>
        <w:t> 2015; </w:t>
      </w:r>
      <w:r w:rsidRPr="00B33D98">
        <w:rPr>
          <w:rFonts w:ascii="Book Antiqua" w:eastAsia="SimSun" w:hAnsi="Book Antiqua" w:cs="SimSun"/>
          <w:b/>
          <w:bCs/>
          <w:sz w:val="24"/>
          <w:szCs w:val="24"/>
          <w:lang w:val="en-US"/>
        </w:rPr>
        <w:t>41</w:t>
      </w:r>
      <w:r w:rsidRPr="00B33D98">
        <w:rPr>
          <w:rFonts w:ascii="Book Antiqua" w:eastAsia="SimSun" w:hAnsi="Book Antiqua" w:cs="SimSun"/>
          <w:sz w:val="24"/>
          <w:szCs w:val="24"/>
          <w:lang w:val="en-US"/>
        </w:rPr>
        <w:t>: 971-978 [PMID: 26481060 DOI: 10.1016/j.ctrv.2015.10.003]</w:t>
      </w:r>
    </w:p>
    <w:p w:rsidR="000E0F65" w:rsidRPr="00B33D98" w:rsidRDefault="000E0F65" w:rsidP="000E0F65">
      <w:pPr>
        <w:spacing w:line="360" w:lineRule="auto"/>
        <w:jc w:val="both"/>
        <w:rPr>
          <w:rFonts w:ascii="Book Antiqua" w:hAnsi="Book Antiqua"/>
          <w:lang w:val="en-US"/>
        </w:rPr>
      </w:pPr>
    </w:p>
    <w:p w:rsidR="001953F8" w:rsidRPr="00B33D98" w:rsidRDefault="001953F8" w:rsidP="00BB7527">
      <w:pPr>
        <w:spacing w:after="0" w:line="360" w:lineRule="auto"/>
        <w:jc w:val="both"/>
        <w:rPr>
          <w:rFonts w:ascii="Book Antiqua" w:hAnsi="Book Antiqua" w:cs="Times New Roman"/>
          <w:sz w:val="24"/>
          <w:szCs w:val="24"/>
          <w:lang w:val="en-US"/>
        </w:rPr>
      </w:pPr>
    </w:p>
    <w:p w:rsidR="003F3E18" w:rsidRPr="00C03255" w:rsidRDefault="003F3E18" w:rsidP="000E0F65">
      <w:pPr>
        <w:wordWrap w:val="0"/>
        <w:spacing w:line="360" w:lineRule="auto"/>
        <w:ind w:left="720" w:right="230"/>
        <w:contextualSpacing/>
        <w:jc w:val="right"/>
        <w:rPr>
          <w:rFonts w:ascii="Book Antiqua" w:eastAsia="SimSun" w:hAnsi="Book Antiqua"/>
          <w:b/>
          <w:bCs/>
          <w:color w:val="000000"/>
          <w:sz w:val="24"/>
          <w:szCs w:val="24"/>
          <w:lang w:val="en-US" w:eastAsia="zh-CN"/>
        </w:rPr>
      </w:pPr>
      <w:bookmarkStart w:id="53" w:name="OLE_LINK277"/>
      <w:bookmarkStart w:id="54" w:name="OLE_LINK278"/>
      <w:bookmarkStart w:id="55" w:name="OLE_LINK279"/>
      <w:bookmarkStart w:id="56" w:name="OLE_LINK290"/>
      <w:bookmarkStart w:id="57" w:name="OLE_LINK301"/>
      <w:bookmarkStart w:id="58" w:name="OLE_LINK312"/>
      <w:bookmarkStart w:id="59" w:name="OLE_LINK315"/>
      <w:bookmarkStart w:id="60" w:name="OLE_LINK316"/>
      <w:bookmarkStart w:id="61" w:name="OLE_LINK317"/>
      <w:bookmarkStart w:id="62" w:name="OLE_LINK318"/>
      <w:bookmarkStart w:id="63" w:name="OLE_LINK326"/>
      <w:bookmarkStart w:id="64" w:name="OLE_LINK335"/>
      <w:bookmarkStart w:id="65" w:name="OLE_LINK339"/>
      <w:bookmarkStart w:id="66" w:name="OLE_LINK348"/>
      <w:bookmarkStart w:id="67" w:name="OLE_LINK399"/>
      <w:bookmarkStart w:id="68" w:name="OLE_LINK419"/>
      <w:bookmarkStart w:id="69" w:name="OLE_LINK420"/>
      <w:bookmarkStart w:id="70" w:name="OLE_LINK423"/>
      <w:bookmarkStart w:id="71" w:name="OLE_LINK449"/>
      <w:bookmarkStart w:id="72" w:name="OLE_LINK450"/>
      <w:bookmarkStart w:id="73" w:name="OLE_LINK454"/>
      <w:bookmarkStart w:id="74" w:name="OLE_LINK461"/>
      <w:bookmarkStart w:id="75" w:name="OLE_LINK471"/>
      <w:bookmarkStart w:id="76" w:name="OLE_LINK474"/>
      <w:bookmarkStart w:id="77" w:name="OLE_LINK407"/>
      <w:bookmarkStart w:id="78" w:name="OLE_LINK494"/>
      <w:bookmarkStart w:id="79" w:name="OLE_LINK506"/>
      <w:bookmarkStart w:id="80" w:name="OLE_LINK519"/>
      <w:bookmarkStart w:id="81" w:name="OLE_LINK8"/>
      <w:bookmarkStart w:id="82" w:name="OLE_LINK87"/>
      <w:bookmarkStart w:id="83" w:name="OLE_LINK556"/>
      <w:bookmarkStart w:id="84" w:name="OLE_LINK602"/>
      <w:r w:rsidRPr="00C03255">
        <w:rPr>
          <w:rFonts w:ascii="Book Antiqua" w:hAnsi="Book Antiqua" w:cs="Arial"/>
          <w:b/>
          <w:noProof/>
          <w:color w:val="000000"/>
          <w:sz w:val="24"/>
          <w:szCs w:val="24"/>
          <w:lang w:val="en-US"/>
        </w:rPr>
        <w:t>P-Reviewer</w:t>
      </w:r>
      <w:r w:rsidRPr="00C03255">
        <w:rPr>
          <w:rFonts w:ascii="Book Antiqua" w:eastAsia="SimSun" w:hAnsi="Book Antiqua" w:cs="Arial"/>
          <w:b/>
          <w:noProof/>
          <w:color w:val="000000"/>
          <w:sz w:val="24"/>
          <w:szCs w:val="24"/>
          <w:lang w:val="en-US" w:eastAsia="zh-CN"/>
        </w:rPr>
        <w:t>:</w:t>
      </w:r>
      <w:r w:rsidRPr="00C03255">
        <w:rPr>
          <w:rFonts w:ascii="Book Antiqua" w:hAnsi="Book Antiqua"/>
          <w:bCs/>
          <w:color w:val="000000"/>
          <w:sz w:val="24"/>
          <w:szCs w:val="24"/>
          <w:lang w:val="en-US"/>
        </w:rPr>
        <w:t xml:space="preserve"> </w:t>
      </w:r>
      <w:r w:rsidR="000E0F65" w:rsidRPr="00C03255">
        <w:rPr>
          <w:rFonts w:ascii="Book Antiqua" w:hAnsi="Book Antiqua"/>
          <w:bCs/>
          <w:color w:val="000000"/>
          <w:sz w:val="24"/>
          <w:szCs w:val="24"/>
          <w:lang w:val="en-US"/>
        </w:rPr>
        <w:t>Chen F</w:t>
      </w:r>
      <w:r w:rsidR="000E0F65" w:rsidRPr="00C03255">
        <w:rPr>
          <w:rFonts w:ascii="Book Antiqua" w:hAnsi="Book Antiqua" w:hint="eastAsia"/>
          <w:bCs/>
          <w:color w:val="000000"/>
          <w:sz w:val="24"/>
          <w:szCs w:val="24"/>
          <w:lang w:val="en-US" w:eastAsia="zh-CN"/>
        </w:rPr>
        <w:t>,</w:t>
      </w:r>
      <w:r w:rsidR="000E0F65" w:rsidRPr="00C03255">
        <w:rPr>
          <w:sz w:val="24"/>
          <w:szCs w:val="24"/>
          <w:lang w:val="en-US"/>
        </w:rPr>
        <w:t xml:space="preserve"> </w:t>
      </w:r>
      <w:r w:rsidR="000E0F65" w:rsidRPr="00C03255">
        <w:rPr>
          <w:rFonts w:ascii="Book Antiqua" w:hAnsi="Book Antiqua"/>
          <w:bCs/>
          <w:color w:val="000000"/>
          <w:sz w:val="24"/>
          <w:szCs w:val="24"/>
          <w:lang w:val="en-US" w:eastAsia="zh-CN"/>
        </w:rPr>
        <w:t>Lassandro</w:t>
      </w:r>
      <w:r w:rsidR="000E0F65" w:rsidRPr="00C03255">
        <w:rPr>
          <w:rFonts w:ascii="Book Antiqua" w:hAnsi="Book Antiqua" w:hint="eastAsia"/>
          <w:bCs/>
          <w:color w:val="000000"/>
          <w:sz w:val="24"/>
          <w:szCs w:val="24"/>
          <w:lang w:val="en-US" w:eastAsia="zh-CN"/>
        </w:rPr>
        <w:t xml:space="preserve"> </w:t>
      </w:r>
      <w:r w:rsidR="000E0F65" w:rsidRPr="00C03255">
        <w:rPr>
          <w:rFonts w:ascii="Book Antiqua" w:hAnsi="Book Antiqua"/>
          <w:bCs/>
          <w:color w:val="000000"/>
          <w:sz w:val="24"/>
          <w:szCs w:val="24"/>
          <w:lang w:val="en-US" w:eastAsia="zh-CN"/>
        </w:rPr>
        <w:t>F</w:t>
      </w:r>
      <w:r w:rsidR="00332813" w:rsidRPr="00C03255">
        <w:rPr>
          <w:rFonts w:ascii="Book Antiqua" w:hAnsi="Book Antiqua"/>
          <w:bCs/>
          <w:color w:val="000000"/>
          <w:sz w:val="24"/>
          <w:szCs w:val="24"/>
          <w:lang w:val="en-US"/>
        </w:rPr>
        <w:t xml:space="preserve"> </w:t>
      </w:r>
      <w:r w:rsidRPr="00C03255">
        <w:rPr>
          <w:rFonts w:ascii="Book Antiqua" w:hAnsi="Book Antiqua"/>
          <w:b/>
          <w:bCs/>
          <w:color w:val="000000"/>
          <w:sz w:val="24"/>
          <w:szCs w:val="24"/>
          <w:lang w:val="en-US"/>
        </w:rPr>
        <w:t>S-Editor</w:t>
      </w:r>
      <w:r w:rsidRPr="00C03255">
        <w:rPr>
          <w:rFonts w:ascii="Book Antiqua" w:eastAsia="SimSun" w:hAnsi="Book Antiqua"/>
          <w:b/>
          <w:bCs/>
          <w:color w:val="000000"/>
          <w:sz w:val="24"/>
          <w:szCs w:val="24"/>
          <w:lang w:val="en-US" w:eastAsia="zh-CN"/>
        </w:rPr>
        <w:t>:</w:t>
      </w:r>
      <w:r w:rsidRPr="00C03255">
        <w:rPr>
          <w:rFonts w:ascii="Book Antiqua" w:hAnsi="Book Antiqua"/>
          <w:bCs/>
          <w:color w:val="000000"/>
          <w:sz w:val="24"/>
          <w:szCs w:val="24"/>
          <w:lang w:val="en-US"/>
        </w:rPr>
        <w:t xml:space="preserve"> </w:t>
      </w:r>
      <w:r w:rsidRPr="00C03255">
        <w:rPr>
          <w:rFonts w:ascii="Book Antiqua" w:eastAsia="SimSun" w:hAnsi="Book Antiqua"/>
          <w:bCs/>
          <w:color w:val="000000"/>
          <w:sz w:val="24"/>
          <w:szCs w:val="24"/>
          <w:lang w:val="en-US" w:eastAsia="zh-CN"/>
        </w:rPr>
        <w:t>Qi Y</w:t>
      </w:r>
      <w:r w:rsidRPr="00C03255">
        <w:rPr>
          <w:rFonts w:ascii="Book Antiqua" w:hAnsi="Book Antiqua"/>
          <w:b/>
          <w:bCs/>
          <w:color w:val="000000"/>
          <w:sz w:val="24"/>
          <w:szCs w:val="24"/>
          <w:lang w:val="en-US"/>
        </w:rPr>
        <w:t xml:space="preserve">   L-Editor</w:t>
      </w:r>
      <w:r w:rsidRPr="00C03255">
        <w:rPr>
          <w:rFonts w:ascii="Book Antiqua" w:eastAsia="SimSun" w:hAnsi="Book Antiqua"/>
          <w:b/>
          <w:bCs/>
          <w:color w:val="000000"/>
          <w:sz w:val="24"/>
          <w:szCs w:val="24"/>
          <w:lang w:val="en-US" w:eastAsia="zh-CN"/>
        </w:rPr>
        <w:t>:</w:t>
      </w:r>
      <w:r w:rsidRPr="00C03255">
        <w:rPr>
          <w:rFonts w:ascii="Book Antiqua" w:hAnsi="Book Antiqua"/>
          <w:b/>
          <w:bCs/>
          <w:color w:val="000000"/>
          <w:sz w:val="24"/>
          <w:szCs w:val="24"/>
          <w:lang w:val="en-US"/>
        </w:rPr>
        <w:t xml:space="preserve">   E-Editor</w:t>
      </w:r>
      <w:r w:rsidRPr="00C03255">
        <w:rPr>
          <w:rFonts w:ascii="Book Antiqua" w:eastAsia="SimSun" w:hAnsi="Book Antiqua"/>
          <w:b/>
          <w:bCs/>
          <w:color w:val="000000"/>
          <w:sz w:val="24"/>
          <w:szCs w:val="24"/>
          <w:lang w:val="en-US" w:eastAsia="zh-CN"/>
        </w:rPr>
        <w:t>:</w:t>
      </w:r>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rsidR="003F3E18" w:rsidRPr="00FA3054" w:rsidRDefault="003F3E18" w:rsidP="00BB7527">
      <w:pPr>
        <w:spacing w:after="0" w:line="360" w:lineRule="auto"/>
        <w:jc w:val="both"/>
        <w:rPr>
          <w:rFonts w:ascii="Book Antiqua" w:hAnsi="Book Antiqua" w:cs="Times New Roman"/>
          <w:sz w:val="24"/>
          <w:szCs w:val="24"/>
          <w:lang w:val="en-US"/>
        </w:rPr>
      </w:pPr>
    </w:p>
    <w:p w:rsidR="002D3142" w:rsidRDefault="002D3142" w:rsidP="00BB7527">
      <w:pPr>
        <w:spacing w:after="0" w:line="360" w:lineRule="auto"/>
        <w:jc w:val="both"/>
        <w:rPr>
          <w:rFonts w:ascii="Book Antiqua" w:hAnsi="Book Antiqua" w:cs="Times New Roman"/>
          <w:sz w:val="24"/>
          <w:szCs w:val="24"/>
          <w:lang w:val="en-US"/>
        </w:rPr>
      </w:pPr>
    </w:p>
    <w:p w:rsidR="002D3142" w:rsidRDefault="002D3142" w:rsidP="00BB7527">
      <w:pPr>
        <w:spacing w:after="0" w:line="360" w:lineRule="auto"/>
        <w:jc w:val="both"/>
        <w:rPr>
          <w:rFonts w:ascii="Book Antiqua" w:hAnsi="Book Antiqua" w:cs="Times New Roman"/>
          <w:sz w:val="24"/>
          <w:szCs w:val="24"/>
          <w:lang w:val="en-US"/>
        </w:rPr>
      </w:pPr>
    </w:p>
    <w:p w:rsidR="000E0F65" w:rsidRDefault="000E0F65">
      <w:pPr>
        <w:rPr>
          <w:rFonts w:ascii="Book Antiqua" w:hAnsi="Book Antiqua" w:cs="Times New Roman"/>
          <w:b/>
          <w:sz w:val="24"/>
          <w:szCs w:val="24"/>
          <w:lang w:val="en-US"/>
        </w:rPr>
      </w:pPr>
      <w:r>
        <w:rPr>
          <w:rFonts w:ascii="Book Antiqua" w:hAnsi="Book Antiqua" w:cs="Times New Roman"/>
          <w:b/>
          <w:sz w:val="24"/>
          <w:szCs w:val="24"/>
          <w:lang w:val="en-US"/>
        </w:rPr>
        <w:br w:type="page"/>
      </w:r>
    </w:p>
    <w:p w:rsidR="007171FF" w:rsidRDefault="007171FF" w:rsidP="00BB7527">
      <w:pPr>
        <w:spacing w:after="0" w:line="360" w:lineRule="auto"/>
        <w:jc w:val="both"/>
        <w:rPr>
          <w:rFonts w:ascii="Book Antiqua" w:hAnsi="Book Antiqua" w:cs="Times New Roman"/>
          <w:b/>
          <w:sz w:val="24"/>
          <w:szCs w:val="24"/>
          <w:lang w:val="en-US" w:eastAsia="zh-CN"/>
        </w:rPr>
      </w:pPr>
      <w:r>
        <w:rPr>
          <w:noProof/>
          <w:lang w:val="en-US" w:eastAsia="zh-CN"/>
        </w:rPr>
        <w:lastRenderedPageBreak/>
        <w:drawing>
          <wp:inline distT="0" distB="0" distL="0" distR="0" wp14:anchorId="061F0CE6" wp14:editId="29D19377">
            <wp:extent cx="2797472" cy="180022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97472" cy="1800225"/>
                    </a:xfrm>
                    <a:prstGeom prst="rect">
                      <a:avLst/>
                    </a:prstGeom>
                  </pic:spPr>
                </pic:pic>
              </a:graphicData>
            </a:graphic>
          </wp:inline>
        </w:drawing>
      </w:r>
      <w:r>
        <w:rPr>
          <w:rFonts w:ascii="Book Antiqua" w:hAnsi="Book Antiqua" w:cs="Times New Roman"/>
          <w:b/>
          <w:sz w:val="24"/>
          <w:szCs w:val="24"/>
          <w:lang w:val="en-US"/>
        </w:rPr>
        <w:t xml:space="preserve"> </w:t>
      </w:r>
    </w:p>
    <w:p w:rsidR="007171FF" w:rsidRDefault="000E0F65" w:rsidP="00BB7527">
      <w:pPr>
        <w:spacing w:after="0" w:line="360" w:lineRule="auto"/>
        <w:jc w:val="both"/>
        <w:rPr>
          <w:rFonts w:ascii="Book Antiqua" w:hAnsi="Book Antiqua" w:cs="Times New Roman"/>
          <w:sz w:val="24"/>
          <w:szCs w:val="24"/>
          <w:lang w:val="en-US"/>
        </w:rPr>
      </w:pPr>
      <w:r>
        <w:rPr>
          <w:rFonts w:ascii="Book Antiqua" w:hAnsi="Book Antiqua" w:cs="Times New Roman"/>
          <w:b/>
          <w:sz w:val="24"/>
          <w:szCs w:val="24"/>
          <w:lang w:val="en-US"/>
        </w:rPr>
        <w:t>Figure 1</w:t>
      </w:r>
      <w:r>
        <w:rPr>
          <w:rFonts w:ascii="Book Antiqua" w:hAnsi="Book Antiqua" w:cs="Times New Roman" w:hint="eastAsia"/>
          <w:b/>
          <w:sz w:val="24"/>
          <w:szCs w:val="24"/>
          <w:lang w:val="en-US" w:eastAsia="zh-CN"/>
        </w:rPr>
        <w:t xml:space="preserve"> </w:t>
      </w:r>
      <w:r w:rsidR="002D3142" w:rsidRPr="00FA3054">
        <w:rPr>
          <w:rFonts w:ascii="Book Antiqua" w:hAnsi="Book Antiqua" w:cs="Times New Roman"/>
          <w:b/>
          <w:sz w:val="24"/>
          <w:szCs w:val="24"/>
          <w:lang w:val="en-US"/>
        </w:rPr>
        <w:t xml:space="preserve">Scatter plot of log Hazard Ratios for overall survival plotted against Lymphocyte-to-Neutrophil Ratios. </w:t>
      </w:r>
      <w:r w:rsidR="002D3142" w:rsidRPr="00FA3054">
        <w:rPr>
          <w:rFonts w:ascii="Book Antiqua" w:hAnsi="Book Antiqua" w:cs="Times New Roman"/>
          <w:sz w:val="24"/>
          <w:szCs w:val="24"/>
          <w:lang w:val="en-US"/>
        </w:rPr>
        <w:t>The most significant cut-off value LMR was 3.96%.</w:t>
      </w:r>
      <w:r w:rsidR="002D3142" w:rsidRPr="00FA3054">
        <w:rPr>
          <w:rFonts w:ascii="Book Antiqua" w:hAnsi="Book Antiqua" w:cs="Times New Roman"/>
          <w:b/>
          <w:sz w:val="24"/>
          <w:szCs w:val="24"/>
          <w:lang w:val="en-US"/>
        </w:rPr>
        <w:t xml:space="preserve"> </w:t>
      </w:r>
      <w:r w:rsidR="002D3142" w:rsidRPr="00FA3054">
        <w:rPr>
          <w:rFonts w:ascii="Book Antiqua" w:hAnsi="Book Antiqua" w:cs="Times New Roman"/>
          <w:sz w:val="24"/>
          <w:szCs w:val="24"/>
          <w:lang w:val="en-US"/>
        </w:rPr>
        <w:t xml:space="preserve"> HR</w:t>
      </w:r>
      <w:r>
        <w:rPr>
          <w:rFonts w:ascii="Book Antiqua" w:hAnsi="Book Antiqua" w:cs="Times New Roman" w:hint="eastAsia"/>
          <w:sz w:val="24"/>
          <w:szCs w:val="24"/>
          <w:lang w:val="en-US" w:eastAsia="zh-CN"/>
        </w:rPr>
        <w:t>:</w:t>
      </w:r>
      <w:r w:rsidR="002D3142" w:rsidRPr="00FA3054">
        <w:rPr>
          <w:rFonts w:ascii="Book Antiqua" w:hAnsi="Book Antiqua" w:cs="Times New Roman"/>
          <w:sz w:val="24"/>
          <w:szCs w:val="24"/>
          <w:lang w:val="en-US"/>
        </w:rPr>
        <w:t xml:space="preserve"> Hazard Ratio; LMR</w:t>
      </w:r>
      <w:r>
        <w:rPr>
          <w:rFonts w:ascii="Book Antiqua" w:hAnsi="Book Antiqua" w:cs="Times New Roman" w:hint="eastAsia"/>
          <w:sz w:val="24"/>
          <w:szCs w:val="24"/>
          <w:lang w:val="en-US" w:eastAsia="zh-CN"/>
        </w:rPr>
        <w:t>:</w:t>
      </w:r>
      <w:r w:rsidRPr="00FA3054">
        <w:rPr>
          <w:rFonts w:ascii="Book Antiqua" w:hAnsi="Book Antiqua" w:cs="Times New Roman"/>
          <w:sz w:val="24"/>
          <w:szCs w:val="24"/>
          <w:lang w:val="en-US"/>
        </w:rPr>
        <w:t xml:space="preserve"> </w:t>
      </w:r>
      <w:r w:rsidR="002D3142" w:rsidRPr="00FA3054">
        <w:rPr>
          <w:rFonts w:ascii="Book Antiqua" w:hAnsi="Book Antiqua" w:cs="Times New Roman"/>
          <w:sz w:val="24"/>
          <w:szCs w:val="24"/>
          <w:lang w:val="en-US"/>
        </w:rPr>
        <w:t xml:space="preserve">Lymphocyte-to-Monocyte Ratio. </w:t>
      </w:r>
    </w:p>
    <w:p w:rsidR="007171FF" w:rsidRDefault="007171FF">
      <w:pPr>
        <w:rPr>
          <w:rFonts w:ascii="Book Antiqua" w:hAnsi="Book Antiqua" w:cs="Times New Roman"/>
          <w:sz w:val="24"/>
          <w:szCs w:val="24"/>
          <w:lang w:val="en-US"/>
        </w:rPr>
      </w:pPr>
      <w:r>
        <w:rPr>
          <w:rFonts w:ascii="Book Antiqua" w:hAnsi="Book Antiqua" w:cs="Times New Roman"/>
          <w:sz w:val="24"/>
          <w:szCs w:val="24"/>
          <w:lang w:val="en-US"/>
        </w:rPr>
        <w:br w:type="page"/>
      </w:r>
    </w:p>
    <w:p w:rsidR="00DB7CCB" w:rsidRDefault="00DB7CCB" w:rsidP="00BB7527">
      <w:pPr>
        <w:spacing w:after="0" w:line="360" w:lineRule="auto"/>
        <w:jc w:val="both"/>
        <w:rPr>
          <w:rFonts w:ascii="Book Antiqua" w:hAnsi="Book Antiqua" w:cs="Times New Roman"/>
          <w:sz w:val="24"/>
          <w:szCs w:val="24"/>
          <w:lang w:val="en-US"/>
        </w:rPr>
      </w:pPr>
    </w:p>
    <w:p w:rsidR="002D3142" w:rsidRDefault="007171FF" w:rsidP="00BB7527">
      <w:pPr>
        <w:spacing w:after="0" w:line="360" w:lineRule="auto"/>
        <w:jc w:val="both"/>
        <w:rPr>
          <w:rFonts w:ascii="Book Antiqua" w:hAnsi="Book Antiqua" w:cs="Times New Roman"/>
          <w:b/>
          <w:sz w:val="24"/>
          <w:szCs w:val="24"/>
          <w:lang w:val="en-US" w:eastAsia="zh-CN"/>
        </w:rPr>
      </w:pPr>
      <w:r>
        <w:rPr>
          <w:noProof/>
          <w:lang w:val="en-US" w:eastAsia="zh-CN"/>
        </w:rPr>
        <w:drawing>
          <wp:inline distT="0" distB="0" distL="0" distR="0" wp14:anchorId="719BDBFA" wp14:editId="75CB316B">
            <wp:extent cx="4019550" cy="27206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19550" cy="2720640"/>
                    </a:xfrm>
                    <a:prstGeom prst="rect">
                      <a:avLst/>
                    </a:prstGeom>
                  </pic:spPr>
                </pic:pic>
              </a:graphicData>
            </a:graphic>
          </wp:inline>
        </w:drawing>
      </w:r>
    </w:p>
    <w:p w:rsidR="007171FF" w:rsidRDefault="007171FF" w:rsidP="00BB7527">
      <w:pPr>
        <w:spacing w:after="0" w:line="360" w:lineRule="auto"/>
        <w:jc w:val="both"/>
        <w:rPr>
          <w:rFonts w:ascii="Book Antiqua" w:hAnsi="Book Antiqua" w:cs="Times New Roman"/>
          <w:b/>
          <w:sz w:val="24"/>
          <w:szCs w:val="24"/>
          <w:lang w:val="en-US" w:eastAsia="zh-CN"/>
        </w:rPr>
      </w:pPr>
      <w:r>
        <w:rPr>
          <w:rFonts w:ascii="Book Antiqua" w:hAnsi="Book Antiqua" w:cs="Times New Roman" w:hint="eastAsia"/>
          <w:b/>
          <w:sz w:val="24"/>
          <w:szCs w:val="24"/>
          <w:lang w:val="en-US" w:eastAsia="zh-CN"/>
        </w:rPr>
        <w:t>A</w:t>
      </w:r>
    </w:p>
    <w:p w:rsidR="007171FF" w:rsidRDefault="007171FF" w:rsidP="00BB7527">
      <w:pPr>
        <w:spacing w:after="0" w:line="360" w:lineRule="auto"/>
        <w:jc w:val="both"/>
        <w:rPr>
          <w:rFonts w:ascii="Book Antiqua" w:hAnsi="Book Antiqua" w:cs="Times New Roman"/>
          <w:b/>
          <w:sz w:val="24"/>
          <w:szCs w:val="24"/>
          <w:lang w:val="en-US" w:eastAsia="zh-CN"/>
        </w:rPr>
      </w:pPr>
      <w:r>
        <w:rPr>
          <w:noProof/>
          <w:lang w:val="en-US" w:eastAsia="zh-CN"/>
        </w:rPr>
        <w:drawing>
          <wp:inline distT="0" distB="0" distL="0" distR="0" wp14:anchorId="3680BB02" wp14:editId="039312DF">
            <wp:extent cx="4019550" cy="3062581"/>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19550" cy="3062581"/>
                    </a:xfrm>
                    <a:prstGeom prst="rect">
                      <a:avLst/>
                    </a:prstGeom>
                  </pic:spPr>
                </pic:pic>
              </a:graphicData>
            </a:graphic>
          </wp:inline>
        </w:drawing>
      </w:r>
    </w:p>
    <w:p w:rsidR="007171FF" w:rsidRDefault="007171FF" w:rsidP="00BB7527">
      <w:pPr>
        <w:spacing w:after="0" w:line="360" w:lineRule="auto"/>
        <w:jc w:val="both"/>
        <w:rPr>
          <w:rFonts w:ascii="Book Antiqua" w:hAnsi="Book Antiqua" w:cs="Times New Roman"/>
          <w:b/>
          <w:sz w:val="24"/>
          <w:szCs w:val="24"/>
          <w:lang w:val="en-US" w:eastAsia="zh-CN"/>
        </w:rPr>
      </w:pPr>
      <w:r>
        <w:rPr>
          <w:rFonts w:ascii="Book Antiqua" w:hAnsi="Book Antiqua" w:cs="Times New Roman" w:hint="eastAsia"/>
          <w:b/>
          <w:sz w:val="24"/>
          <w:szCs w:val="24"/>
          <w:lang w:val="en-US" w:eastAsia="zh-CN"/>
        </w:rPr>
        <w:t>B</w:t>
      </w:r>
    </w:p>
    <w:p w:rsidR="007171FF" w:rsidRPr="007171FF" w:rsidRDefault="000E0F65" w:rsidP="007171FF">
      <w:pPr>
        <w:spacing w:after="0" w:line="360" w:lineRule="auto"/>
        <w:jc w:val="both"/>
        <w:rPr>
          <w:rFonts w:ascii="Book Antiqua" w:hAnsi="Book Antiqua" w:cs="Times New Roman"/>
          <w:sz w:val="24"/>
          <w:szCs w:val="24"/>
          <w:lang w:val="en-US"/>
        </w:rPr>
      </w:pPr>
      <w:r>
        <w:rPr>
          <w:rFonts w:ascii="Book Antiqua" w:hAnsi="Book Antiqua" w:cs="Times New Roman"/>
          <w:b/>
          <w:sz w:val="24"/>
          <w:szCs w:val="24"/>
          <w:lang w:val="en-US"/>
        </w:rPr>
        <w:t>Figure 2</w:t>
      </w:r>
      <w:r w:rsidR="002D3142" w:rsidRPr="00FA3054">
        <w:rPr>
          <w:rFonts w:ascii="Book Antiqua" w:hAnsi="Book Antiqua" w:cs="Times New Roman"/>
          <w:b/>
          <w:sz w:val="24"/>
          <w:szCs w:val="24"/>
          <w:lang w:val="en-US"/>
        </w:rPr>
        <w:t xml:space="preserve"> Kaplan-Meier curves</w:t>
      </w:r>
      <w:r w:rsidR="007171FF">
        <w:rPr>
          <w:rFonts w:ascii="Book Antiqua" w:hAnsi="Book Antiqua" w:cs="Times New Roman" w:hint="eastAsia"/>
          <w:b/>
          <w:sz w:val="24"/>
          <w:szCs w:val="24"/>
          <w:lang w:val="en-US" w:eastAsia="zh-CN"/>
        </w:rPr>
        <w:t xml:space="preserve">. </w:t>
      </w:r>
      <w:r w:rsidR="007171FF" w:rsidRPr="007171FF">
        <w:rPr>
          <w:rFonts w:ascii="Book Antiqua" w:hAnsi="Book Antiqua" w:cs="Times New Roman" w:hint="eastAsia"/>
          <w:sz w:val="24"/>
          <w:szCs w:val="24"/>
          <w:lang w:val="en-US" w:eastAsia="zh-CN"/>
        </w:rPr>
        <w:t>A:</w:t>
      </w:r>
      <w:r w:rsidR="002D3142" w:rsidRPr="007171FF">
        <w:rPr>
          <w:rFonts w:ascii="Book Antiqua" w:hAnsi="Book Antiqua" w:cs="Times New Roman"/>
          <w:sz w:val="24"/>
          <w:szCs w:val="24"/>
          <w:lang w:val="en-US"/>
        </w:rPr>
        <w:t xml:space="preserve"> </w:t>
      </w:r>
      <w:r w:rsidR="007171FF" w:rsidRPr="007171FF">
        <w:rPr>
          <w:rFonts w:ascii="Book Antiqua" w:hAnsi="Book Antiqua" w:cs="Times New Roman"/>
          <w:sz w:val="24"/>
          <w:szCs w:val="24"/>
          <w:lang w:val="en-US"/>
        </w:rPr>
        <w:t xml:space="preserve">Overall </w:t>
      </w:r>
      <w:r w:rsidR="002D3142" w:rsidRPr="007171FF">
        <w:rPr>
          <w:rFonts w:ascii="Book Antiqua" w:hAnsi="Book Antiqua" w:cs="Times New Roman"/>
          <w:sz w:val="24"/>
          <w:szCs w:val="24"/>
          <w:lang w:val="en-US"/>
        </w:rPr>
        <w:t xml:space="preserve">survival. Median overall survival resulted 55 </w:t>
      </w:r>
      <w:r w:rsidRPr="007171FF">
        <w:rPr>
          <w:rFonts w:ascii="Book Antiqua" w:hAnsi="Book Antiqua" w:cs="Times New Roman" w:hint="eastAsia"/>
          <w:sz w:val="24"/>
          <w:szCs w:val="24"/>
          <w:lang w:val="en-US" w:eastAsia="zh-CN"/>
        </w:rPr>
        <w:t>mo</w:t>
      </w:r>
      <w:r w:rsidR="002D3142" w:rsidRPr="007171FF">
        <w:rPr>
          <w:rFonts w:ascii="Book Antiqua" w:hAnsi="Book Antiqua" w:cs="Times New Roman"/>
          <w:sz w:val="24"/>
          <w:szCs w:val="24"/>
          <w:lang w:val="en-US"/>
        </w:rPr>
        <w:t xml:space="preserve"> (37-</w:t>
      </w:r>
      <w:r w:rsidRPr="007171FF">
        <w:rPr>
          <w:rFonts w:ascii="Book Antiqua" w:hAnsi="Book Antiqua" w:cs="Times New Roman"/>
          <w:sz w:val="24"/>
          <w:szCs w:val="24"/>
          <w:lang w:val="en-US"/>
        </w:rPr>
        <w:t>69) in patients with LMR &gt; 3.96</w:t>
      </w:r>
      <w:r w:rsidR="002D3142" w:rsidRPr="007171FF">
        <w:rPr>
          <w:rFonts w:ascii="Book Antiqua" w:hAnsi="Book Antiqua" w:cs="Times New Roman"/>
          <w:sz w:val="24"/>
          <w:szCs w:val="24"/>
          <w:lang w:val="en-US"/>
        </w:rPr>
        <w:t xml:space="preserve">% and 34 (26-39) </w:t>
      </w:r>
      <w:r w:rsidRPr="007171FF">
        <w:rPr>
          <w:rFonts w:ascii="Book Antiqua" w:hAnsi="Book Antiqua" w:cs="Times New Roman" w:hint="eastAsia"/>
          <w:sz w:val="24"/>
          <w:szCs w:val="24"/>
          <w:lang w:val="en-US" w:eastAsia="zh-CN"/>
        </w:rPr>
        <w:t>mo</w:t>
      </w:r>
      <w:r w:rsidRPr="007171FF">
        <w:rPr>
          <w:rFonts w:ascii="Book Antiqua" w:hAnsi="Book Antiqua" w:cs="Times New Roman"/>
          <w:sz w:val="24"/>
          <w:szCs w:val="24"/>
          <w:lang w:val="en-US"/>
        </w:rPr>
        <w:t xml:space="preserve"> in patients with LMR ≤ 3.96</w:t>
      </w:r>
      <w:r w:rsidR="002D3142" w:rsidRPr="007171FF">
        <w:rPr>
          <w:rFonts w:ascii="Book Antiqua" w:hAnsi="Book Antiqua" w:cs="Times New Roman"/>
          <w:sz w:val="24"/>
          <w:szCs w:val="24"/>
          <w:lang w:val="en-US"/>
        </w:rPr>
        <w:t>% (</w:t>
      </w:r>
      <w:r w:rsidRPr="007171FF">
        <w:rPr>
          <w:rFonts w:ascii="Book Antiqua" w:hAnsi="Book Antiqua" w:cs="Times New Roman"/>
          <w:i/>
          <w:sz w:val="24"/>
          <w:szCs w:val="24"/>
          <w:lang w:val="en-US"/>
        </w:rPr>
        <w:t>P</w:t>
      </w:r>
      <w:r w:rsidRPr="007171FF">
        <w:rPr>
          <w:rFonts w:ascii="Book Antiqua" w:hAnsi="Book Antiqua" w:cs="Times New Roman" w:hint="eastAsia"/>
          <w:sz w:val="24"/>
          <w:szCs w:val="24"/>
          <w:lang w:val="en-US" w:eastAsia="zh-CN"/>
        </w:rPr>
        <w:t xml:space="preserve"> </w:t>
      </w:r>
      <w:r w:rsidR="002D3142" w:rsidRPr="007171FF">
        <w:rPr>
          <w:rFonts w:ascii="Book Antiqua" w:hAnsi="Book Antiqua" w:cs="Times New Roman"/>
          <w:sz w:val="24"/>
          <w:szCs w:val="24"/>
          <w:lang w:val="en-US"/>
        </w:rPr>
        <w:t>=</w:t>
      </w:r>
      <w:r w:rsidRPr="007171FF">
        <w:rPr>
          <w:rFonts w:ascii="Book Antiqua" w:hAnsi="Book Antiqua" w:cs="Times New Roman" w:hint="eastAsia"/>
          <w:sz w:val="24"/>
          <w:szCs w:val="24"/>
          <w:lang w:val="en-US" w:eastAsia="zh-CN"/>
        </w:rPr>
        <w:t xml:space="preserve"> </w:t>
      </w:r>
      <w:r w:rsidR="002D3142" w:rsidRPr="007171FF">
        <w:rPr>
          <w:rFonts w:ascii="Book Antiqua" w:hAnsi="Book Antiqua" w:cs="Times New Roman"/>
          <w:sz w:val="24"/>
          <w:szCs w:val="24"/>
          <w:lang w:val="en-US"/>
        </w:rPr>
        <w:t>0.007). LMR</w:t>
      </w:r>
      <w:r w:rsidRPr="007171FF">
        <w:rPr>
          <w:rFonts w:ascii="Book Antiqua" w:hAnsi="Book Antiqua" w:cs="Times New Roman" w:hint="eastAsia"/>
          <w:sz w:val="24"/>
          <w:szCs w:val="24"/>
          <w:lang w:val="en-US" w:eastAsia="zh-CN"/>
        </w:rPr>
        <w:t>:</w:t>
      </w:r>
      <w:r w:rsidR="002D3142" w:rsidRPr="007171FF">
        <w:rPr>
          <w:rFonts w:ascii="Book Antiqua" w:hAnsi="Book Antiqua" w:cs="Times New Roman"/>
          <w:sz w:val="24"/>
          <w:szCs w:val="24"/>
          <w:lang w:val="en-US"/>
        </w:rPr>
        <w:t xml:space="preserve"> Lymphocyte-to-Monocyte Ratio. </w:t>
      </w:r>
      <w:r w:rsidR="007171FF" w:rsidRPr="007171FF">
        <w:rPr>
          <w:rFonts w:ascii="Book Antiqua" w:hAnsi="Book Antiqua" w:cs="Times New Roman" w:hint="eastAsia"/>
          <w:sz w:val="24"/>
          <w:szCs w:val="24"/>
          <w:lang w:val="en-US" w:eastAsia="zh-CN"/>
        </w:rPr>
        <w:t xml:space="preserve">B: </w:t>
      </w:r>
      <w:r w:rsidR="007171FF" w:rsidRPr="007171FF">
        <w:rPr>
          <w:rFonts w:ascii="Book Antiqua" w:hAnsi="Book Antiqua" w:cs="Times New Roman"/>
          <w:sz w:val="24"/>
          <w:szCs w:val="24"/>
          <w:lang w:val="en-US"/>
        </w:rPr>
        <w:t xml:space="preserve">Time to recurrence. Median time to recurrence was 35 </w:t>
      </w:r>
      <w:r w:rsidR="007171FF" w:rsidRPr="007171FF">
        <w:rPr>
          <w:rFonts w:ascii="Book Antiqua" w:hAnsi="Book Antiqua" w:cs="Times New Roman" w:hint="eastAsia"/>
          <w:sz w:val="24"/>
          <w:szCs w:val="24"/>
          <w:lang w:val="en-US" w:eastAsia="zh-CN"/>
        </w:rPr>
        <w:t>mo</w:t>
      </w:r>
      <w:r w:rsidR="007171FF" w:rsidRPr="007171FF">
        <w:rPr>
          <w:rFonts w:ascii="Book Antiqua" w:hAnsi="Book Antiqua" w:cs="Times New Roman"/>
          <w:sz w:val="24"/>
          <w:szCs w:val="24"/>
          <w:lang w:val="en-US"/>
        </w:rPr>
        <w:t xml:space="preserve"> (28-57) in the group with LMR &gt; 3.96% and 25 </w:t>
      </w:r>
      <w:r w:rsidR="007171FF" w:rsidRPr="007171FF">
        <w:rPr>
          <w:rFonts w:ascii="Book Antiqua" w:hAnsi="Book Antiqua" w:cs="Times New Roman" w:hint="eastAsia"/>
          <w:sz w:val="24"/>
          <w:szCs w:val="24"/>
          <w:lang w:val="en-US" w:eastAsia="zh-CN"/>
        </w:rPr>
        <w:t>mo</w:t>
      </w:r>
      <w:r w:rsidR="007171FF" w:rsidRPr="007171FF">
        <w:rPr>
          <w:rFonts w:ascii="Book Antiqua" w:hAnsi="Book Antiqua" w:cs="Times New Roman"/>
          <w:sz w:val="24"/>
          <w:szCs w:val="24"/>
          <w:lang w:val="en-US"/>
        </w:rPr>
        <w:t xml:space="preserve"> (18-30) in the group with LMR ≤ 3.96% (</w:t>
      </w:r>
      <w:r w:rsidR="007171FF" w:rsidRPr="007171FF">
        <w:rPr>
          <w:rFonts w:ascii="Book Antiqua" w:hAnsi="Book Antiqua" w:cs="Times New Roman"/>
          <w:i/>
          <w:sz w:val="24"/>
          <w:szCs w:val="24"/>
          <w:lang w:val="en-US"/>
        </w:rPr>
        <w:t>P</w:t>
      </w:r>
      <w:r w:rsidR="007171FF" w:rsidRPr="007171FF">
        <w:rPr>
          <w:rFonts w:ascii="Book Antiqua" w:hAnsi="Book Antiqua" w:cs="Times New Roman" w:hint="eastAsia"/>
          <w:sz w:val="24"/>
          <w:szCs w:val="24"/>
          <w:lang w:val="en-US" w:eastAsia="zh-CN"/>
        </w:rPr>
        <w:t xml:space="preserve"> </w:t>
      </w:r>
      <w:r w:rsidR="007171FF" w:rsidRPr="007171FF">
        <w:rPr>
          <w:rFonts w:ascii="Book Antiqua" w:hAnsi="Book Antiqua" w:cs="Times New Roman"/>
          <w:sz w:val="24"/>
          <w:szCs w:val="24"/>
          <w:lang w:val="en-US"/>
        </w:rPr>
        <w:t>=</w:t>
      </w:r>
      <w:r w:rsidR="007171FF" w:rsidRPr="007171FF">
        <w:rPr>
          <w:rFonts w:ascii="Book Antiqua" w:hAnsi="Book Antiqua" w:cs="Times New Roman" w:hint="eastAsia"/>
          <w:sz w:val="24"/>
          <w:szCs w:val="24"/>
          <w:lang w:val="en-US" w:eastAsia="zh-CN"/>
        </w:rPr>
        <w:t xml:space="preserve"> </w:t>
      </w:r>
      <w:r w:rsidR="007171FF" w:rsidRPr="007171FF">
        <w:rPr>
          <w:rFonts w:ascii="Book Antiqua" w:hAnsi="Book Antiqua" w:cs="Times New Roman"/>
          <w:sz w:val="24"/>
          <w:szCs w:val="24"/>
          <w:lang w:val="en-US"/>
        </w:rPr>
        <w:t>0.02). LMR</w:t>
      </w:r>
      <w:r w:rsidR="007171FF" w:rsidRPr="007171FF">
        <w:rPr>
          <w:rFonts w:ascii="Book Antiqua" w:hAnsi="Book Antiqua" w:cs="Times New Roman" w:hint="eastAsia"/>
          <w:sz w:val="24"/>
          <w:szCs w:val="24"/>
          <w:lang w:val="en-US" w:eastAsia="zh-CN"/>
        </w:rPr>
        <w:t>:</w:t>
      </w:r>
      <w:r w:rsidR="007171FF" w:rsidRPr="007171FF">
        <w:rPr>
          <w:rFonts w:ascii="Book Antiqua" w:hAnsi="Book Antiqua" w:cs="Times New Roman"/>
          <w:sz w:val="24"/>
          <w:szCs w:val="24"/>
          <w:lang w:val="en-US"/>
        </w:rPr>
        <w:t xml:space="preserve"> Lymphocyte-to Monocyte Ratio. </w:t>
      </w:r>
    </w:p>
    <w:p w:rsidR="007171FF" w:rsidRDefault="007171FF" w:rsidP="007171FF">
      <w:pPr>
        <w:spacing w:after="0" w:line="360" w:lineRule="auto"/>
        <w:jc w:val="both"/>
        <w:rPr>
          <w:rFonts w:ascii="Book Antiqua" w:hAnsi="Book Antiqua" w:cs="Times New Roman"/>
          <w:sz w:val="24"/>
          <w:szCs w:val="24"/>
          <w:lang w:val="en-US"/>
        </w:rPr>
      </w:pPr>
    </w:p>
    <w:p w:rsidR="002D3142" w:rsidRDefault="002D3142" w:rsidP="00BB7527">
      <w:pPr>
        <w:spacing w:after="0" w:line="360" w:lineRule="auto"/>
        <w:jc w:val="both"/>
        <w:rPr>
          <w:rFonts w:ascii="Book Antiqua" w:hAnsi="Book Antiqua" w:cs="Times New Roman"/>
          <w:sz w:val="24"/>
          <w:szCs w:val="24"/>
          <w:lang w:val="en-US"/>
        </w:rPr>
      </w:pPr>
    </w:p>
    <w:p w:rsidR="000E0F65" w:rsidRDefault="000E0F65">
      <w:pPr>
        <w:rPr>
          <w:rFonts w:ascii="Book Antiqua" w:hAnsi="Book Antiqua" w:cs="Times New Roman"/>
          <w:b/>
          <w:sz w:val="24"/>
          <w:szCs w:val="24"/>
          <w:lang w:val="en-US"/>
        </w:rPr>
      </w:pPr>
      <w:r>
        <w:rPr>
          <w:rFonts w:ascii="Book Antiqua" w:hAnsi="Book Antiqua" w:cs="Times New Roman"/>
          <w:b/>
          <w:sz w:val="24"/>
          <w:szCs w:val="24"/>
          <w:lang w:val="en-US"/>
        </w:rPr>
        <w:br w:type="page"/>
      </w:r>
    </w:p>
    <w:p w:rsidR="00121DFC" w:rsidRPr="00FA3054" w:rsidRDefault="000E0F65" w:rsidP="00BB7527">
      <w:pPr>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lastRenderedPageBreak/>
        <w:t>Table 1</w:t>
      </w:r>
      <w:r w:rsidR="00C975FF" w:rsidRPr="00FA3054">
        <w:rPr>
          <w:rFonts w:ascii="Book Antiqua" w:hAnsi="Book Antiqua" w:cs="Times New Roman"/>
          <w:b/>
          <w:sz w:val="24"/>
          <w:szCs w:val="24"/>
          <w:lang w:val="en-US"/>
        </w:rPr>
        <w:t xml:space="preserve"> Baseline characteristics of the study population</w:t>
      </w:r>
    </w:p>
    <w:p w:rsidR="00573E4C" w:rsidRPr="00FA3054" w:rsidRDefault="00573E4C" w:rsidP="00BB7527">
      <w:pPr>
        <w:spacing w:after="0" w:line="360" w:lineRule="auto"/>
        <w:jc w:val="both"/>
        <w:rPr>
          <w:rFonts w:ascii="Book Antiqua" w:hAnsi="Book Antiqua" w:cs="Times New Roman"/>
          <w:b/>
          <w:sz w:val="24"/>
          <w:szCs w:val="24"/>
          <w:lang w:val="en-US"/>
        </w:rPr>
      </w:pPr>
    </w:p>
    <w:tbl>
      <w:tblPr>
        <w:tblW w:w="952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5020"/>
        <w:gridCol w:w="4500"/>
      </w:tblGrid>
      <w:tr w:rsidR="000C4BBD" w:rsidRPr="008935AE" w:rsidTr="007171FF">
        <w:trPr>
          <w:trHeight w:val="578"/>
        </w:trPr>
        <w:tc>
          <w:tcPr>
            <w:tcW w:w="5020" w:type="dxa"/>
            <w:tcBorders>
              <w:top w:val="single" w:sz="4" w:space="0" w:color="auto"/>
              <w:bottom w:val="single" w:sz="4" w:space="0" w:color="auto"/>
            </w:tcBorders>
            <w:shd w:val="clear" w:color="auto" w:fill="auto"/>
            <w:tcMar>
              <w:top w:w="72" w:type="dxa"/>
              <w:left w:w="144" w:type="dxa"/>
              <w:bottom w:w="72" w:type="dxa"/>
              <w:right w:w="144" w:type="dxa"/>
            </w:tcMar>
            <w:hideMark/>
          </w:tcPr>
          <w:p w:rsidR="000C4BBD" w:rsidRPr="008935AE" w:rsidRDefault="000C4BBD" w:rsidP="00BB7527">
            <w:pPr>
              <w:spacing w:after="0" w:line="360" w:lineRule="auto"/>
              <w:jc w:val="both"/>
              <w:rPr>
                <w:rFonts w:ascii="Book Antiqua" w:eastAsia="Times New Roman" w:hAnsi="Book Antiqua" w:cs="Times New Roman"/>
                <w:sz w:val="24"/>
                <w:szCs w:val="24"/>
                <w:lang w:val="en-US" w:eastAsia="it-IT"/>
              </w:rPr>
            </w:pPr>
            <w:r w:rsidRPr="008935AE">
              <w:rPr>
                <w:rFonts w:ascii="Book Antiqua" w:eastAsia="Times New Roman" w:hAnsi="Book Antiqua" w:cs="Times New Roman"/>
                <w:b/>
                <w:bCs/>
                <w:color w:val="000000"/>
                <w:kern w:val="24"/>
                <w:sz w:val="24"/>
                <w:szCs w:val="24"/>
                <w:lang w:val="en-US" w:eastAsia="it-IT"/>
              </w:rPr>
              <w:t>Variable</w:t>
            </w:r>
          </w:p>
        </w:tc>
        <w:tc>
          <w:tcPr>
            <w:tcW w:w="4500" w:type="dxa"/>
            <w:tcBorders>
              <w:top w:val="single" w:sz="4" w:space="0" w:color="auto"/>
              <w:bottom w:val="single" w:sz="4" w:space="0" w:color="auto"/>
            </w:tcBorders>
            <w:shd w:val="clear" w:color="auto" w:fill="auto"/>
            <w:tcMar>
              <w:top w:w="72" w:type="dxa"/>
              <w:left w:w="144" w:type="dxa"/>
              <w:bottom w:w="72" w:type="dxa"/>
              <w:right w:w="144" w:type="dxa"/>
            </w:tcMar>
            <w:hideMark/>
          </w:tcPr>
          <w:p w:rsidR="000C4BBD" w:rsidRPr="008935AE" w:rsidRDefault="000C4BBD" w:rsidP="00BB7527">
            <w:pPr>
              <w:spacing w:after="0" w:line="360" w:lineRule="auto"/>
              <w:jc w:val="both"/>
              <w:rPr>
                <w:rFonts w:ascii="Book Antiqua" w:eastAsia="Times New Roman" w:hAnsi="Book Antiqua" w:cs="Times New Roman"/>
                <w:sz w:val="24"/>
                <w:szCs w:val="24"/>
                <w:lang w:val="en-US" w:eastAsia="it-IT"/>
              </w:rPr>
            </w:pPr>
          </w:p>
        </w:tc>
      </w:tr>
      <w:tr w:rsidR="000C4BBD" w:rsidRPr="008935AE" w:rsidTr="007171FF">
        <w:trPr>
          <w:trHeight w:val="578"/>
        </w:trPr>
        <w:tc>
          <w:tcPr>
            <w:tcW w:w="5020" w:type="dxa"/>
            <w:tcBorders>
              <w:top w:val="single" w:sz="4" w:space="0" w:color="auto"/>
            </w:tcBorders>
            <w:shd w:val="clear" w:color="auto" w:fill="auto"/>
            <w:tcMar>
              <w:top w:w="72" w:type="dxa"/>
              <w:left w:w="144" w:type="dxa"/>
              <w:bottom w:w="72" w:type="dxa"/>
              <w:right w:w="144" w:type="dxa"/>
            </w:tcMar>
            <w:hideMark/>
          </w:tcPr>
          <w:p w:rsidR="000C4BBD" w:rsidRPr="008935AE" w:rsidRDefault="000C4BBD" w:rsidP="007171FF">
            <w:pPr>
              <w:spacing w:after="0" w:line="360" w:lineRule="auto"/>
              <w:jc w:val="both"/>
              <w:rPr>
                <w:rFonts w:ascii="Book Antiqua" w:eastAsia="Times New Roman" w:hAnsi="Book Antiqua" w:cs="Times New Roman"/>
                <w:sz w:val="24"/>
                <w:szCs w:val="24"/>
                <w:lang w:val="en-US" w:eastAsia="it-IT"/>
              </w:rPr>
            </w:pPr>
            <w:r w:rsidRPr="008935AE">
              <w:rPr>
                <w:rFonts w:ascii="Book Antiqua" w:eastAsia="Times New Roman" w:hAnsi="Book Antiqua" w:cs="Times New Roman"/>
                <w:color w:val="000000"/>
                <w:kern w:val="24"/>
                <w:sz w:val="24"/>
                <w:szCs w:val="24"/>
                <w:lang w:val="en-US" w:eastAsia="it-IT"/>
              </w:rPr>
              <w:t>Age (</w:t>
            </w:r>
            <w:r w:rsidR="007171FF">
              <w:rPr>
                <w:rFonts w:ascii="Book Antiqua" w:hAnsi="Book Antiqua" w:cs="Times New Roman" w:hint="eastAsia"/>
                <w:color w:val="000000"/>
                <w:kern w:val="24"/>
                <w:sz w:val="24"/>
                <w:szCs w:val="24"/>
                <w:lang w:val="en-US" w:eastAsia="zh-CN"/>
              </w:rPr>
              <w:t>yr</w:t>
            </w:r>
            <w:r w:rsidRPr="008935AE">
              <w:rPr>
                <w:rFonts w:ascii="Book Antiqua" w:eastAsia="Times New Roman" w:hAnsi="Book Antiqua" w:cs="Times New Roman"/>
                <w:color w:val="000000"/>
                <w:kern w:val="24"/>
                <w:sz w:val="24"/>
                <w:szCs w:val="24"/>
                <w:lang w:val="en-US" w:eastAsia="it-IT"/>
              </w:rPr>
              <w:t>)</w:t>
            </w:r>
          </w:p>
        </w:tc>
        <w:tc>
          <w:tcPr>
            <w:tcW w:w="4500" w:type="dxa"/>
            <w:tcBorders>
              <w:top w:val="single" w:sz="4" w:space="0" w:color="auto"/>
            </w:tcBorders>
            <w:shd w:val="clear" w:color="auto" w:fill="auto"/>
            <w:tcMar>
              <w:top w:w="72" w:type="dxa"/>
              <w:left w:w="144" w:type="dxa"/>
              <w:bottom w:w="72" w:type="dxa"/>
              <w:right w:w="144" w:type="dxa"/>
            </w:tcMar>
            <w:hideMark/>
          </w:tcPr>
          <w:p w:rsidR="000C4BBD" w:rsidRPr="008935AE" w:rsidRDefault="00573E4C" w:rsidP="00BB7527">
            <w:pPr>
              <w:spacing w:after="0" w:line="360" w:lineRule="auto"/>
              <w:jc w:val="both"/>
              <w:rPr>
                <w:rFonts w:ascii="Book Antiqua" w:eastAsia="Times New Roman" w:hAnsi="Book Antiqua" w:cs="Times New Roman"/>
                <w:sz w:val="24"/>
                <w:szCs w:val="24"/>
                <w:lang w:val="en-US" w:eastAsia="it-IT"/>
              </w:rPr>
            </w:pPr>
            <w:r w:rsidRPr="008935AE">
              <w:rPr>
                <w:rFonts w:ascii="Book Antiqua" w:eastAsia="Times New Roman" w:hAnsi="Book Antiqua" w:cs="Times New Roman"/>
                <w:color w:val="000000"/>
                <w:kern w:val="24"/>
                <w:sz w:val="24"/>
                <w:szCs w:val="24"/>
                <w:lang w:val="en-US" w:eastAsia="it-IT"/>
              </w:rPr>
              <w:t>66 (38-88</w:t>
            </w:r>
            <w:r w:rsidR="000C4BBD" w:rsidRPr="008935AE">
              <w:rPr>
                <w:rFonts w:ascii="Book Antiqua" w:eastAsia="Times New Roman" w:hAnsi="Book Antiqua" w:cs="Times New Roman"/>
                <w:color w:val="000000"/>
                <w:kern w:val="24"/>
                <w:sz w:val="24"/>
                <w:szCs w:val="24"/>
                <w:lang w:val="en-US" w:eastAsia="it-IT"/>
              </w:rPr>
              <w:t>)</w:t>
            </w:r>
          </w:p>
        </w:tc>
      </w:tr>
      <w:tr w:rsidR="000C4BBD" w:rsidRPr="00FA3054" w:rsidTr="007171FF">
        <w:trPr>
          <w:trHeight w:val="578"/>
        </w:trPr>
        <w:tc>
          <w:tcPr>
            <w:tcW w:w="5020" w:type="dxa"/>
            <w:shd w:val="clear" w:color="auto" w:fill="auto"/>
            <w:tcMar>
              <w:top w:w="72" w:type="dxa"/>
              <w:left w:w="144" w:type="dxa"/>
              <w:bottom w:w="72" w:type="dxa"/>
              <w:right w:w="144" w:type="dxa"/>
            </w:tcMar>
            <w:hideMark/>
          </w:tcPr>
          <w:p w:rsidR="000C4BBD" w:rsidRPr="008935AE" w:rsidRDefault="000C4BBD" w:rsidP="00BB7527">
            <w:pPr>
              <w:spacing w:after="0" w:line="360" w:lineRule="auto"/>
              <w:jc w:val="both"/>
              <w:rPr>
                <w:rFonts w:ascii="Book Antiqua" w:eastAsia="Times New Roman" w:hAnsi="Book Antiqua" w:cs="Times New Roman"/>
                <w:sz w:val="24"/>
                <w:szCs w:val="24"/>
                <w:lang w:val="en-US" w:eastAsia="it-IT"/>
              </w:rPr>
            </w:pPr>
            <w:r w:rsidRPr="008935AE">
              <w:rPr>
                <w:rFonts w:ascii="Book Antiqua" w:eastAsia="Times New Roman" w:hAnsi="Book Antiqua" w:cs="Times New Roman"/>
                <w:color w:val="000000"/>
                <w:kern w:val="24"/>
                <w:sz w:val="24"/>
                <w:szCs w:val="24"/>
                <w:lang w:val="en-US" w:eastAsia="it-IT"/>
              </w:rPr>
              <w:t>Gender (M/F)</w:t>
            </w:r>
          </w:p>
        </w:tc>
        <w:tc>
          <w:tcPr>
            <w:tcW w:w="4500" w:type="dxa"/>
            <w:shd w:val="clear" w:color="auto" w:fill="auto"/>
            <w:tcMar>
              <w:top w:w="72" w:type="dxa"/>
              <w:left w:w="144" w:type="dxa"/>
              <w:bottom w:w="72" w:type="dxa"/>
              <w:right w:w="144" w:type="dxa"/>
            </w:tcMar>
            <w:hideMark/>
          </w:tcPr>
          <w:p w:rsidR="000C4BBD" w:rsidRPr="00FA3054" w:rsidRDefault="00573E4C" w:rsidP="00BB7527">
            <w:pPr>
              <w:spacing w:after="0" w:line="360" w:lineRule="auto"/>
              <w:jc w:val="both"/>
              <w:rPr>
                <w:rFonts w:ascii="Book Antiqua" w:eastAsia="Times New Roman" w:hAnsi="Book Antiqua" w:cs="Times New Roman"/>
                <w:sz w:val="24"/>
                <w:szCs w:val="24"/>
                <w:lang w:val="en-US" w:eastAsia="it-IT"/>
              </w:rPr>
            </w:pPr>
            <w:r w:rsidRPr="00FA3054">
              <w:rPr>
                <w:rFonts w:ascii="Book Antiqua" w:eastAsia="Times New Roman" w:hAnsi="Book Antiqua" w:cs="Times New Roman"/>
                <w:color w:val="000000"/>
                <w:kern w:val="24"/>
                <w:sz w:val="24"/>
                <w:szCs w:val="24"/>
                <w:lang w:val="en-US" w:eastAsia="it-IT"/>
              </w:rPr>
              <w:t>88 (69.2%)/ 39 (30.8</w:t>
            </w:r>
            <w:r w:rsidR="000C4BBD" w:rsidRPr="00FA3054">
              <w:rPr>
                <w:rFonts w:ascii="Book Antiqua" w:eastAsia="Times New Roman" w:hAnsi="Book Antiqua" w:cs="Times New Roman"/>
                <w:color w:val="000000"/>
                <w:kern w:val="24"/>
                <w:sz w:val="24"/>
                <w:szCs w:val="24"/>
                <w:lang w:val="en-US" w:eastAsia="it-IT"/>
              </w:rPr>
              <w:t>%)</w:t>
            </w:r>
          </w:p>
        </w:tc>
      </w:tr>
      <w:tr w:rsidR="000C4BBD" w:rsidRPr="00FA3054" w:rsidTr="007171FF">
        <w:trPr>
          <w:trHeight w:val="578"/>
        </w:trPr>
        <w:tc>
          <w:tcPr>
            <w:tcW w:w="5020" w:type="dxa"/>
            <w:shd w:val="clear" w:color="auto" w:fill="auto"/>
            <w:tcMar>
              <w:top w:w="72" w:type="dxa"/>
              <w:left w:w="144" w:type="dxa"/>
              <w:bottom w:w="72" w:type="dxa"/>
              <w:right w:w="144" w:type="dxa"/>
            </w:tcMar>
          </w:tcPr>
          <w:p w:rsidR="000C4BBD" w:rsidRPr="00FA3054" w:rsidRDefault="006075CB" w:rsidP="00BB7527">
            <w:pPr>
              <w:spacing w:after="0" w:line="360" w:lineRule="auto"/>
              <w:jc w:val="both"/>
              <w:rPr>
                <w:rFonts w:ascii="Book Antiqua" w:eastAsia="Times New Roman" w:hAnsi="Book Antiqua" w:cs="Times New Roman"/>
                <w:sz w:val="24"/>
                <w:szCs w:val="24"/>
                <w:lang w:val="en-US" w:eastAsia="it-IT"/>
              </w:rPr>
            </w:pPr>
            <w:r w:rsidRPr="00FA3054">
              <w:rPr>
                <w:rFonts w:ascii="Book Antiqua" w:eastAsia="Times New Roman" w:hAnsi="Book Antiqua" w:cs="Times New Roman"/>
                <w:color w:val="000000"/>
                <w:kern w:val="24"/>
                <w:sz w:val="24"/>
                <w:szCs w:val="24"/>
                <w:lang w:val="en-US" w:eastAsia="it-IT"/>
              </w:rPr>
              <w:t>Absolute lymphocyte count</w:t>
            </w:r>
            <w:r w:rsidR="00F35794" w:rsidRPr="00FA3054">
              <w:rPr>
                <w:rFonts w:ascii="Book Antiqua" w:eastAsia="Times New Roman" w:hAnsi="Book Antiqua" w:cs="Times New Roman"/>
                <w:color w:val="000000"/>
                <w:kern w:val="24"/>
                <w:sz w:val="24"/>
                <w:szCs w:val="24"/>
                <w:lang w:val="en-US" w:eastAsia="it-IT"/>
              </w:rPr>
              <w:t xml:space="preserve"> (10</w:t>
            </w:r>
            <w:r w:rsidR="00F35794" w:rsidRPr="00FA3054">
              <w:rPr>
                <w:rFonts w:ascii="Book Antiqua" w:eastAsia="Times New Roman" w:hAnsi="Book Antiqua" w:cs="Times New Roman"/>
                <w:color w:val="000000"/>
                <w:kern w:val="24"/>
                <w:sz w:val="24"/>
                <w:szCs w:val="24"/>
                <w:vertAlign w:val="superscript"/>
                <w:lang w:val="en-US" w:eastAsia="it-IT"/>
              </w:rPr>
              <w:t>3</w:t>
            </w:r>
            <w:r w:rsidR="00F35794" w:rsidRPr="00FA3054">
              <w:rPr>
                <w:rFonts w:ascii="Book Antiqua" w:eastAsia="Times New Roman" w:hAnsi="Book Antiqua" w:cs="Times New Roman"/>
                <w:color w:val="000000"/>
                <w:kern w:val="24"/>
                <w:sz w:val="24"/>
                <w:szCs w:val="24"/>
                <w:lang w:val="en-US" w:eastAsia="it-IT"/>
              </w:rPr>
              <w:t xml:space="preserve"> cells/µL)</w:t>
            </w:r>
          </w:p>
        </w:tc>
        <w:tc>
          <w:tcPr>
            <w:tcW w:w="4500" w:type="dxa"/>
            <w:shd w:val="clear" w:color="auto" w:fill="auto"/>
            <w:tcMar>
              <w:top w:w="72" w:type="dxa"/>
              <w:left w:w="144" w:type="dxa"/>
              <w:bottom w:w="72" w:type="dxa"/>
              <w:right w:w="144" w:type="dxa"/>
            </w:tcMar>
          </w:tcPr>
          <w:p w:rsidR="000C4BBD" w:rsidRPr="00FA3054" w:rsidRDefault="006075CB" w:rsidP="00BB7527">
            <w:pPr>
              <w:spacing w:after="0" w:line="360" w:lineRule="auto"/>
              <w:jc w:val="both"/>
              <w:rPr>
                <w:rFonts w:ascii="Book Antiqua" w:eastAsia="Times New Roman" w:hAnsi="Book Antiqua" w:cs="Times New Roman"/>
                <w:sz w:val="24"/>
                <w:szCs w:val="24"/>
                <w:lang w:val="en-US" w:eastAsia="it-IT"/>
              </w:rPr>
            </w:pPr>
            <w:r w:rsidRPr="00FA3054">
              <w:rPr>
                <w:rFonts w:ascii="Book Antiqua" w:eastAsia="Times New Roman" w:hAnsi="Book Antiqua" w:cs="Times New Roman"/>
                <w:color w:val="000000"/>
                <w:kern w:val="24"/>
                <w:sz w:val="24"/>
                <w:szCs w:val="24"/>
                <w:lang w:val="en-US" w:eastAsia="it-IT"/>
              </w:rPr>
              <w:t>1</w:t>
            </w:r>
            <w:r w:rsidR="00F35794" w:rsidRPr="00FA3054">
              <w:rPr>
                <w:rFonts w:ascii="Book Antiqua" w:eastAsia="Times New Roman" w:hAnsi="Book Antiqua" w:cs="Times New Roman"/>
                <w:color w:val="000000"/>
                <w:kern w:val="24"/>
                <w:sz w:val="24"/>
                <w:szCs w:val="24"/>
                <w:lang w:val="en-US" w:eastAsia="it-IT"/>
              </w:rPr>
              <w:t>.7</w:t>
            </w:r>
            <w:r w:rsidRPr="00FA3054">
              <w:rPr>
                <w:rFonts w:ascii="Book Antiqua" w:eastAsia="Times New Roman" w:hAnsi="Book Antiqua" w:cs="Times New Roman"/>
                <w:color w:val="000000"/>
                <w:kern w:val="24"/>
                <w:sz w:val="24"/>
                <w:szCs w:val="24"/>
                <w:lang w:val="en-US" w:eastAsia="it-IT"/>
              </w:rPr>
              <w:t>7 (0.45-5.98)</w:t>
            </w:r>
          </w:p>
        </w:tc>
      </w:tr>
      <w:tr w:rsidR="00F35794" w:rsidRPr="00FA3054" w:rsidTr="007171FF">
        <w:trPr>
          <w:trHeight w:val="578"/>
        </w:trPr>
        <w:tc>
          <w:tcPr>
            <w:tcW w:w="5020" w:type="dxa"/>
            <w:shd w:val="clear" w:color="auto" w:fill="auto"/>
            <w:tcMar>
              <w:top w:w="72" w:type="dxa"/>
              <w:left w:w="144" w:type="dxa"/>
              <w:bottom w:w="72" w:type="dxa"/>
              <w:right w:w="144" w:type="dxa"/>
            </w:tcMar>
          </w:tcPr>
          <w:p w:rsidR="00F35794" w:rsidRPr="00FA3054" w:rsidRDefault="00F35794" w:rsidP="00BB7527">
            <w:pPr>
              <w:spacing w:after="0" w:line="360" w:lineRule="auto"/>
              <w:jc w:val="both"/>
              <w:rPr>
                <w:rFonts w:ascii="Book Antiqua" w:eastAsia="Times New Roman" w:hAnsi="Book Antiqua" w:cs="Times New Roman"/>
                <w:sz w:val="24"/>
                <w:szCs w:val="24"/>
                <w:lang w:val="en-US" w:eastAsia="it-IT"/>
              </w:rPr>
            </w:pPr>
            <w:r w:rsidRPr="00FA3054">
              <w:rPr>
                <w:rFonts w:ascii="Book Antiqua" w:eastAsia="Times New Roman" w:hAnsi="Book Antiqua" w:cs="Times New Roman"/>
                <w:color w:val="000000"/>
                <w:kern w:val="24"/>
                <w:sz w:val="24"/>
                <w:szCs w:val="24"/>
                <w:lang w:val="en-US" w:eastAsia="it-IT"/>
              </w:rPr>
              <w:t>Absolute neutrophil count (10</w:t>
            </w:r>
            <w:r w:rsidRPr="00FA3054">
              <w:rPr>
                <w:rFonts w:ascii="Book Antiqua" w:eastAsia="Times New Roman" w:hAnsi="Book Antiqua" w:cs="Times New Roman"/>
                <w:color w:val="000000"/>
                <w:kern w:val="24"/>
                <w:sz w:val="24"/>
                <w:szCs w:val="24"/>
                <w:vertAlign w:val="superscript"/>
                <w:lang w:val="en-US" w:eastAsia="it-IT"/>
              </w:rPr>
              <w:t>3</w:t>
            </w:r>
            <w:r w:rsidRPr="00FA3054">
              <w:rPr>
                <w:rFonts w:ascii="Book Antiqua" w:eastAsia="Times New Roman" w:hAnsi="Book Antiqua" w:cs="Times New Roman"/>
                <w:color w:val="000000"/>
                <w:kern w:val="24"/>
                <w:sz w:val="24"/>
                <w:szCs w:val="24"/>
                <w:lang w:val="en-US" w:eastAsia="it-IT"/>
              </w:rPr>
              <w:t xml:space="preserve"> cells/µL)</w:t>
            </w:r>
          </w:p>
        </w:tc>
        <w:tc>
          <w:tcPr>
            <w:tcW w:w="4500" w:type="dxa"/>
            <w:shd w:val="clear" w:color="auto" w:fill="auto"/>
            <w:tcMar>
              <w:top w:w="72" w:type="dxa"/>
              <w:left w:w="144" w:type="dxa"/>
              <w:bottom w:w="72" w:type="dxa"/>
              <w:right w:w="144" w:type="dxa"/>
            </w:tcMar>
          </w:tcPr>
          <w:p w:rsidR="00F35794" w:rsidRPr="00FA3054" w:rsidRDefault="00F35794" w:rsidP="00BB7527">
            <w:pPr>
              <w:spacing w:after="0" w:line="360" w:lineRule="auto"/>
              <w:jc w:val="both"/>
              <w:rPr>
                <w:rFonts w:ascii="Book Antiqua" w:eastAsia="Times New Roman" w:hAnsi="Book Antiqua" w:cs="Times New Roman"/>
                <w:sz w:val="24"/>
                <w:szCs w:val="24"/>
                <w:lang w:val="en-US" w:eastAsia="it-IT"/>
              </w:rPr>
            </w:pPr>
            <w:r w:rsidRPr="00FA3054">
              <w:rPr>
                <w:rFonts w:ascii="Book Antiqua" w:eastAsia="Times New Roman" w:hAnsi="Book Antiqua" w:cs="Times New Roman"/>
                <w:color w:val="000000"/>
                <w:kern w:val="24"/>
                <w:sz w:val="24"/>
                <w:szCs w:val="24"/>
                <w:lang w:val="en-US" w:eastAsia="it-IT"/>
              </w:rPr>
              <w:t>3.29 (0.98-12.17)</w:t>
            </w:r>
          </w:p>
        </w:tc>
      </w:tr>
      <w:tr w:rsidR="00616233" w:rsidRPr="00FA3054" w:rsidTr="007171FF">
        <w:trPr>
          <w:trHeight w:val="578"/>
        </w:trPr>
        <w:tc>
          <w:tcPr>
            <w:tcW w:w="5020" w:type="dxa"/>
            <w:shd w:val="clear" w:color="auto" w:fill="auto"/>
            <w:tcMar>
              <w:top w:w="72" w:type="dxa"/>
              <w:left w:w="144" w:type="dxa"/>
              <w:bottom w:w="72" w:type="dxa"/>
              <w:right w:w="144" w:type="dxa"/>
            </w:tcMar>
          </w:tcPr>
          <w:p w:rsidR="00616233" w:rsidRPr="00FA3054" w:rsidRDefault="00616233" w:rsidP="00BB7527">
            <w:pPr>
              <w:spacing w:after="0" w:line="360" w:lineRule="auto"/>
              <w:jc w:val="both"/>
              <w:rPr>
                <w:rFonts w:ascii="Book Antiqua" w:eastAsia="Times New Roman" w:hAnsi="Book Antiqua" w:cs="Times New Roman"/>
                <w:sz w:val="24"/>
                <w:szCs w:val="24"/>
                <w:lang w:val="en-US" w:eastAsia="it-IT"/>
              </w:rPr>
            </w:pPr>
            <w:r w:rsidRPr="00FA3054">
              <w:rPr>
                <w:rFonts w:ascii="Book Antiqua" w:eastAsia="Times New Roman" w:hAnsi="Book Antiqua" w:cs="Times New Roman"/>
                <w:color w:val="000000"/>
                <w:kern w:val="24"/>
                <w:sz w:val="24"/>
                <w:szCs w:val="24"/>
                <w:lang w:val="en-US" w:eastAsia="it-IT"/>
              </w:rPr>
              <w:t>Absolute monocyte count (10</w:t>
            </w:r>
            <w:r w:rsidRPr="00FA3054">
              <w:rPr>
                <w:rFonts w:ascii="Book Antiqua" w:eastAsia="Times New Roman" w:hAnsi="Book Antiqua" w:cs="Times New Roman"/>
                <w:color w:val="000000"/>
                <w:kern w:val="24"/>
                <w:sz w:val="24"/>
                <w:szCs w:val="24"/>
                <w:vertAlign w:val="superscript"/>
                <w:lang w:val="en-US" w:eastAsia="it-IT"/>
              </w:rPr>
              <w:t>3</w:t>
            </w:r>
            <w:r w:rsidRPr="00FA3054">
              <w:rPr>
                <w:rFonts w:ascii="Book Antiqua" w:eastAsia="Times New Roman" w:hAnsi="Book Antiqua" w:cs="Times New Roman"/>
                <w:color w:val="000000"/>
                <w:kern w:val="24"/>
                <w:sz w:val="24"/>
                <w:szCs w:val="24"/>
                <w:lang w:val="en-US" w:eastAsia="it-IT"/>
              </w:rPr>
              <w:t xml:space="preserve"> cells/µL)</w:t>
            </w:r>
          </w:p>
        </w:tc>
        <w:tc>
          <w:tcPr>
            <w:tcW w:w="4500" w:type="dxa"/>
            <w:shd w:val="clear" w:color="auto" w:fill="auto"/>
            <w:tcMar>
              <w:top w:w="72" w:type="dxa"/>
              <w:left w:w="144" w:type="dxa"/>
              <w:bottom w:w="72" w:type="dxa"/>
              <w:right w:w="144" w:type="dxa"/>
            </w:tcMar>
          </w:tcPr>
          <w:p w:rsidR="00616233" w:rsidRPr="00FA3054" w:rsidRDefault="00616233" w:rsidP="00BB7527">
            <w:pPr>
              <w:spacing w:after="0" w:line="360" w:lineRule="auto"/>
              <w:jc w:val="both"/>
              <w:rPr>
                <w:rFonts w:ascii="Book Antiqua" w:eastAsia="Times New Roman" w:hAnsi="Book Antiqua" w:cs="Times New Roman"/>
                <w:sz w:val="24"/>
                <w:szCs w:val="24"/>
                <w:lang w:val="en-US" w:eastAsia="it-IT"/>
              </w:rPr>
            </w:pPr>
            <w:r w:rsidRPr="00FA3054">
              <w:rPr>
                <w:rFonts w:ascii="Book Antiqua" w:eastAsia="Times New Roman" w:hAnsi="Book Antiqua" w:cs="Times New Roman"/>
                <w:color w:val="000000"/>
                <w:kern w:val="24"/>
                <w:sz w:val="24"/>
                <w:szCs w:val="24"/>
                <w:lang w:val="en-US" w:eastAsia="it-IT"/>
              </w:rPr>
              <w:t>0.35 (0.01-2.15)</w:t>
            </w:r>
          </w:p>
        </w:tc>
      </w:tr>
      <w:tr w:rsidR="00C23DE7" w:rsidRPr="00FA3054" w:rsidTr="007171FF">
        <w:trPr>
          <w:trHeight w:val="578"/>
        </w:trPr>
        <w:tc>
          <w:tcPr>
            <w:tcW w:w="5020" w:type="dxa"/>
            <w:shd w:val="clear" w:color="auto" w:fill="auto"/>
            <w:tcMar>
              <w:top w:w="72" w:type="dxa"/>
              <w:left w:w="144" w:type="dxa"/>
              <w:bottom w:w="72" w:type="dxa"/>
              <w:right w:w="144" w:type="dxa"/>
            </w:tcMar>
          </w:tcPr>
          <w:p w:rsidR="00C23DE7" w:rsidRPr="00FA3054" w:rsidRDefault="00C23DE7" w:rsidP="00BB7527">
            <w:pPr>
              <w:spacing w:after="0" w:line="360" w:lineRule="auto"/>
              <w:jc w:val="both"/>
              <w:rPr>
                <w:rFonts w:ascii="Book Antiqua" w:eastAsia="Times New Roman" w:hAnsi="Book Antiqua" w:cs="Times New Roman"/>
                <w:color w:val="000000"/>
                <w:kern w:val="24"/>
                <w:sz w:val="24"/>
                <w:szCs w:val="24"/>
                <w:lang w:val="en-US" w:eastAsia="it-IT"/>
              </w:rPr>
            </w:pPr>
            <w:r w:rsidRPr="00FA3054">
              <w:rPr>
                <w:rFonts w:ascii="Book Antiqua" w:eastAsia="Times New Roman" w:hAnsi="Book Antiqua" w:cs="Times New Roman"/>
                <w:color w:val="000000"/>
                <w:kern w:val="24"/>
                <w:sz w:val="24"/>
                <w:szCs w:val="24"/>
                <w:lang w:val="en-US" w:eastAsia="it-IT"/>
              </w:rPr>
              <w:t>NLR (%)</w:t>
            </w:r>
          </w:p>
        </w:tc>
        <w:tc>
          <w:tcPr>
            <w:tcW w:w="4500" w:type="dxa"/>
            <w:shd w:val="clear" w:color="auto" w:fill="auto"/>
            <w:tcMar>
              <w:top w:w="72" w:type="dxa"/>
              <w:left w:w="144" w:type="dxa"/>
              <w:bottom w:w="72" w:type="dxa"/>
              <w:right w:w="144" w:type="dxa"/>
            </w:tcMar>
          </w:tcPr>
          <w:p w:rsidR="00C23DE7" w:rsidRPr="00FA3054" w:rsidRDefault="00C23DE7" w:rsidP="00BB7527">
            <w:pPr>
              <w:spacing w:after="0" w:line="360" w:lineRule="auto"/>
              <w:jc w:val="both"/>
              <w:rPr>
                <w:rFonts w:ascii="Book Antiqua" w:eastAsia="Times New Roman" w:hAnsi="Book Antiqua" w:cs="Times New Roman"/>
                <w:color w:val="000000"/>
                <w:kern w:val="24"/>
                <w:sz w:val="24"/>
                <w:szCs w:val="24"/>
                <w:lang w:val="en-US" w:eastAsia="it-IT"/>
              </w:rPr>
            </w:pPr>
            <w:r w:rsidRPr="00FA3054">
              <w:rPr>
                <w:rFonts w:ascii="Book Antiqua" w:eastAsia="Times New Roman" w:hAnsi="Book Antiqua" w:cs="Times New Roman"/>
                <w:color w:val="000000"/>
                <w:kern w:val="24"/>
                <w:sz w:val="24"/>
                <w:szCs w:val="24"/>
                <w:lang w:val="en-US" w:eastAsia="it-IT"/>
              </w:rPr>
              <w:t>1.74 (0.33-13.09)</w:t>
            </w:r>
          </w:p>
        </w:tc>
      </w:tr>
      <w:tr w:rsidR="00C46BB2" w:rsidRPr="00FA3054" w:rsidTr="007171FF">
        <w:trPr>
          <w:trHeight w:val="578"/>
        </w:trPr>
        <w:tc>
          <w:tcPr>
            <w:tcW w:w="5020" w:type="dxa"/>
            <w:shd w:val="clear" w:color="auto" w:fill="auto"/>
            <w:tcMar>
              <w:top w:w="72" w:type="dxa"/>
              <w:left w:w="144" w:type="dxa"/>
              <w:bottom w:w="72" w:type="dxa"/>
              <w:right w:w="144" w:type="dxa"/>
            </w:tcMar>
          </w:tcPr>
          <w:p w:rsidR="00C46BB2" w:rsidRPr="00FA3054" w:rsidRDefault="00C46BB2" w:rsidP="00BB7527">
            <w:pPr>
              <w:spacing w:after="0" w:line="360" w:lineRule="auto"/>
              <w:jc w:val="both"/>
              <w:rPr>
                <w:rFonts w:ascii="Book Antiqua" w:eastAsia="Times New Roman" w:hAnsi="Book Antiqua" w:cs="Times New Roman"/>
                <w:color w:val="000000"/>
                <w:kern w:val="24"/>
                <w:sz w:val="24"/>
                <w:szCs w:val="24"/>
                <w:lang w:val="en-US" w:eastAsia="it-IT"/>
              </w:rPr>
            </w:pPr>
            <w:r w:rsidRPr="00FA3054">
              <w:rPr>
                <w:rFonts w:ascii="Book Antiqua" w:eastAsia="Times New Roman" w:hAnsi="Book Antiqua" w:cs="Times New Roman"/>
                <w:color w:val="000000"/>
                <w:kern w:val="24"/>
                <w:sz w:val="24"/>
                <w:szCs w:val="24"/>
                <w:lang w:val="en-US" w:eastAsia="it-IT"/>
              </w:rPr>
              <w:t>LMR (%)</w:t>
            </w:r>
          </w:p>
        </w:tc>
        <w:tc>
          <w:tcPr>
            <w:tcW w:w="4500" w:type="dxa"/>
            <w:shd w:val="clear" w:color="auto" w:fill="auto"/>
            <w:tcMar>
              <w:top w:w="72" w:type="dxa"/>
              <w:left w:w="144" w:type="dxa"/>
              <w:bottom w:w="72" w:type="dxa"/>
              <w:right w:w="144" w:type="dxa"/>
            </w:tcMar>
          </w:tcPr>
          <w:p w:rsidR="00C46BB2" w:rsidRPr="00FA3054" w:rsidRDefault="00C46BB2" w:rsidP="00BB7527">
            <w:pPr>
              <w:spacing w:after="0" w:line="360" w:lineRule="auto"/>
              <w:jc w:val="both"/>
              <w:rPr>
                <w:rFonts w:ascii="Book Antiqua" w:eastAsia="Times New Roman" w:hAnsi="Book Antiqua" w:cs="Times New Roman"/>
                <w:color w:val="000000"/>
                <w:kern w:val="24"/>
                <w:sz w:val="24"/>
                <w:szCs w:val="24"/>
                <w:lang w:val="en-US" w:eastAsia="it-IT"/>
              </w:rPr>
            </w:pPr>
            <w:r w:rsidRPr="00FA3054">
              <w:rPr>
                <w:rFonts w:ascii="Book Antiqua" w:eastAsia="Times New Roman" w:hAnsi="Book Antiqua" w:cs="Times New Roman"/>
                <w:color w:val="000000"/>
                <w:kern w:val="24"/>
                <w:sz w:val="24"/>
                <w:szCs w:val="24"/>
                <w:lang w:val="en-US" w:eastAsia="it-IT"/>
              </w:rPr>
              <w:t>4.38 (0.79-88)</w:t>
            </w:r>
          </w:p>
        </w:tc>
      </w:tr>
      <w:tr w:rsidR="00616233" w:rsidRPr="00FA3054" w:rsidTr="007171FF">
        <w:trPr>
          <w:trHeight w:val="578"/>
        </w:trPr>
        <w:tc>
          <w:tcPr>
            <w:tcW w:w="5020" w:type="dxa"/>
            <w:shd w:val="clear" w:color="auto" w:fill="auto"/>
            <w:tcMar>
              <w:top w:w="72" w:type="dxa"/>
              <w:left w:w="144" w:type="dxa"/>
              <w:bottom w:w="72" w:type="dxa"/>
              <w:right w:w="144" w:type="dxa"/>
            </w:tcMar>
          </w:tcPr>
          <w:p w:rsidR="00616233" w:rsidRPr="00FA3054" w:rsidRDefault="00616233" w:rsidP="00BB7527">
            <w:pPr>
              <w:spacing w:after="0" w:line="360" w:lineRule="auto"/>
              <w:jc w:val="both"/>
              <w:rPr>
                <w:rFonts w:ascii="Book Antiqua" w:eastAsia="Times New Roman" w:hAnsi="Book Antiqua" w:cs="Times New Roman"/>
                <w:sz w:val="24"/>
                <w:szCs w:val="24"/>
                <w:lang w:val="en-US" w:eastAsia="it-IT"/>
              </w:rPr>
            </w:pPr>
            <w:r w:rsidRPr="00FA3054">
              <w:rPr>
                <w:rFonts w:ascii="Book Antiqua" w:eastAsia="Times New Roman" w:hAnsi="Book Antiqua" w:cs="Times New Roman"/>
                <w:color w:val="000000"/>
                <w:kern w:val="24"/>
                <w:sz w:val="24"/>
                <w:szCs w:val="24"/>
                <w:lang w:val="en-US" w:eastAsia="it-IT"/>
              </w:rPr>
              <w:t xml:space="preserve">CEA (ng/mL) </w:t>
            </w:r>
          </w:p>
        </w:tc>
        <w:tc>
          <w:tcPr>
            <w:tcW w:w="4500" w:type="dxa"/>
            <w:shd w:val="clear" w:color="auto" w:fill="auto"/>
            <w:tcMar>
              <w:top w:w="72" w:type="dxa"/>
              <w:left w:w="144" w:type="dxa"/>
              <w:bottom w:w="72" w:type="dxa"/>
              <w:right w:w="144" w:type="dxa"/>
            </w:tcMar>
          </w:tcPr>
          <w:p w:rsidR="00616233" w:rsidRPr="00FA3054" w:rsidRDefault="00467B0A" w:rsidP="00BB7527">
            <w:pPr>
              <w:spacing w:after="0" w:line="360" w:lineRule="auto"/>
              <w:jc w:val="both"/>
              <w:rPr>
                <w:rFonts w:ascii="Book Antiqua" w:eastAsia="Times New Roman" w:hAnsi="Book Antiqua" w:cs="Times New Roman"/>
                <w:sz w:val="24"/>
                <w:szCs w:val="24"/>
                <w:lang w:val="en-US" w:eastAsia="it-IT"/>
              </w:rPr>
            </w:pPr>
            <w:r w:rsidRPr="00FA3054">
              <w:rPr>
                <w:rFonts w:ascii="Book Antiqua" w:eastAsia="Times New Roman" w:hAnsi="Book Antiqua" w:cs="Times New Roman"/>
                <w:color w:val="000000"/>
                <w:kern w:val="24"/>
                <w:sz w:val="24"/>
                <w:szCs w:val="24"/>
                <w:lang w:val="en-US" w:eastAsia="it-IT"/>
              </w:rPr>
              <w:t>34.2</w:t>
            </w:r>
            <w:r w:rsidR="00616233" w:rsidRPr="00FA3054">
              <w:rPr>
                <w:rFonts w:ascii="Book Antiqua" w:eastAsia="Times New Roman" w:hAnsi="Book Antiqua" w:cs="Times New Roman"/>
                <w:color w:val="000000"/>
                <w:kern w:val="24"/>
                <w:sz w:val="24"/>
                <w:szCs w:val="24"/>
                <w:lang w:val="en-US" w:eastAsia="it-IT"/>
              </w:rPr>
              <w:t xml:space="preserve"> </w:t>
            </w:r>
            <w:r w:rsidRPr="00FA3054">
              <w:rPr>
                <w:rFonts w:ascii="Book Antiqua" w:eastAsia="Times New Roman" w:hAnsi="Book Antiqua" w:cs="Times New Roman"/>
                <w:color w:val="000000"/>
                <w:kern w:val="24"/>
                <w:sz w:val="24"/>
                <w:szCs w:val="24"/>
                <w:lang w:val="en-US" w:eastAsia="it-IT"/>
              </w:rPr>
              <w:t>(1.5-1198</w:t>
            </w:r>
            <w:r w:rsidR="00616233" w:rsidRPr="00FA3054">
              <w:rPr>
                <w:rFonts w:ascii="Book Antiqua" w:eastAsia="Times New Roman" w:hAnsi="Book Antiqua" w:cs="Times New Roman"/>
                <w:color w:val="000000"/>
                <w:kern w:val="24"/>
                <w:sz w:val="24"/>
                <w:szCs w:val="24"/>
                <w:lang w:val="en-US" w:eastAsia="it-IT"/>
              </w:rPr>
              <w:t>)</w:t>
            </w:r>
          </w:p>
        </w:tc>
      </w:tr>
      <w:tr w:rsidR="00616233" w:rsidRPr="00FA3054" w:rsidTr="007171FF">
        <w:trPr>
          <w:trHeight w:val="578"/>
        </w:trPr>
        <w:tc>
          <w:tcPr>
            <w:tcW w:w="5020" w:type="dxa"/>
            <w:shd w:val="clear" w:color="auto" w:fill="auto"/>
            <w:tcMar>
              <w:top w:w="72" w:type="dxa"/>
              <w:left w:w="144" w:type="dxa"/>
              <w:bottom w:w="72" w:type="dxa"/>
              <w:right w:w="144" w:type="dxa"/>
            </w:tcMar>
            <w:hideMark/>
          </w:tcPr>
          <w:p w:rsidR="00616233" w:rsidRPr="00FA3054" w:rsidRDefault="00616233" w:rsidP="00BB7527">
            <w:pPr>
              <w:spacing w:after="0" w:line="360" w:lineRule="auto"/>
              <w:jc w:val="both"/>
              <w:rPr>
                <w:rFonts w:ascii="Book Antiqua" w:eastAsia="Times New Roman" w:hAnsi="Book Antiqua" w:cs="Times New Roman"/>
                <w:sz w:val="24"/>
                <w:szCs w:val="24"/>
                <w:lang w:val="en-US" w:eastAsia="it-IT"/>
              </w:rPr>
            </w:pPr>
            <w:r w:rsidRPr="00FA3054">
              <w:rPr>
                <w:rFonts w:ascii="Book Antiqua" w:eastAsia="Times New Roman" w:hAnsi="Book Antiqua" w:cs="Times New Roman"/>
                <w:color w:val="000000"/>
                <w:kern w:val="24"/>
                <w:sz w:val="24"/>
                <w:szCs w:val="24"/>
                <w:lang w:val="en-US" w:eastAsia="it-IT"/>
              </w:rPr>
              <w:t>Number of Nodules</w:t>
            </w:r>
          </w:p>
        </w:tc>
        <w:tc>
          <w:tcPr>
            <w:tcW w:w="4500" w:type="dxa"/>
            <w:shd w:val="clear" w:color="auto" w:fill="auto"/>
            <w:tcMar>
              <w:top w:w="72" w:type="dxa"/>
              <w:left w:w="144" w:type="dxa"/>
              <w:bottom w:w="72" w:type="dxa"/>
              <w:right w:w="144" w:type="dxa"/>
            </w:tcMar>
            <w:hideMark/>
          </w:tcPr>
          <w:p w:rsidR="00616233" w:rsidRPr="00FA3054" w:rsidRDefault="00616233" w:rsidP="00BB7527">
            <w:pPr>
              <w:spacing w:after="0" w:line="360" w:lineRule="auto"/>
              <w:jc w:val="both"/>
              <w:rPr>
                <w:rFonts w:ascii="Book Antiqua" w:eastAsia="Times New Roman" w:hAnsi="Book Antiqua" w:cs="Times New Roman"/>
                <w:sz w:val="24"/>
                <w:szCs w:val="24"/>
                <w:lang w:val="en-US" w:eastAsia="it-IT"/>
              </w:rPr>
            </w:pPr>
            <w:r w:rsidRPr="00FA3054">
              <w:rPr>
                <w:rFonts w:ascii="Book Antiqua" w:eastAsia="Times New Roman" w:hAnsi="Book Antiqua" w:cs="Times New Roman"/>
                <w:color w:val="000000"/>
                <w:kern w:val="24"/>
                <w:sz w:val="24"/>
                <w:szCs w:val="24"/>
                <w:lang w:val="en-US" w:eastAsia="it-IT"/>
              </w:rPr>
              <w:t>2 (1-3)</w:t>
            </w:r>
          </w:p>
        </w:tc>
      </w:tr>
      <w:tr w:rsidR="00616233" w:rsidRPr="00FA3054" w:rsidTr="007171FF">
        <w:trPr>
          <w:trHeight w:val="578"/>
        </w:trPr>
        <w:tc>
          <w:tcPr>
            <w:tcW w:w="5020" w:type="dxa"/>
            <w:shd w:val="clear" w:color="auto" w:fill="auto"/>
            <w:tcMar>
              <w:top w:w="72" w:type="dxa"/>
              <w:left w:w="144" w:type="dxa"/>
              <w:bottom w:w="72" w:type="dxa"/>
              <w:right w:w="144" w:type="dxa"/>
            </w:tcMar>
            <w:hideMark/>
          </w:tcPr>
          <w:p w:rsidR="00616233" w:rsidRPr="00FA3054" w:rsidRDefault="00616233" w:rsidP="00BB7527">
            <w:pPr>
              <w:spacing w:after="0" w:line="360" w:lineRule="auto"/>
              <w:jc w:val="both"/>
              <w:rPr>
                <w:rFonts w:ascii="Book Antiqua" w:eastAsia="Times New Roman" w:hAnsi="Book Antiqua" w:cs="Times New Roman"/>
                <w:sz w:val="24"/>
                <w:szCs w:val="24"/>
                <w:lang w:val="en-US" w:eastAsia="it-IT"/>
              </w:rPr>
            </w:pPr>
            <w:r w:rsidRPr="00FA3054">
              <w:rPr>
                <w:rFonts w:ascii="Book Antiqua" w:eastAsia="Times New Roman" w:hAnsi="Book Antiqua" w:cs="Times New Roman"/>
                <w:color w:val="000000"/>
                <w:kern w:val="24"/>
                <w:sz w:val="24"/>
                <w:szCs w:val="24"/>
                <w:lang w:val="en-US" w:eastAsia="it-IT"/>
              </w:rPr>
              <w:t>Max Diameter (mm)</w:t>
            </w:r>
          </w:p>
        </w:tc>
        <w:tc>
          <w:tcPr>
            <w:tcW w:w="4500" w:type="dxa"/>
            <w:shd w:val="clear" w:color="auto" w:fill="auto"/>
            <w:tcMar>
              <w:top w:w="72" w:type="dxa"/>
              <w:left w:w="144" w:type="dxa"/>
              <w:bottom w:w="72" w:type="dxa"/>
              <w:right w:w="144" w:type="dxa"/>
            </w:tcMar>
            <w:hideMark/>
          </w:tcPr>
          <w:p w:rsidR="00616233" w:rsidRPr="00FA3054" w:rsidRDefault="007277D6" w:rsidP="00BB7527">
            <w:pPr>
              <w:spacing w:after="0" w:line="360" w:lineRule="auto"/>
              <w:jc w:val="both"/>
              <w:rPr>
                <w:rFonts w:ascii="Book Antiqua" w:eastAsia="Times New Roman" w:hAnsi="Book Antiqua" w:cs="Times New Roman"/>
                <w:sz w:val="24"/>
                <w:szCs w:val="24"/>
                <w:lang w:val="en-US" w:eastAsia="it-IT"/>
              </w:rPr>
            </w:pPr>
            <w:r w:rsidRPr="00FA3054">
              <w:rPr>
                <w:rFonts w:ascii="Book Antiqua" w:eastAsia="Times New Roman" w:hAnsi="Book Antiqua" w:cs="Times New Roman"/>
                <w:color w:val="000000"/>
                <w:kern w:val="24"/>
                <w:sz w:val="24"/>
                <w:szCs w:val="24"/>
                <w:lang w:val="en-US" w:eastAsia="it-IT"/>
              </w:rPr>
              <w:t>27</w:t>
            </w:r>
            <w:r w:rsidR="00616233" w:rsidRPr="00FA3054">
              <w:rPr>
                <w:rFonts w:ascii="Book Antiqua" w:eastAsia="Times New Roman" w:hAnsi="Book Antiqua" w:cs="Times New Roman"/>
                <w:color w:val="000000"/>
                <w:kern w:val="24"/>
                <w:sz w:val="24"/>
                <w:szCs w:val="24"/>
                <w:lang w:val="en-US" w:eastAsia="it-IT"/>
              </w:rPr>
              <w:t xml:space="preserve"> mm </w:t>
            </w:r>
            <w:r w:rsidRPr="00FA3054">
              <w:rPr>
                <w:rFonts w:ascii="Book Antiqua" w:eastAsia="Times New Roman" w:hAnsi="Book Antiqua" w:cs="Times New Roman"/>
                <w:color w:val="000000"/>
                <w:kern w:val="24"/>
                <w:sz w:val="24"/>
                <w:szCs w:val="24"/>
                <w:lang w:val="en-US" w:eastAsia="it-IT"/>
              </w:rPr>
              <w:t>(10-45</w:t>
            </w:r>
            <w:r w:rsidR="00616233" w:rsidRPr="00FA3054">
              <w:rPr>
                <w:rFonts w:ascii="Book Antiqua" w:eastAsia="Times New Roman" w:hAnsi="Book Antiqua" w:cs="Times New Roman"/>
                <w:color w:val="000000"/>
                <w:kern w:val="24"/>
                <w:sz w:val="24"/>
                <w:szCs w:val="24"/>
                <w:lang w:val="en-US" w:eastAsia="it-IT"/>
              </w:rPr>
              <w:t>)</w:t>
            </w:r>
          </w:p>
        </w:tc>
      </w:tr>
      <w:tr w:rsidR="00616233" w:rsidRPr="00FA3054" w:rsidTr="007171FF">
        <w:trPr>
          <w:trHeight w:val="578"/>
        </w:trPr>
        <w:tc>
          <w:tcPr>
            <w:tcW w:w="5020" w:type="dxa"/>
            <w:shd w:val="clear" w:color="auto" w:fill="auto"/>
            <w:tcMar>
              <w:top w:w="72" w:type="dxa"/>
              <w:left w:w="144" w:type="dxa"/>
              <w:bottom w:w="72" w:type="dxa"/>
              <w:right w:w="144" w:type="dxa"/>
            </w:tcMar>
            <w:hideMark/>
          </w:tcPr>
          <w:p w:rsidR="00616233" w:rsidRPr="00FA3054" w:rsidRDefault="00616233" w:rsidP="00BB7527">
            <w:pPr>
              <w:spacing w:after="0" w:line="360" w:lineRule="auto"/>
              <w:jc w:val="both"/>
              <w:rPr>
                <w:rFonts w:ascii="Book Antiqua" w:eastAsia="Times New Roman" w:hAnsi="Book Antiqua" w:cs="Times New Roman"/>
                <w:sz w:val="24"/>
                <w:szCs w:val="24"/>
                <w:lang w:val="en-US" w:eastAsia="it-IT"/>
              </w:rPr>
            </w:pPr>
            <w:r w:rsidRPr="00FA3054">
              <w:rPr>
                <w:rFonts w:ascii="Book Antiqua" w:eastAsia="Times New Roman" w:hAnsi="Book Antiqua" w:cs="Times New Roman"/>
                <w:color w:val="000000"/>
                <w:kern w:val="24"/>
                <w:sz w:val="24"/>
                <w:szCs w:val="24"/>
                <w:lang w:val="en-US" w:eastAsia="it-IT"/>
              </w:rPr>
              <w:t>Primary tumor (colon/rectum)</w:t>
            </w:r>
          </w:p>
        </w:tc>
        <w:tc>
          <w:tcPr>
            <w:tcW w:w="4500" w:type="dxa"/>
            <w:shd w:val="clear" w:color="auto" w:fill="auto"/>
            <w:tcMar>
              <w:top w:w="72" w:type="dxa"/>
              <w:left w:w="144" w:type="dxa"/>
              <w:bottom w:w="72" w:type="dxa"/>
              <w:right w:w="144" w:type="dxa"/>
            </w:tcMar>
            <w:hideMark/>
          </w:tcPr>
          <w:p w:rsidR="00616233" w:rsidRPr="00FA3054" w:rsidRDefault="000B1546" w:rsidP="00BB7527">
            <w:pPr>
              <w:spacing w:after="0" w:line="360" w:lineRule="auto"/>
              <w:jc w:val="both"/>
              <w:rPr>
                <w:rFonts w:ascii="Book Antiqua" w:eastAsia="Times New Roman" w:hAnsi="Book Antiqua" w:cs="Times New Roman"/>
                <w:sz w:val="24"/>
                <w:szCs w:val="24"/>
                <w:lang w:val="en-US" w:eastAsia="it-IT"/>
              </w:rPr>
            </w:pPr>
            <w:r w:rsidRPr="00FA3054">
              <w:rPr>
                <w:rFonts w:ascii="Book Antiqua" w:eastAsia="Times New Roman" w:hAnsi="Book Antiqua" w:cs="Times New Roman"/>
                <w:color w:val="000000"/>
                <w:kern w:val="24"/>
                <w:sz w:val="24"/>
                <w:szCs w:val="24"/>
                <w:lang w:val="en-US" w:eastAsia="it-IT"/>
              </w:rPr>
              <w:t>95 (74.8%)/ 32</w:t>
            </w:r>
            <w:r w:rsidR="00616233" w:rsidRPr="00FA3054">
              <w:rPr>
                <w:rFonts w:ascii="Book Antiqua" w:eastAsia="Times New Roman" w:hAnsi="Book Antiqua" w:cs="Times New Roman"/>
                <w:color w:val="000000"/>
                <w:kern w:val="24"/>
                <w:sz w:val="24"/>
                <w:szCs w:val="24"/>
                <w:lang w:val="en-US" w:eastAsia="it-IT"/>
              </w:rPr>
              <w:t xml:space="preserve"> (</w:t>
            </w:r>
            <w:r w:rsidRPr="00FA3054">
              <w:rPr>
                <w:rFonts w:ascii="Book Antiqua" w:eastAsia="Times New Roman" w:hAnsi="Book Antiqua" w:cs="Times New Roman"/>
                <w:color w:val="000000"/>
                <w:kern w:val="24"/>
                <w:sz w:val="24"/>
                <w:szCs w:val="24"/>
                <w:lang w:val="en-US" w:eastAsia="it-IT"/>
              </w:rPr>
              <w:t>25.2</w:t>
            </w:r>
            <w:r w:rsidR="00616233" w:rsidRPr="00FA3054">
              <w:rPr>
                <w:rFonts w:ascii="Book Antiqua" w:eastAsia="Times New Roman" w:hAnsi="Book Antiqua" w:cs="Times New Roman"/>
                <w:color w:val="000000"/>
                <w:kern w:val="24"/>
                <w:sz w:val="24"/>
                <w:szCs w:val="24"/>
                <w:lang w:val="en-US" w:eastAsia="it-IT"/>
              </w:rPr>
              <w:t>%)</w:t>
            </w:r>
          </w:p>
        </w:tc>
      </w:tr>
      <w:tr w:rsidR="00616233" w:rsidRPr="00FA3054" w:rsidTr="007171FF">
        <w:trPr>
          <w:trHeight w:val="578"/>
        </w:trPr>
        <w:tc>
          <w:tcPr>
            <w:tcW w:w="5020" w:type="dxa"/>
            <w:shd w:val="clear" w:color="auto" w:fill="auto"/>
            <w:tcMar>
              <w:top w:w="72" w:type="dxa"/>
              <w:left w:w="144" w:type="dxa"/>
              <w:bottom w:w="72" w:type="dxa"/>
              <w:right w:w="144" w:type="dxa"/>
            </w:tcMar>
            <w:hideMark/>
          </w:tcPr>
          <w:p w:rsidR="00616233" w:rsidRPr="00FA3054" w:rsidRDefault="00616233" w:rsidP="00BB7527">
            <w:pPr>
              <w:spacing w:after="0" w:line="360" w:lineRule="auto"/>
              <w:jc w:val="both"/>
              <w:rPr>
                <w:rFonts w:ascii="Book Antiqua" w:eastAsia="Times New Roman" w:hAnsi="Book Antiqua" w:cs="Times New Roman"/>
                <w:sz w:val="24"/>
                <w:szCs w:val="24"/>
                <w:lang w:val="en-US" w:eastAsia="it-IT"/>
              </w:rPr>
            </w:pPr>
            <w:r w:rsidRPr="00FA3054">
              <w:rPr>
                <w:rFonts w:ascii="Book Antiqua" w:eastAsia="Times New Roman" w:hAnsi="Book Antiqua" w:cs="Times New Roman"/>
                <w:color w:val="000000"/>
                <w:kern w:val="24"/>
                <w:sz w:val="24"/>
                <w:szCs w:val="24"/>
                <w:lang w:val="en-US" w:eastAsia="it-IT"/>
              </w:rPr>
              <w:t>Timing of occurrence (synchronous/metachronous)</w:t>
            </w:r>
          </w:p>
        </w:tc>
        <w:tc>
          <w:tcPr>
            <w:tcW w:w="4500" w:type="dxa"/>
            <w:shd w:val="clear" w:color="auto" w:fill="auto"/>
            <w:tcMar>
              <w:top w:w="72" w:type="dxa"/>
              <w:left w:w="144" w:type="dxa"/>
              <w:bottom w:w="72" w:type="dxa"/>
              <w:right w:w="144" w:type="dxa"/>
            </w:tcMar>
            <w:hideMark/>
          </w:tcPr>
          <w:p w:rsidR="00616233" w:rsidRPr="00FA3054" w:rsidRDefault="00315F29" w:rsidP="00BB7527">
            <w:pPr>
              <w:spacing w:after="0" w:line="360" w:lineRule="auto"/>
              <w:jc w:val="both"/>
              <w:rPr>
                <w:rFonts w:ascii="Book Antiqua" w:eastAsia="Times New Roman" w:hAnsi="Book Antiqua" w:cs="Times New Roman"/>
                <w:sz w:val="24"/>
                <w:szCs w:val="24"/>
                <w:lang w:val="en-US" w:eastAsia="it-IT"/>
              </w:rPr>
            </w:pPr>
            <w:r w:rsidRPr="00FA3054">
              <w:rPr>
                <w:rFonts w:ascii="Book Antiqua" w:eastAsia="Times New Roman" w:hAnsi="Book Antiqua" w:cs="Times New Roman"/>
                <w:color w:val="000000"/>
                <w:kern w:val="24"/>
                <w:sz w:val="24"/>
                <w:szCs w:val="24"/>
                <w:lang w:val="en-US" w:eastAsia="it-IT"/>
              </w:rPr>
              <w:t>98 (77.1</w:t>
            </w:r>
            <w:r w:rsidR="00616233" w:rsidRPr="00FA3054">
              <w:rPr>
                <w:rFonts w:ascii="Book Antiqua" w:eastAsia="Times New Roman" w:hAnsi="Book Antiqua" w:cs="Times New Roman"/>
                <w:color w:val="000000"/>
                <w:kern w:val="24"/>
                <w:sz w:val="24"/>
                <w:szCs w:val="24"/>
                <w:lang w:val="en-US" w:eastAsia="it-IT"/>
              </w:rPr>
              <w:t xml:space="preserve">%) / </w:t>
            </w:r>
            <w:r w:rsidRPr="00FA3054">
              <w:rPr>
                <w:rFonts w:ascii="Book Antiqua" w:eastAsia="Times New Roman" w:hAnsi="Book Antiqua" w:cs="Times New Roman"/>
                <w:color w:val="000000"/>
                <w:kern w:val="24"/>
                <w:sz w:val="24"/>
                <w:szCs w:val="24"/>
                <w:lang w:val="en-US" w:eastAsia="it-IT"/>
              </w:rPr>
              <w:t>29</w:t>
            </w:r>
            <w:r w:rsidR="00616233" w:rsidRPr="00FA3054">
              <w:rPr>
                <w:rFonts w:ascii="Book Antiqua" w:eastAsia="Times New Roman" w:hAnsi="Book Antiqua" w:cs="Times New Roman"/>
                <w:color w:val="000000"/>
                <w:kern w:val="24"/>
                <w:sz w:val="24"/>
                <w:szCs w:val="24"/>
                <w:lang w:val="en-US" w:eastAsia="it-IT"/>
              </w:rPr>
              <w:t xml:space="preserve"> (</w:t>
            </w:r>
            <w:r w:rsidRPr="00FA3054">
              <w:rPr>
                <w:rFonts w:ascii="Book Antiqua" w:eastAsia="Times New Roman" w:hAnsi="Book Antiqua" w:cs="Times New Roman"/>
                <w:color w:val="000000"/>
                <w:kern w:val="24"/>
                <w:sz w:val="24"/>
                <w:szCs w:val="24"/>
                <w:lang w:val="en-US" w:eastAsia="it-IT"/>
              </w:rPr>
              <w:t>22.9</w:t>
            </w:r>
            <w:r w:rsidR="00616233" w:rsidRPr="00FA3054">
              <w:rPr>
                <w:rFonts w:ascii="Book Antiqua" w:eastAsia="Times New Roman" w:hAnsi="Book Antiqua" w:cs="Times New Roman"/>
                <w:color w:val="000000"/>
                <w:kern w:val="24"/>
                <w:sz w:val="24"/>
                <w:szCs w:val="24"/>
                <w:lang w:val="en-US" w:eastAsia="it-IT"/>
              </w:rPr>
              <w:t xml:space="preserve">%) </w:t>
            </w:r>
          </w:p>
        </w:tc>
      </w:tr>
      <w:tr w:rsidR="00616233" w:rsidRPr="00FA3054" w:rsidTr="007171FF">
        <w:trPr>
          <w:trHeight w:val="578"/>
        </w:trPr>
        <w:tc>
          <w:tcPr>
            <w:tcW w:w="5020" w:type="dxa"/>
            <w:shd w:val="clear" w:color="auto" w:fill="auto"/>
            <w:tcMar>
              <w:top w:w="72" w:type="dxa"/>
              <w:left w:w="144" w:type="dxa"/>
              <w:bottom w:w="72" w:type="dxa"/>
              <w:right w:w="144" w:type="dxa"/>
            </w:tcMar>
            <w:hideMark/>
          </w:tcPr>
          <w:p w:rsidR="00616233" w:rsidRPr="00FA3054" w:rsidRDefault="00616233" w:rsidP="00BB7527">
            <w:pPr>
              <w:spacing w:after="0" w:line="360" w:lineRule="auto"/>
              <w:jc w:val="both"/>
              <w:rPr>
                <w:rFonts w:ascii="Book Antiqua" w:eastAsia="Times New Roman" w:hAnsi="Book Antiqua" w:cs="Times New Roman"/>
                <w:sz w:val="24"/>
                <w:szCs w:val="24"/>
                <w:lang w:val="en-US" w:eastAsia="it-IT"/>
              </w:rPr>
            </w:pPr>
            <w:r w:rsidRPr="00FA3054">
              <w:rPr>
                <w:rFonts w:ascii="Book Antiqua" w:eastAsia="Times New Roman" w:hAnsi="Book Antiqua" w:cs="Times New Roman"/>
                <w:color w:val="000000"/>
                <w:kern w:val="24"/>
                <w:sz w:val="24"/>
                <w:szCs w:val="24"/>
                <w:lang w:val="en-US" w:eastAsia="it-IT"/>
              </w:rPr>
              <w:t>ECOG Performance Status (0/1)</w:t>
            </w:r>
          </w:p>
        </w:tc>
        <w:tc>
          <w:tcPr>
            <w:tcW w:w="4500" w:type="dxa"/>
            <w:shd w:val="clear" w:color="auto" w:fill="auto"/>
            <w:tcMar>
              <w:top w:w="72" w:type="dxa"/>
              <w:left w:w="144" w:type="dxa"/>
              <w:bottom w:w="72" w:type="dxa"/>
              <w:right w:w="144" w:type="dxa"/>
            </w:tcMar>
            <w:hideMark/>
          </w:tcPr>
          <w:p w:rsidR="00616233" w:rsidRPr="00FA3054" w:rsidRDefault="00315F29" w:rsidP="00BB7527">
            <w:pPr>
              <w:spacing w:after="0" w:line="360" w:lineRule="auto"/>
              <w:jc w:val="both"/>
              <w:rPr>
                <w:rFonts w:ascii="Book Antiqua" w:eastAsia="Times New Roman" w:hAnsi="Book Antiqua" w:cs="Times New Roman"/>
                <w:sz w:val="24"/>
                <w:szCs w:val="24"/>
                <w:lang w:val="en-US" w:eastAsia="it-IT"/>
              </w:rPr>
            </w:pPr>
            <w:r w:rsidRPr="00FA3054">
              <w:rPr>
                <w:rFonts w:ascii="Book Antiqua" w:eastAsia="Times New Roman" w:hAnsi="Book Antiqua" w:cs="Times New Roman"/>
                <w:color w:val="000000"/>
                <w:kern w:val="24"/>
                <w:sz w:val="24"/>
                <w:szCs w:val="24"/>
                <w:lang w:val="en-US" w:eastAsia="it-IT"/>
              </w:rPr>
              <w:t>112 (88.1</w:t>
            </w:r>
            <w:r w:rsidR="00616233" w:rsidRPr="00FA3054">
              <w:rPr>
                <w:rFonts w:ascii="Book Antiqua" w:eastAsia="Times New Roman" w:hAnsi="Book Antiqua" w:cs="Times New Roman"/>
                <w:color w:val="000000"/>
                <w:kern w:val="24"/>
                <w:sz w:val="24"/>
                <w:szCs w:val="24"/>
                <w:lang w:val="en-US" w:eastAsia="it-IT"/>
              </w:rPr>
              <w:t>%)/</w:t>
            </w:r>
            <w:r w:rsidRPr="00FA3054">
              <w:rPr>
                <w:rFonts w:ascii="Book Antiqua" w:eastAsia="Times New Roman" w:hAnsi="Book Antiqua" w:cs="Times New Roman"/>
                <w:color w:val="000000"/>
                <w:kern w:val="24"/>
                <w:sz w:val="24"/>
                <w:szCs w:val="24"/>
                <w:lang w:val="en-US" w:eastAsia="it-IT"/>
              </w:rPr>
              <w:t xml:space="preserve"> 15 (11.9</w:t>
            </w:r>
            <w:r w:rsidR="00616233" w:rsidRPr="00FA3054">
              <w:rPr>
                <w:rFonts w:ascii="Book Antiqua" w:eastAsia="Times New Roman" w:hAnsi="Book Antiqua" w:cs="Times New Roman"/>
                <w:color w:val="000000"/>
                <w:kern w:val="24"/>
                <w:sz w:val="24"/>
                <w:szCs w:val="24"/>
                <w:lang w:val="en-US" w:eastAsia="it-IT"/>
              </w:rPr>
              <w:t>%)</w:t>
            </w:r>
          </w:p>
        </w:tc>
      </w:tr>
    </w:tbl>
    <w:p w:rsidR="00C975FF" w:rsidRPr="007171FF" w:rsidRDefault="007171FF" w:rsidP="007171FF">
      <w:pPr>
        <w:spacing w:after="0" w:line="360" w:lineRule="auto"/>
        <w:jc w:val="both"/>
        <w:rPr>
          <w:rFonts w:ascii="Book Antiqua" w:hAnsi="Book Antiqua" w:cs="Times New Roman"/>
          <w:kern w:val="24"/>
          <w:sz w:val="24"/>
          <w:szCs w:val="24"/>
          <w:lang w:val="en-US" w:eastAsia="zh-CN"/>
        </w:rPr>
      </w:pPr>
      <w:r w:rsidRPr="00FA3054">
        <w:rPr>
          <w:rFonts w:ascii="Book Antiqua" w:eastAsia="Times New Roman" w:hAnsi="Book Antiqua" w:cs="Times New Roman"/>
          <w:kern w:val="24"/>
          <w:sz w:val="24"/>
          <w:szCs w:val="24"/>
          <w:lang w:val="en-US" w:eastAsia="it-IT"/>
        </w:rPr>
        <w:t>Values are expressed as median (range) or absolute numbers (percentages) when appropriate</w:t>
      </w:r>
      <w:r>
        <w:rPr>
          <w:rFonts w:ascii="Book Antiqua" w:hAnsi="Book Antiqua" w:cs="Times New Roman" w:hint="eastAsia"/>
          <w:kern w:val="24"/>
          <w:sz w:val="24"/>
          <w:szCs w:val="24"/>
          <w:lang w:val="en-US" w:eastAsia="zh-CN"/>
        </w:rPr>
        <w:t xml:space="preserve">. </w:t>
      </w:r>
      <w:r w:rsidRPr="00FA3054">
        <w:rPr>
          <w:rFonts w:ascii="Book Antiqua" w:eastAsia="Times New Roman" w:hAnsi="Book Antiqua" w:cs="Times New Roman"/>
          <w:kern w:val="24"/>
          <w:sz w:val="24"/>
          <w:szCs w:val="24"/>
          <w:lang w:val="en-US" w:eastAsia="it-IT"/>
        </w:rPr>
        <w:t>NLR</w:t>
      </w:r>
      <w:r>
        <w:rPr>
          <w:rFonts w:ascii="Book Antiqua" w:hAnsi="Book Antiqua" w:cs="Times New Roman" w:hint="eastAsia"/>
          <w:kern w:val="24"/>
          <w:sz w:val="24"/>
          <w:szCs w:val="24"/>
          <w:lang w:val="en-US" w:eastAsia="zh-CN"/>
        </w:rPr>
        <w:t>:</w:t>
      </w:r>
      <w:r w:rsidRPr="00FA3054">
        <w:rPr>
          <w:rFonts w:ascii="Book Antiqua" w:eastAsia="Times New Roman" w:hAnsi="Book Antiqua" w:cs="Times New Roman"/>
          <w:kern w:val="24"/>
          <w:sz w:val="24"/>
          <w:szCs w:val="24"/>
          <w:lang w:val="en-US" w:eastAsia="it-IT"/>
        </w:rPr>
        <w:t xml:space="preserve"> Neutrophil-to-Lymphocyte ratio; LMR</w:t>
      </w:r>
      <w:r>
        <w:rPr>
          <w:rFonts w:ascii="Book Antiqua" w:hAnsi="Book Antiqua" w:cs="Times New Roman" w:hint="eastAsia"/>
          <w:kern w:val="24"/>
          <w:sz w:val="24"/>
          <w:szCs w:val="24"/>
          <w:lang w:val="en-US" w:eastAsia="zh-CN"/>
        </w:rPr>
        <w:t>:</w:t>
      </w:r>
      <w:r w:rsidRPr="00FA3054">
        <w:rPr>
          <w:rFonts w:ascii="Book Antiqua" w:eastAsia="Times New Roman" w:hAnsi="Book Antiqua" w:cs="Times New Roman"/>
          <w:kern w:val="24"/>
          <w:sz w:val="24"/>
          <w:szCs w:val="24"/>
          <w:lang w:val="en-US" w:eastAsia="it-IT"/>
        </w:rPr>
        <w:t xml:space="preserve"> Lymphocyte-to-Monocyte ratio; CEA</w:t>
      </w:r>
      <w:r>
        <w:rPr>
          <w:rFonts w:ascii="Book Antiqua" w:hAnsi="Book Antiqua" w:cs="Times New Roman" w:hint="eastAsia"/>
          <w:kern w:val="24"/>
          <w:sz w:val="24"/>
          <w:szCs w:val="24"/>
          <w:lang w:val="en-US" w:eastAsia="zh-CN"/>
        </w:rPr>
        <w:t>:</w:t>
      </w:r>
      <w:r w:rsidRPr="00FA3054">
        <w:rPr>
          <w:rFonts w:ascii="Book Antiqua" w:eastAsia="Times New Roman" w:hAnsi="Book Antiqua" w:cs="Times New Roman"/>
          <w:kern w:val="24"/>
          <w:sz w:val="24"/>
          <w:szCs w:val="24"/>
          <w:lang w:val="en-US" w:eastAsia="it-IT"/>
        </w:rPr>
        <w:t xml:space="preserve"> Carcinoembryonic Antigen; ECOG</w:t>
      </w:r>
      <w:r>
        <w:rPr>
          <w:rFonts w:ascii="Book Antiqua" w:hAnsi="Book Antiqua" w:cs="Times New Roman" w:hint="eastAsia"/>
          <w:kern w:val="24"/>
          <w:sz w:val="24"/>
          <w:szCs w:val="24"/>
          <w:lang w:val="en-US" w:eastAsia="zh-CN"/>
        </w:rPr>
        <w:t>:</w:t>
      </w:r>
      <w:r w:rsidRPr="00FA3054">
        <w:rPr>
          <w:rFonts w:ascii="Book Antiqua" w:eastAsia="Times New Roman" w:hAnsi="Book Antiqua" w:cs="Times New Roman"/>
          <w:kern w:val="24"/>
          <w:sz w:val="24"/>
          <w:szCs w:val="24"/>
          <w:lang w:val="en-US" w:eastAsia="it-IT"/>
        </w:rPr>
        <w:t xml:space="preserve"> Eastern Cooperative Oncology Group.</w:t>
      </w:r>
    </w:p>
    <w:p w:rsidR="00FF61F6" w:rsidRPr="00FA3054" w:rsidRDefault="00FF61F6" w:rsidP="00BB7527">
      <w:pPr>
        <w:spacing w:after="0" w:line="360" w:lineRule="auto"/>
        <w:jc w:val="both"/>
        <w:rPr>
          <w:rFonts w:ascii="Book Antiqua" w:hAnsi="Book Antiqua" w:cs="Times New Roman"/>
          <w:sz w:val="24"/>
          <w:szCs w:val="24"/>
          <w:lang w:val="en-US"/>
        </w:rPr>
      </w:pPr>
    </w:p>
    <w:p w:rsidR="007171FF" w:rsidRDefault="007171FF">
      <w:pPr>
        <w:rPr>
          <w:rFonts w:ascii="Book Antiqua" w:eastAsia="Calibri" w:hAnsi="Book Antiqua" w:cs="Times New Roman"/>
          <w:b/>
          <w:sz w:val="24"/>
          <w:szCs w:val="24"/>
          <w:lang w:val="en-US"/>
        </w:rPr>
      </w:pPr>
      <w:r>
        <w:rPr>
          <w:rFonts w:ascii="Book Antiqua" w:eastAsia="Calibri" w:hAnsi="Book Antiqua" w:cs="Times New Roman"/>
          <w:b/>
          <w:sz w:val="24"/>
          <w:szCs w:val="24"/>
          <w:lang w:val="en-US"/>
        </w:rPr>
        <w:br w:type="page"/>
      </w:r>
    </w:p>
    <w:p w:rsidR="00FF61F6" w:rsidRPr="007171FF" w:rsidRDefault="007171FF" w:rsidP="00BB7527">
      <w:pPr>
        <w:spacing w:after="0" w:line="360" w:lineRule="auto"/>
        <w:jc w:val="both"/>
        <w:rPr>
          <w:rFonts w:ascii="Book Antiqua" w:hAnsi="Book Antiqua" w:cs="Times New Roman"/>
          <w:b/>
          <w:sz w:val="24"/>
          <w:szCs w:val="24"/>
          <w:lang w:val="en-US" w:eastAsia="zh-CN"/>
        </w:rPr>
      </w:pPr>
      <w:r>
        <w:rPr>
          <w:rFonts w:ascii="Book Antiqua" w:eastAsia="Calibri" w:hAnsi="Book Antiqua" w:cs="Times New Roman"/>
          <w:b/>
          <w:sz w:val="24"/>
          <w:szCs w:val="24"/>
          <w:lang w:val="en-US"/>
        </w:rPr>
        <w:lastRenderedPageBreak/>
        <w:t>Table 2</w:t>
      </w:r>
      <w:r>
        <w:rPr>
          <w:rFonts w:ascii="Book Antiqua" w:hAnsi="Book Antiqua" w:cs="Times New Roman" w:hint="eastAsia"/>
          <w:b/>
          <w:sz w:val="24"/>
          <w:szCs w:val="24"/>
          <w:lang w:val="en-US" w:eastAsia="zh-CN"/>
        </w:rPr>
        <w:t xml:space="preserve"> </w:t>
      </w:r>
      <w:r w:rsidR="00FF61F6" w:rsidRPr="00FA3054">
        <w:rPr>
          <w:rFonts w:ascii="Book Antiqua" w:eastAsia="Calibri" w:hAnsi="Book Antiqua" w:cs="Times New Roman"/>
          <w:b/>
          <w:sz w:val="24"/>
          <w:szCs w:val="24"/>
          <w:lang w:val="en-US"/>
        </w:rPr>
        <w:t xml:space="preserve">Cox univariate/multivariate </w:t>
      </w:r>
      <w:r>
        <w:rPr>
          <w:rFonts w:ascii="Book Antiqua" w:eastAsia="Calibri" w:hAnsi="Book Antiqua" w:cs="Times New Roman"/>
          <w:b/>
          <w:sz w:val="24"/>
          <w:szCs w:val="24"/>
          <w:lang w:val="en-US"/>
        </w:rPr>
        <w:t>regression for overall survival</w:t>
      </w:r>
    </w:p>
    <w:p w:rsidR="00FF61F6" w:rsidRPr="00FA3054" w:rsidRDefault="00FF61F6" w:rsidP="00BB7527">
      <w:pPr>
        <w:spacing w:after="0" w:line="360" w:lineRule="auto"/>
        <w:jc w:val="both"/>
        <w:rPr>
          <w:rFonts w:ascii="Book Antiqua" w:eastAsia="Calibri" w:hAnsi="Book Antiqua" w:cs="Times New Roman"/>
          <w:b/>
          <w:sz w:val="24"/>
          <w:szCs w:val="24"/>
          <w:lang w:val="en-US"/>
        </w:rPr>
      </w:pPr>
    </w:p>
    <w:tbl>
      <w:tblPr>
        <w:tblW w:w="10598" w:type="dxa"/>
        <w:tblBorders>
          <w:top w:val="single" w:sz="8" w:space="0" w:color="000000"/>
          <w:bottom w:val="single" w:sz="8" w:space="0" w:color="000000"/>
        </w:tblBorders>
        <w:tblLayout w:type="fixed"/>
        <w:tblLook w:val="0420" w:firstRow="1" w:lastRow="0" w:firstColumn="0" w:lastColumn="0" w:noHBand="0" w:noVBand="1"/>
      </w:tblPr>
      <w:tblGrid>
        <w:gridCol w:w="3794"/>
        <w:gridCol w:w="2410"/>
        <w:gridCol w:w="1134"/>
        <w:gridCol w:w="2126"/>
        <w:gridCol w:w="1134"/>
      </w:tblGrid>
      <w:tr w:rsidR="00FF61F6" w:rsidRPr="00FA3054" w:rsidTr="00332813">
        <w:trPr>
          <w:trHeight w:val="464"/>
        </w:trPr>
        <w:tc>
          <w:tcPr>
            <w:tcW w:w="3794" w:type="dxa"/>
            <w:tcBorders>
              <w:top w:val="single" w:sz="8" w:space="0" w:color="000000"/>
              <w:left w:val="nil"/>
              <w:bottom w:val="nil"/>
              <w:right w:val="nil"/>
            </w:tcBorders>
            <w:shd w:val="clear" w:color="auto" w:fill="auto"/>
          </w:tcPr>
          <w:p w:rsidR="00FF61F6" w:rsidRPr="00FA3054" w:rsidRDefault="00FF61F6" w:rsidP="00BB7527">
            <w:pPr>
              <w:spacing w:after="0" w:line="360" w:lineRule="auto"/>
              <w:jc w:val="both"/>
              <w:rPr>
                <w:rFonts w:ascii="Book Antiqua" w:eastAsia="Times New Roman" w:hAnsi="Book Antiqua" w:cs="Times New Roman"/>
                <w:b/>
                <w:bCs/>
                <w:color w:val="000000"/>
                <w:kern w:val="24"/>
                <w:sz w:val="24"/>
                <w:szCs w:val="24"/>
                <w:lang w:val="en-US" w:eastAsia="it-IT"/>
              </w:rPr>
            </w:pPr>
          </w:p>
        </w:tc>
        <w:tc>
          <w:tcPr>
            <w:tcW w:w="2410" w:type="dxa"/>
            <w:tcBorders>
              <w:top w:val="single" w:sz="8" w:space="0" w:color="000000"/>
              <w:left w:val="nil"/>
              <w:bottom w:val="nil"/>
              <w:right w:val="nil"/>
            </w:tcBorders>
            <w:shd w:val="clear" w:color="auto" w:fill="auto"/>
          </w:tcPr>
          <w:p w:rsidR="00FF61F6" w:rsidRPr="00FA3054" w:rsidRDefault="00FF61F6" w:rsidP="00BB7527">
            <w:pPr>
              <w:spacing w:after="0" w:line="360" w:lineRule="auto"/>
              <w:jc w:val="both"/>
              <w:rPr>
                <w:rFonts w:ascii="Book Antiqua" w:eastAsia="Times New Roman" w:hAnsi="Book Antiqua" w:cs="Times New Roman"/>
                <w:b/>
                <w:bCs/>
                <w:color w:val="000000"/>
                <w:kern w:val="24"/>
                <w:sz w:val="24"/>
                <w:szCs w:val="24"/>
                <w:lang w:eastAsia="it-IT"/>
              </w:rPr>
            </w:pPr>
            <w:r w:rsidRPr="00FA3054">
              <w:rPr>
                <w:rFonts w:ascii="Book Antiqua" w:eastAsia="Times New Roman" w:hAnsi="Book Antiqua" w:cs="Times New Roman"/>
                <w:b/>
                <w:bCs/>
                <w:color w:val="000000"/>
                <w:kern w:val="24"/>
                <w:sz w:val="24"/>
                <w:szCs w:val="24"/>
                <w:lang w:eastAsia="it-IT"/>
              </w:rPr>
              <w:t>Univariate</w:t>
            </w:r>
          </w:p>
          <w:p w:rsidR="00FF61F6" w:rsidRPr="00FA3054" w:rsidRDefault="00FF61F6" w:rsidP="00BB7527">
            <w:pPr>
              <w:spacing w:after="0" w:line="360" w:lineRule="auto"/>
              <w:jc w:val="both"/>
              <w:rPr>
                <w:rFonts w:ascii="Book Antiqua" w:eastAsia="Times New Roman" w:hAnsi="Book Antiqua" w:cs="Times New Roman"/>
                <w:b/>
                <w:bCs/>
                <w:color w:val="000000"/>
                <w:kern w:val="24"/>
                <w:sz w:val="24"/>
                <w:szCs w:val="24"/>
                <w:lang w:eastAsia="it-IT"/>
              </w:rPr>
            </w:pPr>
            <w:r w:rsidRPr="00FA3054">
              <w:rPr>
                <w:rFonts w:ascii="Book Antiqua" w:eastAsia="Times New Roman" w:hAnsi="Book Antiqua" w:cs="Times New Roman"/>
                <w:b/>
                <w:bCs/>
                <w:color w:val="000000"/>
                <w:kern w:val="24"/>
                <w:sz w:val="24"/>
                <w:szCs w:val="24"/>
                <w:lang w:eastAsia="it-IT"/>
              </w:rPr>
              <w:t>Analysis</w:t>
            </w:r>
          </w:p>
        </w:tc>
        <w:tc>
          <w:tcPr>
            <w:tcW w:w="1134" w:type="dxa"/>
            <w:tcBorders>
              <w:top w:val="single" w:sz="8" w:space="0" w:color="000000"/>
              <w:left w:val="nil"/>
              <w:bottom w:val="nil"/>
              <w:right w:val="nil"/>
            </w:tcBorders>
            <w:shd w:val="clear" w:color="auto" w:fill="auto"/>
          </w:tcPr>
          <w:p w:rsidR="00FF61F6" w:rsidRPr="00FA3054" w:rsidRDefault="00FF61F6" w:rsidP="00BB7527">
            <w:pPr>
              <w:spacing w:after="0" w:line="360" w:lineRule="auto"/>
              <w:jc w:val="both"/>
              <w:rPr>
                <w:rFonts w:ascii="Book Antiqua" w:eastAsia="Times New Roman" w:hAnsi="Book Antiqua" w:cs="Times New Roman"/>
                <w:b/>
                <w:bCs/>
                <w:color w:val="000000"/>
                <w:kern w:val="24"/>
                <w:sz w:val="24"/>
                <w:szCs w:val="24"/>
                <w:lang w:eastAsia="it-IT"/>
              </w:rPr>
            </w:pPr>
          </w:p>
        </w:tc>
        <w:tc>
          <w:tcPr>
            <w:tcW w:w="2126" w:type="dxa"/>
            <w:tcBorders>
              <w:top w:val="single" w:sz="8" w:space="0" w:color="000000"/>
              <w:left w:val="nil"/>
              <w:bottom w:val="nil"/>
              <w:right w:val="nil"/>
            </w:tcBorders>
            <w:shd w:val="clear" w:color="auto" w:fill="auto"/>
          </w:tcPr>
          <w:p w:rsidR="00FF61F6" w:rsidRPr="00FA3054" w:rsidRDefault="00FF61F6" w:rsidP="00BB7527">
            <w:pPr>
              <w:spacing w:after="0" w:line="360" w:lineRule="auto"/>
              <w:ind w:right="-108"/>
              <w:jc w:val="both"/>
              <w:rPr>
                <w:rFonts w:ascii="Book Antiqua" w:eastAsia="Times New Roman" w:hAnsi="Book Antiqua" w:cs="Times New Roman"/>
                <w:b/>
                <w:bCs/>
                <w:color w:val="000000"/>
                <w:kern w:val="24"/>
                <w:sz w:val="24"/>
                <w:szCs w:val="24"/>
                <w:lang w:eastAsia="it-IT"/>
              </w:rPr>
            </w:pPr>
            <w:r w:rsidRPr="00FA3054">
              <w:rPr>
                <w:rFonts w:ascii="Book Antiqua" w:eastAsia="Times New Roman" w:hAnsi="Book Antiqua" w:cs="Times New Roman"/>
                <w:b/>
                <w:bCs/>
                <w:color w:val="000000"/>
                <w:kern w:val="24"/>
                <w:sz w:val="24"/>
                <w:szCs w:val="24"/>
                <w:lang w:eastAsia="it-IT"/>
              </w:rPr>
              <w:t xml:space="preserve">Multivariate </w:t>
            </w:r>
          </w:p>
          <w:p w:rsidR="00FF61F6" w:rsidRPr="00FA3054" w:rsidRDefault="00FF61F6" w:rsidP="00BB7527">
            <w:pPr>
              <w:spacing w:after="0" w:line="360" w:lineRule="auto"/>
              <w:ind w:right="-108"/>
              <w:jc w:val="both"/>
              <w:rPr>
                <w:rFonts w:ascii="Book Antiqua" w:eastAsia="Times New Roman" w:hAnsi="Book Antiqua" w:cs="Times New Roman"/>
                <w:b/>
                <w:bCs/>
                <w:color w:val="000000"/>
                <w:kern w:val="24"/>
                <w:sz w:val="24"/>
                <w:szCs w:val="24"/>
                <w:lang w:eastAsia="it-IT"/>
              </w:rPr>
            </w:pPr>
            <w:r w:rsidRPr="00FA3054">
              <w:rPr>
                <w:rFonts w:ascii="Book Antiqua" w:eastAsia="Times New Roman" w:hAnsi="Book Antiqua" w:cs="Times New Roman"/>
                <w:b/>
                <w:bCs/>
                <w:color w:val="000000"/>
                <w:kern w:val="24"/>
                <w:sz w:val="24"/>
                <w:szCs w:val="24"/>
                <w:lang w:eastAsia="it-IT"/>
              </w:rPr>
              <w:t>Analysis</w:t>
            </w:r>
          </w:p>
        </w:tc>
        <w:tc>
          <w:tcPr>
            <w:tcW w:w="1134" w:type="dxa"/>
            <w:tcBorders>
              <w:top w:val="single" w:sz="8" w:space="0" w:color="000000"/>
              <w:bottom w:val="nil"/>
            </w:tcBorders>
            <w:shd w:val="clear" w:color="auto" w:fill="auto"/>
          </w:tcPr>
          <w:p w:rsidR="00FF61F6" w:rsidRPr="00FA3054" w:rsidRDefault="00FF61F6" w:rsidP="00BB7527">
            <w:pPr>
              <w:spacing w:after="0" w:line="360" w:lineRule="auto"/>
              <w:jc w:val="both"/>
              <w:rPr>
                <w:rFonts w:ascii="Book Antiqua" w:eastAsia="Times New Roman" w:hAnsi="Book Antiqua" w:cs="Times New Roman"/>
                <w:b/>
                <w:bCs/>
                <w:color w:val="000000"/>
                <w:kern w:val="24"/>
                <w:sz w:val="24"/>
                <w:szCs w:val="24"/>
                <w:lang w:eastAsia="it-IT"/>
              </w:rPr>
            </w:pPr>
          </w:p>
        </w:tc>
      </w:tr>
      <w:tr w:rsidR="00FF61F6" w:rsidRPr="00FA3054" w:rsidTr="00332813">
        <w:trPr>
          <w:trHeight w:val="464"/>
        </w:trPr>
        <w:tc>
          <w:tcPr>
            <w:tcW w:w="3794" w:type="dxa"/>
            <w:tcBorders>
              <w:top w:val="nil"/>
              <w:left w:val="nil"/>
              <w:bottom w:val="single" w:sz="8" w:space="0" w:color="000000"/>
              <w:right w:val="nil"/>
            </w:tcBorders>
            <w:shd w:val="clear" w:color="auto" w:fill="auto"/>
            <w:vAlign w:val="center"/>
            <w:hideMark/>
          </w:tcPr>
          <w:p w:rsidR="00FF61F6" w:rsidRPr="00FA3054" w:rsidRDefault="00FF61F6" w:rsidP="00BB7527">
            <w:pPr>
              <w:spacing w:after="0" w:line="360" w:lineRule="auto"/>
              <w:jc w:val="both"/>
              <w:rPr>
                <w:rFonts w:ascii="Book Antiqua" w:eastAsia="Times New Roman" w:hAnsi="Book Antiqua" w:cs="Times New Roman"/>
                <w:sz w:val="24"/>
                <w:szCs w:val="24"/>
                <w:lang w:eastAsia="it-IT"/>
              </w:rPr>
            </w:pPr>
            <w:r w:rsidRPr="00FA3054">
              <w:rPr>
                <w:rFonts w:ascii="Book Antiqua" w:eastAsia="Times New Roman" w:hAnsi="Book Antiqua" w:cs="Times New Roman"/>
                <w:b/>
                <w:bCs/>
                <w:kern w:val="24"/>
                <w:sz w:val="24"/>
                <w:szCs w:val="24"/>
                <w:lang w:eastAsia="it-IT"/>
              </w:rPr>
              <w:t>Variables</w:t>
            </w:r>
          </w:p>
        </w:tc>
        <w:tc>
          <w:tcPr>
            <w:tcW w:w="2410" w:type="dxa"/>
            <w:tcBorders>
              <w:top w:val="nil"/>
              <w:left w:val="nil"/>
              <w:bottom w:val="single" w:sz="8" w:space="0" w:color="000000"/>
              <w:right w:val="nil"/>
            </w:tcBorders>
            <w:shd w:val="clear" w:color="auto" w:fill="auto"/>
            <w:vAlign w:val="center"/>
            <w:hideMark/>
          </w:tcPr>
          <w:p w:rsidR="00FF61F6" w:rsidRPr="00FA3054" w:rsidRDefault="00FF61F6" w:rsidP="00BB7527">
            <w:pPr>
              <w:spacing w:after="0" w:line="360" w:lineRule="auto"/>
              <w:jc w:val="both"/>
              <w:rPr>
                <w:rFonts w:ascii="Book Antiqua" w:eastAsia="Times New Roman" w:hAnsi="Book Antiqua" w:cs="Times New Roman"/>
                <w:b/>
                <w:bCs/>
                <w:kern w:val="24"/>
                <w:sz w:val="24"/>
                <w:szCs w:val="24"/>
                <w:lang w:eastAsia="it-IT"/>
              </w:rPr>
            </w:pPr>
            <w:r w:rsidRPr="00FA3054">
              <w:rPr>
                <w:rFonts w:ascii="Book Antiqua" w:eastAsia="Times New Roman" w:hAnsi="Book Antiqua" w:cs="Times New Roman"/>
                <w:kern w:val="24"/>
                <w:sz w:val="24"/>
                <w:szCs w:val="24"/>
                <w:lang w:eastAsia="it-IT"/>
              </w:rPr>
              <w:t xml:space="preserve">   </w:t>
            </w:r>
            <w:r w:rsidRPr="00FA3054">
              <w:rPr>
                <w:rFonts w:ascii="Book Antiqua" w:eastAsia="Times New Roman" w:hAnsi="Book Antiqua" w:cs="Times New Roman"/>
                <w:b/>
                <w:bCs/>
                <w:kern w:val="24"/>
                <w:sz w:val="24"/>
                <w:szCs w:val="24"/>
                <w:lang w:eastAsia="it-IT"/>
              </w:rPr>
              <w:t>Hazard Ratio</w:t>
            </w:r>
          </w:p>
          <w:p w:rsidR="00FF61F6" w:rsidRPr="00FA3054" w:rsidRDefault="00FF61F6" w:rsidP="00BB7527">
            <w:pPr>
              <w:spacing w:after="0" w:line="360" w:lineRule="auto"/>
              <w:jc w:val="both"/>
              <w:rPr>
                <w:rFonts w:ascii="Book Antiqua" w:eastAsia="Times New Roman" w:hAnsi="Book Antiqua" w:cs="Times New Roman"/>
                <w:sz w:val="24"/>
                <w:szCs w:val="24"/>
                <w:lang w:eastAsia="it-IT"/>
              </w:rPr>
            </w:pPr>
            <w:r w:rsidRPr="00FA3054">
              <w:rPr>
                <w:rFonts w:ascii="Book Antiqua" w:eastAsia="Times New Roman" w:hAnsi="Book Antiqua" w:cs="Times New Roman"/>
                <w:b/>
                <w:bCs/>
                <w:kern w:val="24"/>
                <w:sz w:val="24"/>
                <w:szCs w:val="24"/>
                <w:lang w:eastAsia="it-IT"/>
              </w:rPr>
              <w:t xml:space="preserve">      (CI 95%)</w:t>
            </w:r>
          </w:p>
        </w:tc>
        <w:tc>
          <w:tcPr>
            <w:tcW w:w="1134" w:type="dxa"/>
            <w:tcBorders>
              <w:top w:val="nil"/>
              <w:left w:val="nil"/>
              <w:bottom w:val="single" w:sz="8" w:space="0" w:color="000000"/>
              <w:right w:val="nil"/>
            </w:tcBorders>
            <w:shd w:val="clear" w:color="auto" w:fill="auto"/>
            <w:vAlign w:val="center"/>
            <w:hideMark/>
          </w:tcPr>
          <w:p w:rsidR="00FF61F6" w:rsidRPr="00FA3054" w:rsidRDefault="007171FF" w:rsidP="00BB7527">
            <w:pPr>
              <w:spacing w:after="0" w:line="360" w:lineRule="auto"/>
              <w:jc w:val="both"/>
              <w:rPr>
                <w:rFonts w:ascii="Book Antiqua" w:eastAsia="Times New Roman" w:hAnsi="Book Antiqua" w:cs="Times New Roman"/>
                <w:sz w:val="24"/>
                <w:szCs w:val="24"/>
                <w:lang w:eastAsia="it-IT"/>
              </w:rPr>
            </w:pPr>
            <w:bookmarkStart w:id="85" w:name="OLE_LINK15"/>
            <w:bookmarkStart w:id="86" w:name="OLE_LINK16"/>
            <w:r w:rsidRPr="007171FF">
              <w:rPr>
                <w:rFonts w:ascii="Book Antiqua" w:eastAsia="Times New Roman" w:hAnsi="Book Antiqua" w:cs="Times New Roman"/>
                <w:b/>
                <w:bCs/>
                <w:i/>
                <w:kern w:val="24"/>
                <w:sz w:val="24"/>
                <w:szCs w:val="24"/>
                <w:lang w:eastAsia="it-IT"/>
              </w:rPr>
              <w:t>P</w:t>
            </w:r>
            <w:r>
              <w:rPr>
                <w:rFonts w:ascii="Book Antiqua" w:hAnsi="Book Antiqua" w:cs="Times New Roman" w:hint="eastAsia"/>
                <w:b/>
                <w:bCs/>
                <w:kern w:val="24"/>
                <w:sz w:val="24"/>
                <w:szCs w:val="24"/>
                <w:lang w:eastAsia="zh-CN"/>
              </w:rPr>
              <w:t xml:space="preserve"> </w:t>
            </w:r>
            <w:r w:rsidR="00FF61F6" w:rsidRPr="00FA3054">
              <w:rPr>
                <w:rFonts w:ascii="Book Antiqua" w:eastAsia="Times New Roman" w:hAnsi="Book Antiqua" w:cs="Times New Roman"/>
                <w:b/>
                <w:bCs/>
                <w:kern w:val="24"/>
                <w:sz w:val="24"/>
                <w:szCs w:val="24"/>
                <w:lang w:eastAsia="it-IT"/>
              </w:rPr>
              <w:t>value</w:t>
            </w:r>
            <w:bookmarkEnd w:id="85"/>
            <w:bookmarkEnd w:id="86"/>
          </w:p>
        </w:tc>
        <w:tc>
          <w:tcPr>
            <w:tcW w:w="2126" w:type="dxa"/>
            <w:tcBorders>
              <w:top w:val="nil"/>
              <w:left w:val="nil"/>
              <w:bottom w:val="single" w:sz="8" w:space="0" w:color="000000"/>
              <w:right w:val="nil"/>
            </w:tcBorders>
            <w:shd w:val="clear" w:color="auto" w:fill="auto"/>
            <w:vAlign w:val="center"/>
          </w:tcPr>
          <w:p w:rsidR="00FF61F6" w:rsidRPr="00FA3054" w:rsidRDefault="00FF61F6" w:rsidP="00BB7527">
            <w:pPr>
              <w:spacing w:after="0" w:line="360" w:lineRule="auto"/>
              <w:jc w:val="both"/>
              <w:rPr>
                <w:rFonts w:ascii="Book Antiqua" w:eastAsia="Times New Roman" w:hAnsi="Book Antiqua" w:cs="Times New Roman"/>
                <w:b/>
                <w:bCs/>
                <w:kern w:val="24"/>
                <w:sz w:val="24"/>
                <w:szCs w:val="24"/>
                <w:lang w:eastAsia="it-IT"/>
              </w:rPr>
            </w:pPr>
            <w:r w:rsidRPr="00FA3054">
              <w:rPr>
                <w:rFonts w:ascii="Book Antiqua" w:eastAsia="Times New Roman" w:hAnsi="Book Antiqua" w:cs="Times New Roman"/>
                <w:b/>
                <w:bCs/>
                <w:kern w:val="24"/>
                <w:sz w:val="24"/>
                <w:szCs w:val="24"/>
                <w:lang w:eastAsia="it-IT"/>
              </w:rPr>
              <w:t xml:space="preserve">     Hazard Ratio</w:t>
            </w:r>
          </w:p>
          <w:p w:rsidR="00FF61F6" w:rsidRPr="00FA3054" w:rsidRDefault="00FF61F6" w:rsidP="00BB7527">
            <w:pPr>
              <w:spacing w:after="0" w:line="360" w:lineRule="auto"/>
              <w:jc w:val="both"/>
              <w:rPr>
                <w:rFonts w:ascii="Book Antiqua" w:eastAsia="Times New Roman" w:hAnsi="Book Antiqua" w:cs="Times New Roman"/>
                <w:b/>
                <w:bCs/>
                <w:color w:val="000000"/>
                <w:kern w:val="24"/>
                <w:sz w:val="24"/>
                <w:szCs w:val="24"/>
                <w:lang w:eastAsia="it-IT"/>
              </w:rPr>
            </w:pPr>
            <w:r w:rsidRPr="00FA3054">
              <w:rPr>
                <w:rFonts w:ascii="Book Antiqua" w:eastAsia="Times New Roman" w:hAnsi="Book Antiqua" w:cs="Times New Roman"/>
                <w:b/>
                <w:bCs/>
                <w:kern w:val="24"/>
                <w:sz w:val="24"/>
                <w:szCs w:val="24"/>
                <w:lang w:eastAsia="it-IT"/>
              </w:rPr>
              <w:t xml:space="preserve">        (CI 95%)</w:t>
            </w:r>
          </w:p>
        </w:tc>
        <w:tc>
          <w:tcPr>
            <w:tcW w:w="1134" w:type="dxa"/>
            <w:tcBorders>
              <w:top w:val="nil"/>
              <w:left w:val="nil"/>
              <w:bottom w:val="single" w:sz="8" w:space="0" w:color="000000"/>
              <w:right w:val="nil"/>
            </w:tcBorders>
            <w:shd w:val="clear" w:color="auto" w:fill="auto"/>
            <w:vAlign w:val="center"/>
          </w:tcPr>
          <w:p w:rsidR="00FF61F6" w:rsidRPr="00FA3054" w:rsidRDefault="007171FF" w:rsidP="00BB7527">
            <w:pPr>
              <w:spacing w:after="0" w:line="360" w:lineRule="auto"/>
              <w:jc w:val="both"/>
              <w:rPr>
                <w:rFonts w:ascii="Book Antiqua" w:eastAsia="Times New Roman" w:hAnsi="Book Antiqua" w:cs="Times New Roman"/>
                <w:color w:val="000000"/>
                <w:sz w:val="24"/>
                <w:szCs w:val="24"/>
                <w:lang w:eastAsia="it-IT"/>
              </w:rPr>
            </w:pPr>
            <w:r w:rsidRPr="007171FF">
              <w:rPr>
                <w:rFonts w:ascii="Book Antiqua" w:eastAsia="Times New Roman" w:hAnsi="Book Antiqua" w:cs="Times New Roman"/>
                <w:b/>
                <w:bCs/>
                <w:i/>
                <w:kern w:val="24"/>
                <w:sz w:val="24"/>
                <w:szCs w:val="24"/>
                <w:lang w:eastAsia="it-IT"/>
              </w:rPr>
              <w:t>P</w:t>
            </w:r>
            <w:r>
              <w:rPr>
                <w:rFonts w:ascii="Book Antiqua" w:hAnsi="Book Antiqua" w:cs="Times New Roman" w:hint="eastAsia"/>
                <w:b/>
                <w:bCs/>
                <w:kern w:val="24"/>
                <w:sz w:val="24"/>
                <w:szCs w:val="24"/>
                <w:lang w:eastAsia="zh-CN"/>
              </w:rPr>
              <w:t xml:space="preserve"> </w:t>
            </w:r>
            <w:r w:rsidRPr="00FA3054">
              <w:rPr>
                <w:rFonts w:ascii="Book Antiqua" w:eastAsia="Times New Roman" w:hAnsi="Book Antiqua" w:cs="Times New Roman"/>
                <w:b/>
                <w:bCs/>
                <w:kern w:val="24"/>
                <w:sz w:val="24"/>
                <w:szCs w:val="24"/>
                <w:lang w:eastAsia="it-IT"/>
              </w:rPr>
              <w:t>value</w:t>
            </w:r>
            <w:r w:rsidRPr="00FA3054">
              <w:rPr>
                <w:rFonts w:ascii="Book Antiqua" w:eastAsia="Times New Roman" w:hAnsi="Book Antiqua" w:cs="Times New Roman"/>
                <w:color w:val="000000"/>
                <w:sz w:val="24"/>
                <w:szCs w:val="24"/>
                <w:lang w:eastAsia="it-IT"/>
              </w:rPr>
              <w:t xml:space="preserve"> </w:t>
            </w:r>
          </w:p>
        </w:tc>
      </w:tr>
      <w:tr w:rsidR="00FF61F6" w:rsidRPr="00FA3054" w:rsidTr="00332813">
        <w:trPr>
          <w:trHeight w:val="464"/>
        </w:trPr>
        <w:tc>
          <w:tcPr>
            <w:tcW w:w="3794" w:type="dxa"/>
            <w:tcBorders>
              <w:top w:val="single" w:sz="8" w:space="0" w:color="000000"/>
            </w:tcBorders>
            <w:shd w:val="clear" w:color="auto" w:fill="auto"/>
            <w:hideMark/>
          </w:tcPr>
          <w:p w:rsidR="00FF61F6" w:rsidRPr="00FA3054" w:rsidRDefault="00FF61F6" w:rsidP="007171FF">
            <w:pPr>
              <w:spacing w:after="0" w:line="360" w:lineRule="auto"/>
              <w:jc w:val="both"/>
              <w:rPr>
                <w:rFonts w:ascii="Book Antiqua" w:eastAsia="Times New Roman" w:hAnsi="Book Antiqua" w:cs="Times New Roman"/>
                <w:color w:val="000000"/>
                <w:sz w:val="24"/>
                <w:szCs w:val="24"/>
                <w:lang w:eastAsia="it-IT"/>
              </w:rPr>
            </w:pPr>
            <w:r w:rsidRPr="00FA3054">
              <w:rPr>
                <w:rFonts w:ascii="Book Antiqua" w:eastAsia="Times New Roman" w:hAnsi="Book Antiqua" w:cs="Times New Roman"/>
                <w:color w:val="000000"/>
                <w:kern w:val="24"/>
                <w:sz w:val="24"/>
                <w:szCs w:val="24"/>
                <w:lang w:eastAsia="it-IT"/>
              </w:rPr>
              <w:t xml:space="preserve">Age (reference ≤ 65 </w:t>
            </w:r>
            <w:r w:rsidR="007171FF">
              <w:rPr>
                <w:rFonts w:ascii="Book Antiqua" w:hAnsi="Book Antiqua" w:cs="Times New Roman" w:hint="eastAsia"/>
                <w:color w:val="000000"/>
                <w:kern w:val="24"/>
                <w:sz w:val="24"/>
                <w:szCs w:val="24"/>
                <w:lang w:eastAsia="zh-CN"/>
              </w:rPr>
              <w:t>yr</w:t>
            </w:r>
            <w:r w:rsidRPr="00FA3054">
              <w:rPr>
                <w:rFonts w:ascii="Book Antiqua" w:eastAsia="Times New Roman" w:hAnsi="Book Antiqua" w:cs="Times New Roman"/>
                <w:color w:val="000000"/>
                <w:kern w:val="24"/>
                <w:sz w:val="24"/>
                <w:szCs w:val="24"/>
                <w:lang w:eastAsia="it-IT"/>
              </w:rPr>
              <w:t>)</w:t>
            </w:r>
          </w:p>
        </w:tc>
        <w:tc>
          <w:tcPr>
            <w:tcW w:w="2410" w:type="dxa"/>
            <w:tcBorders>
              <w:top w:val="single" w:sz="8" w:space="0" w:color="000000"/>
            </w:tcBorders>
            <w:shd w:val="clear" w:color="auto" w:fill="auto"/>
            <w:hideMark/>
          </w:tcPr>
          <w:p w:rsidR="00FF61F6" w:rsidRPr="00FA3054" w:rsidRDefault="00B83438" w:rsidP="00BB7527">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1.16 (0.68-1.9</w:t>
            </w:r>
            <w:r w:rsidR="00FF61F6" w:rsidRPr="00FA3054">
              <w:rPr>
                <w:rFonts w:ascii="Book Antiqua" w:eastAsia="Times New Roman" w:hAnsi="Book Antiqua" w:cs="Times New Roman"/>
                <w:color w:val="000000"/>
                <w:kern w:val="24"/>
                <w:sz w:val="24"/>
                <w:szCs w:val="24"/>
                <w:lang w:val="en-US" w:eastAsia="it-IT"/>
              </w:rPr>
              <w:t>5)</w:t>
            </w:r>
          </w:p>
        </w:tc>
        <w:tc>
          <w:tcPr>
            <w:tcW w:w="1134" w:type="dxa"/>
            <w:tcBorders>
              <w:top w:val="single" w:sz="8" w:space="0" w:color="000000"/>
            </w:tcBorders>
            <w:shd w:val="clear" w:color="auto" w:fill="auto"/>
            <w:hideMark/>
          </w:tcPr>
          <w:p w:rsidR="00FF61F6" w:rsidRPr="00FA3054" w:rsidRDefault="00B83438" w:rsidP="00BB7527">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 xml:space="preserve">  0.3</w:t>
            </w:r>
            <w:r w:rsidR="000C0AFB" w:rsidRPr="00FA3054">
              <w:rPr>
                <w:rFonts w:ascii="Book Antiqua" w:eastAsia="Times New Roman" w:hAnsi="Book Antiqua" w:cs="Times New Roman"/>
                <w:color w:val="000000"/>
                <w:kern w:val="24"/>
                <w:sz w:val="24"/>
                <w:szCs w:val="24"/>
                <w:lang w:val="en-US" w:eastAsia="it-IT"/>
              </w:rPr>
              <w:t>9</w:t>
            </w:r>
          </w:p>
        </w:tc>
        <w:tc>
          <w:tcPr>
            <w:tcW w:w="2126" w:type="dxa"/>
            <w:tcBorders>
              <w:top w:val="single" w:sz="8" w:space="0" w:color="000000"/>
            </w:tcBorders>
            <w:shd w:val="clear" w:color="auto" w:fill="auto"/>
          </w:tcPr>
          <w:p w:rsidR="00FF61F6" w:rsidRPr="00FA3054" w:rsidRDefault="00FF61F6" w:rsidP="00BB7527">
            <w:pPr>
              <w:spacing w:after="0" w:line="360" w:lineRule="auto"/>
              <w:jc w:val="both"/>
              <w:rPr>
                <w:rFonts w:ascii="Book Antiqua" w:eastAsia="Times New Roman" w:hAnsi="Book Antiqua" w:cs="Times New Roman"/>
                <w:color w:val="000000"/>
                <w:kern w:val="24"/>
                <w:sz w:val="24"/>
                <w:szCs w:val="24"/>
                <w:lang w:val="en-US" w:eastAsia="it-IT"/>
              </w:rPr>
            </w:pPr>
          </w:p>
        </w:tc>
        <w:tc>
          <w:tcPr>
            <w:tcW w:w="1134" w:type="dxa"/>
            <w:tcBorders>
              <w:top w:val="single" w:sz="8" w:space="0" w:color="000000"/>
            </w:tcBorders>
            <w:shd w:val="clear" w:color="auto" w:fill="auto"/>
          </w:tcPr>
          <w:p w:rsidR="00FF61F6" w:rsidRPr="00FA3054" w:rsidRDefault="00FF61F6" w:rsidP="00BB7527">
            <w:pPr>
              <w:spacing w:after="0" w:line="360" w:lineRule="auto"/>
              <w:jc w:val="both"/>
              <w:rPr>
                <w:rFonts w:ascii="Book Antiqua" w:eastAsia="Times New Roman" w:hAnsi="Book Antiqua" w:cs="Times New Roman"/>
                <w:color w:val="000000"/>
                <w:kern w:val="24"/>
                <w:sz w:val="24"/>
                <w:szCs w:val="24"/>
                <w:lang w:val="en-US" w:eastAsia="it-IT"/>
              </w:rPr>
            </w:pPr>
          </w:p>
        </w:tc>
      </w:tr>
      <w:tr w:rsidR="00FF61F6" w:rsidRPr="00FA3054" w:rsidTr="007171FF">
        <w:trPr>
          <w:trHeight w:val="464"/>
        </w:trPr>
        <w:tc>
          <w:tcPr>
            <w:tcW w:w="3794" w:type="dxa"/>
            <w:tcBorders>
              <w:left w:val="nil"/>
              <w:bottom w:val="nil"/>
              <w:right w:val="nil"/>
            </w:tcBorders>
            <w:shd w:val="clear" w:color="auto" w:fill="auto"/>
            <w:hideMark/>
          </w:tcPr>
          <w:p w:rsidR="00FF61F6" w:rsidRPr="00FA3054" w:rsidRDefault="00FF61F6" w:rsidP="00BB7527">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Gender (reference F)</w:t>
            </w:r>
          </w:p>
        </w:tc>
        <w:tc>
          <w:tcPr>
            <w:tcW w:w="2410" w:type="dxa"/>
            <w:tcBorders>
              <w:left w:val="nil"/>
              <w:bottom w:val="nil"/>
              <w:right w:val="nil"/>
            </w:tcBorders>
            <w:shd w:val="clear" w:color="auto" w:fill="auto"/>
            <w:hideMark/>
          </w:tcPr>
          <w:p w:rsidR="00FF61F6" w:rsidRPr="00FA3054" w:rsidRDefault="000C0AFB" w:rsidP="00BB7527">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1.4</w:t>
            </w:r>
            <w:r w:rsidR="006337A2" w:rsidRPr="00FA3054">
              <w:rPr>
                <w:rFonts w:ascii="Book Antiqua" w:eastAsia="Times New Roman" w:hAnsi="Book Antiqua" w:cs="Times New Roman"/>
                <w:color w:val="000000"/>
                <w:kern w:val="24"/>
                <w:sz w:val="24"/>
                <w:szCs w:val="24"/>
                <w:lang w:val="en-US" w:eastAsia="it-IT"/>
              </w:rPr>
              <w:t>1</w:t>
            </w:r>
            <w:r w:rsidRPr="00FA3054">
              <w:rPr>
                <w:rFonts w:ascii="Book Antiqua" w:eastAsia="Times New Roman" w:hAnsi="Book Antiqua" w:cs="Times New Roman"/>
                <w:color w:val="000000"/>
                <w:kern w:val="24"/>
                <w:sz w:val="24"/>
                <w:szCs w:val="24"/>
                <w:lang w:val="en-US" w:eastAsia="it-IT"/>
              </w:rPr>
              <w:t xml:space="preserve"> (0.58-3.1</w:t>
            </w:r>
            <w:r w:rsidR="00FF61F6" w:rsidRPr="00FA3054">
              <w:rPr>
                <w:rFonts w:ascii="Book Antiqua" w:eastAsia="Times New Roman" w:hAnsi="Book Antiqua" w:cs="Times New Roman"/>
                <w:color w:val="000000"/>
                <w:kern w:val="24"/>
                <w:sz w:val="24"/>
                <w:szCs w:val="24"/>
                <w:lang w:val="en-US" w:eastAsia="it-IT"/>
              </w:rPr>
              <w:t xml:space="preserve">) </w:t>
            </w:r>
          </w:p>
        </w:tc>
        <w:tc>
          <w:tcPr>
            <w:tcW w:w="1134" w:type="dxa"/>
            <w:tcBorders>
              <w:left w:val="nil"/>
              <w:bottom w:val="nil"/>
              <w:right w:val="nil"/>
            </w:tcBorders>
            <w:shd w:val="clear" w:color="auto" w:fill="auto"/>
            <w:hideMark/>
          </w:tcPr>
          <w:p w:rsidR="00FF61F6" w:rsidRPr="00FA3054" w:rsidRDefault="000C0AFB" w:rsidP="00BB7527">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 xml:space="preserve">  0.1</w:t>
            </w:r>
            <w:r w:rsidR="00FF61F6" w:rsidRPr="00FA3054">
              <w:rPr>
                <w:rFonts w:ascii="Book Antiqua" w:eastAsia="Times New Roman" w:hAnsi="Book Antiqua" w:cs="Times New Roman"/>
                <w:color w:val="000000"/>
                <w:kern w:val="24"/>
                <w:sz w:val="24"/>
                <w:szCs w:val="24"/>
                <w:lang w:val="en-US" w:eastAsia="it-IT"/>
              </w:rPr>
              <w:t>4</w:t>
            </w:r>
          </w:p>
        </w:tc>
        <w:tc>
          <w:tcPr>
            <w:tcW w:w="2126" w:type="dxa"/>
            <w:tcBorders>
              <w:left w:val="nil"/>
              <w:bottom w:val="nil"/>
              <w:right w:val="nil"/>
            </w:tcBorders>
            <w:shd w:val="clear" w:color="auto" w:fill="auto"/>
          </w:tcPr>
          <w:p w:rsidR="00FF61F6" w:rsidRPr="00FA3054" w:rsidRDefault="00FF61F6" w:rsidP="00BB7527">
            <w:pPr>
              <w:spacing w:after="0" w:line="360" w:lineRule="auto"/>
              <w:jc w:val="both"/>
              <w:rPr>
                <w:rFonts w:ascii="Book Antiqua" w:eastAsia="Times New Roman" w:hAnsi="Book Antiqua" w:cs="Times New Roman"/>
                <w:color w:val="000000"/>
                <w:kern w:val="24"/>
                <w:sz w:val="24"/>
                <w:szCs w:val="24"/>
                <w:lang w:val="en-US" w:eastAsia="it-IT"/>
              </w:rPr>
            </w:pPr>
          </w:p>
        </w:tc>
        <w:tc>
          <w:tcPr>
            <w:tcW w:w="1134" w:type="dxa"/>
            <w:tcBorders>
              <w:left w:val="nil"/>
              <w:bottom w:val="nil"/>
              <w:right w:val="nil"/>
            </w:tcBorders>
            <w:shd w:val="clear" w:color="auto" w:fill="auto"/>
          </w:tcPr>
          <w:p w:rsidR="00FF61F6" w:rsidRPr="00FA3054" w:rsidRDefault="00FF61F6" w:rsidP="00BB7527">
            <w:pPr>
              <w:spacing w:after="0" w:line="360" w:lineRule="auto"/>
              <w:jc w:val="both"/>
              <w:rPr>
                <w:rFonts w:ascii="Book Antiqua" w:eastAsia="Times New Roman" w:hAnsi="Book Antiqua" w:cs="Times New Roman"/>
                <w:color w:val="000000"/>
                <w:kern w:val="24"/>
                <w:sz w:val="24"/>
                <w:szCs w:val="24"/>
                <w:lang w:val="en-US" w:eastAsia="it-IT"/>
              </w:rPr>
            </w:pPr>
          </w:p>
        </w:tc>
      </w:tr>
      <w:tr w:rsidR="007F7F86" w:rsidRPr="00FA3054" w:rsidTr="007171FF">
        <w:trPr>
          <w:trHeight w:val="464"/>
        </w:trPr>
        <w:tc>
          <w:tcPr>
            <w:tcW w:w="3794" w:type="dxa"/>
            <w:tcBorders>
              <w:left w:val="nil"/>
              <w:bottom w:val="nil"/>
              <w:right w:val="nil"/>
            </w:tcBorders>
            <w:shd w:val="clear" w:color="auto" w:fill="auto"/>
          </w:tcPr>
          <w:p w:rsidR="007F7F86" w:rsidRPr="00FA3054" w:rsidRDefault="007F7F86" w:rsidP="00BB7527">
            <w:pPr>
              <w:spacing w:after="0" w:line="360" w:lineRule="auto"/>
              <w:jc w:val="both"/>
              <w:rPr>
                <w:rFonts w:ascii="Book Antiqua" w:eastAsia="Times New Roman" w:hAnsi="Book Antiqua" w:cs="Times New Roman"/>
                <w:color w:val="000000"/>
                <w:kern w:val="24"/>
                <w:sz w:val="24"/>
                <w:szCs w:val="24"/>
                <w:lang w:val="en-US" w:eastAsia="it-IT"/>
              </w:rPr>
            </w:pPr>
            <w:r w:rsidRPr="00FA3054">
              <w:rPr>
                <w:rFonts w:ascii="Book Antiqua" w:eastAsia="Times New Roman" w:hAnsi="Book Antiqua" w:cs="Times New Roman"/>
                <w:color w:val="000000"/>
                <w:kern w:val="24"/>
                <w:sz w:val="24"/>
                <w:szCs w:val="24"/>
                <w:lang w:val="en-US" w:eastAsia="it-IT"/>
              </w:rPr>
              <w:t>Monocyte ratio (reference ≤ 5%)</w:t>
            </w:r>
          </w:p>
        </w:tc>
        <w:tc>
          <w:tcPr>
            <w:tcW w:w="2410" w:type="dxa"/>
            <w:tcBorders>
              <w:left w:val="nil"/>
              <w:bottom w:val="nil"/>
              <w:right w:val="nil"/>
            </w:tcBorders>
            <w:shd w:val="clear" w:color="auto" w:fill="auto"/>
          </w:tcPr>
          <w:p w:rsidR="007F7F86" w:rsidRPr="00FA3054" w:rsidRDefault="007F7F86" w:rsidP="00BB7527">
            <w:pPr>
              <w:spacing w:after="0" w:line="360" w:lineRule="auto"/>
              <w:jc w:val="both"/>
              <w:rPr>
                <w:rFonts w:ascii="Book Antiqua" w:eastAsia="Times New Roman" w:hAnsi="Book Antiqua" w:cs="Times New Roman"/>
                <w:color w:val="000000"/>
                <w:kern w:val="24"/>
                <w:sz w:val="24"/>
                <w:szCs w:val="24"/>
                <w:lang w:val="en-US" w:eastAsia="it-IT"/>
              </w:rPr>
            </w:pPr>
            <w:r w:rsidRPr="00FA3054">
              <w:rPr>
                <w:rFonts w:ascii="Book Antiqua" w:eastAsia="Times New Roman" w:hAnsi="Book Antiqua" w:cs="Times New Roman"/>
                <w:color w:val="000000"/>
                <w:kern w:val="24"/>
                <w:sz w:val="24"/>
                <w:szCs w:val="24"/>
                <w:lang w:val="en-US" w:eastAsia="it-IT"/>
              </w:rPr>
              <w:t>1.38 (0.46-2.78)</w:t>
            </w:r>
          </w:p>
        </w:tc>
        <w:tc>
          <w:tcPr>
            <w:tcW w:w="1134" w:type="dxa"/>
            <w:tcBorders>
              <w:left w:val="nil"/>
              <w:bottom w:val="nil"/>
              <w:right w:val="nil"/>
            </w:tcBorders>
            <w:shd w:val="clear" w:color="auto" w:fill="auto"/>
          </w:tcPr>
          <w:p w:rsidR="007F7F86" w:rsidRPr="00FA3054" w:rsidRDefault="00987C1B" w:rsidP="00BB7527">
            <w:pPr>
              <w:spacing w:after="0" w:line="360" w:lineRule="auto"/>
              <w:jc w:val="both"/>
              <w:rPr>
                <w:rFonts w:ascii="Book Antiqua" w:eastAsia="Times New Roman" w:hAnsi="Book Antiqua" w:cs="Times New Roman"/>
                <w:color w:val="000000"/>
                <w:kern w:val="24"/>
                <w:sz w:val="24"/>
                <w:szCs w:val="24"/>
                <w:lang w:val="en-US" w:eastAsia="it-IT"/>
              </w:rPr>
            </w:pPr>
            <w:r w:rsidRPr="00FA3054">
              <w:rPr>
                <w:rFonts w:ascii="Book Antiqua" w:eastAsia="Times New Roman" w:hAnsi="Book Antiqua" w:cs="Times New Roman"/>
                <w:color w:val="000000"/>
                <w:kern w:val="24"/>
                <w:sz w:val="24"/>
                <w:szCs w:val="24"/>
                <w:lang w:val="en-US" w:eastAsia="it-IT"/>
              </w:rPr>
              <w:t xml:space="preserve">  0.1</w:t>
            </w:r>
            <w:r w:rsidR="007F7F86" w:rsidRPr="00FA3054">
              <w:rPr>
                <w:rFonts w:ascii="Book Antiqua" w:eastAsia="Times New Roman" w:hAnsi="Book Antiqua" w:cs="Times New Roman"/>
                <w:color w:val="000000"/>
                <w:kern w:val="24"/>
                <w:sz w:val="24"/>
                <w:szCs w:val="24"/>
                <w:lang w:val="en-US" w:eastAsia="it-IT"/>
              </w:rPr>
              <w:t>6</w:t>
            </w:r>
          </w:p>
        </w:tc>
        <w:tc>
          <w:tcPr>
            <w:tcW w:w="2126" w:type="dxa"/>
            <w:tcBorders>
              <w:left w:val="nil"/>
              <w:bottom w:val="nil"/>
              <w:right w:val="nil"/>
            </w:tcBorders>
            <w:shd w:val="clear" w:color="auto" w:fill="auto"/>
          </w:tcPr>
          <w:p w:rsidR="007F7F86" w:rsidRPr="00FA3054" w:rsidRDefault="007F7F86" w:rsidP="00BB7527">
            <w:pPr>
              <w:spacing w:after="0" w:line="360" w:lineRule="auto"/>
              <w:jc w:val="both"/>
              <w:rPr>
                <w:rFonts w:ascii="Book Antiqua" w:eastAsia="Times New Roman" w:hAnsi="Book Antiqua" w:cs="Times New Roman"/>
                <w:color w:val="000000"/>
                <w:kern w:val="24"/>
                <w:sz w:val="24"/>
                <w:szCs w:val="24"/>
                <w:lang w:val="en-US" w:eastAsia="it-IT"/>
              </w:rPr>
            </w:pPr>
          </w:p>
        </w:tc>
        <w:tc>
          <w:tcPr>
            <w:tcW w:w="1134" w:type="dxa"/>
            <w:tcBorders>
              <w:left w:val="nil"/>
              <w:bottom w:val="nil"/>
              <w:right w:val="nil"/>
            </w:tcBorders>
            <w:shd w:val="clear" w:color="auto" w:fill="auto"/>
          </w:tcPr>
          <w:p w:rsidR="007F7F86" w:rsidRPr="00FA3054" w:rsidRDefault="007F7F86" w:rsidP="00BB7527">
            <w:pPr>
              <w:spacing w:after="0" w:line="360" w:lineRule="auto"/>
              <w:jc w:val="both"/>
              <w:rPr>
                <w:rFonts w:ascii="Book Antiqua" w:eastAsia="Times New Roman" w:hAnsi="Book Antiqua" w:cs="Times New Roman"/>
                <w:color w:val="000000"/>
                <w:kern w:val="24"/>
                <w:sz w:val="24"/>
                <w:szCs w:val="24"/>
                <w:lang w:val="en-US" w:eastAsia="it-IT"/>
              </w:rPr>
            </w:pPr>
          </w:p>
        </w:tc>
      </w:tr>
      <w:tr w:rsidR="00FF61F6" w:rsidRPr="00FA3054" w:rsidTr="007171FF">
        <w:trPr>
          <w:trHeight w:val="464"/>
        </w:trPr>
        <w:tc>
          <w:tcPr>
            <w:tcW w:w="3794" w:type="dxa"/>
            <w:tcBorders>
              <w:top w:val="nil"/>
              <w:left w:val="nil"/>
              <w:bottom w:val="nil"/>
              <w:right w:val="nil"/>
            </w:tcBorders>
            <w:shd w:val="clear" w:color="auto" w:fill="auto"/>
          </w:tcPr>
          <w:p w:rsidR="00FF61F6" w:rsidRPr="00FA3054" w:rsidRDefault="006437F0" w:rsidP="00BB7527">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sz w:val="24"/>
                <w:szCs w:val="24"/>
                <w:lang w:val="en-US" w:eastAsia="it-IT"/>
              </w:rPr>
              <w:t>NLR (reference ≤ 2.1)</w:t>
            </w:r>
          </w:p>
        </w:tc>
        <w:tc>
          <w:tcPr>
            <w:tcW w:w="2410" w:type="dxa"/>
            <w:tcBorders>
              <w:top w:val="nil"/>
              <w:left w:val="nil"/>
              <w:bottom w:val="nil"/>
              <w:right w:val="nil"/>
            </w:tcBorders>
            <w:shd w:val="clear" w:color="auto" w:fill="auto"/>
          </w:tcPr>
          <w:p w:rsidR="00FF61F6" w:rsidRPr="00FA3054" w:rsidRDefault="0085004B" w:rsidP="00BB7527">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1.62 (0.87-3</w:t>
            </w:r>
            <w:r w:rsidR="0092230F" w:rsidRPr="00FA3054">
              <w:rPr>
                <w:rFonts w:ascii="Book Antiqua" w:eastAsia="Times New Roman" w:hAnsi="Book Antiqua" w:cs="Times New Roman"/>
                <w:color w:val="000000"/>
                <w:kern w:val="24"/>
                <w:sz w:val="24"/>
                <w:szCs w:val="24"/>
                <w:lang w:val="en-US" w:eastAsia="it-IT"/>
              </w:rPr>
              <w:t>.64</w:t>
            </w:r>
            <w:r w:rsidR="00FF61F6" w:rsidRPr="00FA3054">
              <w:rPr>
                <w:rFonts w:ascii="Book Antiqua" w:eastAsia="Times New Roman" w:hAnsi="Book Antiqua" w:cs="Times New Roman"/>
                <w:color w:val="000000"/>
                <w:kern w:val="24"/>
                <w:sz w:val="24"/>
                <w:szCs w:val="24"/>
                <w:lang w:val="en-US" w:eastAsia="it-IT"/>
              </w:rPr>
              <w:t>)</w:t>
            </w:r>
          </w:p>
        </w:tc>
        <w:tc>
          <w:tcPr>
            <w:tcW w:w="1134" w:type="dxa"/>
            <w:tcBorders>
              <w:top w:val="nil"/>
              <w:left w:val="nil"/>
              <w:bottom w:val="nil"/>
              <w:right w:val="nil"/>
            </w:tcBorders>
            <w:shd w:val="clear" w:color="auto" w:fill="auto"/>
          </w:tcPr>
          <w:p w:rsidR="00FF61F6" w:rsidRPr="007171FF" w:rsidRDefault="004C3EA0" w:rsidP="00BB7527">
            <w:pPr>
              <w:spacing w:after="0" w:line="360" w:lineRule="auto"/>
              <w:jc w:val="both"/>
              <w:rPr>
                <w:rFonts w:ascii="Book Antiqua" w:eastAsia="Times New Roman" w:hAnsi="Book Antiqua" w:cs="Times New Roman"/>
                <w:color w:val="000000"/>
                <w:sz w:val="24"/>
                <w:szCs w:val="24"/>
                <w:lang w:val="en-US" w:eastAsia="it-IT"/>
              </w:rPr>
            </w:pPr>
            <w:r w:rsidRPr="007171FF">
              <w:rPr>
                <w:rFonts w:ascii="Book Antiqua" w:eastAsia="Times New Roman" w:hAnsi="Book Antiqua" w:cs="Times New Roman"/>
                <w:color w:val="000000"/>
                <w:kern w:val="24"/>
                <w:sz w:val="24"/>
                <w:szCs w:val="24"/>
                <w:lang w:val="en-US" w:eastAsia="it-IT"/>
              </w:rPr>
              <w:t xml:space="preserve">  </w:t>
            </w:r>
            <w:r w:rsidR="0085004B" w:rsidRPr="007171FF">
              <w:rPr>
                <w:rFonts w:ascii="Book Antiqua" w:eastAsia="Times New Roman" w:hAnsi="Book Antiqua" w:cs="Times New Roman"/>
                <w:color w:val="000000"/>
                <w:kern w:val="24"/>
                <w:sz w:val="24"/>
                <w:szCs w:val="24"/>
                <w:lang w:val="en-US" w:eastAsia="it-IT"/>
              </w:rPr>
              <w:t>0.03</w:t>
            </w:r>
          </w:p>
        </w:tc>
        <w:tc>
          <w:tcPr>
            <w:tcW w:w="2126" w:type="dxa"/>
            <w:tcBorders>
              <w:top w:val="nil"/>
              <w:left w:val="nil"/>
              <w:bottom w:val="nil"/>
              <w:right w:val="nil"/>
            </w:tcBorders>
            <w:shd w:val="clear" w:color="auto" w:fill="auto"/>
          </w:tcPr>
          <w:p w:rsidR="00FF61F6" w:rsidRPr="007171FF" w:rsidRDefault="00817EF5" w:rsidP="00BB7527">
            <w:pPr>
              <w:spacing w:after="0" w:line="360" w:lineRule="auto"/>
              <w:jc w:val="both"/>
              <w:rPr>
                <w:rFonts w:ascii="Book Antiqua" w:eastAsia="Times New Roman" w:hAnsi="Book Antiqua" w:cs="Times New Roman"/>
                <w:color w:val="000000"/>
                <w:kern w:val="24"/>
                <w:sz w:val="24"/>
                <w:szCs w:val="24"/>
                <w:lang w:val="en-US" w:eastAsia="it-IT"/>
              </w:rPr>
            </w:pPr>
            <w:r w:rsidRPr="007171FF">
              <w:rPr>
                <w:rFonts w:ascii="Book Antiqua" w:eastAsia="Times New Roman" w:hAnsi="Book Antiqua" w:cs="Times New Roman"/>
                <w:color w:val="000000"/>
                <w:kern w:val="24"/>
                <w:sz w:val="24"/>
                <w:szCs w:val="24"/>
                <w:lang w:val="en-US" w:eastAsia="it-IT"/>
              </w:rPr>
              <w:t xml:space="preserve">       </w:t>
            </w:r>
            <w:r w:rsidR="00D27235" w:rsidRPr="007171FF">
              <w:rPr>
                <w:rFonts w:ascii="Book Antiqua" w:eastAsia="Times New Roman" w:hAnsi="Book Antiqua" w:cs="Times New Roman"/>
                <w:color w:val="000000"/>
                <w:kern w:val="24"/>
                <w:sz w:val="24"/>
                <w:szCs w:val="24"/>
                <w:lang w:val="en-US" w:eastAsia="it-IT"/>
              </w:rPr>
              <w:t xml:space="preserve"> </w:t>
            </w:r>
            <w:r w:rsidR="00EB177D" w:rsidRPr="007171FF">
              <w:rPr>
                <w:rFonts w:ascii="Book Antiqua" w:eastAsia="Times New Roman" w:hAnsi="Book Antiqua" w:cs="Times New Roman"/>
                <w:color w:val="000000"/>
                <w:kern w:val="24"/>
                <w:sz w:val="24"/>
                <w:szCs w:val="24"/>
                <w:lang w:val="en-US" w:eastAsia="it-IT"/>
              </w:rPr>
              <w:t>1</w:t>
            </w:r>
            <w:r w:rsidR="009B1A10" w:rsidRPr="007171FF">
              <w:rPr>
                <w:rFonts w:ascii="Book Antiqua" w:eastAsia="Times New Roman" w:hAnsi="Book Antiqua" w:cs="Times New Roman"/>
                <w:color w:val="000000"/>
                <w:kern w:val="24"/>
                <w:sz w:val="24"/>
                <w:szCs w:val="24"/>
                <w:lang w:val="en-US" w:eastAsia="it-IT"/>
              </w:rPr>
              <w:t>.48</w:t>
            </w:r>
            <w:r w:rsidRPr="007171FF">
              <w:rPr>
                <w:rFonts w:ascii="Book Antiqua" w:eastAsia="Times New Roman" w:hAnsi="Book Antiqua" w:cs="Times New Roman"/>
                <w:color w:val="000000"/>
                <w:kern w:val="24"/>
                <w:sz w:val="24"/>
                <w:szCs w:val="24"/>
                <w:lang w:val="en-US" w:eastAsia="it-IT"/>
              </w:rPr>
              <w:t xml:space="preserve"> (</w:t>
            </w:r>
            <w:r w:rsidR="009B1A10" w:rsidRPr="007171FF">
              <w:rPr>
                <w:rFonts w:ascii="Book Antiqua" w:eastAsia="Times New Roman" w:hAnsi="Book Antiqua" w:cs="Times New Roman"/>
                <w:color w:val="000000"/>
                <w:kern w:val="24"/>
                <w:sz w:val="24"/>
                <w:szCs w:val="24"/>
                <w:lang w:val="en-US" w:eastAsia="it-IT"/>
              </w:rPr>
              <w:t>0.22- 2.79</w:t>
            </w:r>
            <w:r w:rsidR="00D27235" w:rsidRPr="007171FF">
              <w:rPr>
                <w:rFonts w:ascii="Book Antiqua" w:eastAsia="Times New Roman" w:hAnsi="Book Antiqua" w:cs="Times New Roman"/>
                <w:color w:val="000000"/>
                <w:kern w:val="24"/>
                <w:sz w:val="24"/>
                <w:szCs w:val="24"/>
                <w:lang w:val="en-US" w:eastAsia="it-IT"/>
              </w:rPr>
              <w:t>)</w:t>
            </w:r>
          </w:p>
        </w:tc>
        <w:tc>
          <w:tcPr>
            <w:tcW w:w="1134" w:type="dxa"/>
            <w:tcBorders>
              <w:top w:val="nil"/>
              <w:left w:val="nil"/>
              <w:bottom w:val="nil"/>
              <w:right w:val="nil"/>
            </w:tcBorders>
            <w:shd w:val="clear" w:color="auto" w:fill="auto"/>
          </w:tcPr>
          <w:p w:rsidR="00FF61F6" w:rsidRPr="007171FF" w:rsidRDefault="00D27235" w:rsidP="00BB7527">
            <w:pPr>
              <w:spacing w:after="0" w:line="360" w:lineRule="auto"/>
              <w:jc w:val="both"/>
              <w:rPr>
                <w:rFonts w:ascii="Book Antiqua" w:eastAsia="Times New Roman" w:hAnsi="Book Antiqua" w:cs="Times New Roman"/>
                <w:color w:val="000000"/>
                <w:kern w:val="24"/>
                <w:sz w:val="24"/>
                <w:szCs w:val="24"/>
                <w:lang w:val="en-US" w:eastAsia="it-IT"/>
              </w:rPr>
            </w:pPr>
            <w:r w:rsidRPr="007171FF">
              <w:rPr>
                <w:rFonts w:ascii="Book Antiqua" w:eastAsia="Times New Roman" w:hAnsi="Book Antiqua" w:cs="Times New Roman"/>
                <w:color w:val="000000"/>
                <w:kern w:val="24"/>
                <w:sz w:val="24"/>
                <w:szCs w:val="24"/>
                <w:lang w:val="en-US" w:eastAsia="it-IT"/>
              </w:rPr>
              <w:t xml:space="preserve"> </w:t>
            </w:r>
            <w:r w:rsidR="009B1A10" w:rsidRPr="007171FF">
              <w:rPr>
                <w:rFonts w:ascii="Book Antiqua" w:eastAsia="Times New Roman" w:hAnsi="Book Antiqua" w:cs="Times New Roman"/>
                <w:color w:val="000000"/>
                <w:kern w:val="24"/>
                <w:sz w:val="24"/>
                <w:szCs w:val="24"/>
                <w:lang w:val="en-US" w:eastAsia="it-IT"/>
              </w:rPr>
              <w:t xml:space="preserve">  0.14</w:t>
            </w:r>
          </w:p>
        </w:tc>
      </w:tr>
      <w:tr w:rsidR="007555B1" w:rsidRPr="00FA3054" w:rsidTr="007171FF">
        <w:trPr>
          <w:trHeight w:val="464"/>
        </w:trPr>
        <w:tc>
          <w:tcPr>
            <w:tcW w:w="3794" w:type="dxa"/>
            <w:tcBorders>
              <w:top w:val="nil"/>
              <w:left w:val="nil"/>
              <w:bottom w:val="nil"/>
              <w:right w:val="nil"/>
            </w:tcBorders>
            <w:shd w:val="clear" w:color="auto" w:fill="auto"/>
          </w:tcPr>
          <w:p w:rsidR="007555B1" w:rsidRPr="00FA3054" w:rsidRDefault="007555B1" w:rsidP="00BB7527">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sz w:val="24"/>
                <w:szCs w:val="24"/>
                <w:lang w:val="en-US" w:eastAsia="it-IT"/>
              </w:rPr>
              <w:t>LMR (reference ≤ 3.96)</w:t>
            </w:r>
          </w:p>
        </w:tc>
        <w:tc>
          <w:tcPr>
            <w:tcW w:w="2410" w:type="dxa"/>
            <w:tcBorders>
              <w:top w:val="nil"/>
              <w:left w:val="nil"/>
              <w:bottom w:val="nil"/>
              <w:right w:val="nil"/>
            </w:tcBorders>
            <w:shd w:val="clear" w:color="auto" w:fill="auto"/>
          </w:tcPr>
          <w:p w:rsidR="007555B1" w:rsidRPr="00FA3054" w:rsidRDefault="00EB177D" w:rsidP="00BB7527">
            <w:pPr>
              <w:spacing w:after="0" w:line="360" w:lineRule="auto"/>
              <w:jc w:val="both"/>
              <w:rPr>
                <w:rFonts w:ascii="Book Antiqua" w:eastAsia="Times New Roman" w:hAnsi="Book Antiqua" w:cs="Times New Roman"/>
                <w:color w:val="000000"/>
                <w:kern w:val="24"/>
                <w:sz w:val="24"/>
                <w:szCs w:val="24"/>
                <w:lang w:val="en-US" w:eastAsia="it-IT"/>
              </w:rPr>
            </w:pPr>
            <w:r w:rsidRPr="00FA3054">
              <w:rPr>
                <w:rFonts w:ascii="Book Antiqua" w:eastAsia="Times New Roman" w:hAnsi="Book Antiqua" w:cs="Times New Roman"/>
                <w:color w:val="000000"/>
                <w:kern w:val="24"/>
                <w:sz w:val="24"/>
                <w:szCs w:val="24"/>
                <w:lang w:val="en-US" w:eastAsia="it-IT"/>
              </w:rPr>
              <w:t>0.53</w:t>
            </w:r>
            <w:r w:rsidR="007555B1" w:rsidRPr="00FA3054">
              <w:rPr>
                <w:rFonts w:ascii="Book Antiqua" w:eastAsia="Times New Roman" w:hAnsi="Book Antiqua" w:cs="Times New Roman"/>
                <w:color w:val="000000"/>
                <w:kern w:val="24"/>
                <w:sz w:val="24"/>
                <w:szCs w:val="24"/>
                <w:lang w:val="en-US" w:eastAsia="it-IT"/>
              </w:rPr>
              <w:t xml:space="preserve">  (</w:t>
            </w:r>
            <w:r w:rsidRPr="00FA3054">
              <w:rPr>
                <w:rFonts w:ascii="Book Antiqua" w:eastAsia="Times New Roman" w:hAnsi="Book Antiqua" w:cs="Times New Roman"/>
                <w:color w:val="000000"/>
                <w:kern w:val="24"/>
                <w:sz w:val="24"/>
                <w:szCs w:val="24"/>
                <w:lang w:val="en-US" w:eastAsia="it-IT"/>
              </w:rPr>
              <w:t>0.34-0.85</w:t>
            </w:r>
            <w:r w:rsidR="007555B1" w:rsidRPr="00FA3054">
              <w:rPr>
                <w:rFonts w:ascii="Book Antiqua" w:eastAsia="Times New Roman" w:hAnsi="Book Antiqua" w:cs="Times New Roman"/>
                <w:color w:val="000000"/>
                <w:kern w:val="24"/>
                <w:sz w:val="24"/>
                <w:szCs w:val="24"/>
                <w:lang w:val="en-US" w:eastAsia="it-IT"/>
              </w:rPr>
              <w:t>)</w:t>
            </w:r>
          </w:p>
        </w:tc>
        <w:tc>
          <w:tcPr>
            <w:tcW w:w="1134" w:type="dxa"/>
            <w:tcBorders>
              <w:top w:val="nil"/>
              <w:left w:val="nil"/>
              <w:bottom w:val="nil"/>
              <w:right w:val="nil"/>
            </w:tcBorders>
            <w:shd w:val="clear" w:color="auto" w:fill="auto"/>
          </w:tcPr>
          <w:p w:rsidR="007555B1" w:rsidRPr="007171FF" w:rsidRDefault="007555B1" w:rsidP="00BB7527">
            <w:pPr>
              <w:spacing w:after="0" w:line="360" w:lineRule="auto"/>
              <w:jc w:val="both"/>
              <w:rPr>
                <w:rFonts w:ascii="Book Antiqua" w:eastAsia="Times New Roman" w:hAnsi="Book Antiqua" w:cs="Times New Roman"/>
                <w:color w:val="000000"/>
                <w:kern w:val="24"/>
                <w:sz w:val="24"/>
                <w:szCs w:val="24"/>
                <w:lang w:val="en-US" w:eastAsia="it-IT"/>
              </w:rPr>
            </w:pPr>
            <w:r w:rsidRPr="007171FF">
              <w:rPr>
                <w:rFonts w:ascii="Book Antiqua" w:eastAsia="Times New Roman" w:hAnsi="Book Antiqua" w:cs="Times New Roman"/>
                <w:color w:val="000000"/>
                <w:kern w:val="24"/>
                <w:sz w:val="24"/>
                <w:szCs w:val="24"/>
                <w:lang w:val="en-US" w:eastAsia="it-IT"/>
              </w:rPr>
              <w:t xml:space="preserve"> 0.007</w:t>
            </w:r>
          </w:p>
        </w:tc>
        <w:tc>
          <w:tcPr>
            <w:tcW w:w="2126" w:type="dxa"/>
            <w:tcBorders>
              <w:top w:val="nil"/>
              <w:left w:val="nil"/>
              <w:bottom w:val="nil"/>
              <w:right w:val="nil"/>
            </w:tcBorders>
            <w:shd w:val="clear" w:color="auto" w:fill="auto"/>
          </w:tcPr>
          <w:p w:rsidR="007555B1" w:rsidRPr="007171FF" w:rsidRDefault="009B1A10" w:rsidP="00BB7527">
            <w:pPr>
              <w:spacing w:after="0" w:line="360" w:lineRule="auto"/>
              <w:jc w:val="both"/>
              <w:rPr>
                <w:rFonts w:ascii="Book Antiqua" w:eastAsia="Times New Roman" w:hAnsi="Book Antiqua" w:cs="Times New Roman"/>
                <w:color w:val="000000"/>
                <w:kern w:val="24"/>
                <w:sz w:val="24"/>
                <w:szCs w:val="24"/>
                <w:lang w:val="en-US" w:eastAsia="it-IT"/>
              </w:rPr>
            </w:pPr>
            <w:r w:rsidRPr="007171FF">
              <w:rPr>
                <w:rFonts w:ascii="Book Antiqua" w:eastAsia="Times New Roman" w:hAnsi="Book Antiqua" w:cs="Times New Roman"/>
                <w:color w:val="000000"/>
                <w:kern w:val="24"/>
                <w:sz w:val="24"/>
                <w:szCs w:val="24"/>
                <w:lang w:val="en-US" w:eastAsia="it-IT"/>
              </w:rPr>
              <w:t xml:space="preserve">        0.49 (0.29-0.96) </w:t>
            </w:r>
          </w:p>
        </w:tc>
        <w:tc>
          <w:tcPr>
            <w:tcW w:w="1134" w:type="dxa"/>
            <w:tcBorders>
              <w:top w:val="nil"/>
              <w:left w:val="nil"/>
              <w:bottom w:val="nil"/>
              <w:right w:val="nil"/>
            </w:tcBorders>
            <w:shd w:val="clear" w:color="auto" w:fill="auto"/>
          </w:tcPr>
          <w:p w:rsidR="007555B1" w:rsidRPr="007171FF" w:rsidRDefault="009B1A10" w:rsidP="00BB7527">
            <w:pPr>
              <w:spacing w:after="0" w:line="360" w:lineRule="auto"/>
              <w:jc w:val="both"/>
              <w:rPr>
                <w:rFonts w:ascii="Book Antiqua" w:eastAsia="Times New Roman" w:hAnsi="Book Antiqua" w:cs="Times New Roman"/>
                <w:color w:val="000000"/>
                <w:kern w:val="24"/>
                <w:sz w:val="24"/>
                <w:szCs w:val="24"/>
                <w:lang w:val="en-US" w:eastAsia="it-IT"/>
              </w:rPr>
            </w:pPr>
            <w:r w:rsidRPr="007171FF">
              <w:rPr>
                <w:rFonts w:ascii="Book Antiqua" w:eastAsia="Times New Roman" w:hAnsi="Book Antiqua" w:cs="Times New Roman"/>
                <w:color w:val="000000"/>
                <w:kern w:val="24"/>
                <w:sz w:val="24"/>
                <w:szCs w:val="24"/>
                <w:lang w:val="en-US" w:eastAsia="it-IT"/>
              </w:rPr>
              <w:t xml:space="preserve">   0.02</w:t>
            </w:r>
          </w:p>
        </w:tc>
      </w:tr>
      <w:tr w:rsidR="00FF61F6" w:rsidRPr="00FA3054" w:rsidTr="007171FF">
        <w:trPr>
          <w:trHeight w:val="464"/>
        </w:trPr>
        <w:tc>
          <w:tcPr>
            <w:tcW w:w="3794" w:type="dxa"/>
            <w:tcBorders>
              <w:top w:val="nil"/>
              <w:bottom w:val="nil"/>
            </w:tcBorders>
            <w:shd w:val="clear" w:color="auto" w:fill="auto"/>
            <w:hideMark/>
          </w:tcPr>
          <w:p w:rsidR="00FF61F6" w:rsidRPr="00FA3054" w:rsidRDefault="00A439D9" w:rsidP="00BB7527">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 xml:space="preserve">CEA (reference ≤ </w:t>
            </w:r>
            <w:r w:rsidR="00BA7C3A" w:rsidRPr="00FA3054">
              <w:rPr>
                <w:rFonts w:ascii="Book Antiqua" w:eastAsia="Times New Roman" w:hAnsi="Book Antiqua" w:cs="Times New Roman"/>
                <w:color w:val="000000"/>
                <w:kern w:val="24"/>
                <w:sz w:val="24"/>
                <w:szCs w:val="24"/>
                <w:lang w:val="en-US" w:eastAsia="it-IT"/>
              </w:rPr>
              <w:t>34</w:t>
            </w:r>
            <w:r w:rsidRPr="00FA3054">
              <w:rPr>
                <w:rFonts w:ascii="Book Antiqua" w:eastAsia="Times New Roman" w:hAnsi="Book Antiqua" w:cs="Times New Roman"/>
                <w:color w:val="000000"/>
                <w:kern w:val="24"/>
                <w:sz w:val="24"/>
                <w:szCs w:val="24"/>
                <w:lang w:val="en-US" w:eastAsia="it-IT"/>
              </w:rPr>
              <w:t xml:space="preserve"> ng/mL</w:t>
            </w:r>
            <w:r w:rsidR="00FF61F6" w:rsidRPr="00FA3054">
              <w:rPr>
                <w:rFonts w:ascii="Book Antiqua" w:eastAsia="Times New Roman" w:hAnsi="Book Antiqua" w:cs="Times New Roman"/>
                <w:color w:val="000000"/>
                <w:kern w:val="24"/>
                <w:sz w:val="24"/>
                <w:szCs w:val="24"/>
                <w:lang w:val="en-US" w:eastAsia="it-IT"/>
              </w:rPr>
              <w:t>)</w:t>
            </w:r>
          </w:p>
        </w:tc>
        <w:tc>
          <w:tcPr>
            <w:tcW w:w="2410" w:type="dxa"/>
            <w:tcBorders>
              <w:top w:val="nil"/>
              <w:bottom w:val="nil"/>
            </w:tcBorders>
            <w:shd w:val="clear" w:color="auto" w:fill="auto"/>
            <w:hideMark/>
          </w:tcPr>
          <w:p w:rsidR="00FF61F6" w:rsidRPr="00FA3054" w:rsidRDefault="00BA7C3A" w:rsidP="00BB7527">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1.83 (1.24-4.0</w:t>
            </w:r>
            <w:r w:rsidR="00FF61F6" w:rsidRPr="00FA3054">
              <w:rPr>
                <w:rFonts w:ascii="Book Antiqua" w:eastAsia="Times New Roman" w:hAnsi="Book Antiqua" w:cs="Times New Roman"/>
                <w:color w:val="000000"/>
                <w:kern w:val="24"/>
                <w:sz w:val="24"/>
                <w:szCs w:val="24"/>
                <w:lang w:val="en-US" w:eastAsia="it-IT"/>
              </w:rPr>
              <w:t xml:space="preserve">7) </w:t>
            </w:r>
          </w:p>
        </w:tc>
        <w:tc>
          <w:tcPr>
            <w:tcW w:w="1134" w:type="dxa"/>
            <w:tcBorders>
              <w:top w:val="nil"/>
              <w:bottom w:val="nil"/>
            </w:tcBorders>
            <w:shd w:val="clear" w:color="auto" w:fill="auto"/>
            <w:hideMark/>
          </w:tcPr>
          <w:p w:rsidR="00FF61F6" w:rsidRPr="007171FF" w:rsidRDefault="00BA7C3A" w:rsidP="00BB7527">
            <w:pPr>
              <w:spacing w:after="0" w:line="360" w:lineRule="auto"/>
              <w:jc w:val="both"/>
              <w:rPr>
                <w:rFonts w:ascii="Book Antiqua" w:eastAsia="Times New Roman" w:hAnsi="Book Antiqua" w:cs="Times New Roman"/>
                <w:color w:val="000000"/>
                <w:sz w:val="24"/>
                <w:szCs w:val="24"/>
                <w:lang w:val="en-US" w:eastAsia="it-IT"/>
              </w:rPr>
            </w:pPr>
            <w:r w:rsidRPr="007171FF">
              <w:rPr>
                <w:rFonts w:ascii="Book Antiqua" w:eastAsia="Times New Roman" w:hAnsi="Book Antiqua" w:cs="Times New Roman"/>
                <w:color w:val="000000"/>
                <w:kern w:val="24"/>
                <w:sz w:val="24"/>
                <w:szCs w:val="24"/>
                <w:lang w:val="en-US" w:eastAsia="it-IT"/>
              </w:rPr>
              <w:t xml:space="preserve">  0.01</w:t>
            </w:r>
          </w:p>
        </w:tc>
        <w:tc>
          <w:tcPr>
            <w:tcW w:w="2126" w:type="dxa"/>
            <w:tcBorders>
              <w:top w:val="nil"/>
              <w:bottom w:val="nil"/>
            </w:tcBorders>
            <w:shd w:val="clear" w:color="auto" w:fill="auto"/>
          </w:tcPr>
          <w:p w:rsidR="00FF61F6" w:rsidRPr="007171FF" w:rsidRDefault="009B15E8" w:rsidP="00BB7527">
            <w:pPr>
              <w:spacing w:after="0" w:line="360" w:lineRule="auto"/>
              <w:jc w:val="both"/>
              <w:rPr>
                <w:rFonts w:ascii="Book Antiqua" w:eastAsia="Times New Roman" w:hAnsi="Book Antiqua" w:cs="Times New Roman"/>
                <w:color w:val="000000"/>
                <w:kern w:val="24"/>
                <w:sz w:val="24"/>
                <w:szCs w:val="24"/>
                <w:lang w:val="en-US" w:eastAsia="it-IT"/>
              </w:rPr>
            </w:pPr>
            <w:r w:rsidRPr="007171FF">
              <w:rPr>
                <w:rFonts w:ascii="Book Antiqua" w:eastAsia="Times New Roman" w:hAnsi="Book Antiqua" w:cs="Times New Roman"/>
                <w:color w:val="000000"/>
                <w:kern w:val="24"/>
                <w:sz w:val="24"/>
                <w:szCs w:val="24"/>
                <w:lang w:val="en-US" w:eastAsia="it-IT"/>
              </w:rPr>
              <w:t xml:space="preserve">        </w:t>
            </w:r>
            <w:r w:rsidR="00D41C59" w:rsidRPr="007171FF">
              <w:rPr>
                <w:rFonts w:ascii="Book Antiqua" w:eastAsia="Times New Roman" w:hAnsi="Book Antiqua" w:cs="Times New Roman"/>
                <w:color w:val="000000"/>
                <w:kern w:val="24"/>
                <w:sz w:val="24"/>
                <w:szCs w:val="24"/>
                <w:lang w:val="en-US" w:eastAsia="it-IT"/>
              </w:rPr>
              <w:t>1.38 (1.03-2.54</w:t>
            </w:r>
            <w:r w:rsidRPr="007171FF">
              <w:rPr>
                <w:rFonts w:ascii="Book Antiqua" w:eastAsia="Times New Roman" w:hAnsi="Book Antiqua" w:cs="Times New Roman"/>
                <w:color w:val="000000"/>
                <w:kern w:val="24"/>
                <w:sz w:val="24"/>
                <w:szCs w:val="24"/>
                <w:lang w:val="en-US" w:eastAsia="it-IT"/>
              </w:rPr>
              <w:t>)</w:t>
            </w:r>
          </w:p>
        </w:tc>
        <w:tc>
          <w:tcPr>
            <w:tcW w:w="1134" w:type="dxa"/>
            <w:tcBorders>
              <w:top w:val="nil"/>
              <w:bottom w:val="nil"/>
            </w:tcBorders>
            <w:shd w:val="clear" w:color="auto" w:fill="auto"/>
          </w:tcPr>
          <w:p w:rsidR="00FF61F6" w:rsidRPr="007171FF" w:rsidRDefault="00D41C59" w:rsidP="00BB7527">
            <w:pPr>
              <w:spacing w:after="0" w:line="360" w:lineRule="auto"/>
              <w:jc w:val="both"/>
              <w:rPr>
                <w:rFonts w:ascii="Book Antiqua" w:eastAsia="Times New Roman" w:hAnsi="Book Antiqua" w:cs="Times New Roman"/>
                <w:color w:val="000000"/>
                <w:kern w:val="24"/>
                <w:sz w:val="24"/>
                <w:szCs w:val="24"/>
                <w:lang w:val="en-US" w:eastAsia="it-IT"/>
              </w:rPr>
            </w:pPr>
            <w:r w:rsidRPr="007171FF">
              <w:rPr>
                <w:rFonts w:ascii="Book Antiqua" w:eastAsia="Times New Roman" w:hAnsi="Book Antiqua" w:cs="Times New Roman"/>
                <w:color w:val="000000"/>
                <w:kern w:val="24"/>
                <w:sz w:val="24"/>
                <w:szCs w:val="24"/>
                <w:lang w:val="en-US" w:eastAsia="it-IT"/>
              </w:rPr>
              <w:t xml:space="preserve">   0.32</w:t>
            </w:r>
          </w:p>
        </w:tc>
      </w:tr>
      <w:tr w:rsidR="00C7215E" w:rsidRPr="00FA3054" w:rsidTr="007171FF">
        <w:trPr>
          <w:trHeight w:val="464"/>
        </w:trPr>
        <w:tc>
          <w:tcPr>
            <w:tcW w:w="3794" w:type="dxa"/>
            <w:tcBorders>
              <w:top w:val="nil"/>
              <w:left w:val="nil"/>
              <w:bottom w:val="nil"/>
              <w:right w:val="nil"/>
            </w:tcBorders>
            <w:shd w:val="clear" w:color="auto" w:fill="auto"/>
            <w:hideMark/>
          </w:tcPr>
          <w:p w:rsidR="00C7215E" w:rsidRPr="00FA3054" w:rsidRDefault="00C7215E" w:rsidP="00BB7527">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Number of nodules (reference 1)</w:t>
            </w:r>
          </w:p>
        </w:tc>
        <w:tc>
          <w:tcPr>
            <w:tcW w:w="2410" w:type="dxa"/>
            <w:tcBorders>
              <w:top w:val="nil"/>
              <w:left w:val="nil"/>
              <w:bottom w:val="nil"/>
              <w:right w:val="nil"/>
            </w:tcBorders>
            <w:shd w:val="clear" w:color="auto" w:fill="auto"/>
          </w:tcPr>
          <w:p w:rsidR="00C7215E" w:rsidRPr="00FA3054" w:rsidRDefault="00C7215E" w:rsidP="00BB7527">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sz w:val="24"/>
                <w:szCs w:val="24"/>
                <w:lang w:val="en-US" w:eastAsia="it-IT"/>
              </w:rPr>
              <w:t>1.69 (1.13-4.22)</w:t>
            </w:r>
          </w:p>
        </w:tc>
        <w:tc>
          <w:tcPr>
            <w:tcW w:w="1134" w:type="dxa"/>
            <w:tcBorders>
              <w:top w:val="nil"/>
              <w:left w:val="nil"/>
              <w:bottom w:val="nil"/>
              <w:right w:val="nil"/>
            </w:tcBorders>
            <w:shd w:val="clear" w:color="auto" w:fill="auto"/>
          </w:tcPr>
          <w:p w:rsidR="00C7215E" w:rsidRPr="007171FF" w:rsidRDefault="00C7215E" w:rsidP="00BB7527">
            <w:pPr>
              <w:spacing w:after="0" w:line="360" w:lineRule="auto"/>
              <w:jc w:val="both"/>
              <w:rPr>
                <w:rFonts w:ascii="Book Antiqua" w:eastAsia="Times New Roman" w:hAnsi="Book Antiqua" w:cs="Times New Roman"/>
                <w:color w:val="000000"/>
                <w:sz w:val="24"/>
                <w:szCs w:val="24"/>
                <w:lang w:val="en-US" w:eastAsia="it-IT"/>
              </w:rPr>
            </w:pPr>
            <w:r w:rsidRPr="007171FF">
              <w:rPr>
                <w:rFonts w:ascii="Book Antiqua" w:eastAsia="Times New Roman" w:hAnsi="Book Antiqua" w:cs="Times New Roman"/>
                <w:color w:val="000000"/>
                <w:sz w:val="24"/>
                <w:szCs w:val="24"/>
                <w:lang w:val="en-US" w:eastAsia="it-IT"/>
              </w:rPr>
              <w:t xml:space="preserve">  0.02</w:t>
            </w:r>
          </w:p>
        </w:tc>
        <w:tc>
          <w:tcPr>
            <w:tcW w:w="2126" w:type="dxa"/>
            <w:tcBorders>
              <w:top w:val="nil"/>
              <w:left w:val="nil"/>
              <w:bottom w:val="nil"/>
              <w:right w:val="nil"/>
            </w:tcBorders>
            <w:shd w:val="clear" w:color="auto" w:fill="auto"/>
          </w:tcPr>
          <w:p w:rsidR="00C7215E" w:rsidRPr="007171FF" w:rsidRDefault="00C7215E" w:rsidP="00BB7527">
            <w:pPr>
              <w:spacing w:after="0" w:line="360" w:lineRule="auto"/>
              <w:jc w:val="both"/>
              <w:rPr>
                <w:rFonts w:ascii="Book Antiqua" w:eastAsia="Times New Roman" w:hAnsi="Book Antiqua" w:cs="Times New Roman"/>
                <w:bCs/>
                <w:color w:val="000000"/>
                <w:kern w:val="24"/>
                <w:sz w:val="24"/>
                <w:szCs w:val="24"/>
                <w:lang w:val="en-US" w:eastAsia="it-IT"/>
              </w:rPr>
            </w:pPr>
            <w:r w:rsidRPr="007171FF">
              <w:rPr>
                <w:rFonts w:ascii="Book Antiqua" w:eastAsia="Times New Roman" w:hAnsi="Book Antiqua" w:cs="Times New Roman"/>
                <w:bCs/>
                <w:color w:val="000000"/>
                <w:kern w:val="24"/>
                <w:sz w:val="24"/>
                <w:szCs w:val="24"/>
                <w:lang w:eastAsia="it-IT"/>
              </w:rPr>
              <w:t xml:space="preserve">        </w:t>
            </w:r>
            <w:r w:rsidRPr="007171FF">
              <w:rPr>
                <w:rFonts w:ascii="Book Antiqua" w:eastAsia="Times New Roman" w:hAnsi="Book Antiqua" w:cs="Times New Roman"/>
                <w:bCs/>
                <w:color w:val="000000"/>
                <w:kern w:val="24"/>
                <w:sz w:val="24"/>
                <w:szCs w:val="24"/>
                <w:lang w:val="en-US" w:eastAsia="it-IT"/>
              </w:rPr>
              <w:t>1.27 (2.02-6.63)</w:t>
            </w:r>
          </w:p>
        </w:tc>
        <w:tc>
          <w:tcPr>
            <w:tcW w:w="1134" w:type="dxa"/>
            <w:tcBorders>
              <w:top w:val="nil"/>
              <w:left w:val="nil"/>
              <w:bottom w:val="nil"/>
              <w:right w:val="nil"/>
            </w:tcBorders>
            <w:shd w:val="clear" w:color="auto" w:fill="auto"/>
          </w:tcPr>
          <w:p w:rsidR="00C7215E" w:rsidRPr="007171FF" w:rsidRDefault="00C7215E" w:rsidP="00BB7527">
            <w:pPr>
              <w:spacing w:after="0" w:line="360" w:lineRule="auto"/>
              <w:jc w:val="both"/>
              <w:rPr>
                <w:rFonts w:ascii="Book Antiqua" w:eastAsia="Times New Roman" w:hAnsi="Book Antiqua" w:cs="Times New Roman"/>
                <w:bCs/>
                <w:color w:val="000000"/>
                <w:kern w:val="24"/>
                <w:sz w:val="24"/>
                <w:szCs w:val="24"/>
                <w:lang w:val="en-US" w:eastAsia="it-IT"/>
              </w:rPr>
            </w:pPr>
            <w:r w:rsidRPr="007171FF">
              <w:rPr>
                <w:rFonts w:ascii="Book Antiqua" w:eastAsia="Times New Roman" w:hAnsi="Book Antiqua" w:cs="Times New Roman"/>
                <w:bCs/>
                <w:color w:val="000000"/>
                <w:kern w:val="24"/>
                <w:sz w:val="24"/>
                <w:szCs w:val="24"/>
                <w:lang w:val="en-US" w:eastAsia="it-IT"/>
              </w:rPr>
              <w:t xml:space="preserve">   0.48</w:t>
            </w:r>
          </w:p>
        </w:tc>
      </w:tr>
      <w:tr w:rsidR="00C7215E" w:rsidRPr="00FA3054" w:rsidTr="007171FF">
        <w:trPr>
          <w:trHeight w:val="464"/>
        </w:trPr>
        <w:tc>
          <w:tcPr>
            <w:tcW w:w="3794" w:type="dxa"/>
            <w:tcBorders>
              <w:top w:val="nil"/>
              <w:bottom w:val="nil"/>
            </w:tcBorders>
            <w:shd w:val="clear" w:color="auto" w:fill="auto"/>
          </w:tcPr>
          <w:p w:rsidR="00C7215E" w:rsidRPr="00FA3054" w:rsidRDefault="00C7215E" w:rsidP="00BB7527">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sz w:val="24"/>
                <w:szCs w:val="24"/>
                <w:lang w:val="en-US" w:eastAsia="it-IT"/>
              </w:rPr>
              <w:t xml:space="preserve">Max Diameter (reference </w:t>
            </w:r>
            <w:r w:rsidRPr="00FA3054">
              <w:rPr>
                <w:rFonts w:ascii="Book Antiqua" w:eastAsia="Times New Roman" w:hAnsi="Book Antiqua" w:cs="Times New Roman"/>
                <w:color w:val="000000"/>
                <w:kern w:val="24"/>
                <w:sz w:val="24"/>
                <w:szCs w:val="24"/>
                <w:lang w:val="en-US" w:eastAsia="it-IT"/>
              </w:rPr>
              <w:t>≤ 3</w:t>
            </w:r>
            <w:r w:rsidRPr="00FA3054">
              <w:rPr>
                <w:rFonts w:ascii="Book Antiqua" w:eastAsia="Times New Roman" w:hAnsi="Book Antiqua" w:cs="Times New Roman"/>
                <w:color w:val="000000"/>
                <w:kern w:val="24"/>
                <w:sz w:val="24"/>
                <w:szCs w:val="24"/>
                <w:lang w:eastAsia="it-IT"/>
              </w:rPr>
              <w:t>0 mm)</w:t>
            </w:r>
          </w:p>
        </w:tc>
        <w:tc>
          <w:tcPr>
            <w:tcW w:w="2410" w:type="dxa"/>
            <w:tcBorders>
              <w:top w:val="nil"/>
              <w:bottom w:val="nil"/>
            </w:tcBorders>
            <w:shd w:val="clear" w:color="auto" w:fill="auto"/>
          </w:tcPr>
          <w:p w:rsidR="00C7215E" w:rsidRPr="00FA3054" w:rsidRDefault="00C7215E" w:rsidP="00BB7527">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 xml:space="preserve">2.1  (1.59-5.1) </w:t>
            </w:r>
          </w:p>
        </w:tc>
        <w:tc>
          <w:tcPr>
            <w:tcW w:w="1134" w:type="dxa"/>
            <w:tcBorders>
              <w:top w:val="nil"/>
              <w:bottom w:val="nil"/>
            </w:tcBorders>
            <w:shd w:val="clear" w:color="auto" w:fill="auto"/>
          </w:tcPr>
          <w:p w:rsidR="00C7215E" w:rsidRPr="007171FF" w:rsidRDefault="00C7215E" w:rsidP="00BB7527">
            <w:pPr>
              <w:spacing w:after="0" w:line="360" w:lineRule="auto"/>
              <w:jc w:val="both"/>
              <w:rPr>
                <w:rFonts w:ascii="Book Antiqua" w:eastAsia="Times New Roman" w:hAnsi="Book Antiqua" w:cs="Times New Roman"/>
                <w:color w:val="000000"/>
                <w:sz w:val="24"/>
                <w:szCs w:val="24"/>
                <w:lang w:val="en-US" w:eastAsia="it-IT"/>
              </w:rPr>
            </w:pPr>
            <w:r w:rsidRPr="007171FF">
              <w:rPr>
                <w:rFonts w:ascii="Book Antiqua" w:eastAsia="Times New Roman" w:hAnsi="Book Antiqua" w:cs="Times New Roman"/>
                <w:bCs/>
                <w:color w:val="000000"/>
                <w:kern w:val="24"/>
                <w:sz w:val="24"/>
                <w:szCs w:val="24"/>
                <w:lang w:val="en-US" w:eastAsia="it-IT"/>
              </w:rPr>
              <w:t xml:space="preserve"> 0.002</w:t>
            </w:r>
          </w:p>
        </w:tc>
        <w:tc>
          <w:tcPr>
            <w:tcW w:w="2126" w:type="dxa"/>
            <w:tcBorders>
              <w:top w:val="nil"/>
              <w:bottom w:val="nil"/>
            </w:tcBorders>
            <w:shd w:val="clear" w:color="auto" w:fill="auto"/>
          </w:tcPr>
          <w:p w:rsidR="00C7215E" w:rsidRPr="007171FF" w:rsidRDefault="00C7215E" w:rsidP="00BB7527">
            <w:pPr>
              <w:spacing w:after="0" w:line="360" w:lineRule="auto"/>
              <w:jc w:val="both"/>
              <w:rPr>
                <w:rFonts w:ascii="Book Antiqua" w:eastAsia="Times New Roman" w:hAnsi="Book Antiqua" w:cs="Times New Roman"/>
                <w:bCs/>
                <w:color w:val="000000"/>
                <w:kern w:val="24"/>
                <w:sz w:val="24"/>
                <w:szCs w:val="24"/>
                <w:lang w:val="en-US" w:eastAsia="it-IT"/>
              </w:rPr>
            </w:pPr>
            <w:r w:rsidRPr="007171FF">
              <w:rPr>
                <w:rFonts w:ascii="Book Antiqua" w:eastAsia="Times New Roman" w:hAnsi="Book Antiqua" w:cs="Times New Roman"/>
                <w:bCs/>
                <w:color w:val="000000"/>
                <w:kern w:val="24"/>
                <w:sz w:val="24"/>
                <w:szCs w:val="24"/>
                <w:lang w:val="en-US" w:eastAsia="it-IT"/>
              </w:rPr>
              <w:t xml:space="preserve">        2.49 (1.45-5.46)</w:t>
            </w:r>
          </w:p>
        </w:tc>
        <w:tc>
          <w:tcPr>
            <w:tcW w:w="1134" w:type="dxa"/>
            <w:tcBorders>
              <w:top w:val="nil"/>
              <w:bottom w:val="nil"/>
            </w:tcBorders>
            <w:shd w:val="clear" w:color="auto" w:fill="auto"/>
          </w:tcPr>
          <w:p w:rsidR="00C7215E" w:rsidRPr="007171FF" w:rsidRDefault="00C7215E" w:rsidP="00BB7527">
            <w:pPr>
              <w:spacing w:after="0" w:line="360" w:lineRule="auto"/>
              <w:jc w:val="both"/>
              <w:rPr>
                <w:rFonts w:ascii="Book Antiqua" w:eastAsia="Times New Roman" w:hAnsi="Book Antiqua" w:cs="Times New Roman"/>
                <w:bCs/>
                <w:color w:val="000000"/>
                <w:kern w:val="24"/>
                <w:sz w:val="24"/>
                <w:szCs w:val="24"/>
                <w:lang w:val="en-US" w:eastAsia="it-IT"/>
              </w:rPr>
            </w:pPr>
            <w:r w:rsidRPr="007171FF">
              <w:rPr>
                <w:rFonts w:ascii="Book Antiqua" w:eastAsia="Times New Roman" w:hAnsi="Book Antiqua" w:cs="Times New Roman"/>
                <w:bCs/>
                <w:color w:val="000000"/>
                <w:kern w:val="24"/>
                <w:sz w:val="24"/>
                <w:szCs w:val="24"/>
                <w:lang w:val="en-US" w:eastAsia="it-IT"/>
              </w:rPr>
              <w:t xml:space="preserve">   0.001</w:t>
            </w:r>
          </w:p>
        </w:tc>
      </w:tr>
      <w:tr w:rsidR="00C7215E" w:rsidRPr="00FA3054" w:rsidTr="007171FF">
        <w:trPr>
          <w:trHeight w:val="464"/>
        </w:trPr>
        <w:tc>
          <w:tcPr>
            <w:tcW w:w="3794" w:type="dxa"/>
            <w:tcBorders>
              <w:top w:val="nil"/>
              <w:left w:val="nil"/>
              <w:bottom w:val="nil"/>
              <w:right w:val="nil"/>
            </w:tcBorders>
            <w:shd w:val="clear" w:color="auto" w:fill="auto"/>
            <w:hideMark/>
          </w:tcPr>
          <w:p w:rsidR="00C7215E" w:rsidRPr="00FA3054" w:rsidRDefault="00C7215E" w:rsidP="00BB7527">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Primary tumor (reference colon)</w:t>
            </w:r>
          </w:p>
        </w:tc>
        <w:tc>
          <w:tcPr>
            <w:tcW w:w="2410" w:type="dxa"/>
            <w:tcBorders>
              <w:top w:val="nil"/>
              <w:left w:val="nil"/>
              <w:bottom w:val="nil"/>
              <w:right w:val="nil"/>
            </w:tcBorders>
            <w:shd w:val="clear" w:color="auto" w:fill="auto"/>
            <w:hideMark/>
          </w:tcPr>
          <w:p w:rsidR="00C7215E" w:rsidRPr="00FA3054" w:rsidRDefault="00C7215E" w:rsidP="00BB7527">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de-DE" w:eastAsia="it-IT"/>
              </w:rPr>
              <w:t xml:space="preserve">1.18 (0.46-1.43) </w:t>
            </w:r>
          </w:p>
        </w:tc>
        <w:tc>
          <w:tcPr>
            <w:tcW w:w="1134" w:type="dxa"/>
            <w:tcBorders>
              <w:top w:val="nil"/>
              <w:left w:val="nil"/>
              <w:bottom w:val="nil"/>
              <w:right w:val="nil"/>
            </w:tcBorders>
            <w:shd w:val="clear" w:color="auto" w:fill="auto"/>
            <w:hideMark/>
          </w:tcPr>
          <w:p w:rsidR="00C7215E" w:rsidRPr="00FA3054" w:rsidRDefault="00C7215E" w:rsidP="00BB7527">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b/>
                <w:bCs/>
                <w:color w:val="000000"/>
                <w:kern w:val="24"/>
                <w:sz w:val="24"/>
                <w:szCs w:val="24"/>
                <w:lang w:val="en-US" w:eastAsia="it-IT"/>
              </w:rPr>
              <w:t xml:space="preserve">   </w:t>
            </w:r>
            <w:r w:rsidRPr="00FA3054">
              <w:rPr>
                <w:rFonts w:ascii="Book Antiqua" w:eastAsia="Times New Roman" w:hAnsi="Book Antiqua" w:cs="Times New Roman"/>
                <w:bCs/>
                <w:color w:val="000000"/>
                <w:kern w:val="24"/>
                <w:sz w:val="24"/>
                <w:szCs w:val="24"/>
                <w:lang w:val="en-US" w:eastAsia="it-IT"/>
              </w:rPr>
              <w:t>0.34</w:t>
            </w:r>
          </w:p>
        </w:tc>
        <w:tc>
          <w:tcPr>
            <w:tcW w:w="2126" w:type="dxa"/>
            <w:tcBorders>
              <w:top w:val="nil"/>
              <w:left w:val="nil"/>
              <w:bottom w:val="nil"/>
              <w:right w:val="nil"/>
            </w:tcBorders>
            <w:shd w:val="clear" w:color="auto" w:fill="auto"/>
          </w:tcPr>
          <w:p w:rsidR="00C7215E" w:rsidRPr="00FA3054" w:rsidRDefault="00C7215E" w:rsidP="00BB7527">
            <w:pPr>
              <w:spacing w:after="0" w:line="360" w:lineRule="auto"/>
              <w:jc w:val="both"/>
              <w:rPr>
                <w:rFonts w:ascii="Book Antiqua" w:eastAsia="Times New Roman" w:hAnsi="Book Antiqua" w:cs="Times New Roman"/>
                <w:bCs/>
                <w:color w:val="000000"/>
                <w:kern w:val="24"/>
                <w:sz w:val="24"/>
                <w:szCs w:val="24"/>
                <w:lang w:val="en-US" w:eastAsia="it-IT"/>
              </w:rPr>
            </w:pPr>
            <w:r w:rsidRPr="00FA3054">
              <w:rPr>
                <w:rFonts w:ascii="Book Antiqua" w:eastAsia="Times New Roman" w:hAnsi="Book Antiqua" w:cs="Times New Roman"/>
                <w:b/>
                <w:bCs/>
                <w:color w:val="000000"/>
                <w:kern w:val="24"/>
                <w:sz w:val="24"/>
                <w:szCs w:val="24"/>
                <w:lang w:val="en-US" w:eastAsia="it-IT"/>
              </w:rPr>
              <w:t xml:space="preserve">    </w:t>
            </w:r>
            <w:r w:rsidRPr="00FA3054">
              <w:rPr>
                <w:rFonts w:ascii="Book Antiqua" w:eastAsia="Times New Roman" w:hAnsi="Book Antiqua" w:cs="Times New Roman"/>
                <w:bCs/>
                <w:color w:val="000000"/>
                <w:kern w:val="24"/>
                <w:sz w:val="24"/>
                <w:szCs w:val="24"/>
                <w:lang w:val="en-US" w:eastAsia="it-IT"/>
              </w:rPr>
              <w:t xml:space="preserve"> </w:t>
            </w:r>
          </w:p>
        </w:tc>
        <w:tc>
          <w:tcPr>
            <w:tcW w:w="1134" w:type="dxa"/>
            <w:tcBorders>
              <w:top w:val="nil"/>
              <w:left w:val="nil"/>
              <w:bottom w:val="nil"/>
              <w:right w:val="nil"/>
            </w:tcBorders>
            <w:shd w:val="clear" w:color="auto" w:fill="auto"/>
          </w:tcPr>
          <w:p w:rsidR="00C7215E" w:rsidRPr="00FA3054" w:rsidRDefault="00C7215E" w:rsidP="00BB7527">
            <w:pPr>
              <w:spacing w:after="0" w:line="360" w:lineRule="auto"/>
              <w:jc w:val="both"/>
              <w:rPr>
                <w:rFonts w:ascii="Book Antiqua" w:eastAsia="Times New Roman" w:hAnsi="Book Antiqua" w:cs="Times New Roman"/>
                <w:bCs/>
                <w:color w:val="000000"/>
                <w:kern w:val="24"/>
                <w:sz w:val="24"/>
                <w:szCs w:val="24"/>
                <w:lang w:val="en-US" w:eastAsia="it-IT"/>
              </w:rPr>
            </w:pPr>
            <w:r w:rsidRPr="00FA3054">
              <w:rPr>
                <w:rFonts w:ascii="Book Antiqua" w:eastAsia="Times New Roman" w:hAnsi="Book Antiqua" w:cs="Times New Roman"/>
                <w:bCs/>
                <w:color w:val="000000"/>
                <w:kern w:val="24"/>
                <w:sz w:val="24"/>
                <w:szCs w:val="24"/>
                <w:lang w:val="en-US" w:eastAsia="it-IT"/>
              </w:rPr>
              <w:t xml:space="preserve">   </w:t>
            </w:r>
          </w:p>
        </w:tc>
      </w:tr>
      <w:tr w:rsidR="00C7215E" w:rsidRPr="00FA3054" w:rsidTr="007171FF">
        <w:trPr>
          <w:trHeight w:val="464"/>
        </w:trPr>
        <w:tc>
          <w:tcPr>
            <w:tcW w:w="3794" w:type="dxa"/>
            <w:tcBorders>
              <w:top w:val="nil"/>
              <w:left w:val="nil"/>
              <w:bottom w:val="nil"/>
              <w:right w:val="nil"/>
            </w:tcBorders>
            <w:shd w:val="clear" w:color="auto" w:fill="auto"/>
          </w:tcPr>
          <w:p w:rsidR="00C7215E" w:rsidRPr="00FA3054" w:rsidRDefault="00C7215E" w:rsidP="00BB7527">
            <w:pPr>
              <w:spacing w:after="0" w:line="360" w:lineRule="auto"/>
              <w:jc w:val="both"/>
              <w:rPr>
                <w:rFonts w:ascii="Book Antiqua" w:eastAsia="Times New Roman" w:hAnsi="Book Antiqua" w:cs="Times New Roman"/>
                <w:color w:val="000000"/>
                <w:kern w:val="24"/>
                <w:sz w:val="24"/>
                <w:szCs w:val="24"/>
                <w:lang w:val="en-US" w:eastAsia="it-IT"/>
              </w:rPr>
            </w:pPr>
            <w:r w:rsidRPr="00FA3054">
              <w:rPr>
                <w:rFonts w:ascii="Book Antiqua" w:eastAsia="Times New Roman" w:hAnsi="Book Antiqua" w:cs="Times New Roman"/>
                <w:color w:val="000000"/>
                <w:kern w:val="24"/>
                <w:sz w:val="24"/>
                <w:szCs w:val="24"/>
                <w:lang w:val="en-US" w:eastAsia="it-IT"/>
              </w:rPr>
              <w:t>Timing (reference synchronous)</w:t>
            </w:r>
          </w:p>
        </w:tc>
        <w:tc>
          <w:tcPr>
            <w:tcW w:w="2410" w:type="dxa"/>
            <w:tcBorders>
              <w:top w:val="nil"/>
              <w:left w:val="nil"/>
              <w:bottom w:val="nil"/>
              <w:right w:val="nil"/>
            </w:tcBorders>
            <w:shd w:val="clear" w:color="auto" w:fill="auto"/>
          </w:tcPr>
          <w:p w:rsidR="00C7215E" w:rsidRPr="00FA3054" w:rsidRDefault="00C7215E" w:rsidP="00BB7527">
            <w:pPr>
              <w:spacing w:after="0" w:line="360" w:lineRule="auto"/>
              <w:jc w:val="both"/>
              <w:rPr>
                <w:rFonts w:ascii="Book Antiqua" w:eastAsia="Times New Roman" w:hAnsi="Book Antiqua" w:cs="Times New Roman"/>
                <w:color w:val="000000"/>
                <w:kern w:val="24"/>
                <w:sz w:val="24"/>
                <w:szCs w:val="24"/>
                <w:lang w:val="de-DE" w:eastAsia="it-IT"/>
              </w:rPr>
            </w:pPr>
            <w:r w:rsidRPr="00FA3054">
              <w:rPr>
                <w:rFonts w:ascii="Book Antiqua" w:eastAsia="Times New Roman" w:hAnsi="Book Antiqua" w:cs="Times New Roman"/>
                <w:color w:val="000000"/>
                <w:kern w:val="24"/>
                <w:sz w:val="24"/>
                <w:szCs w:val="24"/>
                <w:lang w:val="de-DE" w:eastAsia="it-IT"/>
              </w:rPr>
              <w:t>1.29 (0.77-1.84)</w:t>
            </w:r>
          </w:p>
        </w:tc>
        <w:tc>
          <w:tcPr>
            <w:tcW w:w="1134" w:type="dxa"/>
            <w:tcBorders>
              <w:top w:val="nil"/>
              <w:left w:val="nil"/>
              <w:bottom w:val="nil"/>
              <w:right w:val="nil"/>
            </w:tcBorders>
            <w:shd w:val="clear" w:color="auto" w:fill="auto"/>
          </w:tcPr>
          <w:p w:rsidR="00C7215E" w:rsidRPr="00FA3054" w:rsidRDefault="00C7215E" w:rsidP="00BB7527">
            <w:pPr>
              <w:spacing w:after="0" w:line="360" w:lineRule="auto"/>
              <w:jc w:val="both"/>
              <w:rPr>
                <w:rFonts w:ascii="Book Antiqua" w:eastAsia="Times New Roman" w:hAnsi="Book Antiqua" w:cs="Times New Roman"/>
                <w:bCs/>
                <w:color w:val="000000"/>
                <w:kern w:val="24"/>
                <w:sz w:val="24"/>
                <w:szCs w:val="24"/>
                <w:lang w:val="en-US" w:eastAsia="it-IT"/>
              </w:rPr>
            </w:pPr>
            <w:r w:rsidRPr="00FA3054">
              <w:rPr>
                <w:rFonts w:ascii="Book Antiqua" w:eastAsia="Times New Roman" w:hAnsi="Book Antiqua" w:cs="Times New Roman"/>
                <w:bCs/>
                <w:color w:val="000000"/>
                <w:kern w:val="24"/>
                <w:sz w:val="24"/>
                <w:szCs w:val="24"/>
                <w:lang w:val="en-US" w:eastAsia="it-IT"/>
              </w:rPr>
              <w:t xml:space="preserve">   0.21</w:t>
            </w:r>
          </w:p>
        </w:tc>
        <w:tc>
          <w:tcPr>
            <w:tcW w:w="2126" w:type="dxa"/>
            <w:tcBorders>
              <w:top w:val="nil"/>
              <w:left w:val="nil"/>
              <w:bottom w:val="nil"/>
              <w:right w:val="nil"/>
            </w:tcBorders>
            <w:shd w:val="clear" w:color="auto" w:fill="auto"/>
          </w:tcPr>
          <w:p w:rsidR="00C7215E" w:rsidRPr="00FA3054" w:rsidRDefault="00C7215E" w:rsidP="00BB7527">
            <w:pPr>
              <w:spacing w:after="0" w:line="360" w:lineRule="auto"/>
              <w:jc w:val="both"/>
              <w:rPr>
                <w:rFonts w:ascii="Book Antiqua" w:eastAsia="Times New Roman" w:hAnsi="Book Antiqua" w:cs="Times New Roman"/>
                <w:b/>
                <w:bCs/>
                <w:color w:val="000000"/>
                <w:kern w:val="24"/>
                <w:sz w:val="24"/>
                <w:szCs w:val="24"/>
                <w:lang w:val="en-US" w:eastAsia="it-IT"/>
              </w:rPr>
            </w:pPr>
          </w:p>
        </w:tc>
        <w:tc>
          <w:tcPr>
            <w:tcW w:w="1134" w:type="dxa"/>
            <w:tcBorders>
              <w:top w:val="nil"/>
              <w:left w:val="nil"/>
              <w:bottom w:val="nil"/>
              <w:right w:val="nil"/>
            </w:tcBorders>
            <w:shd w:val="clear" w:color="auto" w:fill="auto"/>
          </w:tcPr>
          <w:p w:rsidR="00C7215E" w:rsidRPr="00FA3054" w:rsidRDefault="00C7215E" w:rsidP="00BB7527">
            <w:pPr>
              <w:spacing w:after="0" w:line="360" w:lineRule="auto"/>
              <w:jc w:val="both"/>
              <w:rPr>
                <w:rFonts w:ascii="Book Antiqua" w:eastAsia="Times New Roman" w:hAnsi="Book Antiqua" w:cs="Times New Roman"/>
                <w:bCs/>
                <w:color w:val="000000"/>
                <w:kern w:val="24"/>
                <w:sz w:val="24"/>
                <w:szCs w:val="24"/>
                <w:lang w:val="en-US" w:eastAsia="it-IT"/>
              </w:rPr>
            </w:pPr>
          </w:p>
        </w:tc>
      </w:tr>
      <w:tr w:rsidR="00C7215E" w:rsidRPr="00FA3054" w:rsidTr="007171FF">
        <w:trPr>
          <w:trHeight w:val="464"/>
        </w:trPr>
        <w:tc>
          <w:tcPr>
            <w:tcW w:w="3794" w:type="dxa"/>
            <w:tcBorders>
              <w:top w:val="nil"/>
              <w:bottom w:val="single" w:sz="8" w:space="0" w:color="000000"/>
            </w:tcBorders>
            <w:shd w:val="clear" w:color="auto" w:fill="auto"/>
            <w:hideMark/>
          </w:tcPr>
          <w:p w:rsidR="00C7215E" w:rsidRPr="00FA3054" w:rsidRDefault="00C7215E" w:rsidP="00BB7527">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ECOG PS (reference 0)</w:t>
            </w:r>
          </w:p>
        </w:tc>
        <w:tc>
          <w:tcPr>
            <w:tcW w:w="2410" w:type="dxa"/>
            <w:tcBorders>
              <w:top w:val="nil"/>
              <w:bottom w:val="single" w:sz="8" w:space="0" w:color="000000"/>
            </w:tcBorders>
            <w:shd w:val="clear" w:color="auto" w:fill="auto"/>
            <w:hideMark/>
          </w:tcPr>
          <w:p w:rsidR="00C7215E" w:rsidRPr="00FA3054" w:rsidRDefault="00C7215E" w:rsidP="00BB7527">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1.54 (0.94-2.75)</w:t>
            </w:r>
          </w:p>
        </w:tc>
        <w:tc>
          <w:tcPr>
            <w:tcW w:w="1134" w:type="dxa"/>
            <w:tcBorders>
              <w:top w:val="nil"/>
              <w:bottom w:val="single" w:sz="8" w:space="0" w:color="000000"/>
            </w:tcBorders>
            <w:shd w:val="clear" w:color="auto" w:fill="auto"/>
            <w:hideMark/>
          </w:tcPr>
          <w:p w:rsidR="00C7215E" w:rsidRPr="00FA3054" w:rsidRDefault="00C7215E" w:rsidP="00BB7527">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bCs/>
                <w:color w:val="000000"/>
                <w:kern w:val="24"/>
                <w:sz w:val="24"/>
                <w:szCs w:val="24"/>
                <w:lang w:val="en-US" w:eastAsia="it-IT"/>
              </w:rPr>
              <w:t xml:space="preserve">   0.09</w:t>
            </w:r>
          </w:p>
        </w:tc>
        <w:tc>
          <w:tcPr>
            <w:tcW w:w="2126" w:type="dxa"/>
            <w:tcBorders>
              <w:top w:val="nil"/>
              <w:bottom w:val="single" w:sz="8" w:space="0" w:color="000000"/>
            </w:tcBorders>
            <w:shd w:val="clear" w:color="auto" w:fill="auto"/>
          </w:tcPr>
          <w:p w:rsidR="00C7215E" w:rsidRPr="00FA3054" w:rsidRDefault="00C7215E" w:rsidP="00BB7527">
            <w:pPr>
              <w:spacing w:after="0" w:line="360" w:lineRule="auto"/>
              <w:jc w:val="both"/>
              <w:rPr>
                <w:rFonts w:ascii="Book Antiqua" w:eastAsia="Times New Roman" w:hAnsi="Book Antiqua" w:cs="Times New Roman"/>
                <w:bCs/>
                <w:color w:val="000000"/>
                <w:kern w:val="24"/>
                <w:sz w:val="24"/>
                <w:szCs w:val="24"/>
                <w:lang w:val="en-US" w:eastAsia="it-IT"/>
              </w:rPr>
            </w:pPr>
            <w:r w:rsidRPr="00FA3054">
              <w:rPr>
                <w:rFonts w:ascii="Book Antiqua" w:eastAsia="Times New Roman" w:hAnsi="Book Antiqua" w:cs="Times New Roman"/>
                <w:bCs/>
                <w:color w:val="000000"/>
                <w:kern w:val="24"/>
                <w:sz w:val="24"/>
                <w:szCs w:val="24"/>
                <w:lang w:val="en-US" w:eastAsia="it-IT"/>
              </w:rPr>
              <w:t xml:space="preserve">     </w:t>
            </w:r>
          </w:p>
        </w:tc>
        <w:tc>
          <w:tcPr>
            <w:tcW w:w="1134" w:type="dxa"/>
            <w:tcBorders>
              <w:top w:val="nil"/>
              <w:bottom w:val="single" w:sz="8" w:space="0" w:color="000000"/>
            </w:tcBorders>
            <w:shd w:val="clear" w:color="auto" w:fill="auto"/>
          </w:tcPr>
          <w:p w:rsidR="00C7215E" w:rsidRPr="00FA3054" w:rsidRDefault="00C7215E" w:rsidP="00BB7527">
            <w:pPr>
              <w:spacing w:after="0" w:line="360" w:lineRule="auto"/>
              <w:jc w:val="both"/>
              <w:rPr>
                <w:rFonts w:ascii="Book Antiqua" w:eastAsia="Times New Roman" w:hAnsi="Book Antiqua" w:cs="Times New Roman"/>
                <w:b/>
                <w:bCs/>
                <w:color w:val="000000"/>
                <w:kern w:val="24"/>
                <w:sz w:val="24"/>
                <w:szCs w:val="24"/>
                <w:lang w:val="en-US" w:eastAsia="it-IT"/>
              </w:rPr>
            </w:pPr>
            <w:r w:rsidRPr="00FA3054">
              <w:rPr>
                <w:rFonts w:ascii="Book Antiqua" w:eastAsia="Times New Roman" w:hAnsi="Book Antiqua" w:cs="Times New Roman"/>
                <w:b/>
                <w:bCs/>
                <w:color w:val="000000"/>
                <w:kern w:val="24"/>
                <w:sz w:val="24"/>
                <w:szCs w:val="24"/>
                <w:lang w:val="en-US" w:eastAsia="it-IT"/>
              </w:rPr>
              <w:t xml:space="preserve">  </w:t>
            </w:r>
          </w:p>
        </w:tc>
      </w:tr>
    </w:tbl>
    <w:p w:rsidR="00FF61F6" w:rsidRPr="00FA3054" w:rsidRDefault="007171FF" w:rsidP="00BB7527">
      <w:pPr>
        <w:spacing w:after="0" w:line="360" w:lineRule="auto"/>
        <w:jc w:val="both"/>
        <w:rPr>
          <w:rFonts w:ascii="Book Antiqua" w:eastAsia="Calibri" w:hAnsi="Book Antiqua" w:cs="Arial"/>
          <w:sz w:val="24"/>
          <w:szCs w:val="24"/>
          <w:lang w:val="en-US"/>
        </w:rPr>
      </w:pPr>
      <w:r w:rsidRPr="00FA3054">
        <w:rPr>
          <w:rFonts w:ascii="Book Antiqua" w:eastAsia="Times New Roman" w:hAnsi="Book Antiqua" w:cs="Times New Roman"/>
          <w:color w:val="000000"/>
          <w:kern w:val="24"/>
          <w:sz w:val="24"/>
          <w:szCs w:val="24"/>
          <w:lang w:val="en-US" w:eastAsia="it-IT"/>
        </w:rPr>
        <w:t>NLR</w:t>
      </w:r>
      <w:r>
        <w:rPr>
          <w:rFonts w:ascii="Book Antiqua" w:hAnsi="Book Antiqua" w:cs="Times New Roman" w:hint="eastAsia"/>
          <w:color w:val="000000"/>
          <w:kern w:val="24"/>
          <w:sz w:val="24"/>
          <w:szCs w:val="24"/>
          <w:lang w:val="en-US" w:eastAsia="zh-CN"/>
        </w:rPr>
        <w:t>:</w:t>
      </w:r>
      <w:r w:rsidRPr="00FA3054">
        <w:rPr>
          <w:rFonts w:ascii="Book Antiqua" w:eastAsia="Times New Roman" w:hAnsi="Book Antiqua" w:cs="Times New Roman"/>
          <w:color w:val="000000"/>
          <w:kern w:val="24"/>
          <w:sz w:val="24"/>
          <w:szCs w:val="24"/>
          <w:lang w:val="en-US" w:eastAsia="it-IT"/>
        </w:rPr>
        <w:t xml:space="preserve"> Neutrophil-to-Lymphocyte Ratio; LMR</w:t>
      </w:r>
      <w:r>
        <w:rPr>
          <w:rFonts w:ascii="Book Antiqua" w:hAnsi="Book Antiqua" w:cs="Times New Roman" w:hint="eastAsia"/>
          <w:color w:val="000000"/>
          <w:kern w:val="24"/>
          <w:sz w:val="24"/>
          <w:szCs w:val="24"/>
          <w:lang w:val="en-US" w:eastAsia="zh-CN"/>
        </w:rPr>
        <w:t>:</w:t>
      </w:r>
      <w:r w:rsidRPr="00FA3054">
        <w:rPr>
          <w:rFonts w:ascii="Book Antiqua" w:eastAsia="Times New Roman" w:hAnsi="Book Antiqua" w:cs="Times New Roman"/>
          <w:color w:val="000000"/>
          <w:kern w:val="24"/>
          <w:sz w:val="24"/>
          <w:szCs w:val="24"/>
          <w:lang w:val="en-US" w:eastAsia="it-IT"/>
        </w:rPr>
        <w:t xml:space="preserve"> Lymphocyte-to-Monocyte Ratio; CEA</w:t>
      </w:r>
      <w:r>
        <w:rPr>
          <w:rFonts w:ascii="Book Antiqua" w:hAnsi="Book Antiqua" w:cs="Times New Roman" w:hint="eastAsia"/>
          <w:color w:val="000000"/>
          <w:kern w:val="24"/>
          <w:sz w:val="24"/>
          <w:szCs w:val="24"/>
          <w:lang w:val="en-US" w:eastAsia="zh-CN"/>
        </w:rPr>
        <w:t>:</w:t>
      </w:r>
      <w:r w:rsidRPr="00FA3054">
        <w:rPr>
          <w:rFonts w:ascii="Book Antiqua" w:eastAsia="Times New Roman" w:hAnsi="Book Antiqua" w:cs="Times New Roman"/>
          <w:color w:val="000000"/>
          <w:kern w:val="24"/>
          <w:sz w:val="24"/>
          <w:szCs w:val="24"/>
          <w:lang w:val="en-US" w:eastAsia="it-IT"/>
        </w:rPr>
        <w:t xml:space="preserve"> Carcinoembryonic Antigen; ECOG</w:t>
      </w:r>
      <w:r>
        <w:rPr>
          <w:rFonts w:ascii="Book Antiqua" w:hAnsi="Book Antiqua" w:cs="Times New Roman" w:hint="eastAsia"/>
          <w:color w:val="000000"/>
          <w:kern w:val="24"/>
          <w:sz w:val="24"/>
          <w:szCs w:val="24"/>
          <w:lang w:val="en-US" w:eastAsia="zh-CN"/>
        </w:rPr>
        <w:t>:</w:t>
      </w:r>
      <w:r w:rsidRPr="00FA3054">
        <w:rPr>
          <w:rFonts w:ascii="Book Antiqua" w:eastAsia="Times New Roman" w:hAnsi="Book Antiqua" w:cs="Times New Roman"/>
          <w:color w:val="000000"/>
          <w:kern w:val="24"/>
          <w:sz w:val="24"/>
          <w:szCs w:val="24"/>
          <w:lang w:val="en-US" w:eastAsia="it-IT"/>
        </w:rPr>
        <w:t xml:space="preserve"> Eastern Cooperative Oncology Group; PS</w:t>
      </w:r>
      <w:r>
        <w:rPr>
          <w:rFonts w:ascii="Book Antiqua" w:hAnsi="Book Antiqua" w:cs="Times New Roman" w:hint="eastAsia"/>
          <w:color w:val="000000"/>
          <w:kern w:val="24"/>
          <w:sz w:val="24"/>
          <w:szCs w:val="24"/>
          <w:lang w:val="en-US" w:eastAsia="zh-CN"/>
        </w:rPr>
        <w:t>:</w:t>
      </w:r>
      <w:r w:rsidRPr="00FA3054">
        <w:rPr>
          <w:rFonts w:ascii="Book Antiqua" w:eastAsia="Times New Roman" w:hAnsi="Book Antiqua" w:cs="Times New Roman"/>
          <w:color w:val="000000"/>
          <w:kern w:val="24"/>
          <w:sz w:val="24"/>
          <w:szCs w:val="24"/>
          <w:lang w:val="en-US" w:eastAsia="it-IT"/>
        </w:rPr>
        <w:t xml:space="preserve"> Performance Status.</w:t>
      </w:r>
    </w:p>
    <w:p w:rsidR="00FF61F6" w:rsidRPr="00FA3054" w:rsidRDefault="00FF61F6" w:rsidP="00BB7527">
      <w:pPr>
        <w:spacing w:after="0" w:line="360" w:lineRule="auto"/>
        <w:jc w:val="both"/>
        <w:rPr>
          <w:rFonts w:ascii="Book Antiqua" w:eastAsia="Calibri" w:hAnsi="Book Antiqua" w:cs="Arial"/>
          <w:sz w:val="24"/>
          <w:szCs w:val="24"/>
          <w:lang w:val="en-US"/>
        </w:rPr>
      </w:pPr>
    </w:p>
    <w:p w:rsidR="00FF61F6" w:rsidRPr="00FA3054" w:rsidRDefault="00FF61F6" w:rsidP="00BB7527">
      <w:pPr>
        <w:spacing w:after="0" w:line="360" w:lineRule="auto"/>
        <w:jc w:val="both"/>
        <w:rPr>
          <w:rFonts w:ascii="Book Antiqua" w:hAnsi="Book Antiqua" w:cs="Times New Roman"/>
          <w:sz w:val="24"/>
          <w:szCs w:val="24"/>
          <w:lang w:val="en-US"/>
        </w:rPr>
      </w:pPr>
    </w:p>
    <w:p w:rsidR="00763D0C" w:rsidRPr="00FA3054" w:rsidRDefault="00763D0C" w:rsidP="00BB7527">
      <w:pPr>
        <w:spacing w:after="0" w:line="360" w:lineRule="auto"/>
        <w:jc w:val="both"/>
        <w:rPr>
          <w:rFonts w:ascii="Book Antiqua" w:hAnsi="Book Antiqua" w:cs="Times New Roman"/>
          <w:sz w:val="24"/>
          <w:szCs w:val="24"/>
          <w:lang w:val="en-US"/>
        </w:rPr>
      </w:pPr>
    </w:p>
    <w:p w:rsidR="00763D0C" w:rsidRPr="00FA3054" w:rsidRDefault="00763D0C" w:rsidP="00BB7527">
      <w:pPr>
        <w:spacing w:after="0" w:line="360" w:lineRule="auto"/>
        <w:jc w:val="both"/>
        <w:rPr>
          <w:rFonts w:ascii="Book Antiqua" w:hAnsi="Book Antiqua" w:cs="Times New Roman"/>
          <w:sz w:val="24"/>
          <w:szCs w:val="24"/>
          <w:lang w:val="en-US"/>
        </w:rPr>
      </w:pPr>
    </w:p>
    <w:p w:rsidR="007171FF" w:rsidRDefault="007171FF">
      <w:pPr>
        <w:rPr>
          <w:rFonts w:ascii="Book Antiqua" w:eastAsia="Calibri" w:hAnsi="Book Antiqua" w:cs="Times New Roman"/>
          <w:b/>
          <w:sz w:val="24"/>
          <w:szCs w:val="24"/>
          <w:lang w:val="en-US"/>
        </w:rPr>
      </w:pPr>
      <w:r>
        <w:rPr>
          <w:rFonts w:ascii="Book Antiqua" w:eastAsia="Calibri" w:hAnsi="Book Antiqua" w:cs="Times New Roman"/>
          <w:b/>
          <w:sz w:val="24"/>
          <w:szCs w:val="24"/>
          <w:lang w:val="en-US"/>
        </w:rPr>
        <w:br w:type="page"/>
      </w:r>
    </w:p>
    <w:p w:rsidR="00763D0C" w:rsidRPr="007171FF" w:rsidRDefault="00E150F9" w:rsidP="00BB7527">
      <w:pPr>
        <w:spacing w:after="0" w:line="360" w:lineRule="auto"/>
        <w:jc w:val="both"/>
        <w:rPr>
          <w:rFonts w:ascii="Book Antiqua" w:hAnsi="Book Antiqua" w:cs="Times New Roman"/>
          <w:b/>
          <w:sz w:val="24"/>
          <w:szCs w:val="24"/>
          <w:lang w:val="en-US" w:eastAsia="zh-CN"/>
        </w:rPr>
      </w:pPr>
      <w:r w:rsidRPr="00FA3054">
        <w:rPr>
          <w:rFonts w:ascii="Book Antiqua" w:eastAsia="Calibri" w:hAnsi="Book Antiqua" w:cs="Times New Roman"/>
          <w:b/>
          <w:sz w:val="24"/>
          <w:szCs w:val="24"/>
          <w:lang w:val="en-US"/>
        </w:rPr>
        <w:lastRenderedPageBreak/>
        <w:t>Table 3</w:t>
      </w:r>
      <w:r w:rsidR="00763D0C" w:rsidRPr="00FA3054">
        <w:rPr>
          <w:rFonts w:ascii="Book Antiqua" w:eastAsia="Calibri" w:hAnsi="Book Antiqua" w:cs="Times New Roman"/>
          <w:b/>
          <w:sz w:val="24"/>
          <w:szCs w:val="24"/>
          <w:lang w:val="en-US"/>
        </w:rPr>
        <w:t xml:space="preserve"> Cox univariate/multivariate</w:t>
      </w:r>
      <w:r w:rsidRPr="00FA3054">
        <w:rPr>
          <w:rFonts w:ascii="Book Antiqua" w:eastAsia="Calibri" w:hAnsi="Book Antiqua" w:cs="Times New Roman"/>
          <w:b/>
          <w:sz w:val="24"/>
          <w:szCs w:val="24"/>
          <w:lang w:val="en-US"/>
        </w:rPr>
        <w:t xml:space="preserve"> regression for time to recurrence</w:t>
      </w:r>
    </w:p>
    <w:p w:rsidR="00763D0C" w:rsidRPr="00FA3054" w:rsidRDefault="00763D0C" w:rsidP="00BB7527">
      <w:pPr>
        <w:spacing w:after="0" w:line="360" w:lineRule="auto"/>
        <w:jc w:val="both"/>
        <w:rPr>
          <w:rFonts w:ascii="Book Antiqua" w:eastAsia="Calibri" w:hAnsi="Book Antiqua" w:cs="Times New Roman"/>
          <w:b/>
          <w:sz w:val="24"/>
          <w:szCs w:val="24"/>
          <w:lang w:val="en-US"/>
        </w:rPr>
      </w:pPr>
    </w:p>
    <w:tbl>
      <w:tblPr>
        <w:tblW w:w="10598" w:type="dxa"/>
        <w:tblBorders>
          <w:top w:val="single" w:sz="8" w:space="0" w:color="000000"/>
          <w:bottom w:val="single" w:sz="8" w:space="0" w:color="000000"/>
        </w:tblBorders>
        <w:tblLayout w:type="fixed"/>
        <w:tblLook w:val="0420" w:firstRow="1" w:lastRow="0" w:firstColumn="0" w:lastColumn="0" w:noHBand="0" w:noVBand="1"/>
      </w:tblPr>
      <w:tblGrid>
        <w:gridCol w:w="3794"/>
        <w:gridCol w:w="2410"/>
        <w:gridCol w:w="1134"/>
        <w:gridCol w:w="2126"/>
        <w:gridCol w:w="1134"/>
      </w:tblGrid>
      <w:tr w:rsidR="00763D0C" w:rsidRPr="00FA3054" w:rsidTr="00332813">
        <w:trPr>
          <w:trHeight w:val="464"/>
        </w:trPr>
        <w:tc>
          <w:tcPr>
            <w:tcW w:w="3794" w:type="dxa"/>
            <w:tcBorders>
              <w:top w:val="single" w:sz="8" w:space="0" w:color="000000"/>
              <w:left w:val="nil"/>
              <w:bottom w:val="nil"/>
              <w:right w:val="nil"/>
            </w:tcBorders>
            <w:shd w:val="clear" w:color="auto" w:fill="auto"/>
          </w:tcPr>
          <w:p w:rsidR="00763D0C" w:rsidRPr="00FA3054" w:rsidRDefault="00763D0C" w:rsidP="007171FF">
            <w:pPr>
              <w:spacing w:after="0" w:line="360" w:lineRule="auto"/>
              <w:jc w:val="both"/>
              <w:rPr>
                <w:rFonts w:ascii="Book Antiqua" w:eastAsia="Times New Roman" w:hAnsi="Book Antiqua" w:cs="Times New Roman"/>
                <w:b/>
                <w:bCs/>
                <w:color w:val="000000"/>
                <w:kern w:val="24"/>
                <w:sz w:val="24"/>
                <w:szCs w:val="24"/>
                <w:lang w:val="en-US" w:eastAsia="it-IT"/>
              </w:rPr>
            </w:pPr>
          </w:p>
        </w:tc>
        <w:tc>
          <w:tcPr>
            <w:tcW w:w="2410" w:type="dxa"/>
            <w:tcBorders>
              <w:top w:val="single" w:sz="8" w:space="0" w:color="000000"/>
              <w:left w:val="nil"/>
              <w:bottom w:val="nil"/>
              <w:right w:val="nil"/>
            </w:tcBorders>
            <w:shd w:val="clear" w:color="auto" w:fill="auto"/>
          </w:tcPr>
          <w:p w:rsidR="00763D0C" w:rsidRPr="00FA3054" w:rsidRDefault="00763D0C" w:rsidP="007171FF">
            <w:pPr>
              <w:spacing w:after="0" w:line="360" w:lineRule="auto"/>
              <w:jc w:val="both"/>
              <w:rPr>
                <w:rFonts w:ascii="Book Antiqua" w:eastAsia="Times New Roman" w:hAnsi="Book Antiqua" w:cs="Times New Roman"/>
                <w:b/>
                <w:bCs/>
                <w:color w:val="000000"/>
                <w:kern w:val="24"/>
                <w:sz w:val="24"/>
                <w:szCs w:val="24"/>
                <w:lang w:eastAsia="it-IT"/>
              </w:rPr>
            </w:pPr>
            <w:r w:rsidRPr="00FA3054">
              <w:rPr>
                <w:rFonts w:ascii="Book Antiqua" w:eastAsia="Times New Roman" w:hAnsi="Book Antiqua" w:cs="Times New Roman"/>
                <w:b/>
                <w:bCs/>
                <w:color w:val="000000"/>
                <w:kern w:val="24"/>
                <w:sz w:val="24"/>
                <w:szCs w:val="24"/>
                <w:lang w:eastAsia="it-IT"/>
              </w:rPr>
              <w:t>Univariate</w:t>
            </w:r>
          </w:p>
          <w:p w:rsidR="00763D0C" w:rsidRPr="00FA3054" w:rsidRDefault="00763D0C" w:rsidP="007171FF">
            <w:pPr>
              <w:spacing w:after="0" w:line="360" w:lineRule="auto"/>
              <w:jc w:val="both"/>
              <w:rPr>
                <w:rFonts w:ascii="Book Antiqua" w:eastAsia="Times New Roman" w:hAnsi="Book Antiqua" w:cs="Times New Roman"/>
                <w:b/>
                <w:bCs/>
                <w:color w:val="000000"/>
                <w:kern w:val="24"/>
                <w:sz w:val="24"/>
                <w:szCs w:val="24"/>
                <w:lang w:eastAsia="it-IT"/>
              </w:rPr>
            </w:pPr>
            <w:r w:rsidRPr="00FA3054">
              <w:rPr>
                <w:rFonts w:ascii="Book Antiqua" w:eastAsia="Times New Roman" w:hAnsi="Book Antiqua" w:cs="Times New Roman"/>
                <w:b/>
                <w:bCs/>
                <w:color w:val="000000"/>
                <w:kern w:val="24"/>
                <w:sz w:val="24"/>
                <w:szCs w:val="24"/>
                <w:lang w:eastAsia="it-IT"/>
              </w:rPr>
              <w:t>Analysis</w:t>
            </w:r>
          </w:p>
        </w:tc>
        <w:tc>
          <w:tcPr>
            <w:tcW w:w="1134" w:type="dxa"/>
            <w:tcBorders>
              <w:top w:val="single" w:sz="8" w:space="0" w:color="000000"/>
              <w:left w:val="nil"/>
              <w:bottom w:val="nil"/>
              <w:right w:val="nil"/>
            </w:tcBorders>
            <w:shd w:val="clear" w:color="auto" w:fill="auto"/>
          </w:tcPr>
          <w:p w:rsidR="00763D0C" w:rsidRPr="00FA3054" w:rsidRDefault="00763D0C" w:rsidP="007171FF">
            <w:pPr>
              <w:spacing w:after="0" w:line="360" w:lineRule="auto"/>
              <w:jc w:val="both"/>
              <w:rPr>
                <w:rFonts w:ascii="Book Antiqua" w:eastAsia="Times New Roman" w:hAnsi="Book Antiqua" w:cs="Times New Roman"/>
                <w:b/>
                <w:bCs/>
                <w:color w:val="000000"/>
                <w:kern w:val="24"/>
                <w:sz w:val="24"/>
                <w:szCs w:val="24"/>
                <w:lang w:eastAsia="it-IT"/>
              </w:rPr>
            </w:pPr>
          </w:p>
        </w:tc>
        <w:tc>
          <w:tcPr>
            <w:tcW w:w="2126" w:type="dxa"/>
            <w:tcBorders>
              <w:top w:val="single" w:sz="8" w:space="0" w:color="000000"/>
              <w:left w:val="nil"/>
              <w:bottom w:val="nil"/>
              <w:right w:val="nil"/>
            </w:tcBorders>
            <w:shd w:val="clear" w:color="auto" w:fill="auto"/>
          </w:tcPr>
          <w:p w:rsidR="00763D0C" w:rsidRPr="00FA3054" w:rsidRDefault="00763D0C" w:rsidP="007171FF">
            <w:pPr>
              <w:spacing w:after="0" w:line="360" w:lineRule="auto"/>
              <w:ind w:right="-108"/>
              <w:jc w:val="both"/>
              <w:rPr>
                <w:rFonts w:ascii="Book Antiqua" w:eastAsia="Times New Roman" w:hAnsi="Book Antiqua" w:cs="Times New Roman"/>
                <w:b/>
                <w:bCs/>
                <w:color w:val="000000"/>
                <w:kern w:val="24"/>
                <w:sz w:val="24"/>
                <w:szCs w:val="24"/>
                <w:lang w:eastAsia="it-IT"/>
              </w:rPr>
            </w:pPr>
            <w:r w:rsidRPr="00FA3054">
              <w:rPr>
                <w:rFonts w:ascii="Book Antiqua" w:eastAsia="Times New Roman" w:hAnsi="Book Antiqua" w:cs="Times New Roman"/>
                <w:b/>
                <w:bCs/>
                <w:color w:val="000000"/>
                <w:kern w:val="24"/>
                <w:sz w:val="24"/>
                <w:szCs w:val="24"/>
                <w:lang w:eastAsia="it-IT"/>
              </w:rPr>
              <w:t xml:space="preserve">Multivariate </w:t>
            </w:r>
          </w:p>
          <w:p w:rsidR="00763D0C" w:rsidRPr="00FA3054" w:rsidRDefault="00763D0C" w:rsidP="007171FF">
            <w:pPr>
              <w:spacing w:after="0" w:line="360" w:lineRule="auto"/>
              <w:ind w:right="-108"/>
              <w:jc w:val="both"/>
              <w:rPr>
                <w:rFonts w:ascii="Book Antiqua" w:eastAsia="Times New Roman" w:hAnsi="Book Antiqua" w:cs="Times New Roman"/>
                <w:b/>
                <w:bCs/>
                <w:color w:val="000000"/>
                <w:kern w:val="24"/>
                <w:sz w:val="24"/>
                <w:szCs w:val="24"/>
                <w:lang w:eastAsia="it-IT"/>
              </w:rPr>
            </w:pPr>
            <w:r w:rsidRPr="00FA3054">
              <w:rPr>
                <w:rFonts w:ascii="Book Antiqua" w:eastAsia="Times New Roman" w:hAnsi="Book Antiqua" w:cs="Times New Roman"/>
                <w:b/>
                <w:bCs/>
                <w:color w:val="000000"/>
                <w:kern w:val="24"/>
                <w:sz w:val="24"/>
                <w:szCs w:val="24"/>
                <w:lang w:eastAsia="it-IT"/>
              </w:rPr>
              <w:t>Analysis</w:t>
            </w:r>
          </w:p>
        </w:tc>
        <w:tc>
          <w:tcPr>
            <w:tcW w:w="1134" w:type="dxa"/>
            <w:tcBorders>
              <w:top w:val="single" w:sz="8" w:space="0" w:color="000000"/>
              <w:bottom w:val="nil"/>
            </w:tcBorders>
            <w:shd w:val="clear" w:color="auto" w:fill="auto"/>
          </w:tcPr>
          <w:p w:rsidR="00763D0C" w:rsidRPr="00FA3054" w:rsidRDefault="00763D0C" w:rsidP="007171FF">
            <w:pPr>
              <w:spacing w:after="0" w:line="360" w:lineRule="auto"/>
              <w:jc w:val="both"/>
              <w:rPr>
                <w:rFonts w:ascii="Book Antiqua" w:eastAsia="Times New Roman" w:hAnsi="Book Antiqua" w:cs="Times New Roman"/>
                <w:b/>
                <w:bCs/>
                <w:color w:val="000000"/>
                <w:kern w:val="24"/>
                <w:sz w:val="24"/>
                <w:szCs w:val="24"/>
                <w:lang w:eastAsia="it-IT"/>
              </w:rPr>
            </w:pPr>
          </w:p>
        </w:tc>
      </w:tr>
      <w:tr w:rsidR="00763D0C" w:rsidRPr="00FA3054" w:rsidTr="00332813">
        <w:trPr>
          <w:trHeight w:val="464"/>
        </w:trPr>
        <w:tc>
          <w:tcPr>
            <w:tcW w:w="3794" w:type="dxa"/>
            <w:tcBorders>
              <w:top w:val="nil"/>
              <w:left w:val="nil"/>
              <w:bottom w:val="single" w:sz="8" w:space="0" w:color="000000"/>
              <w:right w:val="nil"/>
            </w:tcBorders>
            <w:shd w:val="clear" w:color="auto" w:fill="auto"/>
            <w:vAlign w:val="center"/>
            <w:hideMark/>
          </w:tcPr>
          <w:p w:rsidR="00763D0C" w:rsidRPr="00FA3054" w:rsidRDefault="00763D0C" w:rsidP="007171FF">
            <w:pPr>
              <w:spacing w:after="0" w:line="360" w:lineRule="auto"/>
              <w:jc w:val="both"/>
              <w:rPr>
                <w:rFonts w:ascii="Book Antiqua" w:eastAsia="Times New Roman" w:hAnsi="Book Antiqua" w:cs="Times New Roman"/>
                <w:sz w:val="24"/>
                <w:szCs w:val="24"/>
                <w:lang w:eastAsia="it-IT"/>
              </w:rPr>
            </w:pPr>
            <w:r w:rsidRPr="00FA3054">
              <w:rPr>
                <w:rFonts w:ascii="Book Antiqua" w:eastAsia="Times New Roman" w:hAnsi="Book Antiqua" w:cs="Times New Roman"/>
                <w:b/>
                <w:bCs/>
                <w:kern w:val="24"/>
                <w:sz w:val="24"/>
                <w:szCs w:val="24"/>
                <w:lang w:eastAsia="it-IT"/>
              </w:rPr>
              <w:t>Variables</w:t>
            </w:r>
          </w:p>
        </w:tc>
        <w:tc>
          <w:tcPr>
            <w:tcW w:w="2410" w:type="dxa"/>
            <w:tcBorders>
              <w:top w:val="nil"/>
              <w:left w:val="nil"/>
              <w:bottom w:val="single" w:sz="8" w:space="0" w:color="000000"/>
              <w:right w:val="nil"/>
            </w:tcBorders>
            <w:shd w:val="clear" w:color="auto" w:fill="auto"/>
            <w:vAlign w:val="center"/>
            <w:hideMark/>
          </w:tcPr>
          <w:p w:rsidR="00763D0C" w:rsidRPr="00FA3054" w:rsidRDefault="00763D0C" w:rsidP="007171FF">
            <w:pPr>
              <w:spacing w:after="0" w:line="360" w:lineRule="auto"/>
              <w:jc w:val="both"/>
              <w:rPr>
                <w:rFonts w:ascii="Book Antiqua" w:eastAsia="Times New Roman" w:hAnsi="Book Antiqua" w:cs="Times New Roman"/>
                <w:b/>
                <w:bCs/>
                <w:kern w:val="24"/>
                <w:sz w:val="24"/>
                <w:szCs w:val="24"/>
                <w:lang w:eastAsia="it-IT"/>
              </w:rPr>
            </w:pPr>
            <w:r w:rsidRPr="00FA3054">
              <w:rPr>
                <w:rFonts w:ascii="Book Antiqua" w:eastAsia="Times New Roman" w:hAnsi="Book Antiqua" w:cs="Times New Roman"/>
                <w:kern w:val="24"/>
                <w:sz w:val="24"/>
                <w:szCs w:val="24"/>
                <w:lang w:eastAsia="it-IT"/>
              </w:rPr>
              <w:t xml:space="preserve">   </w:t>
            </w:r>
            <w:r w:rsidR="00C03255">
              <w:rPr>
                <w:rFonts w:ascii="Book Antiqua" w:hAnsi="Book Antiqua" w:cs="Times New Roman" w:hint="eastAsia"/>
                <w:b/>
                <w:bCs/>
                <w:kern w:val="24"/>
                <w:sz w:val="24"/>
                <w:szCs w:val="24"/>
                <w:lang w:eastAsia="zh-CN"/>
              </w:rPr>
              <w:t>HR</w:t>
            </w:r>
          </w:p>
          <w:p w:rsidR="00763D0C" w:rsidRPr="00FA3054" w:rsidRDefault="00763D0C" w:rsidP="007171FF">
            <w:pPr>
              <w:spacing w:after="0" w:line="360" w:lineRule="auto"/>
              <w:jc w:val="both"/>
              <w:rPr>
                <w:rFonts w:ascii="Book Antiqua" w:eastAsia="Times New Roman" w:hAnsi="Book Antiqua" w:cs="Times New Roman"/>
                <w:sz w:val="24"/>
                <w:szCs w:val="24"/>
                <w:lang w:eastAsia="it-IT"/>
              </w:rPr>
            </w:pPr>
            <w:r w:rsidRPr="00FA3054">
              <w:rPr>
                <w:rFonts w:ascii="Book Antiqua" w:eastAsia="Times New Roman" w:hAnsi="Book Antiqua" w:cs="Times New Roman"/>
                <w:b/>
                <w:bCs/>
                <w:kern w:val="24"/>
                <w:sz w:val="24"/>
                <w:szCs w:val="24"/>
                <w:lang w:eastAsia="it-IT"/>
              </w:rPr>
              <w:t xml:space="preserve">      (CI 95%)</w:t>
            </w:r>
          </w:p>
        </w:tc>
        <w:tc>
          <w:tcPr>
            <w:tcW w:w="1134" w:type="dxa"/>
            <w:tcBorders>
              <w:top w:val="nil"/>
              <w:left w:val="nil"/>
              <w:bottom w:val="single" w:sz="8" w:space="0" w:color="000000"/>
              <w:right w:val="nil"/>
            </w:tcBorders>
            <w:shd w:val="clear" w:color="auto" w:fill="auto"/>
            <w:vAlign w:val="center"/>
            <w:hideMark/>
          </w:tcPr>
          <w:p w:rsidR="00763D0C" w:rsidRPr="00FA3054" w:rsidRDefault="007171FF" w:rsidP="007171FF">
            <w:pPr>
              <w:spacing w:after="0" w:line="360" w:lineRule="auto"/>
              <w:jc w:val="both"/>
              <w:rPr>
                <w:rFonts w:ascii="Book Antiqua" w:eastAsia="Times New Roman" w:hAnsi="Book Antiqua" w:cs="Times New Roman"/>
                <w:sz w:val="24"/>
                <w:szCs w:val="24"/>
                <w:lang w:eastAsia="it-IT"/>
              </w:rPr>
            </w:pPr>
            <w:r w:rsidRPr="007171FF">
              <w:rPr>
                <w:rFonts w:ascii="Book Antiqua" w:eastAsia="Times New Roman" w:hAnsi="Book Antiqua" w:cs="Times New Roman"/>
                <w:b/>
                <w:bCs/>
                <w:i/>
                <w:kern w:val="24"/>
                <w:sz w:val="24"/>
                <w:szCs w:val="24"/>
                <w:lang w:eastAsia="it-IT"/>
              </w:rPr>
              <w:t>P</w:t>
            </w:r>
            <w:r>
              <w:rPr>
                <w:rFonts w:ascii="Book Antiqua" w:hAnsi="Book Antiqua" w:cs="Times New Roman" w:hint="eastAsia"/>
                <w:b/>
                <w:bCs/>
                <w:kern w:val="24"/>
                <w:sz w:val="24"/>
                <w:szCs w:val="24"/>
                <w:lang w:eastAsia="zh-CN"/>
              </w:rPr>
              <w:t xml:space="preserve"> </w:t>
            </w:r>
            <w:r w:rsidRPr="00FA3054">
              <w:rPr>
                <w:rFonts w:ascii="Book Antiqua" w:eastAsia="Times New Roman" w:hAnsi="Book Antiqua" w:cs="Times New Roman"/>
                <w:b/>
                <w:bCs/>
                <w:kern w:val="24"/>
                <w:sz w:val="24"/>
                <w:szCs w:val="24"/>
                <w:lang w:eastAsia="it-IT"/>
              </w:rPr>
              <w:t>value</w:t>
            </w:r>
          </w:p>
        </w:tc>
        <w:tc>
          <w:tcPr>
            <w:tcW w:w="2126" w:type="dxa"/>
            <w:tcBorders>
              <w:top w:val="nil"/>
              <w:left w:val="nil"/>
              <w:bottom w:val="single" w:sz="8" w:space="0" w:color="000000"/>
              <w:right w:val="nil"/>
            </w:tcBorders>
            <w:shd w:val="clear" w:color="auto" w:fill="auto"/>
            <w:vAlign w:val="center"/>
          </w:tcPr>
          <w:p w:rsidR="00763D0C" w:rsidRPr="00C03255" w:rsidRDefault="00763D0C" w:rsidP="007171FF">
            <w:pPr>
              <w:spacing w:after="0" w:line="360" w:lineRule="auto"/>
              <w:jc w:val="both"/>
              <w:rPr>
                <w:rFonts w:ascii="Book Antiqua" w:hAnsi="Book Antiqua" w:cs="Times New Roman"/>
                <w:b/>
                <w:bCs/>
                <w:kern w:val="24"/>
                <w:sz w:val="24"/>
                <w:szCs w:val="24"/>
                <w:lang w:eastAsia="zh-CN"/>
              </w:rPr>
            </w:pPr>
            <w:r w:rsidRPr="00FA3054">
              <w:rPr>
                <w:rFonts w:ascii="Book Antiqua" w:eastAsia="Times New Roman" w:hAnsi="Book Antiqua" w:cs="Times New Roman"/>
                <w:b/>
                <w:bCs/>
                <w:kern w:val="24"/>
                <w:sz w:val="24"/>
                <w:szCs w:val="24"/>
                <w:lang w:eastAsia="it-IT"/>
              </w:rPr>
              <w:t xml:space="preserve">     </w:t>
            </w:r>
            <w:r w:rsidR="00C03255">
              <w:rPr>
                <w:rFonts w:ascii="Book Antiqua" w:hAnsi="Book Antiqua" w:cs="Times New Roman" w:hint="eastAsia"/>
                <w:b/>
                <w:bCs/>
                <w:kern w:val="24"/>
                <w:sz w:val="24"/>
                <w:szCs w:val="24"/>
                <w:lang w:eastAsia="zh-CN"/>
              </w:rPr>
              <w:t>HR</w:t>
            </w:r>
          </w:p>
          <w:p w:rsidR="00763D0C" w:rsidRPr="00FA3054" w:rsidRDefault="00763D0C" w:rsidP="00C03255">
            <w:pPr>
              <w:spacing w:after="0" w:line="360" w:lineRule="auto"/>
              <w:jc w:val="both"/>
              <w:rPr>
                <w:rFonts w:ascii="Book Antiqua" w:eastAsia="Times New Roman" w:hAnsi="Book Antiqua" w:cs="Times New Roman"/>
                <w:b/>
                <w:bCs/>
                <w:color w:val="000000"/>
                <w:kern w:val="24"/>
                <w:sz w:val="24"/>
                <w:szCs w:val="24"/>
                <w:lang w:eastAsia="it-IT"/>
              </w:rPr>
            </w:pPr>
            <w:r w:rsidRPr="00FA3054">
              <w:rPr>
                <w:rFonts w:ascii="Book Antiqua" w:eastAsia="Times New Roman" w:hAnsi="Book Antiqua" w:cs="Times New Roman"/>
                <w:b/>
                <w:bCs/>
                <w:kern w:val="24"/>
                <w:sz w:val="24"/>
                <w:szCs w:val="24"/>
                <w:lang w:eastAsia="it-IT"/>
              </w:rPr>
              <w:t xml:space="preserve">        (95%</w:t>
            </w:r>
            <w:r w:rsidR="00C03255" w:rsidRPr="00FA3054">
              <w:rPr>
                <w:rFonts w:ascii="Book Antiqua" w:eastAsia="Times New Roman" w:hAnsi="Book Antiqua" w:cs="Times New Roman"/>
                <w:b/>
                <w:bCs/>
                <w:kern w:val="24"/>
                <w:sz w:val="24"/>
                <w:szCs w:val="24"/>
                <w:lang w:eastAsia="it-IT"/>
              </w:rPr>
              <w:t>CI</w:t>
            </w:r>
            <w:r w:rsidRPr="00FA3054">
              <w:rPr>
                <w:rFonts w:ascii="Book Antiqua" w:eastAsia="Times New Roman" w:hAnsi="Book Antiqua" w:cs="Times New Roman"/>
                <w:b/>
                <w:bCs/>
                <w:kern w:val="24"/>
                <w:sz w:val="24"/>
                <w:szCs w:val="24"/>
                <w:lang w:eastAsia="it-IT"/>
              </w:rPr>
              <w:t>)</w:t>
            </w:r>
          </w:p>
        </w:tc>
        <w:tc>
          <w:tcPr>
            <w:tcW w:w="1134" w:type="dxa"/>
            <w:tcBorders>
              <w:top w:val="nil"/>
              <w:left w:val="nil"/>
              <w:bottom w:val="single" w:sz="8" w:space="0" w:color="000000"/>
              <w:right w:val="nil"/>
            </w:tcBorders>
            <w:shd w:val="clear" w:color="auto" w:fill="auto"/>
            <w:vAlign w:val="center"/>
          </w:tcPr>
          <w:p w:rsidR="00763D0C" w:rsidRPr="00FA3054" w:rsidRDefault="007171FF" w:rsidP="007171FF">
            <w:pPr>
              <w:spacing w:after="0" w:line="360" w:lineRule="auto"/>
              <w:jc w:val="both"/>
              <w:rPr>
                <w:rFonts w:ascii="Book Antiqua" w:eastAsia="Times New Roman" w:hAnsi="Book Antiqua" w:cs="Times New Roman"/>
                <w:color w:val="000000"/>
                <w:sz w:val="24"/>
                <w:szCs w:val="24"/>
                <w:lang w:eastAsia="it-IT"/>
              </w:rPr>
            </w:pPr>
            <w:r w:rsidRPr="007171FF">
              <w:rPr>
                <w:rFonts w:ascii="Book Antiqua" w:eastAsia="Times New Roman" w:hAnsi="Book Antiqua" w:cs="Times New Roman"/>
                <w:b/>
                <w:bCs/>
                <w:i/>
                <w:kern w:val="24"/>
                <w:sz w:val="24"/>
                <w:szCs w:val="24"/>
                <w:lang w:eastAsia="it-IT"/>
              </w:rPr>
              <w:t>P</w:t>
            </w:r>
            <w:r>
              <w:rPr>
                <w:rFonts w:ascii="Book Antiqua" w:hAnsi="Book Antiqua" w:cs="Times New Roman" w:hint="eastAsia"/>
                <w:b/>
                <w:bCs/>
                <w:kern w:val="24"/>
                <w:sz w:val="24"/>
                <w:szCs w:val="24"/>
                <w:lang w:eastAsia="zh-CN"/>
              </w:rPr>
              <w:t xml:space="preserve"> </w:t>
            </w:r>
            <w:r w:rsidRPr="00FA3054">
              <w:rPr>
                <w:rFonts w:ascii="Book Antiqua" w:eastAsia="Times New Roman" w:hAnsi="Book Antiqua" w:cs="Times New Roman"/>
                <w:b/>
                <w:bCs/>
                <w:kern w:val="24"/>
                <w:sz w:val="24"/>
                <w:szCs w:val="24"/>
                <w:lang w:eastAsia="it-IT"/>
              </w:rPr>
              <w:t>value</w:t>
            </w:r>
            <w:r w:rsidRPr="00FA3054">
              <w:rPr>
                <w:rFonts w:ascii="Book Antiqua" w:eastAsia="Times New Roman" w:hAnsi="Book Antiqua" w:cs="Times New Roman"/>
                <w:color w:val="000000"/>
                <w:sz w:val="24"/>
                <w:szCs w:val="24"/>
                <w:lang w:eastAsia="it-IT"/>
              </w:rPr>
              <w:t xml:space="preserve"> </w:t>
            </w:r>
          </w:p>
        </w:tc>
      </w:tr>
      <w:tr w:rsidR="00763D0C" w:rsidRPr="00FA3054" w:rsidTr="00332813">
        <w:trPr>
          <w:trHeight w:val="464"/>
        </w:trPr>
        <w:tc>
          <w:tcPr>
            <w:tcW w:w="3794" w:type="dxa"/>
            <w:tcBorders>
              <w:top w:val="single" w:sz="8" w:space="0" w:color="000000"/>
            </w:tcBorders>
            <w:shd w:val="clear" w:color="auto" w:fill="auto"/>
            <w:hideMark/>
          </w:tcPr>
          <w:p w:rsidR="00763D0C" w:rsidRPr="00FA3054" w:rsidRDefault="00763D0C" w:rsidP="007171FF">
            <w:pPr>
              <w:spacing w:after="0" w:line="360" w:lineRule="auto"/>
              <w:jc w:val="both"/>
              <w:rPr>
                <w:rFonts w:ascii="Book Antiqua" w:eastAsia="Times New Roman" w:hAnsi="Book Antiqua" w:cs="Times New Roman"/>
                <w:color w:val="000000"/>
                <w:sz w:val="24"/>
                <w:szCs w:val="24"/>
                <w:lang w:eastAsia="it-IT"/>
              </w:rPr>
            </w:pPr>
            <w:r w:rsidRPr="00FA3054">
              <w:rPr>
                <w:rFonts w:ascii="Book Antiqua" w:eastAsia="Times New Roman" w:hAnsi="Book Antiqua" w:cs="Times New Roman"/>
                <w:color w:val="000000"/>
                <w:kern w:val="24"/>
                <w:sz w:val="24"/>
                <w:szCs w:val="24"/>
                <w:lang w:eastAsia="it-IT"/>
              </w:rPr>
              <w:t xml:space="preserve">Age (reference ≤ 65 </w:t>
            </w:r>
            <w:r w:rsidR="007171FF">
              <w:rPr>
                <w:rFonts w:ascii="Book Antiqua" w:hAnsi="Book Antiqua" w:cs="Times New Roman" w:hint="eastAsia"/>
                <w:color w:val="000000"/>
                <w:kern w:val="24"/>
                <w:sz w:val="24"/>
                <w:szCs w:val="24"/>
                <w:lang w:eastAsia="zh-CN"/>
              </w:rPr>
              <w:t>yr</w:t>
            </w:r>
            <w:r w:rsidRPr="00FA3054">
              <w:rPr>
                <w:rFonts w:ascii="Book Antiqua" w:eastAsia="Times New Roman" w:hAnsi="Book Antiqua" w:cs="Times New Roman"/>
                <w:color w:val="000000"/>
                <w:kern w:val="24"/>
                <w:sz w:val="24"/>
                <w:szCs w:val="24"/>
                <w:lang w:eastAsia="it-IT"/>
              </w:rPr>
              <w:t>)</w:t>
            </w:r>
          </w:p>
        </w:tc>
        <w:tc>
          <w:tcPr>
            <w:tcW w:w="2410" w:type="dxa"/>
            <w:tcBorders>
              <w:top w:val="single" w:sz="8" w:space="0" w:color="000000"/>
            </w:tcBorders>
            <w:shd w:val="clear" w:color="auto" w:fill="auto"/>
            <w:hideMark/>
          </w:tcPr>
          <w:p w:rsidR="00763D0C" w:rsidRPr="00FA3054" w:rsidRDefault="00B7505F" w:rsidP="007171FF">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1.</w:t>
            </w:r>
            <w:r w:rsidR="00C218F6" w:rsidRPr="00FA3054">
              <w:rPr>
                <w:rFonts w:ascii="Book Antiqua" w:eastAsia="Times New Roman" w:hAnsi="Book Antiqua" w:cs="Times New Roman"/>
                <w:color w:val="000000"/>
                <w:kern w:val="24"/>
                <w:sz w:val="24"/>
                <w:szCs w:val="24"/>
                <w:lang w:val="en-US" w:eastAsia="it-IT"/>
              </w:rPr>
              <w:t>01 (0.57-1.59</w:t>
            </w:r>
            <w:r w:rsidR="00763D0C" w:rsidRPr="00FA3054">
              <w:rPr>
                <w:rFonts w:ascii="Book Antiqua" w:eastAsia="Times New Roman" w:hAnsi="Book Antiqua" w:cs="Times New Roman"/>
                <w:color w:val="000000"/>
                <w:kern w:val="24"/>
                <w:sz w:val="24"/>
                <w:szCs w:val="24"/>
                <w:lang w:val="en-US" w:eastAsia="it-IT"/>
              </w:rPr>
              <w:t>)</w:t>
            </w:r>
          </w:p>
        </w:tc>
        <w:tc>
          <w:tcPr>
            <w:tcW w:w="1134" w:type="dxa"/>
            <w:tcBorders>
              <w:top w:val="single" w:sz="8" w:space="0" w:color="000000"/>
            </w:tcBorders>
            <w:shd w:val="clear" w:color="auto" w:fill="auto"/>
            <w:hideMark/>
          </w:tcPr>
          <w:p w:rsidR="00763D0C" w:rsidRPr="00FA3054" w:rsidRDefault="00C218F6" w:rsidP="007171FF">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 xml:space="preserve">  0.61</w:t>
            </w:r>
          </w:p>
        </w:tc>
        <w:tc>
          <w:tcPr>
            <w:tcW w:w="2126" w:type="dxa"/>
            <w:tcBorders>
              <w:top w:val="single" w:sz="8" w:space="0" w:color="000000"/>
            </w:tcBorders>
            <w:shd w:val="clear" w:color="auto" w:fill="auto"/>
          </w:tcPr>
          <w:p w:rsidR="00763D0C" w:rsidRPr="00FA3054" w:rsidRDefault="00763D0C" w:rsidP="007171FF">
            <w:pPr>
              <w:spacing w:after="0" w:line="360" w:lineRule="auto"/>
              <w:jc w:val="both"/>
              <w:rPr>
                <w:rFonts w:ascii="Book Antiqua" w:eastAsia="Times New Roman" w:hAnsi="Book Antiqua" w:cs="Times New Roman"/>
                <w:color w:val="000000"/>
                <w:kern w:val="24"/>
                <w:sz w:val="24"/>
                <w:szCs w:val="24"/>
                <w:lang w:val="en-US" w:eastAsia="it-IT"/>
              </w:rPr>
            </w:pPr>
          </w:p>
        </w:tc>
        <w:tc>
          <w:tcPr>
            <w:tcW w:w="1134" w:type="dxa"/>
            <w:tcBorders>
              <w:top w:val="single" w:sz="8" w:space="0" w:color="000000"/>
            </w:tcBorders>
            <w:shd w:val="clear" w:color="auto" w:fill="auto"/>
          </w:tcPr>
          <w:p w:rsidR="00763D0C" w:rsidRPr="00FA3054" w:rsidRDefault="00763D0C" w:rsidP="007171FF">
            <w:pPr>
              <w:spacing w:after="0" w:line="360" w:lineRule="auto"/>
              <w:jc w:val="both"/>
              <w:rPr>
                <w:rFonts w:ascii="Book Antiqua" w:eastAsia="Times New Roman" w:hAnsi="Book Antiqua" w:cs="Times New Roman"/>
                <w:color w:val="000000"/>
                <w:kern w:val="24"/>
                <w:sz w:val="24"/>
                <w:szCs w:val="24"/>
                <w:lang w:val="en-US" w:eastAsia="it-IT"/>
              </w:rPr>
            </w:pPr>
          </w:p>
        </w:tc>
      </w:tr>
      <w:tr w:rsidR="00763D0C" w:rsidRPr="00FA3054" w:rsidTr="007171FF">
        <w:trPr>
          <w:trHeight w:val="464"/>
        </w:trPr>
        <w:tc>
          <w:tcPr>
            <w:tcW w:w="3794" w:type="dxa"/>
            <w:tcBorders>
              <w:left w:val="nil"/>
              <w:bottom w:val="nil"/>
              <w:right w:val="nil"/>
            </w:tcBorders>
            <w:shd w:val="clear" w:color="auto" w:fill="auto"/>
            <w:hideMark/>
          </w:tcPr>
          <w:p w:rsidR="00763D0C" w:rsidRPr="00FA3054" w:rsidRDefault="00763D0C" w:rsidP="007171FF">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Gender (reference F)</w:t>
            </w:r>
          </w:p>
        </w:tc>
        <w:tc>
          <w:tcPr>
            <w:tcW w:w="2410" w:type="dxa"/>
            <w:tcBorders>
              <w:left w:val="nil"/>
              <w:bottom w:val="nil"/>
              <w:right w:val="nil"/>
            </w:tcBorders>
            <w:shd w:val="clear" w:color="auto" w:fill="auto"/>
            <w:hideMark/>
          </w:tcPr>
          <w:p w:rsidR="00763D0C" w:rsidRPr="00FA3054" w:rsidRDefault="00C218F6" w:rsidP="007171FF">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1.29 (0.63-1.91</w:t>
            </w:r>
            <w:r w:rsidR="00763D0C" w:rsidRPr="00FA3054">
              <w:rPr>
                <w:rFonts w:ascii="Book Antiqua" w:eastAsia="Times New Roman" w:hAnsi="Book Antiqua" w:cs="Times New Roman"/>
                <w:color w:val="000000"/>
                <w:kern w:val="24"/>
                <w:sz w:val="24"/>
                <w:szCs w:val="24"/>
                <w:lang w:val="en-US" w:eastAsia="it-IT"/>
              </w:rPr>
              <w:t xml:space="preserve">) </w:t>
            </w:r>
          </w:p>
        </w:tc>
        <w:tc>
          <w:tcPr>
            <w:tcW w:w="1134" w:type="dxa"/>
            <w:tcBorders>
              <w:left w:val="nil"/>
              <w:bottom w:val="nil"/>
              <w:right w:val="nil"/>
            </w:tcBorders>
            <w:shd w:val="clear" w:color="auto" w:fill="auto"/>
            <w:hideMark/>
          </w:tcPr>
          <w:p w:rsidR="00763D0C" w:rsidRPr="00FA3054" w:rsidRDefault="00C218F6" w:rsidP="007171FF">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 xml:space="preserve">  0.52</w:t>
            </w:r>
          </w:p>
        </w:tc>
        <w:tc>
          <w:tcPr>
            <w:tcW w:w="2126" w:type="dxa"/>
            <w:tcBorders>
              <w:left w:val="nil"/>
              <w:bottom w:val="nil"/>
              <w:right w:val="nil"/>
            </w:tcBorders>
            <w:shd w:val="clear" w:color="auto" w:fill="auto"/>
          </w:tcPr>
          <w:p w:rsidR="00763D0C" w:rsidRPr="00FA3054" w:rsidRDefault="00763D0C" w:rsidP="007171FF">
            <w:pPr>
              <w:spacing w:after="0" w:line="360" w:lineRule="auto"/>
              <w:jc w:val="both"/>
              <w:rPr>
                <w:rFonts w:ascii="Book Antiqua" w:eastAsia="Times New Roman" w:hAnsi="Book Antiqua" w:cs="Times New Roman"/>
                <w:color w:val="000000"/>
                <w:kern w:val="24"/>
                <w:sz w:val="24"/>
                <w:szCs w:val="24"/>
                <w:lang w:val="en-US" w:eastAsia="it-IT"/>
              </w:rPr>
            </w:pPr>
          </w:p>
        </w:tc>
        <w:tc>
          <w:tcPr>
            <w:tcW w:w="1134" w:type="dxa"/>
            <w:tcBorders>
              <w:left w:val="nil"/>
              <w:bottom w:val="nil"/>
              <w:right w:val="nil"/>
            </w:tcBorders>
            <w:shd w:val="clear" w:color="auto" w:fill="auto"/>
          </w:tcPr>
          <w:p w:rsidR="00763D0C" w:rsidRPr="00FA3054" w:rsidRDefault="00763D0C" w:rsidP="007171FF">
            <w:pPr>
              <w:spacing w:after="0" w:line="360" w:lineRule="auto"/>
              <w:jc w:val="both"/>
              <w:rPr>
                <w:rFonts w:ascii="Book Antiqua" w:eastAsia="Times New Roman" w:hAnsi="Book Antiqua" w:cs="Times New Roman"/>
                <w:color w:val="000000"/>
                <w:kern w:val="24"/>
                <w:sz w:val="24"/>
                <w:szCs w:val="24"/>
                <w:lang w:val="en-US" w:eastAsia="it-IT"/>
              </w:rPr>
            </w:pPr>
          </w:p>
        </w:tc>
      </w:tr>
      <w:tr w:rsidR="00597F23" w:rsidRPr="00FA3054" w:rsidTr="007171FF">
        <w:trPr>
          <w:trHeight w:val="464"/>
        </w:trPr>
        <w:tc>
          <w:tcPr>
            <w:tcW w:w="3794" w:type="dxa"/>
            <w:tcBorders>
              <w:left w:val="nil"/>
              <w:bottom w:val="nil"/>
              <w:right w:val="nil"/>
            </w:tcBorders>
            <w:shd w:val="clear" w:color="auto" w:fill="auto"/>
          </w:tcPr>
          <w:p w:rsidR="00597F23" w:rsidRPr="00FA3054" w:rsidRDefault="00597F23" w:rsidP="007171FF">
            <w:pPr>
              <w:spacing w:after="0" w:line="360" w:lineRule="auto"/>
              <w:jc w:val="both"/>
              <w:rPr>
                <w:rFonts w:ascii="Book Antiqua" w:eastAsia="Times New Roman" w:hAnsi="Book Antiqua" w:cs="Times New Roman"/>
                <w:color w:val="000000"/>
                <w:kern w:val="24"/>
                <w:sz w:val="24"/>
                <w:szCs w:val="24"/>
                <w:lang w:val="en-US" w:eastAsia="it-IT"/>
              </w:rPr>
            </w:pPr>
            <w:r w:rsidRPr="00FA3054">
              <w:rPr>
                <w:rFonts w:ascii="Book Antiqua" w:eastAsia="Times New Roman" w:hAnsi="Book Antiqua" w:cs="Times New Roman"/>
                <w:color w:val="000000"/>
                <w:kern w:val="24"/>
                <w:sz w:val="24"/>
                <w:szCs w:val="24"/>
                <w:lang w:val="en-US" w:eastAsia="it-IT"/>
              </w:rPr>
              <w:t>Monocyte ratio (reference ≤ 5%)</w:t>
            </w:r>
          </w:p>
        </w:tc>
        <w:tc>
          <w:tcPr>
            <w:tcW w:w="2410" w:type="dxa"/>
            <w:tcBorders>
              <w:left w:val="nil"/>
              <w:bottom w:val="nil"/>
              <w:right w:val="nil"/>
            </w:tcBorders>
            <w:shd w:val="clear" w:color="auto" w:fill="auto"/>
          </w:tcPr>
          <w:p w:rsidR="00597F23" w:rsidRPr="00FA3054" w:rsidRDefault="00597F23" w:rsidP="007171FF">
            <w:pPr>
              <w:spacing w:after="0" w:line="360" w:lineRule="auto"/>
              <w:jc w:val="both"/>
              <w:rPr>
                <w:rFonts w:ascii="Book Antiqua" w:eastAsia="Times New Roman" w:hAnsi="Book Antiqua" w:cs="Times New Roman"/>
                <w:color w:val="000000"/>
                <w:kern w:val="24"/>
                <w:sz w:val="24"/>
                <w:szCs w:val="24"/>
                <w:lang w:val="en-US" w:eastAsia="it-IT"/>
              </w:rPr>
            </w:pPr>
            <w:r w:rsidRPr="00FA3054">
              <w:rPr>
                <w:rFonts w:ascii="Book Antiqua" w:eastAsia="Times New Roman" w:hAnsi="Book Antiqua" w:cs="Times New Roman"/>
                <w:color w:val="000000"/>
                <w:kern w:val="24"/>
                <w:sz w:val="24"/>
                <w:szCs w:val="24"/>
                <w:lang w:val="en-US" w:eastAsia="it-IT"/>
              </w:rPr>
              <w:t>1.23 (0.47-2.11)</w:t>
            </w:r>
          </w:p>
        </w:tc>
        <w:tc>
          <w:tcPr>
            <w:tcW w:w="1134" w:type="dxa"/>
            <w:tcBorders>
              <w:left w:val="nil"/>
              <w:bottom w:val="nil"/>
              <w:right w:val="nil"/>
            </w:tcBorders>
            <w:shd w:val="clear" w:color="auto" w:fill="auto"/>
          </w:tcPr>
          <w:p w:rsidR="00597F23" w:rsidRPr="00FA3054" w:rsidRDefault="00597F23" w:rsidP="007171FF">
            <w:pPr>
              <w:spacing w:after="0" w:line="360" w:lineRule="auto"/>
              <w:jc w:val="both"/>
              <w:rPr>
                <w:rFonts w:ascii="Book Antiqua" w:eastAsia="Times New Roman" w:hAnsi="Book Antiqua" w:cs="Times New Roman"/>
                <w:color w:val="000000"/>
                <w:kern w:val="24"/>
                <w:sz w:val="24"/>
                <w:szCs w:val="24"/>
                <w:lang w:val="en-US" w:eastAsia="it-IT"/>
              </w:rPr>
            </w:pPr>
            <w:r w:rsidRPr="00FA3054">
              <w:rPr>
                <w:rFonts w:ascii="Book Antiqua" w:eastAsia="Times New Roman" w:hAnsi="Book Antiqua" w:cs="Times New Roman"/>
                <w:color w:val="000000"/>
                <w:kern w:val="24"/>
                <w:sz w:val="24"/>
                <w:szCs w:val="24"/>
                <w:lang w:val="en-US" w:eastAsia="it-IT"/>
              </w:rPr>
              <w:t xml:space="preserve">  0.45</w:t>
            </w:r>
          </w:p>
        </w:tc>
        <w:tc>
          <w:tcPr>
            <w:tcW w:w="2126" w:type="dxa"/>
            <w:tcBorders>
              <w:left w:val="nil"/>
              <w:bottom w:val="nil"/>
              <w:right w:val="nil"/>
            </w:tcBorders>
            <w:shd w:val="clear" w:color="auto" w:fill="auto"/>
          </w:tcPr>
          <w:p w:rsidR="00597F23" w:rsidRPr="00FA3054" w:rsidRDefault="00597F23" w:rsidP="007171FF">
            <w:pPr>
              <w:spacing w:after="0" w:line="360" w:lineRule="auto"/>
              <w:jc w:val="both"/>
              <w:rPr>
                <w:rFonts w:ascii="Book Antiqua" w:eastAsia="Times New Roman" w:hAnsi="Book Antiqua" w:cs="Times New Roman"/>
                <w:color w:val="000000"/>
                <w:kern w:val="24"/>
                <w:sz w:val="24"/>
                <w:szCs w:val="24"/>
                <w:lang w:val="en-US" w:eastAsia="it-IT"/>
              </w:rPr>
            </w:pPr>
          </w:p>
        </w:tc>
        <w:tc>
          <w:tcPr>
            <w:tcW w:w="1134" w:type="dxa"/>
            <w:tcBorders>
              <w:left w:val="nil"/>
              <w:bottom w:val="nil"/>
              <w:right w:val="nil"/>
            </w:tcBorders>
            <w:shd w:val="clear" w:color="auto" w:fill="auto"/>
          </w:tcPr>
          <w:p w:rsidR="00597F23" w:rsidRPr="00FA3054" w:rsidRDefault="00597F23" w:rsidP="007171FF">
            <w:pPr>
              <w:spacing w:after="0" w:line="360" w:lineRule="auto"/>
              <w:jc w:val="both"/>
              <w:rPr>
                <w:rFonts w:ascii="Book Antiqua" w:eastAsia="Times New Roman" w:hAnsi="Book Antiqua" w:cs="Times New Roman"/>
                <w:color w:val="000000"/>
                <w:kern w:val="24"/>
                <w:sz w:val="24"/>
                <w:szCs w:val="24"/>
                <w:lang w:val="en-US" w:eastAsia="it-IT"/>
              </w:rPr>
            </w:pPr>
          </w:p>
        </w:tc>
      </w:tr>
      <w:tr w:rsidR="00597F23" w:rsidRPr="00FA3054" w:rsidTr="007171FF">
        <w:trPr>
          <w:trHeight w:val="464"/>
        </w:trPr>
        <w:tc>
          <w:tcPr>
            <w:tcW w:w="3794" w:type="dxa"/>
            <w:tcBorders>
              <w:top w:val="nil"/>
              <w:left w:val="nil"/>
              <w:bottom w:val="nil"/>
              <w:right w:val="nil"/>
            </w:tcBorders>
            <w:shd w:val="clear" w:color="auto" w:fill="auto"/>
          </w:tcPr>
          <w:p w:rsidR="00597F23" w:rsidRPr="00FA3054" w:rsidRDefault="00597F23" w:rsidP="007171FF">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sz w:val="24"/>
                <w:szCs w:val="24"/>
                <w:lang w:val="en-US" w:eastAsia="it-IT"/>
              </w:rPr>
              <w:t>NLR (reference ≤ 2.1)</w:t>
            </w:r>
          </w:p>
        </w:tc>
        <w:tc>
          <w:tcPr>
            <w:tcW w:w="2410" w:type="dxa"/>
            <w:tcBorders>
              <w:top w:val="nil"/>
              <w:left w:val="nil"/>
              <w:bottom w:val="nil"/>
              <w:right w:val="nil"/>
            </w:tcBorders>
            <w:shd w:val="clear" w:color="auto" w:fill="auto"/>
          </w:tcPr>
          <w:p w:rsidR="00597F23" w:rsidRPr="00FA3054" w:rsidRDefault="002D5091" w:rsidP="007171FF">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1.49 (0.88-2.89</w:t>
            </w:r>
            <w:r w:rsidR="00597F23" w:rsidRPr="00FA3054">
              <w:rPr>
                <w:rFonts w:ascii="Book Antiqua" w:eastAsia="Times New Roman" w:hAnsi="Book Antiqua" w:cs="Times New Roman"/>
                <w:color w:val="000000"/>
                <w:kern w:val="24"/>
                <w:sz w:val="24"/>
                <w:szCs w:val="24"/>
                <w:lang w:val="en-US" w:eastAsia="it-IT"/>
              </w:rPr>
              <w:t>)</w:t>
            </w:r>
          </w:p>
        </w:tc>
        <w:tc>
          <w:tcPr>
            <w:tcW w:w="1134" w:type="dxa"/>
            <w:tcBorders>
              <w:top w:val="nil"/>
              <w:left w:val="nil"/>
              <w:bottom w:val="nil"/>
              <w:right w:val="nil"/>
            </w:tcBorders>
            <w:shd w:val="clear" w:color="auto" w:fill="auto"/>
          </w:tcPr>
          <w:p w:rsidR="00597F23" w:rsidRPr="00332813" w:rsidRDefault="00597F23" w:rsidP="007171FF">
            <w:pPr>
              <w:spacing w:after="0" w:line="360" w:lineRule="auto"/>
              <w:jc w:val="both"/>
              <w:rPr>
                <w:rFonts w:ascii="Book Antiqua" w:eastAsia="Times New Roman" w:hAnsi="Book Antiqua" w:cs="Times New Roman"/>
                <w:color w:val="000000"/>
                <w:sz w:val="24"/>
                <w:szCs w:val="24"/>
                <w:lang w:val="en-US" w:eastAsia="it-IT"/>
              </w:rPr>
            </w:pPr>
            <w:r w:rsidRPr="00332813">
              <w:rPr>
                <w:rFonts w:ascii="Book Antiqua" w:eastAsia="Times New Roman" w:hAnsi="Book Antiqua" w:cs="Times New Roman"/>
                <w:color w:val="000000"/>
                <w:kern w:val="24"/>
                <w:sz w:val="24"/>
                <w:szCs w:val="24"/>
                <w:lang w:val="en-US" w:eastAsia="it-IT"/>
              </w:rPr>
              <w:t xml:space="preserve">  </w:t>
            </w:r>
            <w:r w:rsidR="002D5091" w:rsidRPr="00332813">
              <w:rPr>
                <w:rFonts w:ascii="Book Antiqua" w:eastAsia="Times New Roman" w:hAnsi="Book Antiqua" w:cs="Times New Roman"/>
                <w:color w:val="000000"/>
                <w:kern w:val="24"/>
                <w:sz w:val="24"/>
                <w:szCs w:val="24"/>
                <w:lang w:val="en-US" w:eastAsia="it-IT"/>
              </w:rPr>
              <w:t>0.04</w:t>
            </w:r>
          </w:p>
        </w:tc>
        <w:tc>
          <w:tcPr>
            <w:tcW w:w="2126" w:type="dxa"/>
            <w:tcBorders>
              <w:top w:val="nil"/>
              <w:left w:val="nil"/>
              <w:bottom w:val="nil"/>
              <w:right w:val="nil"/>
            </w:tcBorders>
            <w:shd w:val="clear" w:color="auto" w:fill="auto"/>
          </w:tcPr>
          <w:p w:rsidR="00597F23" w:rsidRPr="00332813" w:rsidRDefault="00597F23" w:rsidP="007171FF">
            <w:pPr>
              <w:spacing w:after="0" w:line="360" w:lineRule="auto"/>
              <w:jc w:val="both"/>
              <w:rPr>
                <w:rFonts w:ascii="Book Antiqua" w:eastAsia="Times New Roman" w:hAnsi="Book Antiqua" w:cs="Times New Roman"/>
                <w:color w:val="000000"/>
                <w:kern w:val="24"/>
                <w:sz w:val="24"/>
                <w:szCs w:val="24"/>
                <w:lang w:val="en-US" w:eastAsia="it-IT"/>
              </w:rPr>
            </w:pPr>
            <w:r w:rsidRPr="00332813">
              <w:rPr>
                <w:rFonts w:ascii="Book Antiqua" w:eastAsia="Times New Roman" w:hAnsi="Book Antiqua" w:cs="Times New Roman"/>
                <w:color w:val="000000"/>
                <w:kern w:val="24"/>
                <w:sz w:val="24"/>
                <w:szCs w:val="24"/>
                <w:lang w:val="en-US" w:eastAsia="it-IT"/>
              </w:rPr>
              <w:t xml:space="preserve">        1</w:t>
            </w:r>
            <w:r w:rsidR="00405776" w:rsidRPr="00332813">
              <w:rPr>
                <w:rFonts w:ascii="Book Antiqua" w:eastAsia="Times New Roman" w:hAnsi="Book Antiqua" w:cs="Times New Roman"/>
                <w:color w:val="000000"/>
                <w:kern w:val="24"/>
                <w:sz w:val="24"/>
                <w:szCs w:val="24"/>
                <w:lang w:val="en-US" w:eastAsia="it-IT"/>
              </w:rPr>
              <w:t>.2</w:t>
            </w:r>
            <w:r w:rsidRPr="00332813">
              <w:rPr>
                <w:rFonts w:ascii="Book Antiqua" w:eastAsia="Times New Roman" w:hAnsi="Book Antiqua" w:cs="Times New Roman"/>
                <w:color w:val="000000"/>
                <w:kern w:val="24"/>
                <w:sz w:val="24"/>
                <w:szCs w:val="24"/>
                <w:lang w:val="en-US" w:eastAsia="it-IT"/>
              </w:rPr>
              <w:t>8 (</w:t>
            </w:r>
            <w:r w:rsidR="00405776" w:rsidRPr="00332813">
              <w:rPr>
                <w:rFonts w:ascii="Book Antiqua" w:eastAsia="Times New Roman" w:hAnsi="Book Antiqua" w:cs="Times New Roman"/>
                <w:color w:val="000000"/>
                <w:kern w:val="24"/>
                <w:sz w:val="24"/>
                <w:szCs w:val="24"/>
                <w:lang w:val="en-US" w:eastAsia="it-IT"/>
              </w:rPr>
              <w:t>0.21- 4.75</w:t>
            </w:r>
            <w:r w:rsidRPr="00332813">
              <w:rPr>
                <w:rFonts w:ascii="Book Antiqua" w:eastAsia="Times New Roman" w:hAnsi="Book Antiqua" w:cs="Times New Roman"/>
                <w:color w:val="000000"/>
                <w:kern w:val="24"/>
                <w:sz w:val="24"/>
                <w:szCs w:val="24"/>
                <w:lang w:val="en-US" w:eastAsia="it-IT"/>
              </w:rPr>
              <w:t>)</w:t>
            </w:r>
          </w:p>
        </w:tc>
        <w:tc>
          <w:tcPr>
            <w:tcW w:w="1134" w:type="dxa"/>
            <w:tcBorders>
              <w:top w:val="nil"/>
              <w:left w:val="nil"/>
              <w:bottom w:val="nil"/>
              <w:right w:val="nil"/>
            </w:tcBorders>
            <w:shd w:val="clear" w:color="auto" w:fill="auto"/>
          </w:tcPr>
          <w:p w:rsidR="00597F23" w:rsidRPr="00332813" w:rsidRDefault="00597F23" w:rsidP="007171FF">
            <w:pPr>
              <w:spacing w:after="0" w:line="360" w:lineRule="auto"/>
              <w:jc w:val="both"/>
              <w:rPr>
                <w:rFonts w:ascii="Book Antiqua" w:eastAsia="Times New Roman" w:hAnsi="Book Antiqua" w:cs="Times New Roman"/>
                <w:color w:val="000000"/>
                <w:kern w:val="24"/>
                <w:sz w:val="24"/>
                <w:szCs w:val="24"/>
                <w:lang w:val="en-US" w:eastAsia="it-IT"/>
              </w:rPr>
            </w:pPr>
            <w:r w:rsidRPr="00332813">
              <w:rPr>
                <w:rFonts w:ascii="Book Antiqua" w:eastAsia="Times New Roman" w:hAnsi="Book Antiqua" w:cs="Times New Roman"/>
                <w:color w:val="000000"/>
                <w:kern w:val="24"/>
                <w:sz w:val="24"/>
                <w:szCs w:val="24"/>
                <w:lang w:val="en-US" w:eastAsia="it-IT"/>
              </w:rPr>
              <w:t xml:space="preserve">   </w:t>
            </w:r>
            <w:r w:rsidR="00405776" w:rsidRPr="00332813">
              <w:rPr>
                <w:rFonts w:ascii="Book Antiqua" w:eastAsia="Times New Roman" w:hAnsi="Book Antiqua" w:cs="Times New Roman"/>
                <w:color w:val="000000"/>
                <w:kern w:val="24"/>
                <w:sz w:val="24"/>
                <w:szCs w:val="24"/>
                <w:lang w:val="en-US" w:eastAsia="it-IT"/>
              </w:rPr>
              <w:t>0.26</w:t>
            </w:r>
          </w:p>
        </w:tc>
      </w:tr>
      <w:tr w:rsidR="00597F23" w:rsidRPr="00FA3054" w:rsidTr="007171FF">
        <w:trPr>
          <w:trHeight w:val="464"/>
        </w:trPr>
        <w:tc>
          <w:tcPr>
            <w:tcW w:w="3794" w:type="dxa"/>
            <w:tcBorders>
              <w:top w:val="nil"/>
              <w:left w:val="nil"/>
              <w:bottom w:val="nil"/>
              <w:right w:val="nil"/>
            </w:tcBorders>
            <w:shd w:val="clear" w:color="auto" w:fill="auto"/>
          </w:tcPr>
          <w:p w:rsidR="00597F23" w:rsidRPr="00FA3054" w:rsidRDefault="00597F23" w:rsidP="007171FF">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sz w:val="24"/>
                <w:szCs w:val="24"/>
                <w:lang w:val="en-US" w:eastAsia="it-IT"/>
              </w:rPr>
              <w:t>LMR (reference ≤ 3.96)</w:t>
            </w:r>
          </w:p>
        </w:tc>
        <w:tc>
          <w:tcPr>
            <w:tcW w:w="2410" w:type="dxa"/>
            <w:tcBorders>
              <w:top w:val="nil"/>
              <w:left w:val="nil"/>
              <w:bottom w:val="nil"/>
              <w:right w:val="nil"/>
            </w:tcBorders>
            <w:shd w:val="clear" w:color="auto" w:fill="auto"/>
          </w:tcPr>
          <w:p w:rsidR="00597F23" w:rsidRPr="00FA3054" w:rsidRDefault="00597F23" w:rsidP="007171FF">
            <w:pPr>
              <w:spacing w:after="0" w:line="360" w:lineRule="auto"/>
              <w:jc w:val="both"/>
              <w:rPr>
                <w:rFonts w:ascii="Book Antiqua" w:eastAsia="Times New Roman" w:hAnsi="Book Antiqua" w:cs="Times New Roman"/>
                <w:color w:val="000000"/>
                <w:kern w:val="24"/>
                <w:sz w:val="24"/>
                <w:szCs w:val="24"/>
                <w:lang w:val="en-US" w:eastAsia="it-IT"/>
              </w:rPr>
            </w:pPr>
            <w:r w:rsidRPr="00FA3054">
              <w:rPr>
                <w:rFonts w:ascii="Book Antiqua" w:eastAsia="Times New Roman" w:hAnsi="Book Antiqua" w:cs="Times New Roman"/>
                <w:color w:val="000000"/>
                <w:kern w:val="24"/>
                <w:sz w:val="24"/>
                <w:szCs w:val="24"/>
                <w:lang w:val="en-US" w:eastAsia="it-IT"/>
              </w:rPr>
              <w:t>0.62  (0.40-0.95)</w:t>
            </w:r>
          </w:p>
        </w:tc>
        <w:tc>
          <w:tcPr>
            <w:tcW w:w="1134" w:type="dxa"/>
            <w:tcBorders>
              <w:top w:val="nil"/>
              <w:left w:val="nil"/>
              <w:bottom w:val="nil"/>
              <w:right w:val="nil"/>
            </w:tcBorders>
            <w:shd w:val="clear" w:color="auto" w:fill="auto"/>
          </w:tcPr>
          <w:p w:rsidR="00597F23" w:rsidRPr="00332813" w:rsidRDefault="00597F23" w:rsidP="007171FF">
            <w:pPr>
              <w:spacing w:after="0" w:line="360" w:lineRule="auto"/>
              <w:jc w:val="both"/>
              <w:rPr>
                <w:rFonts w:ascii="Book Antiqua" w:eastAsia="Times New Roman" w:hAnsi="Book Antiqua" w:cs="Times New Roman"/>
                <w:color w:val="000000"/>
                <w:kern w:val="24"/>
                <w:sz w:val="24"/>
                <w:szCs w:val="24"/>
                <w:lang w:val="en-US" w:eastAsia="it-IT"/>
              </w:rPr>
            </w:pPr>
            <w:r w:rsidRPr="00332813">
              <w:rPr>
                <w:rFonts w:ascii="Book Antiqua" w:eastAsia="Times New Roman" w:hAnsi="Book Antiqua" w:cs="Times New Roman"/>
                <w:color w:val="000000"/>
                <w:kern w:val="24"/>
                <w:sz w:val="24"/>
                <w:szCs w:val="24"/>
                <w:lang w:val="en-US" w:eastAsia="it-IT"/>
              </w:rPr>
              <w:t xml:space="preserve">  0.02</w:t>
            </w:r>
          </w:p>
        </w:tc>
        <w:tc>
          <w:tcPr>
            <w:tcW w:w="2126" w:type="dxa"/>
            <w:tcBorders>
              <w:top w:val="nil"/>
              <w:left w:val="nil"/>
              <w:bottom w:val="nil"/>
              <w:right w:val="nil"/>
            </w:tcBorders>
            <w:shd w:val="clear" w:color="auto" w:fill="auto"/>
          </w:tcPr>
          <w:p w:rsidR="00597F23" w:rsidRPr="00332813" w:rsidRDefault="00405776" w:rsidP="007171FF">
            <w:pPr>
              <w:spacing w:after="0" w:line="360" w:lineRule="auto"/>
              <w:jc w:val="both"/>
              <w:rPr>
                <w:rFonts w:ascii="Book Antiqua" w:eastAsia="Times New Roman" w:hAnsi="Book Antiqua" w:cs="Times New Roman"/>
                <w:color w:val="000000"/>
                <w:kern w:val="24"/>
                <w:sz w:val="24"/>
                <w:szCs w:val="24"/>
                <w:lang w:val="en-US" w:eastAsia="it-IT"/>
              </w:rPr>
            </w:pPr>
            <w:r w:rsidRPr="00332813">
              <w:rPr>
                <w:rFonts w:ascii="Book Antiqua" w:eastAsia="Times New Roman" w:hAnsi="Book Antiqua" w:cs="Times New Roman"/>
                <w:color w:val="000000"/>
                <w:kern w:val="24"/>
                <w:sz w:val="24"/>
                <w:szCs w:val="24"/>
                <w:lang w:val="en-US" w:eastAsia="it-IT"/>
              </w:rPr>
              <w:t xml:space="preserve">        0.41 (0.25-0.89</w:t>
            </w:r>
            <w:r w:rsidR="00597F23" w:rsidRPr="00332813">
              <w:rPr>
                <w:rFonts w:ascii="Book Antiqua" w:eastAsia="Times New Roman" w:hAnsi="Book Antiqua" w:cs="Times New Roman"/>
                <w:color w:val="000000"/>
                <w:kern w:val="24"/>
                <w:sz w:val="24"/>
                <w:szCs w:val="24"/>
                <w:lang w:val="en-US" w:eastAsia="it-IT"/>
              </w:rPr>
              <w:t xml:space="preserve">) </w:t>
            </w:r>
          </w:p>
        </w:tc>
        <w:tc>
          <w:tcPr>
            <w:tcW w:w="1134" w:type="dxa"/>
            <w:tcBorders>
              <w:top w:val="nil"/>
              <w:left w:val="nil"/>
              <w:bottom w:val="nil"/>
              <w:right w:val="nil"/>
            </w:tcBorders>
            <w:shd w:val="clear" w:color="auto" w:fill="auto"/>
          </w:tcPr>
          <w:p w:rsidR="00597F23" w:rsidRPr="00332813" w:rsidRDefault="00597F23" w:rsidP="007171FF">
            <w:pPr>
              <w:spacing w:after="0" w:line="360" w:lineRule="auto"/>
              <w:jc w:val="both"/>
              <w:rPr>
                <w:rFonts w:ascii="Book Antiqua" w:eastAsia="Times New Roman" w:hAnsi="Book Antiqua" w:cs="Times New Roman"/>
                <w:color w:val="000000"/>
                <w:kern w:val="24"/>
                <w:sz w:val="24"/>
                <w:szCs w:val="24"/>
                <w:lang w:val="en-US" w:eastAsia="it-IT"/>
              </w:rPr>
            </w:pPr>
            <w:r w:rsidRPr="00332813">
              <w:rPr>
                <w:rFonts w:ascii="Book Antiqua" w:eastAsia="Times New Roman" w:hAnsi="Book Antiqua" w:cs="Times New Roman"/>
                <w:color w:val="000000"/>
                <w:kern w:val="24"/>
                <w:sz w:val="24"/>
                <w:szCs w:val="24"/>
                <w:lang w:val="en-US" w:eastAsia="it-IT"/>
              </w:rPr>
              <w:t xml:space="preserve">   </w:t>
            </w:r>
            <w:r w:rsidR="00405776" w:rsidRPr="00332813">
              <w:rPr>
                <w:rFonts w:ascii="Book Antiqua" w:eastAsia="Times New Roman" w:hAnsi="Book Antiqua" w:cs="Times New Roman"/>
                <w:color w:val="000000"/>
                <w:kern w:val="24"/>
                <w:sz w:val="24"/>
                <w:szCs w:val="24"/>
                <w:lang w:val="en-US" w:eastAsia="it-IT"/>
              </w:rPr>
              <w:t>0.01</w:t>
            </w:r>
          </w:p>
        </w:tc>
      </w:tr>
      <w:tr w:rsidR="00763D0C" w:rsidRPr="00FA3054" w:rsidTr="007171FF">
        <w:trPr>
          <w:trHeight w:val="464"/>
        </w:trPr>
        <w:tc>
          <w:tcPr>
            <w:tcW w:w="3794" w:type="dxa"/>
            <w:tcBorders>
              <w:top w:val="nil"/>
              <w:bottom w:val="nil"/>
            </w:tcBorders>
            <w:shd w:val="clear" w:color="auto" w:fill="auto"/>
            <w:hideMark/>
          </w:tcPr>
          <w:p w:rsidR="00763D0C" w:rsidRPr="00FA3054" w:rsidRDefault="00763D0C" w:rsidP="007171FF">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CEA (reference ≤ 38 ng/mL)</w:t>
            </w:r>
          </w:p>
        </w:tc>
        <w:tc>
          <w:tcPr>
            <w:tcW w:w="2410" w:type="dxa"/>
            <w:tcBorders>
              <w:top w:val="nil"/>
              <w:bottom w:val="nil"/>
            </w:tcBorders>
            <w:shd w:val="clear" w:color="auto" w:fill="auto"/>
            <w:hideMark/>
          </w:tcPr>
          <w:p w:rsidR="00763D0C" w:rsidRPr="00FA3054" w:rsidRDefault="002D5091" w:rsidP="007171FF">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1.69 (1.04-4.21</w:t>
            </w:r>
            <w:r w:rsidR="00763D0C" w:rsidRPr="00FA3054">
              <w:rPr>
                <w:rFonts w:ascii="Book Antiqua" w:eastAsia="Times New Roman" w:hAnsi="Book Antiqua" w:cs="Times New Roman"/>
                <w:color w:val="000000"/>
                <w:kern w:val="24"/>
                <w:sz w:val="24"/>
                <w:szCs w:val="24"/>
                <w:lang w:val="en-US" w:eastAsia="it-IT"/>
              </w:rPr>
              <w:t xml:space="preserve">) </w:t>
            </w:r>
          </w:p>
        </w:tc>
        <w:tc>
          <w:tcPr>
            <w:tcW w:w="1134" w:type="dxa"/>
            <w:tcBorders>
              <w:top w:val="nil"/>
              <w:bottom w:val="nil"/>
            </w:tcBorders>
            <w:shd w:val="clear" w:color="auto" w:fill="auto"/>
            <w:hideMark/>
          </w:tcPr>
          <w:p w:rsidR="00763D0C" w:rsidRPr="00332813" w:rsidRDefault="002333F3" w:rsidP="007171FF">
            <w:pPr>
              <w:spacing w:after="0" w:line="360" w:lineRule="auto"/>
              <w:jc w:val="both"/>
              <w:rPr>
                <w:rFonts w:ascii="Book Antiqua" w:eastAsia="Times New Roman" w:hAnsi="Book Antiqua" w:cs="Times New Roman"/>
                <w:color w:val="000000"/>
                <w:sz w:val="24"/>
                <w:szCs w:val="24"/>
                <w:lang w:val="en-US" w:eastAsia="it-IT"/>
              </w:rPr>
            </w:pPr>
            <w:r w:rsidRPr="00332813">
              <w:rPr>
                <w:rFonts w:ascii="Book Antiqua" w:eastAsia="Times New Roman" w:hAnsi="Book Antiqua" w:cs="Times New Roman"/>
                <w:color w:val="000000"/>
                <w:kern w:val="24"/>
                <w:sz w:val="24"/>
                <w:szCs w:val="24"/>
                <w:lang w:val="en-US" w:eastAsia="it-IT"/>
              </w:rPr>
              <w:t xml:space="preserve">  0.02</w:t>
            </w:r>
          </w:p>
        </w:tc>
        <w:tc>
          <w:tcPr>
            <w:tcW w:w="2126" w:type="dxa"/>
            <w:tcBorders>
              <w:top w:val="nil"/>
              <w:bottom w:val="nil"/>
            </w:tcBorders>
            <w:shd w:val="clear" w:color="auto" w:fill="auto"/>
          </w:tcPr>
          <w:p w:rsidR="00763D0C" w:rsidRPr="00332813" w:rsidRDefault="00405776" w:rsidP="007171FF">
            <w:pPr>
              <w:spacing w:after="0" w:line="360" w:lineRule="auto"/>
              <w:jc w:val="both"/>
              <w:rPr>
                <w:rFonts w:ascii="Book Antiqua" w:eastAsia="Times New Roman" w:hAnsi="Book Antiqua" w:cs="Times New Roman"/>
                <w:color w:val="000000"/>
                <w:kern w:val="24"/>
                <w:sz w:val="24"/>
                <w:szCs w:val="24"/>
                <w:lang w:val="en-US" w:eastAsia="it-IT"/>
              </w:rPr>
            </w:pPr>
            <w:r w:rsidRPr="00332813">
              <w:rPr>
                <w:rFonts w:ascii="Book Antiqua" w:eastAsia="Times New Roman" w:hAnsi="Book Antiqua" w:cs="Times New Roman"/>
                <w:color w:val="000000"/>
                <w:kern w:val="24"/>
                <w:sz w:val="24"/>
                <w:szCs w:val="24"/>
                <w:lang w:val="en-US" w:eastAsia="it-IT"/>
              </w:rPr>
              <w:t xml:space="preserve">        1.38 (1.12-3.48</w:t>
            </w:r>
            <w:r w:rsidR="00763D0C" w:rsidRPr="00332813">
              <w:rPr>
                <w:rFonts w:ascii="Book Antiqua" w:eastAsia="Times New Roman" w:hAnsi="Book Antiqua" w:cs="Times New Roman"/>
                <w:color w:val="000000"/>
                <w:kern w:val="24"/>
                <w:sz w:val="24"/>
                <w:szCs w:val="24"/>
                <w:lang w:val="en-US" w:eastAsia="it-IT"/>
              </w:rPr>
              <w:t>)</w:t>
            </w:r>
          </w:p>
        </w:tc>
        <w:tc>
          <w:tcPr>
            <w:tcW w:w="1134" w:type="dxa"/>
            <w:tcBorders>
              <w:top w:val="nil"/>
              <w:bottom w:val="nil"/>
            </w:tcBorders>
            <w:shd w:val="clear" w:color="auto" w:fill="auto"/>
          </w:tcPr>
          <w:p w:rsidR="00763D0C" w:rsidRPr="00332813" w:rsidRDefault="00405776" w:rsidP="007171FF">
            <w:pPr>
              <w:spacing w:after="0" w:line="360" w:lineRule="auto"/>
              <w:jc w:val="both"/>
              <w:rPr>
                <w:rFonts w:ascii="Book Antiqua" w:eastAsia="Times New Roman" w:hAnsi="Book Antiqua" w:cs="Times New Roman"/>
                <w:color w:val="000000"/>
                <w:kern w:val="24"/>
                <w:sz w:val="24"/>
                <w:szCs w:val="24"/>
                <w:lang w:val="en-US" w:eastAsia="it-IT"/>
              </w:rPr>
            </w:pPr>
            <w:r w:rsidRPr="00332813">
              <w:rPr>
                <w:rFonts w:ascii="Book Antiqua" w:eastAsia="Times New Roman" w:hAnsi="Book Antiqua" w:cs="Times New Roman"/>
                <w:color w:val="000000"/>
                <w:kern w:val="24"/>
                <w:sz w:val="24"/>
                <w:szCs w:val="24"/>
                <w:lang w:val="en-US" w:eastAsia="it-IT"/>
              </w:rPr>
              <w:t xml:space="preserve">   0.22</w:t>
            </w:r>
          </w:p>
        </w:tc>
      </w:tr>
      <w:tr w:rsidR="00763D0C" w:rsidRPr="00FA3054" w:rsidTr="007171FF">
        <w:trPr>
          <w:trHeight w:val="464"/>
        </w:trPr>
        <w:tc>
          <w:tcPr>
            <w:tcW w:w="3794" w:type="dxa"/>
            <w:tcBorders>
              <w:top w:val="nil"/>
              <w:left w:val="nil"/>
              <w:bottom w:val="nil"/>
              <w:right w:val="nil"/>
            </w:tcBorders>
            <w:shd w:val="clear" w:color="auto" w:fill="auto"/>
            <w:hideMark/>
          </w:tcPr>
          <w:p w:rsidR="00763D0C" w:rsidRPr="00FA3054" w:rsidRDefault="00763D0C" w:rsidP="007171FF">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Number of nodules (reference 1)</w:t>
            </w:r>
          </w:p>
        </w:tc>
        <w:tc>
          <w:tcPr>
            <w:tcW w:w="2410" w:type="dxa"/>
            <w:tcBorders>
              <w:top w:val="nil"/>
              <w:left w:val="nil"/>
              <w:bottom w:val="nil"/>
              <w:right w:val="nil"/>
            </w:tcBorders>
            <w:shd w:val="clear" w:color="auto" w:fill="auto"/>
            <w:hideMark/>
          </w:tcPr>
          <w:p w:rsidR="00763D0C" w:rsidRPr="00FA3054" w:rsidRDefault="002D5091" w:rsidP="007171FF">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1.41  (1.11</w:t>
            </w:r>
            <w:r w:rsidR="00501F6B" w:rsidRPr="00FA3054">
              <w:rPr>
                <w:rFonts w:ascii="Book Antiqua" w:eastAsia="Times New Roman" w:hAnsi="Book Antiqua" w:cs="Times New Roman"/>
                <w:color w:val="000000"/>
                <w:kern w:val="24"/>
                <w:sz w:val="24"/>
                <w:szCs w:val="24"/>
                <w:lang w:val="en-US" w:eastAsia="it-IT"/>
              </w:rPr>
              <w:t>-3</w:t>
            </w:r>
            <w:r w:rsidRPr="00FA3054">
              <w:rPr>
                <w:rFonts w:ascii="Book Antiqua" w:eastAsia="Times New Roman" w:hAnsi="Book Antiqua" w:cs="Times New Roman"/>
                <w:color w:val="000000"/>
                <w:kern w:val="24"/>
                <w:sz w:val="24"/>
                <w:szCs w:val="24"/>
                <w:lang w:val="en-US" w:eastAsia="it-IT"/>
              </w:rPr>
              <w:t>.64</w:t>
            </w:r>
            <w:r w:rsidR="00763D0C" w:rsidRPr="00FA3054">
              <w:rPr>
                <w:rFonts w:ascii="Book Antiqua" w:eastAsia="Times New Roman" w:hAnsi="Book Antiqua" w:cs="Times New Roman"/>
                <w:color w:val="000000"/>
                <w:kern w:val="24"/>
                <w:sz w:val="24"/>
                <w:szCs w:val="24"/>
                <w:lang w:val="en-US" w:eastAsia="it-IT"/>
              </w:rPr>
              <w:t xml:space="preserve">) </w:t>
            </w:r>
          </w:p>
        </w:tc>
        <w:tc>
          <w:tcPr>
            <w:tcW w:w="1134" w:type="dxa"/>
            <w:tcBorders>
              <w:top w:val="nil"/>
              <w:left w:val="nil"/>
              <w:bottom w:val="nil"/>
              <w:right w:val="nil"/>
            </w:tcBorders>
            <w:shd w:val="clear" w:color="auto" w:fill="auto"/>
            <w:hideMark/>
          </w:tcPr>
          <w:p w:rsidR="00763D0C" w:rsidRPr="00332813" w:rsidRDefault="00501F6B" w:rsidP="007171FF">
            <w:pPr>
              <w:spacing w:after="0" w:line="360" w:lineRule="auto"/>
              <w:jc w:val="both"/>
              <w:rPr>
                <w:rFonts w:ascii="Book Antiqua" w:eastAsia="Times New Roman" w:hAnsi="Book Antiqua" w:cs="Times New Roman"/>
                <w:color w:val="000000"/>
                <w:sz w:val="24"/>
                <w:szCs w:val="24"/>
                <w:lang w:val="en-US" w:eastAsia="it-IT"/>
              </w:rPr>
            </w:pPr>
            <w:r w:rsidRPr="00332813">
              <w:rPr>
                <w:rFonts w:ascii="Book Antiqua" w:eastAsia="Times New Roman" w:hAnsi="Book Antiqua" w:cs="Times New Roman"/>
                <w:bCs/>
                <w:color w:val="000000"/>
                <w:kern w:val="24"/>
                <w:sz w:val="24"/>
                <w:szCs w:val="24"/>
                <w:lang w:val="en-US" w:eastAsia="it-IT"/>
              </w:rPr>
              <w:t xml:space="preserve">  </w:t>
            </w:r>
            <w:r w:rsidR="002D5091" w:rsidRPr="00332813">
              <w:rPr>
                <w:rFonts w:ascii="Book Antiqua" w:eastAsia="Times New Roman" w:hAnsi="Book Antiqua" w:cs="Times New Roman"/>
                <w:bCs/>
                <w:color w:val="000000"/>
                <w:kern w:val="24"/>
                <w:sz w:val="24"/>
                <w:szCs w:val="24"/>
                <w:lang w:val="en-US" w:eastAsia="it-IT"/>
              </w:rPr>
              <w:t>0.05</w:t>
            </w:r>
          </w:p>
        </w:tc>
        <w:tc>
          <w:tcPr>
            <w:tcW w:w="2126" w:type="dxa"/>
            <w:tcBorders>
              <w:top w:val="nil"/>
              <w:left w:val="nil"/>
              <w:bottom w:val="nil"/>
              <w:right w:val="nil"/>
            </w:tcBorders>
            <w:shd w:val="clear" w:color="auto" w:fill="auto"/>
          </w:tcPr>
          <w:p w:rsidR="00763D0C" w:rsidRPr="00332813" w:rsidRDefault="00763D0C" w:rsidP="007171FF">
            <w:pPr>
              <w:spacing w:after="0" w:line="360" w:lineRule="auto"/>
              <w:jc w:val="both"/>
              <w:rPr>
                <w:rFonts w:ascii="Book Antiqua" w:eastAsia="Times New Roman" w:hAnsi="Book Antiqua" w:cs="Times New Roman"/>
                <w:bCs/>
                <w:color w:val="000000"/>
                <w:kern w:val="24"/>
                <w:sz w:val="24"/>
                <w:szCs w:val="24"/>
                <w:lang w:val="en-US" w:eastAsia="it-IT"/>
              </w:rPr>
            </w:pPr>
            <w:r w:rsidRPr="00332813">
              <w:rPr>
                <w:rFonts w:ascii="Book Antiqua" w:eastAsia="Times New Roman" w:hAnsi="Book Antiqua" w:cs="Times New Roman"/>
                <w:bCs/>
                <w:color w:val="000000"/>
                <w:kern w:val="24"/>
                <w:sz w:val="24"/>
                <w:szCs w:val="24"/>
                <w:lang w:val="en-US" w:eastAsia="it-IT"/>
              </w:rPr>
              <w:t xml:space="preserve">        </w:t>
            </w:r>
            <w:r w:rsidR="00405776" w:rsidRPr="00332813">
              <w:rPr>
                <w:rFonts w:ascii="Book Antiqua" w:eastAsia="Times New Roman" w:hAnsi="Book Antiqua" w:cs="Times New Roman"/>
                <w:bCs/>
                <w:color w:val="000000"/>
                <w:kern w:val="24"/>
                <w:sz w:val="24"/>
                <w:szCs w:val="24"/>
                <w:lang w:val="en-US" w:eastAsia="it-IT"/>
              </w:rPr>
              <w:t>1.53 (1.23-3.49)</w:t>
            </w:r>
          </w:p>
        </w:tc>
        <w:tc>
          <w:tcPr>
            <w:tcW w:w="1134" w:type="dxa"/>
            <w:tcBorders>
              <w:top w:val="nil"/>
              <w:left w:val="nil"/>
              <w:bottom w:val="nil"/>
              <w:right w:val="nil"/>
            </w:tcBorders>
            <w:shd w:val="clear" w:color="auto" w:fill="auto"/>
          </w:tcPr>
          <w:p w:rsidR="00763D0C" w:rsidRPr="00332813" w:rsidRDefault="00501F6B" w:rsidP="007171FF">
            <w:pPr>
              <w:spacing w:after="0" w:line="360" w:lineRule="auto"/>
              <w:jc w:val="both"/>
              <w:rPr>
                <w:rFonts w:ascii="Book Antiqua" w:eastAsia="Times New Roman" w:hAnsi="Book Antiqua" w:cs="Times New Roman"/>
                <w:bCs/>
                <w:color w:val="000000"/>
                <w:kern w:val="24"/>
                <w:sz w:val="24"/>
                <w:szCs w:val="24"/>
                <w:lang w:val="en-US" w:eastAsia="it-IT"/>
              </w:rPr>
            </w:pPr>
            <w:r w:rsidRPr="00332813">
              <w:rPr>
                <w:rFonts w:ascii="Book Antiqua" w:eastAsia="Times New Roman" w:hAnsi="Book Antiqua" w:cs="Times New Roman"/>
                <w:bCs/>
                <w:color w:val="000000"/>
                <w:kern w:val="24"/>
                <w:sz w:val="24"/>
                <w:szCs w:val="24"/>
                <w:lang w:val="en-US" w:eastAsia="it-IT"/>
              </w:rPr>
              <w:t xml:space="preserve">   </w:t>
            </w:r>
            <w:r w:rsidR="00405776" w:rsidRPr="00332813">
              <w:rPr>
                <w:rFonts w:ascii="Book Antiqua" w:eastAsia="Times New Roman" w:hAnsi="Book Antiqua" w:cs="Times New Roman"/>
                <w:bCs/>
                <w:color w:val="000000"/>
                <w:kern w:val="24"/>
                <w:sz w:val="24"/>
                <w:szCs w:val="24"/>
                <w:lang w:val="en-US" w:eastAsia="it-IT"/>
              </w:rPr>
              <w:t>0.10</w:t>
            </w:r>
          </w:p>
        </w:tc>
      </w:tr>
      <w:tr w:rsidR="00763D0C" w:rsidRPr="00FA3054" w:rsidTr="007171FF">
        <w:trPr>
          <w:trHeight w:val="464"/>
        </w:trPr>
        <w:tc>
          <w:tcPr>
            <w:tcW w:w="3794" w:type="dxa"/>
            <w:tcBorders>
              <w:top w:val="nil"/>
              <w:bottom w:val="nil"/>
            </w:tcBorders>
            <w:shd w:val="clear" w:color="auto" w:fill="auto"/>
          </w:tcPr>
          <w:p w:rsidR="00763D0C" w:rsidRPr="00FA3054" w:rsidRDefault="00763D0C" w:rsidP="007171FF">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sz w:val="24"/>
                <w:szCs w:val="24"/>
                <w:lang w:val="en-US" w:eastAsia="it-IT"/>
              </w:rPr>
              <w:t xml:space="preserve">Max Diameter (reference </w:t>
            </w:r>
            <w:r w:rsidRPr="00FA3054">
              <w:rPr>
                <w:rFonts w:ascii="Book Antiqua" w:eastAsia="Times New Roman" w:hAnsi="Book Antiqua" w:cs="Times New Roman"/>
                <w:color w:val="000000"/>
                <w:kern w:val="24"/>
                <w:sz w:val="24"/>
                <w:szCs w:val="24"/>
                <w:lang w:val="en-US" w:eastAsia="it-IT"/>
              </w:rPr>
              <w:t>≤ 30 mm)</w:t>
            </w:r>
          </w:p>
        </w:tc>
        <w:tc>
          <w:tcPr>
            <w:tcW w:w="2410" w:type="dxa"/>
            <w:tcBorders>
              <w:top w:val="nil"/>
              <w:bottom w:val="nil"/>
            </w:tcBorders>
            <w:shd w:val="clear" w:color="auto" w:fill="auto"/>
          </w:tcPr>
          <w:p w:rsidR="00763D0C" w:rsidRPr="00FA3054" w:rsidRDefault="002D5091" w:rsidP="007171FF">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sz w:val="24"/>
                <w:szCs w:val="24"/>
                <w:lang w:val="en-US" w:eastAsia="it-IT"/>
              </w:rPr>
              <w:t>2.29</w:t>
            </w:r>
            <w:r w:rsidR="00763D0C" w:rsidRPr="00FA3054">
              <w:rPr>
                <w:rFonts w:ascii="Book Antiqua" w:eastAsia="Times New Roman" w:hAnsi="Book Antiqua" w:cs="Times New Roman"/>
                <w:color w:val="000000"/>
                <w:sz w:val="24"/>
                <w:szCs w:val="24"/>
                <w:lang w:val="en-US" w:eastAsia="it-IT"/>
              </w:rPr>
              <w:t xml:space="preserve"> (</w:t>
            </w:r>
            <w:r w:rsidRPr="00FA3054">
              <w:rPr>
                <w:rFonts w:ascii="Book Antiqua" w:eastAsia="Times New Roman" w:hAnsi="Book Antiqua" w:cs="Times New Roman"/>
                <w:color w:val="000000"/>
                <w:sz w:val="24"/>
                <w:szCs w:val="24"/>
                <w:lang w:val="en-US" w:eastAsia="it-IT"/>
              </w:rPr>
              <w:t>1.58-5.2</w:t>
            </w:r>
            <w:r w:rsidR="00763D0C" w:rsidRPr="00FA3054">
              <w:rPr>
                <w:rFonts w:ascii="Book Antiqua" w:eastAsia="Times New Roman" w:hAnsi="Book Antiqua" w:cs="Times New Roman"/>
                <w:color w:val="000000"/>
                <w:sz w:val="24"/>
                <w:szCs w:val="24"/>
                <w:lang w:val="en-US" w:eastAsia="it-IT"/>
              </w:rPr>
              <w:t>)</w:t>
            </w:r>
          </w:p>
        </w:tc>
        <w:tc>
          <w:tcPr>
            <w:tcW w:w="1134" w:type="dxa"/>
            <w:tcBorders>
              <w:top w:val="nil"/>
              <w:bottom w:val="nil"/>
            </w:tcBorders>
            <w:shd w:val="clear" w:color="auto" w:fill="auto"/>
          </w:tcPr>
          <w:p w:rsidR="00763D0C" w:rsidRPr="00332813" w:rsidRDefault="00763D0C" w:rsidP="007171FF">
            <w:pPr>
              <w:spacing w:after="0" w:line="360" w:lineRule="auto"/>
              <w:jc w:val="both"/>
              <w:rPr>
                <w:rFonts w:ascii="Book Antiqua" w:eastAsia="Times New Roman" w:hAnsi="Book Antiqua" w:cs="Times New Roman"/>
                <w:color w:val="000000"/>
                <w:sz w:val="24"/>
                <w:szCs w:val="24"/>
                <w:lang w:val="en-US" w:eastAsia="it-IT"/>
              </w:rPr>
            </w:pPr>
            <w:r w:rsidRPr="00332813">
              <w:rPr>
                <w:rFonts w:ascii="Book Antiqua" w:eastAsia="Times New Roman" w:hAnsi="Book Antiqua" w:cs="Times New Roman"/>
                <w:color w:val="000000"/>
                <w:sz w:val="24"/>
                <w:szCs w:val="24"/>
                <w:lang w:val="en-US" w:eastAsia="it-IT"/>
              </w:rPr>
              <w:t xml:space="preserve"> &lt;</w:t>
            </w:r>
            <w:r w:rsidR="007171FF" w:rsidRPr="00332813">
              <w:rPr>
                <w:rFonts w:ascii="Book Antiqua" w:hAnsi="Book Antiqua" w:cs="Times New Roman" w:hint="eastAsia"/>
                <w:color w:val="000000"/>
                <w:sz w:val="24"/>
                <w:szCs w:val="24"/>
                <w:lang w:val="en-US" w:eastAsia="zh-CN"/>
              </w:rPr>
              <w:t xml:space="preserve"> </w:t>
            </w:r>
            <w:r w:rsidRPr="00332813">
              <w:rPr>
                <w:rFonts w:ascii="Book Antiqua" w:eastAsia="Times New Roman" w:hAnsi="Book Antiqua" w:cs="Times New Roman"/>
                <w:color w:val="000000"/>
                <w:sz w:val="24"/>
                <w:szCs w:val="24"/>
                <w:lang w:val="en-US" w:eastAsia="it-IT"/>
              </w:rPr>
              <w:t>0.001</w:t>
            </w:r>
          </w:p>
        </w:tc>
        <w:tc>
          <w:tcPr>
            <w:tcW w:w="2126" w:type="dxa"/>
            <w:tcBorders>
              <w:top w:val="nil"/>
              <w:bottom w:val="nil"/>
            </w:tcBorders>
            <w:shd w:val="clear" w:color="auto" w:fill="auto"/>
          </w:tcPr>
          <w:p w:rsidR="00763D0C" w:rsidRPr="00332813" w:rsidRDefault="00405776" w:rsidP="007171FF">
            <w:pPr>
              <w:spacing w:after="0" w:line="360" w:lineRule="auto"/>
              <w:jc w:val="both"/>
              <w:rPr>
                <w:rFonts w:ascii="Book Antiqua" w:eastAsia="Times New Roman" w:hAnsi="Book Antiqua" w:cs="Times New Roman"/>
                <w:bCs/>
                <w:color w:val="000000"/>
                <w:kern w:val="24"/>
                <w:sz w:val="24"/>
                <w:szCs w:val="24"/>
                <w:lang w:val="en-US" w:eastAsia="it-IT"/>
              </w:rPr>
            </w:pPr>
            <w:r w:rsidRPr="00332813">
              <w:rPr>
                <w:rFonts w:ascii="Book Antiqua" w:eastAsia="Times New Roman" w:hAnsi="Book Antiqua" w:cs="Times New Roman"/>
                <w:bCs/>
                <w:color w:val="000000"/>
                <w:kern w:val="24"/>
                <w:sz w:val="24"/>
                <w:szCs w:val="24"/>
                <w:lang w:val="en-US" w:eastAsia="it-IT"/>
              </w:rPr>
              <w:t xml:space="preserve">         3.59 (1.86-6.31</w:t>
            </w:r>
            <w:r w:rsidR="00763D0C" w:rsidRPr="00332813">
              <w:rPr>
                <w:rFonts w:ascii="Book Antiqua" w:eastAsia="Times New Roman" w:hAnsi="Book Antiqua" w:cs="Times New Roman"/>
                <w:bCs/>
                <w:color w:val="000000"/>
                <w:kern w:val="24"/>
                <w:sz w:val="24"/>
                <w:szCs w:val="24"/>
                <w:lang w:val="en-US" w:eastAsia="it-IT"/>
              </w:rPr>
              <w:t>)</w:t>
            </w:r>
          </w:p>
        </w:tc>
        <w:tc>
          <w:tcPr>
            <w:tcW w:w="1134" w:type="dxa"/>
            <w:tcBorders>
              <w:top w:val="nil"/>
              <w:bottom w:val="nil"/>
            </w:tcBorders>
            <w:shd w:val="clear" w:color="auto" w:fill="auto"/>
          </w:tcPr>
          <w:p w:rsidR="00763D0C" w:rsidRPr="00332813" w:rsidRDefault="00763D0C" w:rsidP="007171FF">
            <w:pPr>
              <w:spacing w:after="0" w:line="360" w:lineRule="auto"/>
              <w:jc w:val="both"/>
              <w:rPr>
                <w:rFonts w:ascii="Book Antiqua" w:eastAsia="Times New Roman" w:hAnsi="Book Antiqua" w:cs="Times New Roman"/>
                <w:bCs/>
                <w:color w:val="000000"/>
                <w:kern w:val="24"/>
                <w:sz w:val="24"/>
                <w:szCs w:val="24"/>
                <w:lang w:val="en-US" w:eastAsia="it-IT"/>
              </w:rPr>
            </w:pPr>
            <w:r w:rsidRPr="00332813">
              <w:rPr>
                <w:rFonts w:ascii="Book Antiqua" w:eastAsia="Times New Roman" w:hAnsi="Book Antiqua" w:cs="Times New Roman"/>
                <w:bCs/>
                <w:color w:val="000000"/>
                <w:kern w:val="24"/>
                <w:sz w:val="24"/>
                <w:szCs w:val="24"/>
                <w:lang w:val="en-US" w:eastAsia="it-IT"/>
              </w:rPr>
              <w:t xml:space="preserve">  </w:t>
            </w:r>
            <w:r w:rsidR="00405776" w:rsidRPr="00332813">
              <w:rPr>
                <w:rFonts w:ascii="Book Antiqua" w:eastAsia="Times New Roman" w:hAnsi="Book Antiqua" w:cs="Times New Roman"/>
                <w:bCs/>
                <w:color w:val="000000"/>
                <w:kern w:val="24"/>
                <w:sz w:val="24"/>
                <w:szCs w:val="24"/>
                <w:lang w:val="en-US" w:eastAsia="it-IT"/>
              </w:rPr>
              <w:t>0.003</w:t>
            </w:r>
          </w:p>
        </w:tc>
      </w:tr>
      <w:tr w:rsidR="00763D0C" w:rsidRPr="00FA3054" w:rsidTr="007171FF">
        <w:trPr>
          <w:trHeight w:val="464"/>
        </w:trPr>
        <w:tc>
          <w:tcPr>
            <w:tcW w:w="3794" w:type="dxa"/>
            <w:tcBorders>
              <w:top w:val="nil"/>
              <w:left w:val="nil"/>
              <w:bottom w:val="nil"/>
              <w:right w:val="nil"/>
            </w:tcBorders>
            <w:shd w:val="clear" w:color="auto" w:fill="auto"/>
            <w:hideMark/>
          </w:tcPr>
          <w:p w:rsidR="00763D0C" w:rsidRPr="00FA3054" w:rsidRDefault="00763D0C" w:rsidP="007171FF">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Primary tumor (reference colon)</w:t>
            </w:r>
          </w:p>
        </w:tc>
        <w:tc>
          <w:tcPr>
            <w:tcW w:w="2410" w:type="dxa"/>
            <w:tcBorders>
              <w:top w:val="nil"/>
              <w:left w:val="nil"/>
              <w:bottom w:val="nil"/>
              <w:right w:val="nil"/>
            </w:tcBorders>
            <w:shd w:val="clear" w:color="auto" w:fill="auto"/>
            <w:hideMark/>
          </w:tcPr>
          <w:p w:rsidR="00763D0C" w:rsidRPr="00FA3054" w:rsidRDefault="002D5091" w:rsidP="007171FF">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de-DE" w:eastAsia="it-IT"/>
              </w:rPr>
              <w:t>1.12</w:t>
            </w:r>
            <w:r w:rsidR="005F0CA4" w:rsidRPr="00FA3054">
              <w:rPr>
                <w:rFonts w:ascii="Book Antiqua" w:eastAsia="Times New Roman" w:hAnsi="Book Antiqua" w:cs="Times New Roman"/>
                <w:color w:val="000000"/>
                <w:kern w:val="24"/>
                <w:sz w:val="24"/>
                <w:szCs w:val="24"/>
                <w:lang w:val="de-DE" w:eastAsia="it-IT"/>
              </w:rPr>
              <w:t xml:space="preserve"> (0.52</w:t>
            </w:r>
            <w:r w:rsidRPr="00FA3054">
              <w:rPr>
                <w:rFonts w:ascii="Book Antiqua" w:eastAsia="Times New Roman" w:hAnsi="Book Antiqua" w:cs="Times New Roman"/>
                <w:color w:val="000000"/>
                <w:kern w:val="24"/>
                <w:sz w:val="24"/>
                <w:szCs w:val="24"/>
                <w:lang w:val="de-DE" w:eastAsia="it-IT"/>
              </w:rPr>
              <w:t>-1.64</w:t>
            </w:r>
            <w:r w:rsidR="00763D0C" w:rsidRPr="00FA3054">
              <w:rPr>
                <w:rFonts w:ascii="Book Antiqua" w:eastAsia="Times New Roman" w:hAnsi="Book Antiqua" w:cs="Times New Roman"/>
                <w:color w:val="000000"/>
                <w:kern w:val="24"/>
                <w:sz w:val="24"/>
                <w:szCs w:val="24"/>
                <w:lang w:val="de-DE" w:eastAsia="it-IT"/>
              </w:rPr>
              <w:t xml:space="preserve">) </w:t>
            </w:r>
          </w:p>
        </w:tc>
        <w:tc>
          <w:tcPr>
            <w:tcW w:w="1134" w:type="dxa"/>
            <w:tcBorders>
              <w:top w:val="nil"/>
              <w:left w:val="nil"/>
              <w:bottom w:val="nil"/>
              <w:right w:val="nil"/>
            </w:tcBorders>
            <w:shd w:val="clear" w:color="auto" w:fill="auto"/>
            <w:hideMark/>
          </w:tcPr>
          <w:p w:rsidR="00763D0C" w:rsidRPr="00FA3054" w:rsidRDefault="00763D0C" w:rsidP="007171FF">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b/>
                <w:bCs/>
                <w:color w:val="000000"/>
                <w:kern w:val="24"/>
                <w:sz w:val="24"/>
                <w:szCs w:val="24"/>
                <w:lang w:val="en-US" w:eastAsia="it-IT"/>
              </w:rPr>
              <w:t xml:space="preserve">   </w:t>
            </w:r>
            <w:r w:rsidR="002D5091" w:rsidRPr="00FA3054">
              <w:rPr>
                <w:rFonts w:ascii="Book Antiqua" w:eastAsia="Times New Roman" w:hAnsi="Book Antiqua" w:cs="Times New Roman"/>
                <w:bCs/>
                <w:color w:val="000000"/>
                <w:kern w:val="24"/>
                <w:sz w:val="24"/>
                <w:szCs w:val="24"/>
                <w:lang w:val="en-US" w:eastAsia="it-IT"/>
              </w:rPr>
              <w:t>0.4</w:t>
            </w:r>
            <w:r w:rsidR="005F0CA4" w:rsidRPr="00FA3054">
              <w:rPr>
                <w:rFonts w:ascii="Book Antiqua" w:eastAsia="Times New Roman" w:hAnsi="Book Antiqua" w:cs="Times New Roman"/>
                <w:bCs/>
                <w:color w:val="000000"/>
                <w:kern w:val="24"/>
                <w:sz w:val="24"/>
                <w:szCs w:val="24"/>
                <w:lang w:val="en-US" w:eastAsia="it-IT"/>
              </w:rPr>
              <w:t>8</w:t>
            </w:r>
          </w:p>
        </w:tc>
        <w:tc>
          <w:tcPr>
            <w:tcW w:w="2126" w:type="dxa"/>
            <w:tcBorders>
              <w:top w:val="nil"/>
              <w:left w:val="nil"/>
              <w:bottom w:val="nil"/>
              <w:right w:val="nil"/>
            </w:tcBorders>
            <w:shd w:val="clear" w:color="auto" w:fill="auto"/>
          </w:tcPr>
          <w:p w:rsidR="00763D0C" w:rsidRPr="00FA3054" w:rsidRDefault="00763D0C" w:rsidP="007171FF">
            <w:pPr>
              <w:spacing w:after="0" w:line="360" w:lineRule="auto"/>
              <w:jc w:val="both"/>
              <w:rPr>
                <w:rFonts w:ascii="Book Antiqua" w:eastAsia="Times New Roman" w:hAnsi="Book Antiqua" w:cs="Times New Roman"/>
                <w:bCs/>
                <w:color w:val="000000"/>
                <w:kern w:val="24"/>
                <w:sz w:val="24"/>
                <w:szCs w:val="24"/>
                <w:lang w:val="en-US" w:eastAsia="it-IT"/>
              </w:rPr>
            </w:pPr>
            <w:r w:rsidRPr="00FA3054">
              <w:rPr>
                <w:rFonts w:ascii="Book Antiqua" w:eastAsia="Times New Roman" w:hAnsi="Book Antiqua" w:cs="Times New Roman"/>
                <w:b/>
                <w:bCs/>
                <w:color w:val="000000"/>
                <w:kern w:val="24"/>
                <w:sz w:val="24"/>
                <w:szCs w:val="24"/>
                <w:lang w:val="en-US" w:eastAsia="it-IT"/>
              </w:rPr>
              <w:t xml:space="preserve">    </w:t>
            </w:r>
            <w:r w:rsidRPr="00FA3054">
              <w:rPr>
                <w:rFonts w:ascii="Book Antiqua" w:eastAsia="Times New Roman" w:hAnsi="Book Antiqua" w:cs="Times New Roman"/>
                <w:bCs/>
                <w:color w:val="000000"/>
                <w:kern w:val="24"/>
                <w:sz w:val="24"/>
                <w:szCs w:val="24"/>
                <w:lang w:val="en-US" w:eastAsia="it-IT"/>
              </w:rPr>
              <w:t xml:space="preserve"> </w:t>
            </w:r>
          </w:p>
        </w:tc>
        <w:tc>
          <w:tcPr>
            <w:tcW w:w="1134" w:type="dxa"/>
            <w:tcBorders>
              <w:top w:val="nil"/>
              <w:left w:val="nil"/>
              <w:bottom w:val="nil"/>
              <w:right w:val="nil"/>
            </w:tcBorders>
            <w:shd w:val="clear" w:color="auto" w:fill="auto"/>
          </w:tcPr>
          <w:p w:rsidR="00763D0C" w:rsidRPr="00FA3054" w:rsidRDefault="00763D0C" w:rsidP="007171FF">
            <w:pPr>
              <w:spacing w:after="0" w:line="360" w:lineRule="auto"/>
              <w:jc w:val="both"/>
              <w:rPr>
                <w:rFonts w:ascii="Book Antiqua" w:eastAsia="Times New Roman" w:hAnsi="Book Antiqua" w:cs="Times New Roman"/>
                <w:bCs/>
                <w:color w:val="000000"/>
                <w:kern w:val="24"/>
                <w:sz w:val="24"/>
                <w:szCs w:val="24"/>
                <w:lang w:val="en-US" w:eastAsia="it-IT"/>
              </w:rPr>
            </w:pPr>
            <w:r w:rsidRPr="00FA3054">
              <w:rPr>
                <w:rFonts w:ascii="Book Antiqua" w:eastAsia="Times New Roman" w:hAnsi="Book Antiqua" w:cs="Times New Roman"/>
                <w:bCs/>
                <w:color w:val="000000"/>
                <w:kern w:val="24"/>
                <w:sz w:val="24"/>
                <w:szCs w:val="24"/>
                <w:lang w:val="en-US" w:eastAsia="it-IT"/>
              </w:rPr>
              <w:t xml:space="preserve">   </w:t>
            </w:r>
          </w:p>
        </w:tc>
      </w:tr>
      <w:tr w:rsidR="00763D0C" w:rsidRPr="00FA3054" w:rsidTr="007171FF">
        <w:trPr>
          <w:trHeight w:val="464"/>
        </w:trPr>
        <w:tc>
          <w:tcPr>
            <w:tcW w:w="3794" w:type="dxa"/>
            <w:tcBorders>
              <w:top w:val="nil"/>
              <w:left w:val="nil"/>
              <w:bottom w:val="nil"/>
              <w:right w:val="nil"/>
            </w:tcBorders>
            <w:shd w:val="clear" w:color="auto" w:fill="auto"/>
          </w:tcPr>
          <w:p w:rsidR="00763D0C" w:rsidRPr="00FA3054" w:rsidRDefault="00763D0C" w:rsidP="007171FF">
            <w:pPr>
              <w:spacing w:after="0" w:line="360" w:lineRule="auto"/>
              <w:jc w:val="both"/>
              <w:rPr>
                <w:rFonts w:ascii="Book Antiqua" w:eastAsia="Times New Roman" w:hAnsi="Book Antiqua" w:cs="Times New Roman"/>
                <w:color w:val="000000"/>
                <w:kern w:val="24"/>
                <w:sz w:val="24"/>
                <w:szCs w:val="24"/>
                <w:lang w:val="en-US" w:eastAsia="it-IT"/>
              </w:rPr>
            </w:pPr>
            <w:r w:rsidRPr="00FA3054">
              <w:rPr>
                <w:rFonts w:ascii="Book Antiqua" w:eastAsia="Times New Roman" w:hAnsi="Book Antiqua" w:cs="Times New Roman"/>
                <w:color w:val="000000"/>
                <w:kern w:val="24"/>
                <w:sz w:val="24"/>
                <w:szCs w:val="24"/>
                <w:lang w:val="en-US" w:eastAsia="it-IT"/>
              </w:rPr>
              <w:t>Timing (reference synchronous)</w:t>
            </w:r>
          </w:p>
        </w:tc>
        <w:tc>
          <w:tcPr>
            <w:tcW w:w="2410" w:type="dxa"/>
            <w:tcBorders>
              <w:top w:val="nil"/>
              <w:left w:val="nil"/>
              <w:bottom w:val="nil"/>
              <w:right w:val="nil"/>
            </w:tcBorders>
            <w:shd w:val="clear" w:color="auto" w:fill="auto"/>
          </w:tcPr>
          <w:p w:rsidR="00763D0C" w:rsidRPr="00FA3054" w:rsidRDefault="002D5091" w:rsidP="007171FF">
            <w:pPr>
              <w:spacing w:after="0" w:line="360" w:lineRule="auto"/>
              <w:jc w:val="both"/>
              <w:rPr>
                <w:rFonts w:ascii="Book Antiqua" w:eastAsia="Times New Roman" w:hAnsi="Book Antiqua" w:cs="Times New Roman"/>
                <w:color w:val="000000"/>
                <w:kern w:val="24"/>
                <w:sz w:val="24"/>
                <w:szCs w:val="24"/>
                <w:lang w:val="de-DE" w:eastAsia="it-IT"/>
              </w:rPr>
            </w:pPr>
            <w:r w:rsidRPr="00FA3054">
              <w:rPr>
                <w:rFonts w:ascii="Book Antiqua" w:eastAsia="Times New Roman" w:hAnsi="Book Antiqua" w:cs="Times New Roman"/>
                <w:color w:val="000000"/>
                <w:kern w:val="24"/>
                <w:sz w:val="24"/>
                <w:szCs w:val="24"/>
                <w:lang w:val="de-DE" w:eastAsia="it-IT"/>
              </w:rPr>
              <w:t>1.21 (0.89-1.75</w:t>
            </w:r>
            <w:r w:rsidR="00763D0C" w:rsidRPr="00FA3054">
              <w:rPr>
                <w:rFonts w:ascii="Book Antiqua" w:eastAsia="Times New Roman" w:hAnsi="Book Antiqua" w:cs="Times New Roman"/>
                <w:color w:val="000000"/>
                <w:kern w:val="24"/>
                <w:sz w:val="24"/>
                <w:szCs w:val="24"/>
                <w:lang w:val="de-DE" w:eastAsia="it-IT"/>
              </w:rPr>
              <w:t>)</w:t>
            </w:r>
          </w:p>
        </w:tc>
        <w:tc>
          <w:tcPr>
            <w:tcW w:w="1134" w:type="dxa"/>
            <w:tcBorders>
              <w:top w:val="nil"/>
              <w:left w:val="nil"/>
              <w:bottom w:val="nil"/>
              <w:right w:val="nil"/>
            </w:tcBorders>
            <w:shd w:val="clear" w:color="auto" w:fill="auto"/>
          </w:tcPr>
          <w:p w:rsidR="00763D0C" w:rsidRPr="00FA3054" w:rsidRDefault="00763D0C" w:rsidP="007171FF">
            <w:pPr>
              <w:spacing w:after="0" w:line="360" w:lineRule="auto"/>
              <w:jc w:val="both"/>
              <w:rPr>
                <w:rFonts w:ascii="Book Antiqua" w:eastAsia="Times New Roman" w:hAnsi="Book Antiqua" w:cs="Times New Roman"/>
                <w:bCs/>
                <w:color w:val="000000"/>
                <w:kern w:val="24"/>
                <w:sz w:val="24"/>
                <w:szCs w:val="24"/>
                <w:lang w:val="en-US" w:eastAsia="it-IT"/>
              </w:rPr>
            </w:pPr>
            <w:r w:rsidRPr="00FA3054">
              <w:rPr>
                <w:rFonts w:ascii="Book Antiqua" w:eastAsia="Times New Roman" w:hAnsi="Book Antiqua" w:cs="Times New Roman"/>
                <w:bCs/>
                <w:color w:val="000000"/>
                <w:kern w:val="24"/>
                <w:sz w:val="24"/>
                <w:szCs w:val="24"/>
                <w:lang w:val="en-US" w:eastAsia="it-IT"/>
              </w:rPr>
              <w:t xml:space="preserve">   </w:t>
            </w:r>
            <w:r w:rsidR="002D5091" w:rsidRPr="00FA3054">
              <w:rPr>
                <w:rFonts w:ascii="Book Antiqua" w:eastAsia="Times New Roman" w:hAnsi="Book Antiqua" w:cs="Times New Roman"/>
                <w:bCs/>
                <w:color w:val="000000"/>
                <w:kern w:val="24"/>
                <w:sz w:val="24"/>
                <w:szCs w:val="24"/>
                <w:lang w:val="en-US" w:eastAsia="it-IT"/>
              </w:rPr>
              <w:t>0.41</w:t>
            </w:r>
          </w:p>
        </w:tc>
        <w:tc>
          <w:tcPr>
            <w:tcW w:w="2126" w:type="dxa"/>
            <w:tcBorders>
              <w:top w:val="nil"/>
              <w:left w:val="nil"/>
              <w:bottom w:val="nil"/>
              <w:right w:val="nil"/>
            </w:tcBorders>
            <w:shd w:val="clear" w:color="auto" w:fill="auto"/>
          </w:tcPr>
          <w:p w:rsidR="00763D0C" w:rsidRPr="00FA3054" w:rsidRDefault="00763D0C" w:rsidP="007171FF">
            <w:pPr>
              <w:spacing w:after="0" w:line="360" w:lineRule="auto"/>
              <w:jc w:val="both"/>
              <w:rPr>
                <w:rFonts w:ascii="Book Antiqua" w:eastAsia="Times New Roman" w:hAnsi="Book Antiqua" w:cs="Times New Roman"/>
                <w:b/>
                <w:bCs/>
                <w:color w:val="000000"/>
                <w:kern w:val="24"/>
                <w:sz w:val="24"/>
                <w:szCs w:val="24"/>
                <w:lang w:val="en-US" w:eastAsia="it-IT"/>
              </w:rPr>
            </w:pPr>
          </w:p>
        </w:tc>
        <w:tc>
          <w:tcPr>
            <w:tcW w:w="1134" w:type="dxa"/>
            <w:tcBorders>
              <w:top w:val="nil"/>
              <w:left w:val="nil"/>
              <w:bottom w:val="nil"/>
              <w:right w:val="nil"/>
            </w:tcBorders>
            <w:shd w:val="clear" w:color="auto" w:fill="auto"/>
          </w:tcPr>
          <w:p w:rsidR="00763D0C" w:rsidRPr="00FA3054" w:rsidRDefault="00763D0C" w:rsidP="007171FF">
            <w:pPr>
              <w:spacing w:after="0" w:line="360" w:lineRule="auto"/>
              <w:jc w:val="both"/>
              <w:rPr>
                <w:rFonts w:ascii="Book Antiqua" w:eastAsia="Times New Roman" w:hAnsi="Book Antiqua" w:cs="Times New Roman"/>
                <w:bCs/>
                <w:color w:val="000000"/>
                <w:kern w:val="24"/>
                <w:sz w:val="24"/>
                <w:szCs w:val="24"/>
                <w:lang w:val="en-US" w:eastAsia="it-IT"/>
              </w:rPr>
            </w:pPr>
          </w:p>
        </w:tc>
      </w:tr>
      <w:tr w:rsidR="00763D0C" w:rsidRPr="00FA3054" w:rsidTr="007171FF">
        <w:trPr>
          <w:trHeight w:val="464"/>
        </w:trPr>
        <w:tc>
          <w:tcPr>
            <w:tcW w:w="3794" w:type="dxa"/>
            <w:tcBorders>
              <w:top w:val="nil"/>
              <w:bottom w:val="single" w:sz="8" w:space="0" w:color="000000"/>
            </w:tcBorders>
            <w:shd w:val="clear" w:color="auto" w:fill="auto"/>
            <w:hideMark/>
          </w:tcPr>
          <w:p w:rsidR="00763D0C" w:rsidRPr="00FA3054" w:rsidRDefault="00763D0C" w:rsidP="007171FF">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ECOG PS (reference 0)</w:t>
            </w:r>
          </w:p>
        </w:tc>
        <w:tc>
          <w:tcPr>
            <w:tcW w:w="2410" w:type="dxa"/>
            <w:tcBorders>
              <w:top w:val="nil"/>
              <w:bottom w:val="single" w:sz="8" w:space="0" w:color="000000"/>
            </w:tcBorders>
            <w:shd w:val="clear" w:color="auto" w:fill="auto"/>
            <w:hideMark/>
          </w:tcPr>
          <w:p w:rsidR="00763D0C" w:rsidRPr="00FA3054" w:rsidRDefault="002D5091" w:rsidP="007171FF">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color w:val="000000"/>
                <w:kern w:val="24"/>
                <w:sz w:val="24"/>
                <w:szCs w:val="24"/>
                <w:lang w:val="en-US" w:eastAsia="it-IT"/>
              </w:rPr>
              <w:t>1.01</w:t>
            </w:r>
            <w:r w:rsidR="00763D0C" w:rsidRPr="00FA3054">
              <w:rPr>
                <w:rFonts w:ascii="Book Antiqua" w:eastAsia="Times New Roman" w:hAnsi="Book Antiqua" w:cs="Times New Roman"/>
                <w:color w:val="000000"/>
                <w:kern w:val="24"/>
                <w:sz w:val="24"/>
                <w:szCs w:val="24"/>
                <w:lang w:val="en-US" w:eastAsia="it-IT"/>
              </w:rPr>
              <w:t xml:space="preserve"> </w:t>
            </w:r>
            <w:r w:rsidRPr="00FA3054">
              <w:rPr>
                <w:rFonts w:ascii="Book Antiqua" w:eastAsia="Times New Roman" w:hAnsi="Book Antiqua" w:cs="Times New Roman"/>
                <w:color w:val="000000"/>
                <w:kern w:val="24"/>
                <w:sz w:val="24"/>
                <w:szCs w:val="24"/>
                <w:lang w:val="en-US" w:eastAsia="it-IT"/>
              </w:rPr>
              <w:t>(0.72</w:t>
            </w:r>
            <w:r w:rsidR="005F0CA4" w:rsidRPr="00FA3054">
              <w:rPr>
                <w:rFonts w:ascii="Book Antiqua" w:eastAsia="Times New Roman" w:hAnsi="Book Antiqua" w:cs="Times New Roman"/>
                <w:color w:val="000000"/>
                <w:kern w:val="24"/>
                <w:sz w:val="24"/>
                <w:szCs w:val="24"/>
                <w:lang w:val="en-US" w:eastAsia="it-IT"/>
              </w:rPr>
              <w:t>-1</w:t>
            </w:r>
            <w:r w:rsidRPr="00FA3054">
              <w:rPr>
                <w:rFonts w:ascii="Book Antiqua" w:eastAsia="Times New Roman" w:hAnsi="Book Antiqua" w:cs="Times New Roman"/>
                <w:color w:val="000000"/>
                <w:kern w:val="24"/>
                <w:sz w:val="24"/>
                <w:szCs w:val="24"/>
                <w:lang w:val="en-US" w:eastAsia="it-IT"/>
              </w:rPr>
              <w:t>.34</w:t>
            </w:r>
            <w:r w:rsidR="00763D0C" w:rsidRPr="00FA3054">
              <w:rPr>
                <w:rFonts w:ascii="Book Antiqua" w:eastAsia="Times New Roman" w:hAnsi="Book Antiqua" w:cs="Times New Roman"/>
                <w:color w:val="000000"/>
                <w:kern w:val="24"/>
                <w:sz w:val="24"/>
                <w:szCs w:val="24"/>
                <w:lang w:val="en-US" w:eastAsia="it-IT"/>
              </w:rPr>
              <w:t>)</w:t>
            </w:r>
          </w:p>
        </w:tc>
        <w:tc>
          <w:tcPr>
            <w:tcW w:w="1134" w:type="dxa"/>
            <w:tcBorders>
              <w:top w:val="nil"/>
              <w:bottom w:val="single" w:sz="8" w:space="0" w:color="000000"/>
            </w:tcBorders>
            <w:shd w:val="clear" w:color="auto" w:fill="auto"/>
            <w:hideMark/>
          </w:tcPr>
          <w:p w:rsidR="00763D0C" w:rsidRPr="00FA3054" w:rsidRDefault="00763D0C" w:rsidP="007171FF">
            <w:pPr>
              <w:spacing w:after="0" w:line="360" w:lineRule="auto"/>
              <w:jc w:val="both"/>
              <w:rPr>
                <w:rFonts w:ascii="Book Antiqua" w:eastAsia="Times New Roman" w:hAnsi="Book Antiqua" w:cs="Times New Roman"/>
                <w:color w:val="000000"/>
                <w:sz w:val="24"/>
                <w:szCs w:val="24"/>
                <w:lang w:val="en-US" w:eastAsia="it-IT"/>
              </w:rPr>
            </w:pPr>
            <w:r w:rsidRPr="00FA3054">
              <w:rPr>
                <w:rFonts w:ascii="Book Antiqua" w:eastAsia="Times New Roman" w:hAnsi="Book Antiqua" w:cs="Times New Roman"/>
                <w:bCs/>
                <w:color w:val="000000"/>
                <w:kern w:val="24"/>
                <w:sz w:val="24"/>
                <w:szCs w:val="24"/>
                <w:lang w:val="en-US" w:eastAsia="it-IT"/>
              </w:rPr>
              <w:t xml:space="preserve">    0</w:t>
            </w:r>
            <w:r w:rsidR="002D5091" w:rsidRPr="00FA3054">
              <w:rPr>
                <w:rFonts w:ascii="Book Antiqua" w:eastAsia="Times New Roman" w:hAnsi="Book Antiqua" w:cs="Times New Roman"/>
                <w:bCs/>
                <w:color w:val="000000"/>
                <w:kern w:val="24"/>
                <w:sz w:val="24"/>
                <w:szCs w:val="24"/>
                <w:lang w:val="en-US" w:eastAsia="it-IT"/>
              </w:rPr>
              <w:t>.87</w:t>
            </w:r>
          </w:p>
        </w:tc>
        <w:tc>
          <w:tcPr>
            <w:tcW w:w="2126" w:type="dxa"/>
            <w:tcBorders>
              <w:top w:val="nil"/>
              <w:bottom w:val="single" w:sz="8" w:space="0" w:color="000000"/>
            </w:tcBorders>
            <w:shd w:val="clear" w:color="auto" w:fill="auto"/>
          </w:tcPr>
          <w:p w:rsidR="00763D0C" w:rsidRPr="00FA3054" w:rsidRDefault="00763D0C" w:rsidP="007171FF">
            <w:pPr>
              <w:spacing w:after="0" w:line="360" w:lineRule="auto"/>
              <w:jc w:val="both"/>
              <w:rPr>
                <w:rFonts w:ascii="Book Antiqua" w:eastAsia="Times New Roman" w:hAnsi="Book Antiqua" w:cs="Times New Roman"/>
                <w:bCs/>
                <w:color w:val="000000"/>
                <w:kern w:val="24"/>
                <w:sz w:val="24"/>
                <w:szCs w:val="24"/>
                <w:lang w:val="en-US" w:eastAsia="it-IT"/>
              </w:rPr>
            </w:pPr>
            <w:r w:rsidRPr="00FA3054">
              <w:rPr>
                <w:rFonts w:ascii="Book Antiqua" w:eastAsia="Times New Roman" w:hAnsi="Book Antiqua" w:cs="Times New Roman"/>
                <w:bCs/>
                <w:color w:val="000000"/>
                <w:kern w:val="24"/>
                <w:sz w:val="24"/>
                <w:szCs w:val="24"/>
                <w:lang w:val="en-US" w:eastAsia="it-IT"/>
              </w:rPr>
              <w:t xml:space="preserve">     </w:t>
            </w:r>
          </w:p>
        </w:tc>
        <w:tc>
          <w:tcPr>
            <w:tcW w:w="1134" w:type="dxa"/>
            <w:tcBorders>
              <w:top w:val="nil"/>
              <w:bottom w:val="single" w:sz="8" w:space="0" w:color="000000"/>
            </w:tcBorders>
            <w:shd w:val="clear" w:color="auto" w:fill="auto"/>
          </w:tcPr>
          <w:p w:rsidR="00763D0C" w:rsidRPr="00FA3054" w:rsidRDefault="00763D0C" w:rsidP="007171FF">
            <w:pPr>
              <w:spacing w:after="0" w:line="360" w:lineRule="auto"/>
              <w:jc w:val="both"/>
              <w:rPr>
                <w:rFonts w:ascii="Book Antiqua" w:eastAsia="Times New Roman" w:hAnsi="Book Antiqua" w:cs="Times New Roman"/>
                <w:b/>
                <w:bCs/>
                <w:color w:val="000000"/>
                <w:kern w:val="24"/>
                <w:sz w:val="24"/>
                <w:szCs w:val="24"/>
                <w:lang w:val="en-US" w:eastAsia="it-IT"/>
              </w:rPr>
            </w:pPr>
            <w:r w:rsidRPr="00FA3054">
              <w:rPr>
                <w:rFonts w:ascii="Book Antiqua" w:eastAsia="Times New Roman" w:hAnsi="Book Antiqua" w:cs="Times New Roman"/>
                <w:b/>
                <w:bCs/>
                <w:color w:val="000000"/>
                <w:kern w:val="24"/>
                <w:sz w:val="24"/>
                <w:szCs w:val="24"/>
                <w:lang w:val="en-US" w:eastAsia="it-IT"/>
              </w:rPr>
              <w:t xml:space="preserve">  </w:t>
            </w:r>
          </w:p>
        </w:tc>
      </w:tr>
    </w:tbl>
    <w:p w:rsidR="007171FF" w:rsidRPr="00FA3054" w:rsidRDefault="007171FF" w:rsidP="007171FF">
      <w:pPr>
        <w:spacing w:after="0" w:line="360" w:lineRule="auto"/>
        <w:jc w:val="both"/>
        <w:rPr>
          <w:rFonts w:ascii="Book Antiqua" w:eastAsia="Calibri" w:hAnsi="Book Antiqua" w:cs="Arial"/>
          <w:sz w:val="24"/>
          <w:szCs w:val="24"/>
          <w:lang w:val="en-US"/>
        </w:rPr>
      </w:pPr>
      <w:r w:rsidRPr="00FA3054">
        <w:rPr>
          <w:rFonts w:ascii="Book Antiqua" w:eastAsia="Times New Roman" w:hAnsi="Book Antiqua" w:cs="Times New Roman"/>
          <w:color w:val="000000"/>
          <w:kern w:val="24"/>
          <w:sz w:val="24"/>
          <w:szCs w:val="24"/>
          <w:lang w:val="en-US" w:eastAsia="it-IT"/>
        </w:rPr>
        <w:t>NLR</w:t>
      </w:r>
      <w:r>
        <w:rPr>
          <w:rFonts w:ascii="Book Antiqua" w:hAnsi="Book Antiqua" w:cs="Times New Roman" w:hint="eastAsia"/>
          <w:color w:val="000000"/>
          <w:kern w:val="24"/>
          <w:sz w:val="24"/>
          <w:szCs w:val="24"/>
          <w:lang w:val="en-US" w:eastAsia="zh-CN"/>
        </w:rPr>
        <w:t>:</w:t>
      </w:r>
      <w:r w:rsidRPr="00FA3054">
        <w:rPr>
          <w:rFonts w:ascii="Book Antiqua" w:eastAsia="Times New Roman" w:hAnsi="Book Antiqua" w:cs="Times New Roman"/>
          <w:color w:val="000000"/>
          <w:kern w:val="24"/>
          <w:sz w:val="24"/>
          <w:szCs w:val="24"/>
          <w:lang w:val="en-US" w:eastAsia="it-IT"/>
        </w:rPr>
        <w:t xml:space="preserve"> Neutrophil-to-Lymphocyte Ratio; LMR</w:t>
      </w:r>
      <w:r>
        <w:rPr>
          <w:rFonts w:ascii="Book Antiqua" w:hAnsi="Book Antiqua" w:cs="Times New Roman" w:hint="eastAsia"/>
          <w:color w:val="000000"/>
          <w:kern w:val="24"/>
          <w:sz w:val="24"/>
          <w:szCs w:val="24"/>
          <w:lang w:val="en-US" w:eastAsia="zh-CN"/>
        </w:rPr>
        <w:t>:</w:t>
      </w:r>
      <w:r w:rsidRPr="00FA3054">
        <w:rPr>
          <w:rFonts w:ascii="Book Antiqua" w:eastAsia="Times New Roman" w:hAnsi="Book Antiqua" w:cs="Times New Roman"/>
          <w:color w:val="000000"/>
          <w:kern w:val="24"/>
          <w:sz w:val="24"/>
          <w:szCs w:val="24"/>
          <w:lang w:val="en-US" w:eastAsia="it-IT"/>
        </w:rPr>
        <w:t xml:space="preserve"> Lymphocyte-to-Monocyte Ratio; CEA</w:t>
      </w:r>
      <w:r>
        <w:rPr>
          <w:rFonts w:ascii="Book Antiqua" w:hAnsi="Book Antiqua" w:cs="Times New Roman" w:hint="eastAsia"/>
          <w:color w:val="000000"/>
          <w:kern w:val="24"/>
          <w:sz w:val="24"/>
          <w:szCs w:val="24"/>
          <w:lang w:val="en-US" w:eastAsia="zh-CN"/>
        </w:rPr>
        <w:t>:</w:t>
      </w:r>
      <w:r w:rsidRPr="00FA3054">
        <w:rPr>
          <w:rFonts w:ascii="Book Antiqua" w:eastAsia="Times New Roman" w:hAnsi="Book Antiqua" w:cs="Times New Roman"/>
          <w:color w:val="000000"/>
          <w:kern w:val="24"/>
          <w:sz w:val="24"/>
          <w:szCs w:val="24"/>
          <w:lang w:val="en-US" w:eastAsia="it-IT"/>
        </w:rPr>
        <w:t xml:space="preserve"> Carcinoembryonic Antigen; ECOG</w:t>
      </w:r>
      <w:r>
        <w:rPr>
          <w:rFonts w:ascii="Book Antiqua" w:hAnsi="Book Antiqua" w:cs="Times New Roman" w:hint="eastAsia"/>
          <w:color w:val="000000"/>
          <w:kern w:val="24"/>
          <w:sz w:val="24"/>
          <w:szCs w:val="24"/>
          <w:lang w:val="en-US" w:eastAsia="zh-CN"/>
        </w:rPr>
        <w:t>:</w:t>
      </w:r>
      <w:r w:rsidRPr="00FA3054">
        <w:rPr>
          <w:rFonts w:ascii="Book Antiqua" w:eastAsia="Times New Roman" w:hAnsi="Book Antiqua" w:cs="Times New Roman"/>
          <w:color w:val="000000"/>
          <w:kern w:val="24"/>
          <w:sz w:val="24"/>
          <w:szCs w:val="24"/>
          <w:lang w:val="en-US" w:eastAsia="it-IT"/>
        </w:rPr>
        <w:t xml:space="preserve"> Eastern Cooperative Oncology Group; PS</w:t>
      </w:r>
      <w:r>
        <w:rPr>
          <w:rFonts w:ascii="Book Antiqua" w:hAnsi="Book Antiqua" w:cs="Times New Roman" w:hint="eastAsia"/>
          <w:color w:val="000000"/>
          <w:kern w:val="24"/>
          <w:sz w:val="24"/>
          <w:szCs w:val="24"/>
          <w:lang w:val="en-US" w:eastAsia="zh-CN"/>
        </w:rPr>
        <w:t>:</w:t>
      </w:r>
      <w:r w:rsidRPr="00FA3054">
        <w:rPr>
          <w:rFonts w:ascii="Book Antiqua" w:eastAsia="Times New Roman" w:hAnsi="Book Antiqua" w:cs="Times New Roman"/>
          <w:color w:val="000000"/>
          <w:kern w:val="24"/>
          <w:sz w:val="24"/>
          <w:szCs w:val="24"/>
          <w:lang w:val="en-US" w:eastAsia="it-IT"/>
        </w:rPr>
        <w:t xml:space="preserve"> Performance Status.</w:t>
      </w:r>
    </w:p>
    <w:p w:rsidR="00763D0C" w:rsidRPr="00FA3054" w:rsidRDefault="00763D0C" w:rsidP="00BB7527">
      <w:pPr>
        <w:spacing w:after="0" w:line="360" w:lineRule="auto"/>
        <w:jc w:val="both"/>
        <w:rPr>
          <w:rFonts w:ascii="Book Antiqua" w:eastAsia="Calibri" w:hAnsi="Book Antiqua" w:cs="Arial"/>
          <w:sz w:val="24"/>
          <w:szCs w:val="24"/>
          <w:lang w:val="en-US"/>
        </w:rPr>
      </w:pPr>
    </w:p>
    <w:p w:rsidR="00763D0C" w:rsidRPr="00FA3054" w:rsidRDefault="00763D0C" w:rsidP="00BB7527">
      <w:pPr>
        <w:spacing w:after="0" w:line="360" w:lineRule="auto"/>
        <w:jc w:val="both"/>
        <w:rPr>
          <w:rFonts w:ascii="Book Antiqua" w:hAnsi="Book Antiqua" w:cs="Times New Roman"/>
          <w:sz w:val="24"/>
          <w:szCs w:val="24"/>
          <w:lang w:val="en-US"/>
        </w:rPr>
      </w:pPr>
    </w:p>
    <w:p w:rsidR="00763D0C" w:rsidRPr="00FA3054" w:rsidRDefault="00763D0C" w:rsidP="00BB7527">
      <w:pPr>
        <w:spacing w:after="0" w:line="360" w:lineRule="auto"/>
        <w:jc w:val="both"/>
        <w:rPr>
          <w:rFonts w:ascii="Book Antiqua" w:hAnsi="Book Antiqua" w:cs="Times New Roman"/>
          <w:sz w:val="24"/>
          <w:szCs w:val="24"/>
          <w:lang w:val="en-US"/>
        </w:rPr>
      </w:pPr>
    </w:p>
    <w:p w:rsidR="00D70593" w:rsidRPr="00FA3054" w:rsidRDefault="00D70593" w:rsidP="00BB7527">
      <w:pPr>
        <w:spacing w:after="0" w:line="360" w:lineRule="auto"/>
        <w:jc w:val="both"/>
        <w:rPr>
          <w:rFonts w:ascii="Book Antiqua" w:hAnsi="Book Antiqua" w:cs="Times New Roman"/>
          <w:sz w:val="24"/>
          <w:szCs w:val="24"/>
          <w:lang w:val="en-US"/>
        </w:rPr>
      </w:pPr>
    </w:p>
    <w:p w:rsidR="00D70593" w:rsidRPr="00FA3054" w:rsidRDefault="00D70593" w:rsidP="00BB7527">
      <w:pPr>
        <w:spacing w:after="0" w:line="360" w:lineRule="auto"/>
        <w:jc w:val="both"/>
        <w:rPr>
          <w:rFonts w:ascii="Book Antiqua" w:hAnsi="Book Antiqua" w:cs="Times New Roman"/>
          <w:sz w:val="24"/>
          <w:szCs w:val="24"/>
          <w:lang w:val="en-US" w:eastAsia="zh-CN"/>
        </w:rPr>
      </w:pPr>
    </w:p>
    <w:p w:rsidR="00604CFF" w:rsidRPr="00FA3054" w:rsidRDefault="00604CFF" w:rsidP="00BB7527">
      <w:pPr>
        <w:spacing w:after="0" w:line="360" w:lineRule="auto"/>
        <w:jc w:val="both"/>
        <w:rPr>
          <w:rFonts w:ascii="Book Antiqua" w:hAnsi="Book Antiqua" w:cs="Times New Roman"/>
          <w:sz w:val="24"/>
          <w:szCs w:val="24"/>
          <w:lang w:val="en-US"/>
        </w:rPr>
      </w:pPr>
    </w:p>
    <w:sectPr w:rsidR="00604CFF" w:rsidRPr="00FA3054">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DC2" w:rsidRDefault="00C13DC2" w:rsidP="00E242CF">
      <w:pPr>
        <w:spacing w:after="0" w:line="240" w:lineRule="auto"/>
      </w:pPr>
      <w:r>
        <w:separator/>
      </w:r>
    </w:p>
  </w:endnote>
  <w:endnote w:type="continuationSeparator" w:id="0">
    <w:p w:rsidR="00C13DC2" w:rsidRDefault="00C13DC2" w:rsidP="00E24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DC2" w:rsidRDefault="00C13DC2" w:rsidP="00E242CF">
      <w:pPr>
        <w:spacing w:after="0" w:line="240" w:lineRule="auto"/>
      </w:pPr>
      <w:r>
        <w:separator/>
      </w:r>
    </w:p>
  </w:footnote>
  <w:footnote w:type="continuationSeparator" w:id="0">
    <w:p w:rsidR="00C13DC2" w:rsidRDefault="00C13DC2" w:rsidP="00E24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696087"/>
      <w:docPartObj>
        <w:docPartGallery w:val="Page Numbers (Top of Page)"/>
        <w:docPartUnique/>
      </w:docPartObj>
    </w:sdtPr>
    <w:sdtEndPr/>
    <w:sdtContent>
      <w:p w:rsidR="004E1397" w:rsidRDefault="004E1397">
        <w:pPr>
          <w:pStyle w:val="Header"/>
          <w:jc w:val="right"/>
        </w:pPr>
        <w:r>
          <w:fldChar w:fldCharType="begin"/>
        </w:r>
        <w:r>
          <w:instrText>PAGE   \* MERGEFORMAT</w:instrText>
        </w:r>
        <w:r>
          <w:fldChar w:fldCharType="separate"/>
        </w:r>
        <w:r w:rsidR="006A3F68">
          <w:rPr>
            <w:noProof/>
          </w:rPr>
          <w:t>23</w:t>
        </w:r>
        <w:r>
          <w:fldChar w:fldCharType="end"/>
        </w:r>
      </w:p>
    </w:sdtContent>
  </w:sdt>
  <w:p w:rsidR="004E1397" w:rsidRDefault="004E1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45128"/>
    <w:multiLevelType w:val="hybridMultilevel"/>
    <w:tmpl w:val="4CCEE8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7A"/>
    <w:rsid w:val="00007115"/>
    <w:rsid w:val="00012009"/>
    <w:rsid w:val="00012C95"/>
    <w:rsid w:val="00012CFF"/>
    <w:rsid w:val="000145EF"/>
    <w:rsid w:val="00021099"/>
    <w:rsid w:val="00031C75"/>
    <w:rsid w:val="00036C60"/>
    <w:rsid w:val="00036EB0"/>
    <w:rsid w:val="0004323C"/>
    <w:rsid w:val="00046EB2"/>
    <w:rsid w:val="0005051C"/>
    <w:rsid w:val="00051AC9"/>
    <w:rsid w:val="000533E7"/>
    <w:rsid w:val="00053C3A"/>
    <w:rsid w:val="0006235C"/>
    <w:rsid w:val="0006428D"/>
    <w:rsid w:val="000647AC"/>
    <w:rsid w:val="00064A31"/>
    <w:rsid w:val="00073FF0"/>
    <w:rsid w:val="00075B91"/>
    <w:rsid w:val="0008190B"/>
    <w:rsid w:val="00081912"/>
    <w:rsid w:val="000824E6"/>
    <w:rsid w:val="00085A01"/>
    <w:rsid w:val="00085D21"/>
    <w:rsid w:val="00096E8B"/>
    <w:rsid w:val="00097261"/>
    <w:rsid w:val="000A4A30"/>
    <w:rsid w:val="000A787E"/>
    <w:rsid w:val="000A7AA7"/>
    <w:rsid w:val="000B1546"/>
    <w:rsid w:val="000B334C"/>
    <w:rsid w:val="000B6AB5"/>
    <w:rsid w:val="000C0AFB"/>
    <w:rsid w:val="000C4BBD"/>
    <w:rsid w:val="000C61D6"/>
    <w:rsid w:val="000D02B8"/>
    <w:rsid w:val="000D2AFC"/>
    <w:rsid w:val="000D3513"/>
    <w:rsid w:val="000D7D2F"/>
    <w:rsid w:val="000D7FE4"/>
    <w:rsid w:val="000E0F65"/>
    <w:rsid w:val="000E1977"/>
    <w:rsid w:val="000E4134"/>
    <w:rsid w:val="000E7D19"/>
    <w:rsid w:val="000F075F"/>
    <w:rsid w:val="000F320B"/>
    <w:rsid w:val="000F5CD6"/>
    <w:rsid w:val="000F5D69"/>
    <w:rsid w:val="000F5DD5"/>
    <w:rsid w:val="000F5FD2"/>
    <w:rsid w:val="000F632B"/>
    <w:rsid w:val="000F6A25"/>
    <w:rsid w:val="00100FB9"/>
    <w:rsid w:val="00104085"/>
    <w:rsid w:val="00105A6B"/>
    <w:rsid w:val="00106ACA"/>
    <w:rsid w:val="00107841"/>
    <w:rsid w:val="001102A8"/>
    <w:rsid w:val="001131B5"/>
    <w:rsid w:val="001157B6"/>
    <w:rsid w:val="00117902"/>
    <w:rsid w:val="00121DFC"/>
    <w:rsid w:val="00123287"/>
    <w:rsid w:val="00134EAF"/>
    <w:rsid w:val="00135E5B"/>
    <w:rsid w:val="00137B9A"/>
    <w:rsid w:val="00141CAB"/>
    <w:rsid w:val="00146529"/>
    <w:rsid w:val="00146A3E"/>
    <w:rsid w:val="00150A4E"/>
    <w:rsid w:val="001543DB"/>
    <w:rsid w:val="00154943"/>
    <w:rsid w:val="00156C60"/>
    <w:rsid w:val="00165928"/>
    <w:rsid w:val="00165C19"/>
    <w:rsid w:val="00167E18"/>
    <w:rsid w:val="00190253"/>
    <w:rsid w:val="00192128"/>
    <w:rsid w:val="001953F8"/>
    <w:rsid w:val="001974AE"/>
    <w:rsid w:val="001A32EF"/>
    <w:rsid w:val="001A43B9"/>
    <w:rsid w:val="001A5437"/>
    <w:rsid w:val="001A605F"/>
    <w:rsid w:val="001B17D4"/>
    <w:rsid w:val="001B1819"/>
    <w:rsid w:val="001B1AE4"/>
    <w:rsid w:val="001C0D85"/>
    <w:rsid w:val="001C0EF6"/>
    <w:rsid w:val="001C38C5"/>
    <w:rsid w:val="001C391E"/>
    <w:rsid w:val="001C7A6E"/>
    <w:rsid w:val="001D2AAC"/>
    <w:rsid w:val="001D3D8C"/>
    <w:rsid w:val="001E4609"/>
    <w:rsid w:val="001E5C3E"/>
    <w:rsid w:val="001E7400"/>
    <w:rsid w:val="001F525C"/>
    <w:rsid w:val="001F6252"/>
    <w:rsid w:val="00200641"/>
    <w:rsid w:val="00203811"/>
    <w:rsid w:val="00206E7B"/>
    <w:rsid w:val="00213645"/>
    <w:rsid w:val="00213747"/>
    <w:rsid w:val="00213EEC"/>
    <w:rsid w:val="00214D4F"/>
    <w:rsid w:val="00225E3F"/>
    <w:rsid w:val="00232173"/>
    <w:rsid w:val="00232F6A"/>
    <w:rsid w:val="002333F3"/>
    <w:rsid w:val="002344EA"/>
    <w:rsid w:val="00235AA6"/>
    <w:rsid w:val="00237A05"/>
    <w:rsid w:val="00240104"/>
    <w:rsid w:val="00241177"/>
    <w:rsid w:val="00243AF4"/>
    <w:rsid w:val="0024487E"/>
    <w:rsid w:val="0024503E"/>
    <w:rsid w:val="00247CAE"/>
    <w:rsid w:val="00255593"/>
    <w:rsid w:val="002611AD"/>
    <w:rsid w:val="002611C6"/>
    <w:rsid w:val="002629BE"/>
    <w:rsid w:val="00266BB1"/>
    <w:rsid w:val="00266CD5"/>
    <w:rsid w:val="00267CE9"/>
    <w:rsid w:val="0027205B"/>
    <w:rsid w:val="00272564"/>
    <w:rsid w:val="002754F6"/>
    <w:rsid w:val="00277B41"/>
    <w:rsid w:val="00282715"/>
    <w:rsid w:val="00283002"/>
    <w:rsid w:val="00283423"/>
    <w:rsid w:val="00287FB0"/>
    <w:rsid w:val="00295EB4"/>
    <w:rsid w:val="002A1101"/>
    <w:rsid w:val="002A3363"/>
    <w:rsid w:val="002A3397"/>
    <w:rsid w:val="002A369B"/>
    <w:rsid w:val="002A762C"/>
    <w:rsid w:val="002A7B4B"/>
    <w:rsid w:val="002B2B61"/>
    <w:rsid w:val="002C0B3D"/>
    <w:rsid w:val="002C302B"/>
    <w:rsid w:val="002C7C40"/>
    <w:rsid w:val="002D3142"/>
    <w:rsid w:val="002D355C"/>
    <w:rsid w:val="002D5091"/>
    <w:rsid w:val="002D678A"/>
    <w:rsid w:val="002D6F88"/>
    <w:rsid w:val="002D7AD6"/>
    <w:rsid w:val="002E12A8"/>
    <w:rsid w:val="002E16ED"/>
    <w:rsid w:val="002E2422"/>
    <w:rsid w:val="002F0D9C"/>
    <w:rsid w:val="002F1A21"/>
    <w:rsid w:val="002F42A6"/>
    <w:rsid w:val="002F4408"/>
    <w:rsid w:val="002F478D"/>
    <w:rsid w:val="002F6F11"/>
    <w:rsid w:val="0030012C"/>
    <w:rsid w:val="00301798"/>
    <w:rsid w:val="00305198"/>
    <w:rsid w:val="0030553C"/>
    <w:rsid w:val="00311EE2"/>
    <w:rsid w:val="00314CA3"/>
    <w:rsid w:val="00315F29"/>
    <w:rsid w:val="00320DD5"/>
    <w:rsid w:val="00321B6F"/>
    <w:rsid w:val="00322B4D"/>
    <w:rsid w:val="00323C34"/>
    <w:rsid w:val="00323FC5"/>
    <w:rsid w:val="003247AC"/>
    <w:rsid w:val="00327056"/>
    <w:rsid w:val="00330AC6"/>
    <w:rsid w:val="00332813"/>
    <w:rsid w:val="00334C75"/>
    <w:rsid w:val="0034299D"/>
    <w:rsid w:val="00343310"/>
    <w:rsid w:val="00345691"/>
    <w:rsid w:val="003477D9"/>
    <w:rsid w:val="00353160"/>
    <w:rsid w:val="00354F27"/>
    <w:rsid w:val="00354FB0"/>
    <w:rsid w:val="003571DC"/>
    <w:rsid w:val="003604E6"/>
    <w:rsid w:val="00362BB1"/>
    <w:rsid w:val="00365A71"/>
    <w:rsid w:val="003716E7"/>
    <w:rsid w:val="00371D9F"/>
    <w:rsid w:val="00372ABC"/>
    <w:rsid w:val="0037719E"/>
    <w:rsid w:val="00380592"/>
    <w:rsid w:val="00382C1A"/>
    <w:rsid w:val="00385AB3"/>
    <w:rsid w:val="00387F22"/>
    <w:rsid w:val="003937F8"/>
    <w:rsid w:val="00393A30"/>
    <w:rsid w:val="00394A43"/>
    <w:rsid w:val="00394CD7"/>
    <w:rsid w:val="00394D40"/>
    <w:rsid w:val="00397467"/>
    <w:rsid w:val="003A567C"/>
    <w:rsid w:val="003B2A86"/>
    <w:rsid w:val="003D04C3"/>
    <w:rsid w:val="003D0574"/>
    <w:rsid w:val="003D4722"/>
    <w:rsid w:val="003D61B4"/>
    <w:rsid w:val="003D7491"/>
    <w:rsid w:val="003E109E"/>
    <w:rsid w:val="003E258A"/>
    <w:rsid w:val="003E3960"/>
    <w:rsid w:val="003E3AB3"/>
    <w:rsid w:val="003F0512"/>
    <w:rsid w:val="003F2D72"/>
    <w:rsid w:val="003F32A8"/>
    <w:rsid w:val="003F3E18"/>
    <w:rsid w:val="003F449A"/>
    <w:rsid w:val="003F6239"/>
    <w:rsid w:val="003F65D9"/>
    <w:rsid w:val="003F6F6D"/>
    <w:rsid w:val="00405776"/>
    <w:rsid w:val="00407FDC"/>
    <w:rsid w:val="0041035D"/>
    <w:rsid w:val="0041090E"/>
    <w:rsid w:val="004109DB"/>
    <w:rsid w:val="00412639"/>
    <w:rsid w:val="004150FA"/>
    <w:rsid w:val="00421A8B"/>
    <w:rsid w:val="00426B3A"/>
    <w:rsid w:val="004311E3"/>
    <w:rsid w:val="004319EA"/>
    <w:rsid w:val="004355CF"/>
    <w:rsid w:val="004400C0"/>
    <w:rsid w:val="004408D0"/>
    <w:rsid w:val="004416C4"/>
    <w:rsid w:val="004419AC"/>
    <w:rsid w:val="0044701A"/>
    <w:rsid w:val="00450691"/>
    <w:rsid w:val="004525AE"/>
    <w:rsid w:val="00456985"/>
    <w:rsid w:val="00461BAC"/>
    <w:rsid w:val="00467B0A"/>
    <w:rsid w:val="004714F5"/>
    <w:rsid w:val="00472FA8"/>
    <w:rsid w:val="00473BC2"/>
    <w:rsid w:val="00477E2E"/>
    <w:rsid w:val="0048288A"/>
    <w:rsid w:val="0048396B"/>
    <w:rsid w:val="004840AF"/>
    <w:rsid w:val="00494285"/>
    <w:rsid w:val="0049555F"/>
    <w:rsid w:val="004A0DB9"/>
    <w:rsid w:val="004A1F43"/>
    <w:rsid w:val="004A2715"/>
    <w:rsid w:val="004A282A"/>
    <w:rsid w:val="004A5307"/>
    <w:rsid w:val="004A6901"/>
    <w:rsid w:val="004A6B16"/>
    <w:rsid w:val="004B16C2"/>
    <w:rsid w:val="004B2539"/>
    <w:rsid w:val="004B38AB"/>
    <w:rsid w:val="004B3BD8"/>
    <w:rsid w:val="004B55B3"/>
    <w:rsid w:val="004B7BA3"/>
    <w:rsid w:val="004C367C"/>
    <w:rsid w:val="004C3EA0"/>
    <w:rsid w:val="004C577F"/>
    <w:rsid w:val="004C6845"/>
    <w:rsid w:val="004D06BD"/>
    <w:rsid w:val="004D4CF3"/>
    <w:rsid w:val="004E0C99"/>
    <w:rsid w:val="004E1397"/>
    <w:rsid w:val="004E4EE3"/>
    <w:rsid w:val="004F2BD8"/>
    <w:rsid w:val="004F3376"/>
    <w:rsid w:val="004F761B"/>
    <w:rsid w:val="00501F6B"/>
    <w:rsid w:val="005046F1"/>
    <w:rsid w:val="00507571"/>
    <w:rsid w:val="00507FA0"/>
    <w:rsid w:val="00521093"/>
    <w:rsid w:val="005223CF"/>
    <w:rsid w:val="00524C47"/>
    <w:rsid w:val="00525313"/>
    <w:rsid w:val="00535A2D"/>
    <w:rsid w:val="00536A94"/>
    <w:rsid w:val="005428BC"/>
    <w:rsid w:val="00546252"/>
    <w:rsid w:val="005509ED"/>
    <w:rsid w:val="00555225"/>
    <w:rsid w:val="00555DA7"/>
    <w:rsid w:val="005576E3"/>
    <w:rsid w:val="005646AF"/>
    <w:rsid w:val="005656F4"/>
    <w:rsid w:val="00565E78"/>
    <w:rsid w:val="005662E6"/>
    <w:rsid w:val="0057240A"/>
    <w:rsid w:val="00573E4C"/>
    <w:rsid w:val="005765B4"/>
    <w:rsid w:val="00581FFB"/>
    <w:rsid w:val="00582928"/>
    <w:rsid w:val="00590009"/>
    <w:rsid w:val="00591031"/>
    <w:rsid w:val="00591D2E"/>
    <w:rsid w:val="00597F23"/>
    <w:rsid w:val="005A3E41"/>
    <w:rsid w:val="005A6E92"/>
    <w:rsid w:val="005A7148"/>
    <w:rsid w:val="005B40AF"/>
    <w:rsid w:val="005B4C4A"/>
    <w:rsid w:val="005C2CF0"/>
    <w:rsid w:val="005C3BEE"/>
    <w:rsid w:val="005C3CEC"/>
    <w:rsid w:val="005C3E7B"/>
    <w:rsid w:val="005C69D1"/>
    <w:rsid w:val="005D18CB"/>
    <w:rsid w:val="005D28D9"/>
    <w:rsid w:val="005D2B2C"/>
    <w:rsid w:val="005E2FA7"/>
    <w:rsid w:val="005E4F80"/>
    <w:rsid w:val="005F0CA4"/>
    <w:rsid w:val="005F3742"/>
    <w:rsid w:val="005F79A8"/>
    <w:rsid w:val="00604CFF"/>
    <w:rsid w:val="00605931"/>
    <w:rsid w:val="00606D12"/>
    <w:rsid w:val="006075CB"/>
    <w:rsid w:val="006121A3"/>
    <w:rsid w:val="006151BD"/>
    <w:rsid w:val="00616233"/>
    <w:rsid w:val="006162DC"/>
    <w:rsid w:val="00617BA3"/>
    <w:rsid w:val="00621AD6"/>
    <w:rsid w:val="006222D8"/>
    <w:rsid w:val="006227A8"/>
    <w:rsid w:val="00623079"/>
    <w:rsid w:val="006239E4"/>
    <w:rsid w:val="00631C40"/>
    <w:rsid w:val="006332F0"/>
    <w:rsid w:val="006337A2"/>
    <w:rsid w:val="006437F0"/>
    <w:rsid w:val="00650746"/>
    <w:rsid w:val="00651DEA"/>
    <w:rsid w:val="00657CB6"/>
    <w:rsid w:val="006621D4"/>
    <w:rsid w:val="00662C5B"/>
    <w:rsid w:val="00663957"/>
    <w:rsid w:val="0066703A"/>
    <w:rsid w:val="00675E83"/>
    <w:rsid w:val="006874F1"/>
    <w:rsid w:val="006A192E"/>
    <w:rsid w:val="006A2D1A"/>
    <w:rsid w:val="006A3346"/>
    <w:rsid w:val="006A3F68"/>
    <w:rsid w:val="006A4197"/>
    <w:rsid w:val="006A4609"/>
    <w:rsid w:val="006A5777"/>
    <w:rsid w:val="006B35EE"/>
    <w:rsid w:val="006B3838"/>
    <w:rsid w:val="006B460B"/>
    <w:rsid w:val="006B7B91"/>
    <w:rsid w:val="006C3F14"/>
    <w:rsid w:val="006C4EE1"/>
    <w:rsid w:val="006C5C04"/>
    <w:rsid w:val="006D0E7B"/>
    <w:rsid w:val="006D1F3C"/>
    <w:rsid w:val="006D40B9"/>
    <w:rsid w:val="006D5935"/>
    <w:rsid w:val="006D6253"/>
    <w:rsid w:val="006E0E01"/>
    <w:rsid w:val="006E35D8"/>
    <w:rsid w:val="006E37A5"/>
    <w:rsid w:val="006E4091"/>
    <w:rsid w:val="006E67E1"/>
    <w:rsid w:val="006E727D"/>
    <w:rsid w:val="006E7F76"/>
    <w:rsid w:val="006F3A58"/>
    <w:rsid w:val="006F4236"/>
    <w:rsid w:val="007046DD"/>
    <w:rsid w:val="00704B7C"/>
    <w:rsid w:val="007055E1"/>
    <w:rsid w:val="00707852"/>
    <w:rsid w:val="00711713"/>
    <w:rsid w:val="0071303B"/>
    <w:rsid w:val="007171FF"/>
    <w:rsid w:val="00724B51"/>
    <w:rsid w:val="007260E9"/>
    <w:rsid w:val="007277D6"/>
    <w:rsid w:val="00730715"/>
    <w:rsid w:val="00730BF4"/>
    <w:rsid w:val="007334B2"/>
    <w:rsid w:val="007343C3"/>
    <w:rsid w:val="00740F94"/>
    <w:rsid w:val="0074429D"/>
    <w:rsid w:val="00747CA2"/>
    <w:rsid w:val="00750D2E"/>
    <w:rsid w:val="00752346"/>
    <w:rsid w:val="007555B1"/>
    <w:rsid w:val="007555D7"/>
    <w:rsid w:val="007578EF"/>
    <w:rsid w:val="0075798E"/>
    <w:rsid w:val="00762640"/>
    <w:rsid w:val="00763D0C"/>
    <w:rsid w:val="0076631B"/>
    <w:rsid w:val="00770A53"/>
    <w:rsid w:val="00771788"/>
    <w:rsid w:val="00773855"/>
    <w:rsid w:val="007806C0"/>
    <w:rsid w:val="00786223"/>
    <w:rsid w:val="0078684C"/>
    <w:rsid w:val="00786A05"/>
    <w:rsid w:val="007A0D90"/>
    <w:rsid w:val="007A15F8"/>
    <w:rsid w:val="007A75F7"/>
    <w:rsid w:val="007A7BEA"/>
    <w:rsid w:val="007B0128"/>
    <w:rsid w:val="007B25D0"/>
    <w:rsid w:val="007B5736"/>
    <w:rsid w:val="007B5FCE"/>
    <w:rsid w:val="007B7693"/>
    <w:rsid w:val="007B78B3"/>
    <w:rsid w:val="007D2948"/>
    <w:rsid w:val="007D2E7A"/>
    <w:rsid w:val="007D2EC6"/>
    <w:rsid w:val="007D624E"/>
    <w:rsid w:val="007E5439"/>
    <w:rsid w:val="007E76A1"/>
    <w:rsid w:val="007F7F86"/>
    <w:rsid w:val="0080067D"/>
    <w:rsid w:val="00804FCB"/>
    <w:rsid w:val="008068D0"/>
    <w:rsid w:val="00810372"/>
    <w:rsid w:val="00813FB9"/>
    <w:rsid w:val="00817EF5"/>
    <w:rsid w:val="00821445"/>
    <w:rsid w:val="008224CA"/>
    <w:rsid w:val="0082351F"/>
    <w:rsid w:val="0082745C"/>
    <w:rsid w:val="00831D9B"/>
    <w:rsid w:val="008323F6"/>
    <w:rsid w:val="008479D8"/>
    <w:rsid w:val="0085004B"/>
    <w:rsid w:val="00850FCE"/>
    <w:rsid w:val="008522D0"/>
    <w:rsid w:val="00854964"/>
    <w:rsid w:val="00855E00"/>
    <w:rsid w:val="00856EF1"/>
    <w:rsid w:val="00856FCB"/>
    <w:rsid w:val="00861BA7"/>
    <w:rsid w:val="0086585D"/>
    <w:rsid w:val="00871ED3"/>
    <w:rsid w:val="008835B1"/>
    <w:rsid w:val="00885EBA"/>
    <w:rsid w:val="00891AD6"/>
    <w:rsid w:val="00891EAA"/>
    <w:rsid w:val="008935AE"/>
    <w:rsid w:val="00893AE9"/>
    <w:rsid w:val="0089791E"/>
    <w:rsid w:val="008A555D"/>
    <w:rsid w:val="008A7041"/>
    <w:rsid w:val="008A7EDD"/>
    <w:rsid w:val="008B3F18"/>
    <w:rsid w:val="008B72DF"/>
    <w:rsid w:val="008B7ED9"/>
    <w:rsid w:val="008C062E"/>
    <w:rsid w:val="008C14AD"/>
    <w:rsid w:val="008C18D9"/>
    <w:rsid w:val="008C5BEE"/>
    <w:rsid w:val="008C6AD4"/>
    <w:rsid w:val="008C7517"/>
    <w:rsid w:val="008D121B"/>
    <w:rsid w:val="008D339F"/>
    <w:rsid w:val="008D3A89"/>
    <w:rsid w:val="008D7574"/>
    <w:rsid w:val="008E044A"/>
    <w:rsid w:val="008E3ADE"/>
    <w:rsid w:val="008F3214"/>
    <w:rsid w:val="008F3412"/>
    <w:rsid w:val="008F54B3"/>
    <w:rsid w:val="008F55AB"/>
    <w:rsid w:val="00901B98"/>
    <w:rsid w:val="00902B48"/>
    <w:rsid w:val="00906220"/>
    <w:rsid w:val="00907A6D"/>
    <w:rsid w:val="00912A7C"/>
    <w:rsid w:val="0092088D"/>
    <w:rsid w:val="0092205F"/>
    <w:rsid w:val="0092230F"/>
    <w:rsid w:val="009250A9"/>
    <w:rsid w:val="0093146A"/>
    <w:rsid w:val="009418A0"/>
    <w:rsid w:val="00942225"/>
    <w:rsid w:val="009448E9"/>
    <w:rsid w:val="009458DC"/>
    <w:rsid w:val="00963BAA"/>
    <w:rsid w:val="009730DD"/>
    <w:rsid w:val="0097372B"/>
    <w:rsid w:val="00977471"/>
    <w:rsid w:val="00977ED1"/>
    <w:rsid w:val="0098098F"/>
    <w:rsid w:val="00982B92"/>
    <w:rsid w:val="009844B8"/>
    <w:rsid w:val="00987C1B"/>
    <w:rsid w:val="00991010"/>
    <w:rsid w:val="0099505C"/>
    <w:rsid w:val="00995ABF"/>
    <w:rsid w:val="00997C62"/>
    <w:rsid w:val="009B0951"/>
    <w:rsid w:val="009B15E8"/>
    <w:rsid w:val="009B1A10"/>
    <w:rsid w:val="009B243A"/>
    <w:rsid w:val="009B32B1"/>
    <w:rsid w:val="009B4CB9"/>
    <w:rsid w:val="009B5236"/>
    <w:rsid w:val="009C1DC9"/>
    <w:rsid w:val="009C2B4E"/>
    <w:rsid w:val="009C2E4B"/>
    <w:rsid w:val="009D02E1"/>
    <w:rsid w:val="009D27CC"/>
    <w:rsid w:val="009D2810"/>
    <w:rsid w:val="009D29E2"/>
    <w:rsid w:val="009D309D"/>
    <w:rsid w:val="009D3984"/>
    <w:rsid w:val="009D46D3"/>
    <w:rsid w:val="009D556E"/>
    <w:rsid w:val="009E15C7"/>
    <w:rsid w:val="009E73CA"/>
    <w:rsid w:val="009F1F5B"/>
    <w:rsid w:val="009F3732"/>
    <w:rsid w:val="009F4540"/>
    <w:rsid w:val="009F49D9"/>
    <w:rsid w:val="00A00094"/>
    <w:rsid w:val="00A0489E"/>
    <w:rsid w:val="00A06F1F"/>
    <w:rsid w:val="00A07205"/>
    <w:rsid w:val="00A26109"/>
    <w:rsid w:val="00A2636B"/>
    <w:rsid w:val="00A27439"/>
    <w:rsid w:val="00A335D7"/>
    <w:rsid w:val="00A341B5"/>
    <w:rsid w:val="00A34AAE"/>
    <w:rsid w:val="00A3590F"/>
    <w:rsid w:val="00A364AA"/>
    <w:rsid w:val="00A364D3"/>
    <w:rsid w:val="00A37BE5"/>
    <w:rsid w:val="00A41B82"/>
    <w:rsid w:val="00A439D9"/>
    <w:rsid w:val="00A4447C"/>
    <w:rsid w:val="00A45C54"/>
    <w:rsid w:val="00A46A71"/>
    <w:rsid w:val="00A47B0C"/>
    <w:rsid w:val="00A51E81"/>
    <w:rsid w:val="00A533F6"/>
    <w:rsid w:val="00A60962"/>
    <w:rsid w:val="00A611DE"/>
    <w:rsid w:val="00A62951"/>
    <w:rsid w:val="00A64DE6"/>
    <w:rsid w:val="00A714C8"/>
    <w:rsid w:val="00A8021D"/>
    <w:rsid w:val="00A850EC"/>
    <w:rsid w:val="00A86688"/>
    <w:rsid w:val="00A937A8"/>
    <w:rsid w:val="00A95ADB"/>
    <w:rsid w:val="00AA092C"/>
    <w:rsid w:val="00AA21F3"/>
    <w:rsid w:val="00AA27BD"/>
    <w:rsid w:val="00AA5333"/>
    <w:rsid w:val="00AA5E58"/>
    <w:rsid w:val="00AB35BE"/>
    <w:rsid w:val="00AB79C7"/>
    <w:rsid w:val="00AC06C1"/>
    <w:rsid w:val="00AC0CA4"/>
    <w:rsid w:val="00AC1F35"/>
    <w:rsid w:val="00AC44D2"/>
    <w:rsid w:val="00AC588E"/>
    <w:rsid w:val="00AC609E"/>
    <w:rsid w:val="00AC6643"/>
    <w:rsid w:val="00AD0054"/>
    <w:rsid w:val="00AD12C1"/>
    <w:rsid w:val="00AD4724"/>
    <w:rsid w:val="00AD5F15"/>
    <w:rsid w:val="00AE06C2"/>
    <w:rsid w:val="00AE3438"/>
    <w:rsid w:val="00AE4C35"/>
    <w:rsid w:val="00AF1E3E"/>
    <w:rsid w:val="00AF250A"/>
    <w:rsid w:val="00AF27A0"/>
    <w:rsid w:val="00AF4F7A"/>
    <w:rsid w:val="00B02F72"/>
    <w:rsid w:val="00B109EF"/>
    <w:rsid w:val="00B21CDD"/>
    <w:rsid w:val="00B22F8D"/>
    <w:rsid w:val="00B3005F"/>
    <w:rsid w:val="00B33D98"/>
    <w:rsid w:val="00B342CC"/>
    <w:rsid w:val="00B3576D"/>
    <w:rsid w:val="00B3599B"/>
    <w:rsid w:val="00B40062"/>
    <w:rsid w:val="00B401B7"/>
    <w:rsid w:val="00B455AE"/>
    <w:rsid w:val="00B4570D"/>
    <w:rsid w:val="00B47298"/>
    <w:rsid w:val="00B52AAC"/>
    <w:rsid w:val="00B54EE5"/>
    <w:rsid w:val="00B5616F"/>
    <w:rsid w:val="00B56814"/>
    <w:rsid w:val="00B62827"/>
    <w:rsid w:val="00B64696"/>
    <w:rsid w:val="00B653FE"/>
    <w:rsid w:val="00B66312"/>
    <w:rsid w:val="00B67FB5"/>
    <w:rsid w:val="00B71495"/>
    <w:rsid w:val="00B74593"/>
    <w:rsid w:val="00B7505F"/>
    <w:rsid w:val="00B765F3"/>
    <w:rsid w:val="00B768BE"/>
    <w:rsid w:val="00B76E7D"/>
    <w:rsid w:val="00B77DA0"/>
    <w:rsid w:val="00B82224"/>
    <w:rsid w:val="00B83438"/>
    <w:rsid w:val="00B84E32"/>
    <w:rsid w:val="00B85DD4"/>
    <w:rsid w:val="00B90CEE"/>
    <w:rsid w:val="00B9506B"/>
    <w:rsid w:val="00B9782B"/>
    <w:rsid w:val="00BA089C"/>
    <w:rsid w:val="00BA1610"/>
    <w:rsid w:val="00BA17CF"/>
    <w:rsid w:val="00BA2E98"/>
    <w:rsid w:val="00BA7C3A"/>
    <w:rsid w:val="00BB18BA"/>
    <w:rsid w:val="00BB1B14"/>
    <w:rsid w:val="00BB24DC"/>
    <w:rsid w:val="00BB2F58"/>
    <w:rsid w:val="00BB57BC"/>
    <w:rsid w:val="00BB74F3"/>
    <w:rsid w:val="00BB7527"/>
    <w:rsid w:val="00BB7C4A"/>
    <w:rsid w:val="00BC3343"/>
    <w:rsid w:val="00BC3DD7"/>
    <w:rsid w:val="00BC4FA8"/>
    <w:rsid w:val="00BD0536"/>
    <w:rsid w:val="00BD0EEF"/>
    <w:rsid w:val="00BE21C9"/>
    <w:rsid w:val="00BF1E1D"/>
    <w:rsid w:val="00BF272D"/>
    <w:rsid w:val="00C03255"/>
    <w:rsid w:val="00C06387"/>
    <w:rsid w:val="00C11A24"/>
    <w:rsid w:val="00C13DC2"/>
    <w:rsid w:val="00C1591E"/>
    <w:rsid w:val="00C20293"/>
    <w:rsid w:val="00C2082B"/>
    <w:rsid w:val="00C218F6"/>
    <w:rsid w:val="00C227B5"/>
    <w:rsid w:val="00C23DE7"/>
    <w:rsid w:val="00C24726"/>
    <w:rsid w:val="00C26023"/>
    <w:rsid w:val="00C26D4F"/>
    <w:rsid w:val="00C27A08"/>
    <w:rsid w:val="00C30136"/>
    <w:rsid w:val="00C3228B"/>
    <w:rsid w:val="00C41306"/>
    <w:rsid w:val="00C41C19"/>
    <w:rsid w:val="00C42AD0"/>
    <w:rsid w:val="00C46A14"/>
    <w:rsid w:val="00C46BB2"/>
    <w:rsid w:val="00C47A9E"/>
    <w:rsid w:val="00C50CE8"/>
    <w:rsid w:val="00C55639"/>
    <w:rsid w:val="00C55FD5"/>
    <w:rsid w:val="00C60E35"/>
    <w:rsid w:val="00C6656F"/>
    <w:rsid w:val="00C667B0"/>
    <w:rsid w:val="00C7215E"/>
    <w:rsid w:val="00C80264"/>
    <w:rsid w:val="00C811B6"/>
    <w:rsid w:val="00C84843"/>
    <w:rsid w:val="00C86008"/>
    <w:rsid w:val="00C90EBE"/>
    <w:rsid w:val="00C90FEC"/>
    <w:rsid w:val="00C96C9A"/>
    <w:rsid w:val="00C975FF"/>
    <w:rsid w:val="00CA1172"/>
    <w:rsid w:val="00CA11FC"/>
    <w:rsid w:val="00CA3ACE"/>
    <w:rsid w:val="00CA512D"/>
    <w:rsid w:val="00CB6E55"/>
    <w:rsid w:val="00CB7F67"/>
    <w:rsid w:val="00CC2056"/>
    <w:rsid w:val="00CC4170"/>
    <w:rsid w:val="00CC4B61"/>
    <w:rsid w:val="00CC60FC"/>
    <w:rsid w:val="00CC6461"/>
    <w:rsid w:val="00CC6EBA"/>
    <w:rsid w:val="00CC789E"/>
    <w:rsid w:val="00CD0077"/>
    <w:rsid w:val="00CD0D19"/>
    <w:rsid w:val="00CD5F99"/>
    <w:rsid w:val="00CD65A4"/>
    <w:rsid w:val="00CE3DD4"/>
    <w:rsid w:val="00CF1A42"/>
    <w:rsid w:val="00CF529C"/>
    <w:rsid w:val="00D01C17"/>
    <w:rsid w:val="00D02343"/>
    <w:rsid w:val="00D02FA5"/>
    <w:rsid w:val="00D1035D"/>
    <w:rsid w:val="00D11877"/>
    <w:rsid w:val="00D150AF"/>
    <w:rsid w:val="00D15D65"/>
    <w:rsid w:val="00D16E41"/>
    <w:rsid w:val="00D17ED6"/>
    <w:rsid w:val="00D20816"/>
    <w:rsid w:val="00D22020"/>
    <w:rsid w:val="00D25D36"/>
    <w:rsid w:val="00D27235"/>
    <w:rsid w:val="00D30DD1"/>
    <w:rsid w:val="00D3473D"/>
    <w:rsid w:val="00D37039"/>
    <w:rsid w:val="00D3717B"/>
    <w:rsid w:val="00D41C59"/>
    <w:rsid w:val="00D43C4E"/>
    <w:rsid w:val="00D47E5C"/>
    <w:rsid w:val="00D50CE6"/>
    <w:rsid w:val="00D513AB"/>
    <w:rsid w:val="00D5303C"/>
    <w:rsid w:val="00D5386E"/>
    <w:rsid w:val="00D56FBC"/>
    <w:rsid w:val="00D602EF"/>
    <w:rsid w:val="00D6141D"/>
    <w:rsid w:val="00D614B5"/>
    <w:rsid w:val="00D64F8D"/>
    <w:rsid w:val="00D667BF"/>
    <w:rsid w:val="00D70593"/>
    <w:rsid w:val="00D72077"/>
    <w:rsid w:val="00D76F7A"/>
    <w:rsid w:val="00D77624"/>
    <w:rsid w:val="00D778A1"/>
    <w:rsid w:val="00D81000"/>
    <w:rsid w:val="00D81D7B"/>
    <w:rsid w:val="00D82009"/>
    <w:rsid w:val="00D87C24"/>
    <w:rsid w:val="00D93A76"/>
    <w:rsid w:val="00D952FD"/>
    <w:rsid w:val="00D96C92"/>
    <w:rsid w:val="00DA03D6"/>
    <w:rsid w:val="00DA1B59"/>
    <w:rsid w:val="00DA4ED5"/>
    <w:rsid w:val="00DB2282"/>
    <w:rsid w:val="00DB71E3"/>
    <w:rsid w:val="00DB7CCB"/>
    <w:rsid w:val="00DC31B6"/>
    <w:rsid w:val="00DC4F1F"/>
    <w:rsid w:val="00DC6383"/>
    <w:rsid w:val="00DC64F1"/>
    <w:rsid w:val="00DC6D8D"/>
    <w:rsid w:val="00DC70F0"/>
    <w:rsid w:val="00DC768C"/>
    <w:rsid w:val="00DC7B05"/>
    <w:rsid w:val="00DD3CA9"/>
    <w:rsid w:val="00DD3D39"/>
    <w:rsid w:val="00DD4EBC"/>
    <w:rsid w:val="00DD5E97"/>
    <w:rsid w:val="00DD6E33"/>
    <w:rsid w:val="00DE3E59"/>
    <w:rsid w:val="00DF1154"/>
    <w:rsid w:val="00DF287B"/>
    <w:rsid w:val="00DF5D27"/>
    <w:rsid w:val="00DF6389"/>
    <w:rsid w:val="00E0577A"/>
    <w:rsid w:val="00E1372D"/>
    <w:rsid w:val="00E138BB"/>
    <w:rsid w:val="00E13D68"/>
    <w:rsid w:val="00E14AA4"/>
    <w:rsid w:val="00E150F9"/>
    <w:rsid w:val="00E232F1"/>
    <w:rsid w:val="00E242CF"/>
    <w:rsid w:val="00E2760E"/>
    <w:rsid w:val="00E277D3"/>
    <w:rsid w:val="00E34AD4"/>
    <w:rsid w:val="00E37144"/>
    <w:rsid w:val="00E44DCD"/>
    <w:rsid w:val="00E51681"/>
    <w:rsid w:val="00E563DB"/>
    <w:rsid w:val="00E579EA"/>
    <w:rsid w:val="00E60D1F"/>
    <w:rsid w:val="00E61534"/>
    <w:rsid w:val="00E62B99"/>
    <w:rsid w:val="00E65EAD"/>
    <w:rsid w:val="00E662CF"/>
    <w:rsid w:val="00E67C16"/>
    <w:rsid w:val="00E70EBD"/>
    <w:rsid w:val="00E7128B"/>
    <w:rsid w:val="00E76490"/>
    <w:rsid w:val="00E777F2"/>
    <w:rsid w:val="00E82175"/>
    <w:rsid w:val="00E82CA4"/>
    <w:rsid w:val="00E82D95"/>
    <w:rsid w:val="00E854EC"/>
    <w:rsid w:val="00E95043"/>
    <w:rsid w:val="00E955A8"/>
    <w:rsid w:val="00E95C0F"/>
    <w:rsid w:val="00E95C2A"/>
    <w:rsid w:val="00EB1437"/>
    <w:rsid w:val="00EB177D"/>
    <w:rsid w:val="00EB33D2"/>
    <w:rsid w:val="00EB3E5B"/>
    <w:rsid w:val="00EC1480"/>
    <w:rsid w:val="00EC56BA"/>
    <w:rsid w:val="00EC6893"/>
    <w:rsid w:val="00EC6DF1"/>
    <w:rsid w:val="00ED1418"/>
    <w:rsid w:val="00ED4A21"/>
    <w:rsid w:val="00ED7F3C"/>
    <w:rsid w:val="00EE18BD"/>
    <w:rsid w:val="00EE240B"/>
    <w:rsid w:val="00EE4541"/>
    <w:rsid w:val="00EE5386"/>
    <w:rsid w:val="00EE6069"/>
    <w:rsid w:val="00EE7ADB"/>
    <w:rsid w:val="00EF0D9F"/>
    <w:rsid w:val="00EF3F11"/>
    <w:rsid w:val="00EF45FF"/>
    <w:rsid w:val="00EF516A"/>
    <w:rsid w:val="00F05D76"/>
    <w:rsid w:val="00F12E1D"/>
    <w:rsid w:val="00F15933"/>
    <w:rsid w:val="00F1637E"/>
    <w:rsid w:val="00F163C3"/>
    <w:rsid w:val="00F23AA5"/>
    <w:rsid w:val="00F23D8A"/>
    <w:rsid w:val="00F30A94"/>
    <w:rsid w:val="00F32223"/>
    <w:rsid w:val="00F33944"/>
    <w:rsid w:val="00F35794"/>
    <w:rsid w:val="00F37518"/>
    <w:rsid w:val="00F46D1F"/>
    <w:rsid w:val="00F4796B"/>
    <w:rsid w:val="00F50EE7"/>
    <w:rsid w:val="00F56713"/>
    <w:rsid w:val="00F62AB0"/>
    <w:rsid w:val="00F657F3"/>
    <w:rsid w:val="00F7077A"/>
    <w:rsid w:val="00F72CC8"/>
    <w:rsid w:val="00F753D2"/>
    <w:rsid w:val="00F76C4F"/>
    <w:rsid w:val="00F77113"/>
    <w:rsid w:val="00F7732D"/>
    <w:rsid w:val="00F77D32"/>
    <w:rsid w:val="00F8059F"/>
    <w:rsid w:val="00F82487"/>
    <w:rsid w:val="00F82B97"/>
    <w:rsid w:val="00F82D2F"/>
    <w:rsid w:val="00F84EB4"/>
    <w:rsid w:val="00F86A1F"/>
    <w:rsid w:val="00F86C2E"/>
    <w:rsid w:val="00FA1120"/>
    <w:rsid w:val="00FA3054"/>
    <w:rsid w:val="00FA45B0"/>
    <w:rsid w:val="00FA732E"/>
    <w:rsid w:val="00FB0B72"/>
    <w:rsid w:val="00FB22CB"/>
    <w:rsid w:val="00FB74C0"/>
    <w:rsid w:val="00FC1283"/>
    <w:rsid w:val="00FC1FEB"/>
    <w:rsid w:val="00FC47B9"/>
    <w:rsid w:val="00FC6894"/>
    <w:rsid w:val="00FC7FCB"/>
    <w:rsid w:val="00FD5C7D"/>
    <w:rsid w:val="00FD6294"/>
    <w:rsid w:val="00FE0168"/>
    <w:rsid w:val="00FE094B"/>
    <w:rsid w:val="00FE28CB"/>
    <w:rsid w:val="00FE763D"/>
    <w:rsid w:val="00FF195A"/>
    <w:rsid w:val="00FF2200"/>
    <w:rsid w:val="00FF3B91"/>
    <w:rsid w:val="00FF481C"/>
    <w:rsid w:val="00FF61F6"/>
    <w:rsid w:val="00FF6CA2"/>
    <w:rsid w:val="00FF6EE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FB6F0F-ABA3-4B8B-BC0D-4DF2230B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1418"/>
    <w:pPr>
      <w:ind w:left="720"/>
      <w:contextualSpacing/>
    </w:pPr>
  </w:style>
  <w:style w:type="paragraph" w:styleId="Header">
    <w:name w:val="header"/>
    <w:basedOn w:val="Normal"/>
    <w:link w:val="HeaderChar"/>
    <w:uiPriority w:val="99"/>
    <w:unhideWhenUsed/>
    <w:rsid w:val="00E242CF"/>
    <w:pPr>
      <w:tabs>
        <w:tab w:val="center" w:pos="4819"/>
        <w:tab w:val="right" w:pos="9638"/>
      </w:tabs>
      <w:spacing w:after="0" w:line="240" w:lineRule="auto"/>
    </w:pPr>
  </w:style>
  <w:style w:type="character" w:customStyle="1" w:styleId="HeaderChar">
    <w:name w:val="Header Char"/>
    <w:basedOn w:val="DefaultParagraphFont"/>
    <w:link w:val="Header"/>
    <w:uiPriority w:val="99"/>
    <w:rsid w:val="00E242CF"/>
  </w:style>
  <w:style w:type="paragraph" w:styleId="Footer">
    <w:name w:val="footer"/>
    <w:basedOn w:val="Normal"/>
    <w:link w:val="FooterChar"/>
    <w:uiPriority w:val="99"/>
    <w:unhideWhenUsed/>
    <w:rsid w:val="00E242CF"/>
    <w:pPr>
      <w:tabs>
        <w:tab w:val="center" w:pos="4819"/>
        <w:tab w:val="right" w:pos="9638"/>
      </w:tabs>
      <w:spacing w:after="0" w:line="240" w:lineRule="auto"/>
    </w:pPr>
  </w:style>
  <w:style w:type="character" w:customStyle="1" w:styleId="FooterChar">
    <w:name w:val="Footer Char"/>
    <w:basedOn w:val="DefaultParagraphFont"/>
    <w:link w:val="Footer"/>
    <w:uiPriority w:val="99"/>
    <w:rsid w:val="00E242CF"/>
  </w:style>
  <w:style w:type="paragraph" w:styleId="BalloonText">
    <w:name w:val="Balloon Text"/>
    <w:basedOn w:val="Normal"/>
    <w:link w:val="BalloonTextChar"/>
    <w:uiPriority w:val="99"/>
    <w:semiHidden/>
    <w:unhideWhenUsed/>
    <w:rsid w:val="002D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142"/>
    <w:rPr>
      <w:rFonts w:ascii="Tahoma" w:hAnsi="Tahoma" w:cs="Tahoma"/>
      <w:sz w:val="16"/>
      <w:szCs w:val="16"/>
    </w:rPr>
  </w:style>
  <w:style w:type="character" w:styleId="CommentReference">
    <w:name w:val="annotation reference"/>
    <w:basedOn w:val="DefaultParagraphFont"/>
    <w:uiPriority w:val="99"/>
    <w:semiHidden/>
    <w:unhideWhenUsed/>
    <w:rsid w:val="000E0F65"/>
    <w:rPr>
      <w:sz w:val="21"/>
      <w:szCs w:val="21"/>
    </w:rPr>
  </w:style>
  <w:style w:type="paragraph" w:styleId="CommentText">
    <w:name w:val="annotation text"/>
    <w:basedOn w:val="Normal"/>
    <w:link w:val="CommentTextChar"/>
    <w:uiPriority w:val="99"/>
    <w:semiHidden/>
    <w:unhideWhenUsed/>
    <w:rsid w:val="000E0F65"/>
    <w:pPr>
      <w:widowControl w:val="0"/>
      <w:spacing w:after="0" w:line="240" w:lineRule="auto"/>
    </w:pPr>
    <w:rPr>
      <w:kern w:val="2"/>
      <w:sz w:val="21"/>
      <w:lang w:val="en-US" w:eastAsia="zh-CN"/>
    </w:rPr>
  </w:style>
  <w:style w:type="character" w:customStyle="1" w:styleId="CommentTextChar">
    <w:name w:val="Comment Text Char"/>
    <w:basedOn w:val="DefaultParagraphFont"/>
    <w:link w:val="CommentText"/>
    <w:uiPriority w:val="99"/>
    <w:semiHidden/>
    <w:rsid w:val="000E0F65"/>
    <w:rPr>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5698</Words>
  <Characters>32480</Characters>
  <Application>Microsoft Office Word</Application>
  <DocSecurity>0</DocSecurity>
  <Lines>270</Lines>
  <Paragraphs>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LD0912</dc:creator>
  <cp:lastModifiedBy>LS Ma</cp:lastModifiedBy>
  <cp:revision>2</cp:revision>
  <dcterms:created xsi:type="dcterms:W3CDTF">2016-01-29T22:46:00Z</dcterms:created>
  <dcterms:modified xsi:type="dcterms:W3CDTF">2016-01-29T22:46:00Z</dcterms:modified>
</cp:coreProperties>
</file>