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E2BF9" w:rsidRPr="009E2BF9" w:rsidRDefault="009E2BF9" w:rsidP="001E38EA">
      <w:pPr>
        <w:adjustRightInd w:val="0"/>
        <w:snapToGrid w:val="0"/>
        <w:spacing w:line="360" w:lineRule="auto"/>
        <w:rPr>
          <w:rFonts w:ascii="Book Antiqua" w:hAnsi="Book Antiqua" w:cs="Arial"/>
          <w:b/>
          <w:color w:val="222222"/>
          <w:sz w:val="24"/>
          <w:szCs w:val="24"/>
          <w:shd w:val="clear" w:color="auto" w:fill="FFFFFF"/>
        </w:rPr>
      </w:pPr>
      <w:r w:rsidRPr="009E2BF9">
        <w:rPr>
          <w:rFonts w:ascii="Book Antiqua" w:hAnsi="Book Antiqua" w:cs="Arial"/>
          <w:b/>
          <w:color w:val="222222"/>
          <w:sz w:val="24"/>
          <w:szCs w:val="24"/>
          <w:shd w:val="clear" w:color="auto" w:fill="FFFFFF"/>
        </w:rPr>
        <w:t>Name of Journal: World Journal of Gastroenterology</w:t>
      </w:r>
    </w:p>
    <w:p w:rsidR="009E2BF9" w:rsidRPr="009E2BF9" w:rsidRDefault="009E2BF9" w:rsidP="001E38EA">
      <w:pPr>
        <w:adjustRightInd w:val="0"/>
        <w:snapToGrid w:val="0"/>
        <w:spacing w:line="360" w:lineRule="auto"/>
        <w:rPr>
          <w:rFonts w:ascii="Book Antiqua" w:hAnsi="Book Antiqua" w:cs="Arial"/>
          <w:b/>
          <w:color w:val="222222"/>
          <w:sz w:val="24"/>
          <w:szCs w:val="24"/>
          <w:shd w:val="clear" w:color="auto" w:fill="FFFFFF"/>
        </w:rPr>
      </w:pPr>
      <w:r w:rsidRPr="009E2BF9">
        <w:rPr>
          <w:rFonts w:ascii="Book Antiqua" w:hAnsi="Book Antiqua" w:cs="Arial"/>
          <w:b/>
          <w:color w:val="222222"/>
          <w:sz w:val="24"/>
          <w:szCs w:val="24"/>
          <w:shd w:val="clear" w:color="auto" w:fill="FFFFFF"/>
        </w:rPr>
        <w:t>ESPS Manuscript NO: 24259</w:t>
      </w:r>
    </w:p>
    <w:p w:rsidR="009E2BF9" w:rsidRDefault="009E2BF9" w:rsidP="001E38EA">
      <w:pPr>
        <w:adjustRightInd w:val="0"/>
        <w:snapToGrid w:val="0"/>
        <w:spacing w:line="360" w:lineRule="auto"/>
        <w:rPr>
          <w:rFonts w:ascii="Book Antiqua" w:hAnsi="Book Antiqua" w:cs="Arial"/>
          <w:b/>
          <w:color w:val="222222"/>
          <w:sz w:val="24"/>
          <w:szCs w:val="24"/>
          <w:shd w:val="clear" w:color="auto" w:fill="FFFFFF"/>
        </w:rPr>
      </w:pPr>
      <w:r w:rsidRPr="009E2BF9">
        <w:rPr>
          <w:rFonts w:ascii="Book Antiqua" w:hAnsi="Book Antiqua" w:cs="Arial"/>
          <w:b/>
          <w:color w:val="222222"/>
          <w:sz w:val="24"/>
          <w:szCs w:val="24"/>
          <w:shd w:val="clear" w:color="auto" w:fill="FFFFFF"/>
        </w:rPr>
        <w:t>Manuscript Type: ORIGINAL ARTICLE</w:t>
      </w:r>
    </w:p>
    <w:p w:rsidR="006F0BF1" w:rsidRPr="009E2BF9" w:rsidRDefault="006F0BF1" w:rsidP="001E38EA">
      <w:pPr>
        <w:adjustRightInd w:val="0"/>
        <w:snapToGrid w:val="0"/>
        <w:spacing w:line="360" w:lineRule="auto"/>
        <w:rPr>
          <w:rFonts w:ascii="Book Antiqua" w:hAnsi="Book Antiqua" w:cs="Arial"/>
          <w:b/>
          <w:color w:val="222222"/>
          <w:sz w:val="24"/>
          <w:szCs w:val="24"/>
          <w:shd w:val="clear" w:color="auto" w:fill="FFFFFF"/>
        </w:rPr>
      </w:pPr>
    </w:p>
    <w:p w:rsidR="009E2BF9" w:rsidRPr="009E2BF9" w:rsidRDefault="009E2BF9" w:rsidP="001E38EA">
      <w:pPr>
        <w:adjustRightInd w:val="0"/>
        <w:snapToGrid w:val="0"/>
        <w:spacing w:line="360" w:lineRule="auto"/>
        <w:rPr>
          <w:rFonts w:ascii="Book Antiqua" w:hAnsi="Book Antiqua" w:cs="Times New Roman"/>
          <w:b/>
          <w:bCs/>
          <w:i/>
          <w:sz w:val="24"/>
          <w:szCs w:val="24"/>
        </w:rPr>
      </w:pPr>
      <w:r w:rsidRPr="009E2BF9">
        <w:rPr>
          <w:rFonts w:ascii="Book Antiqua" w:hAnsi="Book Antiqua" w:cs="Times New Roman"/>
          <w:b/>
          <w:bCs/>
          <w:i/>
          <w:sz w:val="24"/>
          <w:szCs w:val="24"/>
        </w:rPr>
        <w:t>Basic Study</w:t>
      </w:r>
    </w:p>
    <w:p w:rsidR="009E2BF9" w:rsidRPr="009E2BF9" w:rsidRDefault="009E2BF9" w:rsidP="001E38EA">
      <w:pPr>
        <w:adjustRightInd w:val="0"/>
        <w:snapToGrid w:val="0"/>
        <w:spacing w:line="360" w:lineRule="auto"/>
        <w:rPr>
          <w:rFonts w:ascii="Book Antiqua" w:hAnsi="Book Antiqua" w:cs="Times New Roman"/>
          <w:b/>
          <w:bCs/>
          <w:sz w:val="24"/>
          <w:szCs w:val="24"/>
        </w:rPr>
      </w:pPr>
      <w:r w:rsidRPr="009E2BF9">
        <w:rPr>
          <w:rFonts w:ascii="Book Antiqua" w:hAnsi="Book Antiqua" w:cs="Times New Roman"/>
          <w:b/>
          <w:bCs/>
          <w:sz w:val="24"/>
          <w:szCs w:val="24"/>
        </w:rPr>
        <w:t xml:space="preserve">Thymoquinone inhibits proliferation in gastric cancer </w:t>
      </w:r>
      <w:r w:rsidRPr="009E2BF9">
        <w:rPr>
          <w:rFonts w:ascii="Book Antiqua" w:hAnsi="Book Antiqua" w:cs="Times New Roman"/>
          <w:b/>
          <w:bCs/>
          <w:i/>
          <w:sz w:val="24"/>
          <w:szCs w:val="24"/>
        </w:rPr>
        <w:t>via</w:t>
      </w:r>
      <w:r w:rsidRPr="009E2BF9">
        <w:rPr>
          <w:rFonts w:ascii="Book Antiqua" w:hAnsi="Book Antiqua" w:cs="Times New Roman"/>
          <w:b/>
          <w:bCs/>
          <w:sz w:val="24"/>
          <w:szCs w:val="24"/>
        </w:rPr>
        <w:t xml:space="preserve"> STAT3 pathway </w:t>
      </w:r>
      <w:r w:rsidRPr="009E2BF9">
        <w:rPr>
          <w:rFonts w:ascii="Book Antiqua" w:hAnsi="Book Antiqua" w:cs="Times New Roman"/>
          <w:b/>
          <w:bCs/>
          <w:i/>
          <w:sz w:val="24"/>
          <w:szCs w:val="24"/>
        </w:rPr>
        <w:t>in vivo</w:t>
      </w:r>
      <w:r w:rsidRPr="009E2BF9">
        <w:rPr>
          <w:rFonts w:ascii="Book Antiqua" w:hAnsi="Book Antiqua" w:cs="Times New Roman"/>
          <w:b/>
          <w:bCs/>
          <w:sz w:val="24"/>
          <w:szCs w:val="24"/>
        </w:rPr>
        <w:t xml:space="preserve"> and </w:t>
      </w:r>
      <w:r w:rsidRPr="009E2BF9">
        <w:rPr>
          <w:rFonts w:ascii="Book Antiqua" w:hAnsi="Book Antiqua" w:cs="Times New Roman"/>
          <w:b/>
          <w:bCs/>
          <w:i/>
          <w:sz w:val="24"/>
          <w:szCs w:val="24"/>
        </w:rPr>
        <w:t>in vitro</w:t>
      </w:r>
    </w:p>
    <w:p w:rsidR="009E2BF9" w:rsidRPr="009E2BF9" w:rsidRDefault="009E2BF9" w:rsidP="001E38EA">
      <w:pPr>
        <w:adjustRightInd w:val="0"/>
        <w:snapToGrid w:val="0"/>
        <w:spacing w:line="360" w:lineRule="auto"/>
        <w:rPr>
          <w:rFonts w:ascii="Book Antiqua" w:hAnsi="Book Antiqua" w:cs="Times New Roman"/>
          <w:bCs/>
          <w:sz w:val="24"/>
          <w:szCs w:val="24"/>
        </w:rPr>
      </w:pPr>
    </w:p>
    <w:p w:rsidR="009E2BF9" w:rsidRPr="009E2BF9" w:rsidRDefault="009E2BF9" w:rsidP="001E38EA">
      <w:pPr>
        <w:adjustRightInd w:val="0"/>
        <w:snapToGrid w:val="0"/>
        <w:spacing w:line="360" w:lineRule="auto"/>
        <w:rPr>
          <w:rFonts w:ascii="Book Antiqua" w:hAnsi="Book Antiqua" w:cs="Times New Roman"/>
          <w:b/>
          <w:bCs/>
          <w:sz w:val="24"/>
          <w:szCs w:val="24"/>
        </w:rPr>
      </w:pPr>
      <w:r w:rsidRPr="009E2BF9">
        <w:rPr>
          <w:rFonts w:ascii="Book Antiqua" w:hAnsi="Book Antiqua" w:cs="Times New Roman"/>
          <w:bCs/>
          <w:sz w:val="24"/>
          <w:szCs w:val="24"/>
        </w:rPr>
        <w:t xml:space="preserve">Zhu WQ </w:t>
      </w:r>
      <w:r w:rsidRPr="009E2BF9">
        <w:rPr>
          <w:rFonts w:ascii="Book Antiqua" w:hAnsi="Book Antiqua" w:cs="Times New Roman"/>
          <w:bCs/>
          <w:i/>
          <w:sz w:val="24"/>
          <w:szCs w:val="24"/>
        </w:rPr>
        <w:t>et al</w:t>
      </w:r>
      <w:r w:rsidRPr="009E2BF9">
        <w:rPr>
          <w:rFonts w:ascii="Book Antiqua" w:hAnsi="Book Antiqua" w:cs="Times New Roman"/>
          <w:bCs/>
          <w:sz w:val="24"/>
          <w:szCs w:val="24"/>
        </w:rPr>
        <w:t>. Thymoquinone inhibits proliferation in GC</w:t>
      </w:r>
    </w:p>
    <w:p w:rsidR="009E2BF9" w:rsidRPr="009E2BF9" w:rsidRDefault="009E2BF9" w:rsidP="001E38EA">
      <w:pPr>
        <w:adjustRightInd w:val="0"/>
        <w:snapToGrid w:val="0"/>
        <w:spacing w:line="360" w:lineRule="auto"/>
        <w:rPr>
          <w:rFonts w:ascii="Book Antiqua" w:hAnsi="Book Antiqua" w:cs="Times New Roman"/>
          <w:bCs/>
          <w:sz w:val="24"/>
          <w:szCs w:val="24"/>
        </w:rPr>
      </w:pPr>
    </w:p>
    <w:p w:rsidR="009E2BF9" w:rsidRPr="009E2BF9" w:rsidRDefault="009E2BF9" w:rsidP="001E38EA">
      <w:pPr>
        <w:adjustRightInd w:val="0"/>
        <w:snapToGrid w:val="0"/>
        <w:spacing w:line="360" w:lineRule="auto"/>
        <w:rPr>
          <w:rFonts w:ascii="Book Antiqua" w:hAnsi="Book Antiqua" w:cs="Times New Roman"/>
          <w:bCs/>
          <w:sz w:val="24"/>
          <w:szCs w:val="24"/>
        </w:rPr>
      </w:pPr>
      <w:r w:rsidRPr="009E2BF9">
        <w:rPr>
          <w:rFonts w:ascii="Book Antiqua" w:hAnsi="Book Antiqua" w:cs="Times New Roman"/>
          <w:bCs/>
          <w:sz w:val="24"/>
          <w:szCs w:val="24"/>
        </w:rPr>
        <w:t>Wen-Qian Zhu, Jun Wang, Xu-Feng Guo, Zhou Liu, Wei-Guo Dong</w:t>
      </w:r>
    </w:p>
    <w:p w:rsidR="009E2BF9" w:rsidRPr="009E2BF9" w:rsidRDefault="009E2BF9" w:rsidP="001E38EA">
      <w:pPr>
        <w:adjustRightInd w:val="0"/>
        <w:snapToGrid w:val="0"/>
        <w:spacing w:line="360" w:lineRule="auto"/>
        <w:rPr>
          <w:rFonts w:ascii="Book Antiqua" w:hAnsi="Book Antiqua" w:cs="Times New Roman"/>
          <w:b/>
          <w:bCs/>
          <w:sz w:val="24"/>
          <w:szCs w:val="24"/>
        </w:rPr>
      </w:pPr>
    </w:p>
    <w:p w:rsidR="009E2BF9" w:rsidRPr="009E2BF9" w:rsidRDefault="009E2BF9" w:rsidP="001E38EA">
      <w:pPr>
        <w:adjustRightInd w:val="0"/>
        <w:snapToGrid w:val="0"/>
        <w:spacing w:line="360" w:lineRule="auto"/>
        <w:rPr>
          <w:rFonts w:ascii="Book Antiqua" w:hAnsi="Book Antiqua" w:cs="Times New Roman"/>
          <w:bCs/>
          <w:sz w:val="24"/>
          <w:szCs w:val="24"/>
        </w:rPr>
      </w:pPr>
      <w:r w:rsidRPr="009E2BF9">
        <w:rPr>
          <w:rFonts w:ascii="Book Antiqua" w:hAnsi="Book Antiqua" w:cs="Times New Roman"/>
          <w:b/>
          <w:bCs/>
          <w:sz w:val="24"/>
          <w:szCs w:val="24"/>
        </w:rPr>
        <w:t xml:space="preserve">Wen-Qian Zhu, Jun Wang, Xu-Feng Guo, Zhou Liu, Wei-Guo Dong, </w:t>
      </w:r>
      <w:r w:rsidRPr="009E2BF9">
        <w:rPr>
          <w:rFonts w:ascii="Book Antiqua" w:hAnsi="Book Antiqua" w:cs="Times New Roman"/>
          <w:bCs/>
          <w:sz w:val="24"/>
          <w:szCs w:val="24"/>
        </w:rPr>
        <w:t xml:space="preserve">Department of Gastroenterology, Renmin Hospital of Wuhan University, Key Laboratory of Hubei Province for </w:t>
      </w:r>
      <w:r w:rsidR="005E5227" w:rsidRPr="009E2BF9">
        <w:rPr>
          <w:rFonts w:ascii="Book Antiqua" w:hAnsi="Book Antiqua" w:cs="Times New Roman"/>
          <w:bCs/>
          <w:sz w:val="24"/>
          <w:szCs w:val="24"/>
        </w:rPr>
        <w:t>D</w:t>
      </w:r>
      <w:r w:rsidRPr="009E2BF9">
        <w:rPr>
          <w:rFonts w:ascii="Book Antiqua" w:hAnsi="Book Antiqua" w:cs="Times New Roman"/>
          <w:bCs/>
          <w:sz w:val="24"/>
          <w:szCs w:val="24"/>
        </w:rPr>
        <w:t xml:space="preserve">igestive System Disease, Wuhan 430060, </w:t>
      </w:r>
      <w:r w:rsidR="00FE7FCD" w:rsidRPr="009E2BF9">
        <w:rPr>
          <w:rFonts w:ascii="Book Antiqua" w:hAnsi="Book Antiqua" w:cs="Times New Roman"/>
          <w:bCs/>
          <w:sz w:val="24"/>
          <w:szCs w:val="24"/>
        </w:rPr>
        <w:t>Hubei Province</w:t>
      </w:r>
      <w:r w:rsidRPr="009E2BF9">
        <w:rPr>
          <w:rFonts w:ascii="Book Antiqua" w:hAnsi="Book Antiqua" w:cs="Times New Roman"/>
          <w:bCs/>
          <w:sz w:val="24"/>
          <w:szCs w:val="24"/>
        </w:rPr>
        <w:t>, China</w:t>
      </w:r>
    </w:p>
    <w:p w:rsidR="009E2BF9" w:rsidRPr="009E2BF9" w:rsidRDefault="009E2BF9" w:rsidP="001E38EA">
      <w:pPr>
        <w:adjustRightInd w:val="0"/>
        <w:snapToGrid w:val="0"/>
        <w:spacing w:line="360" w:lineRule="auto"/>
        <w:rPr>
          <w:rFonts w:ascii="Book Antiqua" w:hAnsi="Book Antiqua" w:cs="Times New Roman"/>
          <w:bCs/>
          <w:sz w:val="24"/>
          <w:szCs w:val="24"/>
        </w:rPr>
      </w:pPr>
    </w:p>
    <w:p w:rsidR="009E2BF9" w:rsidRPr="009E2BF9" w:rsidRDefault="009E2BF9" w:rsidP="001E38EA">
      <w:pPr>
        <w:adjustRightInd w:val="0"/>
        <w:snapToGrid w:val="0"/>
        <w:spacing w:line="360" w:lineRule="auto"/>
        <w:rPr>
          <w:rFonts w:ascii="Book Antiqua" w:hAnsi="Book Antiqua" w:cs="Times New Roman"/>
          <w:bCs/>
          <w:sz w:val="24"/>
          <w:szCs w:val="24"/>
        </w:rPr>
      </w:pPr>
      <w:r w:rsidRPr="009E2BF9">
        <w:rPr>
          <w:rFonts w:ascii="Book Antiqua" w:hAnsi="Book Antiqua" w:cs="Times New Roman"/>
          <w:b/>
          <w:bCs/>
          <w:sz w:val="24"/>
          <w:szCs w:val="24"/>
        </w:rPr>
        <w:t xml:space="preserve">Author contributions: </w:t>
      </w:r>
      <w:r w:rsidRPr="009E2BF9">
        <w:rPr>
          <w:rFonts w:ascii="Book Antiqua" w:hAnsi="Book Antiqua" w:cs="Times New Roman"/>
          <w:bCs/>
          <w:sz w:val="24"/>
          <w:szCs w:val="24"/>
        </w:rPr>
        <w:t>Zhu W</w:t>
      </w:r>
      <w:r w:rsidRPr="009E2BF9">
        <w:rPr>
          <w:rFonts w:ascii="Book Antiqua" w:hAnsi="Book Antiqua" w:cs="Times New Roman"/>
          <w:bCs/>
          <w:caps/>
          <w:sz w:val="24"/>
          <w:szCs w:val="24"/>
        </w:rPr>
        <w:t>q</w:t>
      </w:r>
      <w:r w:rsidRPr="009E2BF9">
        <w:rPr>
          <w:rFonts w:ascii="Book Antiqua" w:hAnsi="Book Antiqua" w:cs="Times New Roman"/>
          <w:bCs/>
          <w:sz w:val="24"/>
          <w:szCs w:val="24"/>
        </w:rPr>
        <w:t xml:space="preserve"> and Wang J contributed equally to this work; Zhu W</w:t>
      </w:r>
      <w:r w:rsidRPr="009E2BF9">
        <w:rPr>
          <w:rFonts w:ascii="Book Antiqua" w:hAnsi="Book Antiqua" w:cs="Times New Roman"/>
          <w:bCs/>
          <w:caps/>
          <w:sz w:val="24"/>
          <w:szCs w:val="24"/>
        </w:rPr>
        <w:t>q</w:t>
      </w:r>
      <w:r w:rsidRPr="009E2BF9">
        <w:rPr>
          <w:rFonts w:ascii="Book Antiqua" w:hAnsi="Book Antiqua" w:cs="Times New Roman"/>
          <w:bCs/>
          <w:sz w:val="24"/>
          <w:szCs w:val="24"/>
        </w:rPr>
        <w:t>, Wang J, Guo X</w:t>
      </w:r>
      <w:r w:rsidRPr="009E2BF9">
        <w:rPr>
          <w:rFonts w:ascii="Book Antiqua" w:hAnsi="Book Antiqua" w:cs="Times New Roman"/>
          <w:bCs/>
          <w:caps/>
          <w:sz w:val="24"/>
          <w:szCs w:val="24"/>
        </w:rPr>
        <w:t>f</w:t>
      </w:r>
      <w:r w:rsidRPr="009E2BF9">
        <w:rPr>
          <w:rFonts w:ascii="Book Antiqua" w:hAnsi="Book Antiqua" w:cs="Times New Roman"/>
          <w:bCs/>
          <w:sz w:val="24"/>
          <w:szCs w:val="24"/>
        </w:rPr>
        <w:t>, Liu Z and Dong W</w:t>
      </w:r>
      <w:r w:rsidRPr="009E2BF9">
        <w:rPr>
          <w:rFonts w:ascii="Book Antiqua" w:hAnsi="Book Antiqua" w:cs="Times New Roman"/>
          <w:bCs/>
          <w:caps/>
          <w:sz w:val="24"/>
          <w:szCs w:val="24"/>
        </w:rPr>
        <w:t>g</w:t>
      </w:r>
      <w:r w:rsidRPr="009E2BF9">
        <w:rPr>
          <w:rFonts w:ascii="Book Antiqua" w:hAnsi="Book Antiqua" w:cs="Times New Roman"/>
          <w:bCs/>
          <w:sz w:val="24"/>
          <w:szCs w:val="24"/>
        </w:rPr>
        <w:t xml:space="preserve"> designed research; Zhu W</w:t>
      </w:r>
      <w:r w:rsidRPr="009E2BF9">
        <w:rPr>
          <w:rFonts w:ascii="Book Antiqua" w:hAnsi="Book Antiqua" w:cs="Times New Roman"/>
          <w:bCs/>
          <w:caps/>
          <w:sz w:val="24"/>
          <w:szCs w:val="24"/>
        </w:rPr>
        <w:t>q</w:t>
      </w:r>
      <w:r w:rsidRPr="009E2BF9">
        <w:rPr>
          <w:rFonts w:ascii="Book Antiqua" w:hAnsi="Book Antiqua" w:cs="Times New Roman"/>
          <w:bCs/>
          <w:sz w:val="24"/>
          <w:szCs w:val="24"/>
        </w:rPr>
        <w:t>, Wang J, Guo X</w:t>
      </w:r>
      <w:r w:rsidRPr="009E2BF9">
        <w:rPr>
          <w:rFonts w:ascii="Book Antiqua" w:hAnsi="Book Antiqua" w:cs="Times New Roman"/>
          <w:bCs/>
          <w:caps/>
          <w:sz w:val="24"/>
          <w:szCs w:val="24"/>
        </w:rPr>
        <w:t>f</w:t>
      </w:r>
      <w:r w:rsidRPr="009E2BF9">
        <w:rPr>
          <w:rFonts w:ascii="Book Antiqua" w:hAnsi="Book Antiqua" w:cs="Times New Roman"/>
          <w:bCs/>
          <w:sz w:val="24"/>
          <w:szCs w:val="24"/>
        </w:rPr>
        <w:t xml:space="preserve"> and Liu Z performed research; Wang J, Zhu W</w:t>
      </w:r>
      <w:r w:rsidRPr="009E2BF9">
        <w:rPr>
          <w:rFonts w:ascii="Book Antiqua" w:hAnsi="Book Antiqua" w:cs="Times New Roman"/>
          <w:bCs/>
          <w:caps/>
          <w:sz w:val="24"/>
          <w:szCs w:val="24"/>
        </w:rPr>
        <w:t>q</w:t>
      </w:r>
      <w:r w:rsidRPr="009E2BF9">
        <w:rPr>
          <w:rFonts w:ascii="Book Antiqua" w:hAnsi="Book Antiqua" w:cs="Times New Roman"/>
          <w:bCs/>
          <w:sz w:val="24"/>
          <w:szCs w:val="24"/>
        </w:rPr>
        <w:t xml:space="preserve"> and Guo X</w:t>
      </w:r>
      <w:r w:rsidRPr="009E2BF9">
        <w:rPr>
          <w:rFonts w:ascii="Book Antiqua" w:hAnsi="Book Antiqua" w:cs="Times New Roman"/>
          <w:bCs/>
          <w:caps/>
          <w:sz w:val="24"/>
          <w:szCs w:val="24"/>
        </w:rPr>
        <w:t>f</w:t>
      </w:r>
      <w:r w:rsidRPr="009E2BF9">
        <w:rPr>
          <w:rFonts w:ascii="Book Antiqua" w:hAnsi="Book Antiqua" w:cs="Times New Roman"/>
          <w:bCs/>
          <w:sz w:val="24"/>
          <w:szCs w:val="24"/>
        </w:rPr>
        <w:t xml:space="preserve"> contributed new reagents/analytic tools; Wang J, Zhu W</w:t>
      </w:r>
      <w:r w:rsidRPr="009E2BF9">
        <w:rPr>
          <w:rFonts w:ascii="Book Antiqua" w:hAnsi="Book Antiqua" w:cs="Times New Roman"/>
          <w:bCs/>
          <w:caps/>
          <w:sz w:val="24"/>
          <w:szCs w:val="24"/>
        </w:rPr>
        <w:t>q</w:t>
      </w:r>
      <w:r w:rsidRPr="009E2BF9">
        <w:rPr>
          <w:rFonts w:ascii="Book Antiqua" w:hAnsi="Book Antiqua" w:cs="Times New Roman"/>
          <w:bCs/>
          <w:sz w:val="24"/>
          <w:szCs w:val="24"/>
        </w:rPr>
        <w:t>, Guo X</w:t>
      </w:r>
      <w:r w:rsidRPr="009E2BF9">
        <w:rPr>
          <w:rFonts w:ascii="Book Antiqua" w:hAnsi="Book Antiqua" w:cs="Times New Roman"/>
          <w:bCs/>
          <w:caps/>
          <w:sz w:val="24"/>
          <w:szCs w:val="24"/>
        </w:rPr>
        <w:t>f</w:t>
      </w:r>
      <w:r w:rsidRPr="009E2BF9">
        <w:rPr>
          <w:rFonts w:ascii="Book Antiqua" w:hAnsi="Book Antiqua" w:cs="Times New Roman"/>
          <w:bCs/>
          <w:sz w:val="24"/>
          <w:szCs w:val="24"/>
        </w:rPr>
        <w:t xml:space="preserve"> and Liu Z analyzed data; and Zhu W</w:t>
      </w:r>
      <w:r w:rsidRPr="009E2BF9">
        <w:rPr>
          <w:rFonts w:ascii="Book Antiqua" w:hAnsi="Book Antiqua" w:cs="Times New Roman"/>
          <w:bCs/>
          <w:caps/>
          <w:sz w:val="24"/>
          <w:szCs w:val="24"/>
        </w:rPr>
        <w:t>q</w:t>
      </w:r>
      <w:r w:rsidRPr="009E2BF9">
        <w:rPr>
          <w:rFonts w:ascii="Book Antiqua" w:hAnsi="Book Antiqua" w:cs="Times New Roman"/>
          <w:bCs/>
          <w:sz w:val="24"/>
          <w:szCs w:val="24"/>
        </w:rPr>
        <w:t xml:space="preserve"> and Wang J wrote the paper.</w:t>
      </w:r>
    </w:p>
    <w:p w:rsidR="009E2BF9" w:rsidRPr="009E2BF9" w:rsidRDefault="009E2BF9" w:rsidP="001E38EA">
      <w:pPr>
        <w:adjustRightInd w:val="0"/>
        <w:snapToGrid w:val="0"/>
        <w:spacing w:line="360" w:lineRule="auto"/>
        <w:rPr>
          <w:rFonts w:ascii="Book Antiqua" w:hAnsi="Book Antiqua" w:cs="Times New Roman"/>
          <w:bCs/>
          <w:sz w:val="24"/>
          <w:szCs w:val="24"/>
        </w:rPr>
      </w:pPr>
    </w:p>
    <w:p w:rsidR="009E2BF9" w:rsidRPr="009E2BF9" w:rsidRDefault="009E2BF9" w:rsidP="001E38EA">
      <w:pPr>
        <w:adjustRightInd w:val="0"/>
        <w:snapToGrid w:val="0"/>
        <w:spacing w:line="360" w:lineRule="auto"/>
        <w:rPr>
          <w:rFonts w:ascii="Book Antiqua" w:hAnsi="Book Antiqua" w:cs="Times New Roman"/>
          <w:bCs/>
          <w:sz w:val="24"/>
          <w:szCs w:val="24"/>
        </w:rPr>
      </w:pPr>
      <w:r w:rsidRPr="009E2BF9">
        <w:rPr>
          <w:rFonts w:ascii="Book Antiqua" w:hAnsi="Book Antiqua"/>
          <w:b/>
          <w:sz w:val="24"/>
          <w:szCs w:val="24"/>
        </w:rPr>
        <w:t>Supported by</w:t>
      </w:r>
      <w:r w:rsidRPr="009E2BF9">
        <w:rPr>
          <w:rFonts w:ascii="Book Antiqua" w:hAnsi="Book Antiqua" w:cs="Times New Roman"/>
          <w:bCs/>
          <w:sz w:val="24"/>
          <w:szCs w:val="24"/>
        </w:rPr>
        <w:t xml:space="preserve"> the National Natural Science Foundation of China, No. 81372551.</w:t>
      </w:r>
    </w:p>
    <w:p w:rsidR="009E2BF9" w:rsidRPr="009E2BF9" w:rsidRDefault="009E2BF9" w:rsidP="001E38EA">
      <w:pPr>
        <w:adjustRightInd w:val="0"/>
        <w:snapToGrid w:val="0"/>
        <w:spacing w:line="360" w:lineRule="auto"/>
        <w:rPr>
          <w:rFonts w:ascii="Book Antiqua" w:hAnsi="Book Antiqua" w:cs="Times New Roman"/>
          <w:b/>
          <w:bCs/>
          <w:sz w:val="24"/>
          <w:szCs w:val="24"/>
        </w:rPr>
      </w:pPr>
    </w:p>
    <w:p w:rsidR="009E2BF9" w:rsidRPr="009E2BF9" w:rsidRDefault="009E2BF9" w:rsidP="001E38EA">
      <w:pPr>
        <w:adjustRightInd w:val="0"/>
        <w:snapToGrid w:val="0"/>
        <w:spacing w:line="360" w:lineRule="auto"/>
        <w:rPr>
          <w:rFonts w:ascii="Book Antiqua" w:hAnsi="Book Antiqua" w:cs="Times New Roman"/>
          <w:bCs/>
          <w:sz w:val="24"/>
          <w:szCs w:val="24"/>
        </w:rPr>
      </w:pPr>
      <w:r w:rsidRPr="009E2BF9">
        <w:rPr>
          <w:rFonts w:ascii="Book Antiqua" w:hAnsi="Book Antiqua" w:cs="Times New Roman"/>
          <w:b/>
          <w:bCs/>
          <w:sz w:val="24"/>
          <w:szCs w:val="24"/>
        </w:rPr>
        <w:t xml:space="preserve">Institutional review board statement: </w:t>
      </w:r>
      <w:r w:rsidRPr="009E2BF9">
        <w:rPr>
          <w:rFonts w:ascii="Book Antiqua" w:hAnsi="Book Antiqua" w:cs="Times New Roman"/>
          <w:bCs/>
          <w:sz w:val="24"/>
          <w:szCs w:val="24"/>
        </w:rPr>
        <w:t>This study was reviewed and approved by the Wuhan University Institutional Review Board.</w:t>
      </w:r>
    </w:p>
    <w:p w:rsidR="009E2BF9" w:rsidRPr="009E2BF9" w:rsidRDefault="009E2BF9" w:rsidP="001E38EA">
      <w:pPr>
        <w:adjustRightInd w:val="0"/>
        <w:snapToGrid w:val="0"/>
        <w:spacing w:line="360" w:lineRule="auto"/>
        <w:rPr>
          <w:rFonts w:ascii="Book Antiqua" w:hAnsi="Book Antiqua" w:cs="Times New Roman"/>
          <w:bCs/>
          <w:sz w:val="24"/>
          <w:szCs w:val="24"/>
        </w:rPr>
      </w:pPr>
    </w:p>
    <w:p w:rsidR="009E2BF9" w:rsidRPr="009E2BF9" w:rsidRDefault="009E2BF9" w:rsidP="001E38EA">
      <w:pPr>
        <w:adjustRightInd w:val="0"/>
        <w:snapToGrid w:val="0"/>
        <w:spacing w:line="360" w:lineRule="auto"/>
        <w:rPr>
          <w:rFonts w:ascii="Book Antiqua" w:hAnsi="Book Antiqua" w:cs="Times New Roman"/>
          <w:bCs/>
          <w:sz w:val="24"/>
          <w:szCs w:val="24"/>
        </w:rPr>
      </w:pPr>
      <w:r w:rsidRPr="009E2BF9">
        <w:rPr>
          <w:rFonts w:ascii="Book Antiqua" w:hAnsi="Book Antiqua" w:cs="Times New Roman"/>
          <w:b/>
          <w:bCs/>
          <w:sz w:val="24"/>
          <w:szCs w:val="24"/>
        </w:rPr>
        <w:t>Institutional animal care and use committee statement:</w:t>
      </w:r>
      <w:r w:rsidRPr="009E2BF9">
        <w:rPr>
          <w:rFonts w:ascii="Book Antiqua" w:hAnsi="Book Antiqua" w:cs="Times New Roman"/>
          <w:bCs/>
          <w:sz w:val="24"/>
          <w:szCs w:val="24"/>
        </w:rPr>
        <w:t xml:space="preserve"> All procedures involving animals were reviewed and approved by the Institutional Animal </w:t>
      </w:r>
      <w:r w:rsidRPr="009E2BF9">
        <w:rPr>
          <w:rFonts w:ascii="Book Antiqua" w:hAnsi="Book Antiqua" w:cs="Times New Roman"/>
          <w:bCs/>
          <w:sz w:val="24"/>
          <w:szCs w:val="24"/>
        </w:rPr>
        <w:lastRenderedPageBreak/>
        <w:t>Care and Use Committe of the Wuhan University.</w:t>
      </w:r>
    </w:p>
    <w:p w:rsidR="009E2BF9" w:rsidRPr="009E2BF9" w:rsidRDefault="009E2BF9" w:rsidP="001E38EA">
      <w:pPr>
        <w:adjustRightInd w:val="0"/>
        <w:snapToGrid w:val="0"/>
        <w:spacing w:line="360" w:lineRule="auto"/>
        <w:rPr>
          <w:rFonts w:ascii="Book Antiqua" w:hAnsi="Book Antiqua" w:cs="Times New Roman"/>
          <w:bCs/>
          <w:sz w:val="24"/>
          <w:szCs w:val="24"/>
        </w:rPr>
      </w:pPr>
    </w:p>
    <w:p w:rsidR="009E2BF9" w:rsidRPr="009E2BF9" w:rsidRDefault="009E2BF9" w:rsidP="001E38EA">
      <w:pPr>
        <w:adjustRightInd w:val="0"/>
        <w:snapToGrid w:val="0"/>
        <w:spacing w:line="360" w:lineRule="auto"/>
        <w:rPr>
          <w:rFonts w:ascii="Book Antiqua" w:hAnsi="Book Antiqua" w:cs="Times New Roman"/>
          <w:bCs/>
          <w:sz w:val="24"/>
          <w:szCs w:val="24"/>
        </w:rPr>
      </w:pPr>
      <w:r w:rsidRPr="009E2BF9">
        <w:rPr>
          <w:rFonts w:ascii="Book Antiqua" w:hAnsi="Book Antiqua" w:cs="Times New Roman"/>
          <w:b/>
          <w:bCs/>
          <w:sz w:val="24"/>
          <w:szCs w:val="24"/>
        </w:rPr>
        <w:t xml:space="preserve">Conflict-of-interest statement: </w:t>
      </w:r>
      <w:r w:rsidRPr="009E2BF9">
        <w:rPr>
          <w:rFonts w:ascii="Book Antiqua" w:hAnsi="Book Antiqua" w:cs="Times New Roman"/>
          <w:bCs/>
          <w:sz w:val="24"/>
          <w:szCs w:val="24"/>
        </w:rPr>
        <w:t xml:space="preserve">We declare that we have no financial and personal relationships with other people or organizations that can inappropriately influence our work, there is no professional or other personal interest of any nature or kind in any product, service and/or company that could be construed as influencing the position presented in, or the review of, the manuscript entitled, “Thymoquinone inhibits proliferation in Gastric Cancer </w:t>
      </w:r>
      <w:r w:rsidRPr="009E2BF9">
        <w:rPr>
          <w:rFonts w:ascii="Book Antiqua" w:hAnsi="Book Antiqua" w:cs="Times New Roman"/>
          <w:bCs/>
          <w:i/>
          <w:sz w:val="24"/>
          <w:szCs w:val="24"/>
        </w:rPr>
        <w:t>via</w:t>
      </w:r>
      <w:r w:rsidRPr="009E2BF9">
        <w:rPr>
          <w:rFonts w:ascii="Book Antiqua" w:hAnsi="Book Antiqua" w:cs="Times New Roman"/>
          <w:bCs/>
          <w:sz w:val="24"/>
          <w:szCs w:val="24"/>
        </w:rPr>
        <w:t xml:space="preserve"> STAT3 pathway </w:t>
      </w:r>
      <w:r w:rsidRPr="009E2BF9">
        <w:rPr>
          <w:rFonts w:ascii="Book Antiqua" w:hAnsi="Book Antiqua" w:cs="Times New Roman"/>
          <w:bCs/>
          <w:i/>
          <w:sz w:val="24"/>
          <w:szCs w:val="24"/>
        </w:rPr>
        <w:t>in vivo</w:t>
      </w:r>
      <w:r w:rsidRPr="009E2BF9">
        <w:rPr>
          <w:rFonts w:ascii="Book Antiqua" w:hAnsi="Book Antiqua" w:cs="Times New Roman"/>
          <w:bCs/>
          <w:sz w:val="24"/>
          <w:szCs w:val="24"/>
        </w:rPr>
        <w:t xml:space="preserve"> and </w:t>
      </w:r>
      <w:r w:rsidRPr="009E2BF9">
        <w:rPr>
          <w:rFonts w:ascii="Book Antiqua" w:hAnsi="Book Antiqua" w:cs="Times New Roman"/>
          <w:bCs/>
          <w:i/>
          <w:sz w:val="24"/>
          <w:szCs w:val="24"/>
        </w:rPr>
        <w:t>in vitro</w:t>
      </w:r>
      <w:r w:rsidRPr="009E2BF9">
        <w:rPr>
          <w:rFonts w:ascii="Book Antiqua" w:hAnsi="Book Antiqua" w:cs="Times New Roman"/>
          <w:bCs/>
          <w:sz w:val="24"/>
          <w:szCs w:val="24"/>
        </w:rPr>
        <w:t>”.</w:t>
      </w:r>
    </w:p>
    <w:p w:rsidR="009E2BF9" w:rsidRPr="009E2BF9" w:rsidRDefault="009E2BF9" w:rsidP="001E38EA">
      <w:pPr>
        <w:adjustRightInd w:val="0"/>
        <w:snapToGrid w:val="0"/>
        <w:spacing w:line="360" w:lineRule="auto"/>
        <w:rPr>
          <w:rFonts w:ascii="Book Antiqua" w:hAnsi="Book Antiqua" w:cs="Times New Roman"/>
          <w:bCs/>
          <w:sz w:val="24"/>
          <w:szCs w:val="24"/>
        </w:rPr>
      </w:pPr>
    </w:p>
    <w:p w:rsidR="009E2BF9" w:rsidRPr="009E2BF9" w:rsidRDefault="009E2BF9" w:rsidP="001E38EA">
      <w:pPr>
        <w:adjustRightInd w:val="0"/>
        <w:snapToGrid w:val="0"/>
        <w:spacing w:line="360" w:lineRule="auto"/>
        <w:rPr>
          <w:rFonts w:ascii="Book Antiqua" w:hAnsi="Book Antiqua" w:cs="Times New Roman"/>
          <w:bCs/>
          <w:sz w:val="24"/>
          <w:szCs w:val="24"/>
        </w:rPr>
      </w:pPr>
      <w:r w:rsidRPr="009E2BF9">
        <w:rPr>
          <w:rFonts w:ascii="Book Antiqua" w:hAnsi="Book Antiqua" w:cs="Times New Roman"/>
          <w:b/>
          <w:bCs/>
          <w:sz w:val="24"/>
          <w:szCs w:val="24"/>
        </w:rPr>
        <w:t xml:space="preserve">Data sharing statement: </w:t>
      </w:r>
      <w:r w:rsidRPr="009E2BF9">
        <w:rPr>
          <w:rFonts w:ascii="Book Antiqua" w:hAnsi="Book Antiqua" w:cs="Times New Roman"/>
          <w:bCs/>
          <w:sz w:val="24"/>
          <w:szCs w:val="24"/>
        </w:rPr>
        <w:t xml:space="preserve">Technical appendix, original data, images, and statistical code of </w:t>
      </w:r>
      <w:r w:rsidR="00E969F4">
        <w:rPr>
          <w:rFonts w:ascii="Book Antiqua" w:hAnsi="Book Antiqua" w:cs="Times New Roman" w:hint="eastAsia"/>
          <w:bCs/>
          <w:sz w:val="24"/>
          <w:szCs w:val="24"/>
        </w:rPr>
        <w:t xml:space="preserve">this </w:t>
      </w:r>
      <w:r w:rsidRPr="009E2BF9">
        <w:rPr>
          <w:rFonts w:ascii="Book Antiqua" w:hAnsi="Book Antiqua" w:cs="Times New Roman"/>
          <w:bCs/>
          <w:sz w:val="24"/>
          <w:szCs w:val="24"/>
        </w:rPr>
        <w:t>manuscript are available from the corresponding author at dwg@whu.edu.cn. Participants gave informed consent for data sharing.</w:t>
      </w:r>
    </w:p>
    <w:p w:rsidR="009E2BF9" w:rsidRPr="00115E3F" w:rsidRDefault="009E2BF9" w:rsidP="001E38EA">
      <w:pPr>
        <w:adjustRightInd w:val="0"/>
        <w:snapToGrid w:val="0"/>
        <w:spacing w:line="360" w:lineRule="auto"/>
        <w:rPr>
          <w:rFonts w:ascii="Book Antiqua" w:hAnsi="Book Antiqua" w:cs="Times New Roman"/>
          <w:bCs/>
          <w:sz w:val="24"/>
          <w:szCs w:val="24"/>
        </w:rPr>
      </w:pPr>
    </w:p>
    <w:p w:rsidR="009E2BF9" w:rsidRPr="009E2BF9" w:rsidRDefault="009E2BF9" w:rsidP="001E38EA">
      <w:pPr>
        <w:adjustRightInd w:val="0"/>
        <w:snapToGrid w:val="0"/>
        <w:spacing w:line="360" w:lineRule="auto"/>
        <w:rPr>
          <w:rFonts w:ascii="Book Antiqua" w:hAnsi="Book Antiqua"/>
          <w:color w:val="000000"/>
          <w:sz w:val="24"/>
          <w:szCs w:val="24"/>
        </w:rPr>
      </w:pPr>
      <w:bookmarkStart w:id="0" w:name="OLE_LINK507"/>
      <w:bookmarkStart w:id="1" w:name="OLE_LINK506"/>
      <w:bookmarkStart w:id="2" w:name="OLE_LINK496"/>
      <w:bookmarkStart w:id="3" w:name="OLE_LINK479"/>
      <w:r w:rsidRPr="009E2BF9">
        <w:rPr>
          <w:rFonts w:ascii="Book Antiqua" w:hAnsi="Book Antiqua"/>
          <w:b/>
          <w:color w:val="000000"/>
          <w:sz w:val="24"/>
          <w:szCs w:val="24"/>
        </w:rPr>
        <w:t xml:space="preserve">Open-Access: </w:t>
      </w:r>
      <w:r w:rsidRPr="009E2BF9">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9E2BF9" w:rsidRPr="009E2BF9" w:rsidRDefault="009E2BF9" w:rsidP="001E38EA">
      <w:pPr>
        <w:adjustRightInd w:val="0"/>
        <w:snapToGrid w:val="0"/>
        <w:spacing w:line="360" w:lineRule="auto"/>
        <w:rPr>
          <w:rFonts w:ascii="Book Antiqua" w:hAnsi="Book Antiqua" w:cs="Times New Roman"/>
          <w:bCs/>
          <w:sz w:val="24"/>
          <w:szCs w:val="24"/>
        </w:rPr>
      </w:pPr>
    </w:p>
    <w:p w:rsidR="009E2BF9" w:rsidRPr="009E2BF9" w:rsidRDefault="009E2BF9" w:rsidP="001E38EA">
      <w:pPr>
        <w:adjustRightInd w:val="0"/>
        <w:snapToGrid w:val="0"/>
        <w:spacing w:line="360" w:lineRule="auto"/>
        <w:rPr>
          <w:rFonts w:ascii="Book Antiqua" w:hAnsi="Book Antiqua" w:cs="Times New Roman"/>
          <w:bCs/>
          <w:sz w:val="24"/>
          <w:szCs w:val="24"/>
        </w:rPr>
      </w:pPr>
      <w:r w:rsidRPr="009E2BF9">
        <w:rPr>
          <w:rFonts w:ascii="Book Antiqua" w:hAnsi="Book Antiqua" w:cs="Times New Roman"/>
          <w:b/>
          <w:bCs/>
          <w:sz w:val="24"/>
          <w:szCs w:val="24"/>
        </w:rPr>
        <w:t>Correspondence to: Wei-</w:t>
      </w:r>
      <w:r w:rsidRPr="009E2BF9">
        <w:rPr>
          <w:rFonts w:ascii="Book Antiqua" w:hAnsi="Book Antiqua" w:cs="Times New Roman"/>
          <w:b/>
          <w:bCs/>
          <w:caps/>
          <w:sz w:val="24"/>
          <w:szCs w:val="24"/>
        </w:rPr>
        <w:t>g</w:t>
      </w:r>
      <w:r w:rsidRPr="009E2BF9">
        <w:rPr>
          <w:rFonts w:ascii="Book Antiqua" w:hAnsi="Book Antiqua" w:cs="Times New Roman"/>
          <w:b/>
          <w:bCs/>
          <w:sz w:val="24"/>
          <w:szCs w:val="24"/>
        </w:rPr>
        <w:t>uo Dong, Professor,</w:t>
      </w:r>
      <w:r w:rsidRPr="009E2BF9">
        <w:rPr>
          <w:rFonts w:ascii="Book Antiqua" w:hAnsi="Book Antiqua" w:cs="Times New Roman"/>
          <w:bCs/>
          <w:sz w:val="24"/>
          <w:szCs w:val="24"/>
        </w:rPr>
        <w:t xml:space="preserve"> Department of Gastroenterology, Renmin Hospital of Wuhan University, Key Laboratory of Hubei Province for </w:t>
      </w:r>
      <w:r w:rsidR="00EF643F" w:rsidRPr="009E2BF9">
        <w:rPr>
          <w:rFonts w:ascii="Book Antiqua" w:hAnsi="Book Antiqua" w:cs="Times New Roman"/>
          <w:bCs/>
          <w:sz w:val="24"/>
          <w:szCs w:val="24"/>
        </w:rPr>
        <w:t>D</w:t>
      </w:r>
      <w:r w:rsidRPr="009E2BF9">
        <w:rPr>
          <w:rFonts w:ascii="Book Antiqua" w:hAnsi="Book Antiqua" w:cs="Times New Roman"/>
          <w:bCs/>
          <w:sz w:val="24"/>
          <w:szCs w:val="24"/>
        </w:rPr>
        <w:t>igestive System Disease, Hubei Zhang Road, Wuhan 430060, Hubei Province, China. dwg@whu.edu.cn</w:t>
      </w:r>
    </w:p>
    <w:p w:rsidR="009E2BF9" w:rsidRPr="009E2BF9" w:rsidRDefault="009E2BF9" w:rsidP="001E38EA">
      <w:pPr>
        <w:adjustRightInd w:val="0"/>
        <w:snapToGrid w:val="0"/>
        <w:spacing w:line="360" w:lineRule="auto"/>
        <w:rPr>
          <w:rFonts w:ascii="Book Antiqua" w:hAnsi="Book Antiqua"/>
          <w:color w:val="0A0905"/>
          <w:sz w:val="24"/>
          <w:szCs w:val="24"/>
        </w:rPr>
      </w:pPr>
      <w:r w:rsidRPr="009E2BF9">
        <w:rPr>
          <w:rFonts w:ascii="Book Antiqua" w:hAnsi="Book Antiqua"/>
          <w:b/>
          <w:sz w:val="24"/>
          <w:szCs w:val="24"/>
        </w:rPr>
        <w:t xml:space="preserve">Telephone: </w:t>
      </w:r>
      <w:r w:rsidRPr="009E2BF9">
        <w:rPr>
          <w:rFonts w:ascii="Book Antiqua" w:hAnsi="Book Antiqua" w:cs="Times New Roman"/>
          <w:bCs/>
          <w:sz w:val="24"/>
          <w:szCs w:val="24"/>
        </w:rPr>
        <w:t>+86-27-88041911</w:t>
      </w:r>
      <w:r w:rsidRPr="009E2BF9">
        <w:rPr>
          <w:rFonts w:ascii="Book Antiqua" w:hAnsi="Book Antiqua"/>
          <w:color w:val="0A0905"/>
          <w:sz w:val="24"/>
          <w:szCs w:val="24"/>
        </w:rPr>
        <w:t xml:space="preserve">       </w:t>
      </w:r>
    </w:p>
    <w:p w:rsidR="009E2BF9" w:rsidRPr="009E2BF9" w:rsidRDefault="009E2BF9" w:rsidP="001E38EA">
      <w:pPr>
        <w:adjustRightInd w:val="0"/>
        <w:snapToGrid w:val="0"/>
        <w:spacing w:line="360" w:lineRule="auto"/>
        <w:rPr>
          <w:rFonts w:ascii="Book Antiqua" w:hAnsi="Book Antiqua"/>
          <w:sz w:val="24"/>
          <w:szCs w:val="24"/>
        </w:rPr>
      </w:pPr>
      <w:r w:rsidRPr="009E2BF9">
        <w:rPr>
          <w:rFonts w:ascii="Book Antiqua" w:hAnsi="Book Antiqua"/>
          <w:b/>
          <w:sz w:val="24"/>
          <w:szCs w:val="24"/>
        </w:rPr>
        <w:t xml:space="preserve">Fax: </w:t>
      </w:r>
      <w:r w:rsidRPr="009E2BF9">
        <w:rPr>
          <w:rFonts w:ascii="Book Antiqua" w:hAnsi="Book Antiqua" w:cs="Times New Roman"/>
          <w:bCs/>
          <w:sz w:val="24"/>
          <w:szCs w:val="24"/>
        </w:rPr>
        <w:t>+86-27-88042292</w:t>
      </w:r>
    </w:p>
    <w:p w:rsidR="009E2BF9" w:rsidRPr="009E2BF9" w:rsidRDefault="009E2BF9" w:rsidP="001E38EA">
      <w:pPr>
        <w:adjustRightInd w:val="0"/>
        <w:snapToGrid w:val="0"/>
        <w:spacing w:line="360" w:lineRule="auto"/>
        <w:rPr>
          <w:rFonts w:ascii="Book Antiqua" w:hAnsi="Book Antiqua"/>
          <w:b/>
          <w:sz w:val="24"/>
          <w:szCs w:val="24"/>
        </w:rPr>
      </w:pPr>
    </w:p>
    <w:p w:rsidR="009E2BF9" w:rsidRPr="009E2BF9" w:rsidRDefault="009E2BF9" w:rsidP="001E38EA">
      <w:pPr>
        <w:adjustRightInd w:val="0"/>
        <w:snapToGrid w:val="0"/>
        <w:spacing w:line="360" w:lineRule="auto"/>
        <w:rPr>
          <w:rFonts w:ascii="Book Antiqua" w:hAnsi="Book Antiqua"/>
          <w:b/>
          <w:sz w:val="24"/>
          <w:szCs w:val="24"/>
        </w:rPr>
      </w:pPr>
      <w:r w:rsidRPr="009E2BF9">
        <w:rPr>
          <w:rFonts w:ascii="Book Antiqua" w:hAnsi="Book Antiqua"/>
          <w:b/>
          <w:sz w:val="24"/>
          <w:szCs w:val="24"/>
        </w:rPr>
        <w:t xml:space="preserve">Received: </w:t>
      </w:r>
      <w:r w:rsidRPr="009E2BF9">
        <w:rPr>
          <w:rFonts w:ascii="Book Antiqua" w:hAnsi="Book Antiqua"/>
          <w:sz w:val="24"/>
          <w:szCs w:val="24"/>
        </w:rPr>
        <w:t>January 23, 2016</w:t>
      </w:r>
      <w:r w:rsidRPr="009E2BF9">
        <w:rPr>
          <w:rFonts w:ascii="Book Antiqua" w:hAnsi="Book Antiqua"/>
          <w:b/>
          <w:sz w:val="24"/>
          <w:szCs w:val="24"/>
        </w:rPr>
        <w:t xml:space="preserve">  </w:t>
      </w:r>
    </w:p>
    <w:p w:rsidR="009E2BF9" w:rsidRPr="009E2BF9" w:rsidRDefault="009E2BF9" w:rsidP="001E38EA">
      <w:pPr>
        <w:adjustRightInd w:val="0"/>
        <w:snapToGrid w:val="0"/>
        <w:spacing w:line="360" w:lineRule="auto"/>
        <w:rPr>
          <w:rFonts w:ascii="Book Antiqua" w:hAnsi="Book Antiqua"/>
          <w:b/>
          <w:sz w:val="24"/>
          <w:szCs w:val="24"/>
        </w:rPr>
      </w:pPr>
      <w:r w:rsidRPr="009E2BF9">
        <w:rPr>
          <w:rFonts w:ascii="Book Antiqua" w:hAnsi="Book Antiqua"/>
          <w:b/>
          <w:sz w:val="24"/>
          <w:szCs w:val="24"/>
        </w:rPr>
        <w:lastRenderedPageBreak/>
        <w:t xml:space="preserve">Peer-review started: </w:t>
      </w:r>
      <w:r w:rsidRPr="009E2BF9">
        <w:rPr>
          <w:rFonts w:ascii="Book Antiqua" w:hAnsi="Book Antiqua"/>
          <w:sz w:val="24"/>
          <w:szCs w:val="24"/>
        </w:rPr>
        <w:t>January 25, 2016</w:t>
      </w:r>
    </w:p>
    <w:p w:rsidR="009E2BF9" w:rsidRPr="009E2BF9" w:rsidRDefault="009E2BF9" w:rsidP="001E38EA">
      <w:pPr>
        <w:adjustRightInd w:val="0"/>
        <w:snapToGrid w:val="0"/>
        <w:spacing w:line="360" w:lineRule="auto"/>
        <w:rPr>
          <w:rFonts w:ascii="Book Antiqua" w:hAnsi="Book Antiqua"/>
          <w:b/>
          <w:sz w:val="24"/>
          <w:szCs w:val="24"/>
        </w:rPr>
      </w:pPr>
      <w:r w:rsidRPr="009E2BF9">
        <w:rPr>
          <w:rFonts w:ascii="Book Antiqua" w:hAnsi="Book Antiqua"/>
          <w:b/>
          <w:sz w:val="24"/>
          <w:szCs w:val="24"/>
        </w:rPr>
        <w:t xml:space="preserve">First decision: </w:t>
      </w:r>
      <w:r w:rsidRPr="009E2BF9">
        <w:rPr>
          <w:rFonts w:ascii="Book Antiqua" w:hAnsi="Book Antiqua"/>
          <w:sz w:val="24"/>
          <w:szCs w:val="24"/>
        </w:rPr>
        <w:t>February 18, 2016</w:t>
      </w:r>
    </w:p>
    <w:p w:rsidR="009E2BF9" w:rsidRPr="009E2BF9" w:rsidRDefault="009E2BF9" w:rsidP="001E38EA">
      <w:pPr>
        <w:adjustRightInd w:val="0"/>
        <w:snapToGrid w:val="0"/>
        <w:spacing w:line="360" w:lineRule="auto"/>
        <w:rPr>
          <w:rFonts w:ascii="Book Antiqua" w:hAnsi="Book Antiqua"/>
          <w:b/>
          <w:sz w:val="24"/>
          <w:szCs w:val="24"/>
        </w:rPr>
      </w:pPr>
      <w:r w:rsidRPr="009E2BF9">
        <w:rPr>
          <w:rFonts w:ascii="Book Antiqua" w:hAnsi="Book Antiqua"/>
          <w:b/>
          <w:sz w:val="24"/>
          <w:szCs w:val="24"/>
        </w:rPr>
        <w:t xml:space="preserve">Revised: </w:t>
      </w:r>
      <w:r w:rsidRPr="009E2BF9">
        <w:rPr>
          <w:rFonts w:ascii="Book Antiqua" w:hAnsi="Book Antiqua"/>
          <w:sz w:val="24"/>
          <w:szCs w:val="24"/>
        </w:rPr>
        <w:t>February 26, 2016</w:t>
      </w:r>
    </w:p>
    <w:p w:rsidR="009E2BF9" w:rsidRPr="00711DD2" w:rsidRDefault="009E2BF9" w:rsidP="00711DD2">
      <w:pPr>
        <w:spacing w:line="360" w:lineRule="auto"/>
        <w:rPr>
          <w:rFonts w:ascii="Book Antiqua" w:hAnsi="Book Antiqua"/>
          <w:color w:val="000000"/>
          <w:sz w:val="24"/>
        </w:rPr>
      </w:pPr>
      <w:r w:rsidRPr="009E2BF9">
        <w:rPr>
          <w:rFonts w:ascii="Book Antiqua" w:hAnsi="Book Antiqua"/>
          <w:b/>
          <w:sz w:val="24"/>
          <w:szCs w:val="24"/>
        </w:rPr>
        <w:t>Accepted:</w:t>
      </w:r>
      <w:r w:rsidR="00711DD2" w:rsidRPr="00711DD2">
        <w:rPr>
          <w:rFonts w:ascii="Book Antiqua" w:hAnsi="Book Antiqua"/>
          <w:color w:val="000000"/>
          <w:sz w:val="24"/>
        </w:rPr>
        <w:t xml:space="preserve"> </w:t>
      </w:r>
      <w:r w:rsidR="00711DD2" w:rsidRPr="005E139A">
        <w:rPr>
          <w:rFonts w:ascii="Book Antiqua" w:hAnsi="Book Antiqua"/>
          <w:color w:val="000000"/>
          <w:sz w:val="24"/>
        </w:rPr>
        <w:t>March 1</w:t>
      </w:r>
      <w:r w:rsidR="00711DD2">
        <w:rPr>
          <w:rFonts w:ascii="Book Antiqua" w:hAnsi="Book Antiqua"/>
          <w:color w:val="000000"/>
          <w:sz w:val="24"/>
        </w:rPr>
        <w:t>8</w:t>
      </w:r>
      <w:r w:rsidR="00711DD2" w:rsidRPr="005E139A">
        <w:rPr>
          <w:rFonts w:ascii="Book Antiqua" w:hAnsi="Book Antiqua"/>
          <w:color w:val="000000"/>
          <w:sz w:val="24"/>
        </w:rPr>
        <w:t>, 2016</w:t>
      </w:r>
      <w:bookmarkStart w:id="4" w:name="_GoBack"/>
      <w:bookmarkEnd w:id="4"/>
      <w:r w:rsidRPr="009E2BF9">
        <w:rPr>
          <w:rFonts w:ascii="Book Antiqua" w:hAnsi="Book Antiqua"/>
          <w:b/>
          <w:sz w:val="24"/>
          <w:szCs w:val="24"/>
        </w:rPr>
        <w:t xml:space="preserve">  </w:t>
      </w:r>
    </w:p>
    <w:p w:rsidR="009E2BF9" w:rsidRPr="009E2BF9" w:rsidRDefault="009E2BF9" w:rsidP="001E38EA">
      <w:pPr>
        <w:adjustRightInd w:val="0"/>
        <w:snapToGrid w:val="0"/>
        <w:spacing w:line="360" w:lineRule="auto"/>
        <w:rPr>
          <w:rFonts w:ascii="Book Antiqua" w:hAnsi="Book Antiqua"/>
          <w:b/>
          <w:sz w:val="24"/>
          <w:szCs w:val="24"/>
        </w:rPr>
      </w:pPr>
      <w:r w:rsidRPr="009E2BF9">
        <w:rPr>
          <w:rFonts w:ascii="Book Antiqua" w:hAnsi="Book Antiqua"/>
          <w:b/>
          <w:sz w:val="24"/>
          <w:szCs w:val="24"/>
        </w:rPr>
        <w:t>Article in press:</w:t>
      </w:r>
    </w:p>
    <w:p w:rsidR="009E2BF9" w:rsidRPr="009E2BF9" w:rsidRDefault="009E2BF9" w:rsidP="001E38EA">
      <w:pPr>
        <w:adjustRightInd w:val="0"/>
        <w:snapToGrid w:val="0"/>
        <w:spacing w:line="360" w:lineRule="auto"/>
        <w:rPr>
          <w:rFonts w:ascii="Book Antiqua" w:hAnsi="Book Antiqua"/>
          <w:sz w:val="24"/>
          <w:szCs w:val="24"/>
        </w:rPr>
      </w:pPr>
      <w:r w:rsidRPr="009E2BF9">
        <w:rPr>
          <w:rFonts w:ascii="Book Antiqua" w:hAnsi="Book Antiqua"/>
          <w:b/>
          <w:sz w:val="24"/>
          <w:szCs w:val="24"/>
        </w:rPr>
        <w:t>Published online:</w:t>
      </w:r>
    </w:p>
    <w:p w:rsidR="009E2BF9" w:rsidRPr="009E2BF9" w:rsidRDefault="009E2BF9" w:rsidP="001E38EA">
      <w:pPr>
        <w:adjustRightInd w:val="0"/>
        <w:snapToGrid w:val="0"/>
        <w:spacing w:line="360" w:lineRule="auto"/>
        <w:rPr>
          <w:rFonts w:ascii="Book Antiqua" w:hAnsi="Book Antiqua" w:cs="Times New Roman"/>
          <w:b/>
          <w:bCs/>
          <w:sz w:val="24"/>
          <w:szCs w:val="24"/>
        </w:rPr>
      </w:pPr>
    </w:p>
    <w:p w:rsidR="009E2BF9" w:rsidRPr="009E2BF9" w:rsidRDefault="009E2BF9" w:rsidP="001E38EA">
      <w:pPr>
        <w:adjustRightInd w:val="0"/>
        <w:snapToGrid w:val="0"/>
        <w:spacing w:line="360" w:lineRule="auto"/>
        <w:rPr>
          <w:rFonts w:ascii="Book Antiqua" w:hAnsi="Book Antiqua" w:cs="Times New Roman"/>
          <w:b/>
          <w:bCs/>
          <w:sz w:val="24"/>
          <w:szCs w:val="24"/>
        </w:rPr>
      </w:pPr>
      <w:r w:rsidRPr="009E2BF9">
        <w:rPr>
          <w:rFonts w:ascii="Book Antiqua" w:hAnsi="Book Antiqua" w:cs="Times New Roman"/>
          <w:b/>
          <w:bCs/>
          <w:sz w:val="24"/>
          <w:szCs w:val="24"/>
        </w:rPr>
        <w:br w:type="page"/>
      </w:r>
    </w:p>
    <w:p w:rsidR="00DF581C" w:rsidRPr="009E2BF9" w:rsidRDefault="009E2BF9" w:rsidP="001E38EA">
      <w:pPr>
        <w:adjustRightInd w:val="0"/>
        <w:snapToGrid w:val="0"/>
        <w:spacing w:line="360" w:lineRule="auto"/>
        <w:rPr>
          <w:rFonts w:ascii="Book Antiqua" w:hAnsi="Book Antiqua" w:cs="Times New Roman"/>
          <w:b/>
          <w:bCs/>
          <w:sz w:val="24"/>
          <w:szCs w:val="24"/>
        </w:rPr>
      </w:pPr>
      <w:r w:rsidRPr="009E2BF9">
        <w:rPr>
          <w:rFonts w:ascii="Book Antiqua" w:hAnsi="Book Antiqua" w:cs="Times New Roman"/>
          <w:b/>
          <w:bCs/>
          <w:sz w:val="24"/>
          <w:szCs w:val="24"/>
        </w:rPr>
        <w:lastRenderedPageBreak/>
        <w:t>Abstract</w:t>
      </w:r>
    </w:p>
    <w:p w:rsidR="00DF581C" w:rsidRPr="009E2BF9" w:rsidRDefault="009E2BF9" w:rsidP="001E38EA">
      <w:pPr>
        <w:adjustRightInd w:val="0"/>
        <w:snapToGrid w:val="0"/>
        <w:spacing w:line="360" w:lineRule="auto"/>
        <w:rPr>
          <w:rFonts w:ascii="Book Antiqua" w:hAnsi="Book Antiqua" w:cs="Times New Roman"/>
          <w:bCs/>
          <w:sz w:val="24"/>
          <w:szCs w:val="24"/>
        </w:rPr>
      </w:pPr>
      <w:r w:rsidRPr="009E2BF9">
        <w:rPr>
          <w:rFonts w:ascii="Book Antiqua" w:hAnsi="Book Antiqua" w:cs="Times New Roman"/>
          <w:b/>
          <w:bCs/>
          <w:sz w:val="24"/>
          <w:szCs w:val="24"/>
        </w:rPr>
        <w:t>AIM:</w:t>
      </w:r>
      <w:r w:rsidRPr="009E2BF9">
        <w:rPr>
          <w:rFonts w:ascii="Book Antiqua" w:hAnsi="Book Antiqua" w:cs="Times New Roman"/>
          <w:bCs/>
          <w:sz w:val="24"/>
          <w:szCs w:val="24"/>
        </w:rPr>
        <w:t xml:space="preserve"> </w:t>
      </w:r>
      <w:r w:rsidRPr="00FE7FCD">
        <w:rPr>
          <w:rFonts w:ascii="Book Antiqua" w:hAnsi="Book Antiqua" w:cs="Times New Roman"/>
          <w:bCs/>
          <w:caps/>
          <w:sz w:val="24"/>
          <w:szCs w:val="24"/>
        </w:rPr>
        <w:t>t</w:t>
      </w:r>
      <w:r w:rsidRPr="009E2BF9">
        <w:rPr>
          <w:rFonts w:ascii="Book Antiqua" w:hAnsi="Book Antiqua" w:cs="Times New Roman"/>
          <w:bCs/>
          <w:sz w:val="24"/>
          <w:szCs w:val="24"/>
        </w:rPr>
        <w:t xml:space="preserve">o elucidate the mechanism of </w:t>
      </w:r>
      <w:r w:rsidR="00FE7FCD" w:rsidRPr="009E2BF9">
        <w:rPr>
          <w:rFonts w:ascii="Book Antiqua" w:hAnsi="Book Antiqua" w:cs="Times New Roman"/>
          <w:bCs/>
          <w:sz w:val="24"/>
          <w:szCs w:val="24"/>
        </w:rPr>
        <w:t>thymoquinone (TQ)</w:t>
      </w:r>
      <w:r w:rsidRPr="009E2BF9">
        <w:rPr>
          <w:rFonts w:ascii="Book Antiqua" w:hAnsi="Book Antiqua" w:cs="Times New Roman"/>
          <w:bCs/>
          <w:sz w:val="24"/>
          <w:szCs w:val="24"/>
        </w:rPr>
        <w:t xml:space="preserve">-induced apoptosis in human gastric cancer cells </w:t>
      </w:r>
      <w:r w:rsidRPr="009E2BF9">
        <w:rPr>
          <w:rFonts w:ascii="Book Antiqua" w:hAnsi="Book Antiqua" w:cs="Times New Roman"/>
          <w:bCs/>
          <w:i/>
          <w:sz w:val="24"/>
          <w:szCs w:val="24"/>
        </w:rPr>
        <w:t>in vitro</w:t>
      </w:r>
      <w:r w:rsidRPr="009E2BF9">
        <w:rPr>
          <w:rFonts w:ascii="Book Antiqua" w:hAnsi="Book Antiqua" w:cs="Times New Roman"/>
          <w:bCs/>
          <w:sz w:val="24"/>
          <w:szCs w:val="24"/>
        </w:rPr>
        <w:t xml:space="preserve"> and </w:t>
      </w:r>
      <w:r w:rsidRPr="009E2BF9">
        <w:rPr>
          <w:rFonts w:ascii="Book Antiqua" w:hAnsi="Book Antiqua" w:cs="Times New Roman"/>
          <w:bCs/>
          <w:i/>
          <w:sz w:val="24"/>
          <w:szCs w:val="24"/>
        </w:rPr>
        <w:t>in vivo</w:t>
      </w:r>
      <w:r w:rsidRPr="009E2BF9">
        <w:rPr>
          <w:rFonts w:ascii="Book Antiqua" w:hAnsi="Book Antiqua" w:cs="Times New Roman"/>
          <w:bCs/>
          <w:sz w:val="24"/>
          <w:szCs w:val="24"/>
        </w:rPr>
        <w:t>.</w:t>
      </w:r>
    </w:p>
    <w:p w:rsidR="009E2BF9" w:rsidRPr="009E2BF9" w:rsidRDefault="009E2BF9" w:rsidP="001E38EA">
      <w:pPr>
        <w:adjustRightInd w:val="0"/>
        <w:snapToGrid w:val="0"/>
        <w:spacing w:line="360" w:lineRule="auto"/>
        <w:rPr>
          <w:rFonts w:ascii="Book Antiqua" w:hAnsi="Book Antiqua" w:cs="Times New Roman"/>
          <w:bCs/>
          <w:sz w:val="24"/>
          <w:szCs w:val="24"/>
        </w:rPr>
      </w:pPr>
    </w:p>
    <w:p w:rsidR="00DF581C" w:rsidRPr="009E2BF9" w:rsidRDefault="009E2BF9" w:rsidP="001E38EA">
      <w:pPr>
        <w:adjustRightInd w:val="0"/>
        <w:snapToGrid w:val="0"/>
        <w:spacing w:line="360" w:lineRule="auto"/>
        <w:rPr>
          <w:rFonts w:ascii="Book Antiqua" w:hAnsi="Book Antiqua" w:cs="Times New Roman"/>
          <w:bCs/>
          <w:sz w:val="24"/>
          <w:szCs w:val="24"/>
        </w:rPr>
      </w:pPr>
      <w:r w:rsidRPr="009E2BF9">
        <w:rPr>
          <w:rFonts w:ascii="Book Antiqua" w:hAnsi="Book Antiqua" w:cs="Times New Roman"/>
          <w:b/>
          <w:bCs/>
          <w:sz w:val="24"/>
          <w:szCs w:val="24"/>
        </w:rPr>
        <w:t xml:space="preserve">METHODS: </w:t>
      </w:r>
      <w:r w:rsidRPr="009E2BF9">
        <w:rPr>
          <w:rFonts w:ascii="Book Antiqua" w:hAnsi="Book Antiqua" w:cs="Times New Roman"/>
          <w:bCs/>
          <w:sz w:val="24"/>
          <w:szCs w:val="24"/>
        </w:rPr>
        <w:t>HGC27</w:t>
      </w:r>
      <w:r w:rsidRPr="009E2BF9">
        <w:rPr>
          <w:rFonts w:ascii="Book Antiqua" w:hAnsi="Book Antiqua" w:cs="Times New Roman"/>
          <w:bCs/>
          <w:sz w:val="24"/>
          <w:szCs w:val="24"/>
        </w:rPr>
        <w:t>、</w:t>
      </w:r>
      <w:r w:rsidRPr="009E2BF9">
        <w:rPr>
          <w:rFonts w:ascii="Book Antiqua" w:hAnsi="Book Antiqua" w:cs="Times New Roman"/>
          <w:bCs/>
          <w:sz w:val="24"/>
          <w:szCs w:val="24"/>
        </w:rPr>
        <w:t>BGC823</w:t>
      </w:r>
      <w:r w:rsidRPr="009E2BF9">
        <w:rPr>
          <w:rFonts w:ascii="Book Antiqua" w:hAnsi="Book Antiqua" w:cs="Times New Roman"/>
          <w:bCs/>
          <w:sz w:val="24"/>
          <w:szCs w:val="24"/>
        </w:rPr>
        <w:t>、</w:t>
      </w:r>
      <w:r w:rsidRPr="009E2BF9">
        <w:rPr>
          <w:rFonts w:ascii="Book Antiqua" w:hAnsi="Book Antiqua" w:cs="Times New Roman"/>
          <w:bCs/>
          <w:sz w:val="24"/>
          <w:szCs w:val="24"/>
        </w:rPr>
        <w:t xml:space="preserve">SGC7901 cells were cultured </w:t>
      </w:r>
      <w:r w:rsidRPr="009E2BF9">
        <w:rPr>
          <w:rFonts w:ascii="Book Antiqua" w:hAnsi="Book Antiqua" w:cs="Times New Roman"/>
          <w:bCs/>
          <w:i/>
          <w:sz w:val="24"/>
          <w:szCs w:val="24"/>
        </w:rPr>
        <w:t>in vitro</w:t>
      </w:r>
      <w:r w:rsidRPr="009E2BF9">
        <w:rPr>
          <w:rFonts w:ascii="Book Antiqua" w:hAnsi="Book Antiqua" w:cs="Times New Roman"/>
          <w:bCs/>
          <w:sz w:val="24"/>
          <w:szCs w:val="24"/>
        </w:rPr>
        <w:t xml:space="preserve"> and treated with thymoquinone (0, 10, 25, 50, 75, 100, 125 μmol/L) for 12</w:t>
      </w:r>
      <w:r w:rsidR="00FE7FCD">
        <w:rPr>
          <w:rFonts w:ascii="Book Antiqua" w:hAnsi="Book Antiqua" w:cs="Times New Roman" w:hint="eastAsia"/>
          <w:bCs/>
          <w:sz w:val="24"/>
          <w:szCs w:val="24"/>
        </w:rPr>
        <w:t xml:space="preserve"> </w:t>
      </w:r>
      <w:r w:rsidRPr="009E2BF9">
        <w:rPr>
          <w:rFonts w:ascii="Book Antiqua" w:hAnsi="Book Antiqua" w:cs="Times New Roman"/>
          <w:bCs/>
          <w:sz w:val="24"/>
          <w:szCs w:val="24"/>
        </w:rPr>
        <w:t>h, 24</w:t>
      </w:r>
      <w:r w:rsidR="00FE7FCD">
        <w:rPr>
          <w:rFonts w:ascii="Book Antiqua" w:hAnsi="Book Antiqua" w:cs="Times New Roman" w:hint="eastAsia"/>
          <w:bCs/>
          <w:sz w:val="24"/>
          <w:szCs w:val="24"/>
        </w:rPr>
        <w:t xml:space="preserve"> </w:t>
      </w:r>
      <w:r w:rsidRPr="009E2BF9">
        <w:rPr>
          <w:rFonts w:ascii="Book Antiqua" w:hAnsi="Book Antiqua" w:cs="Times New Roman"/>
          <w:bCs/>
          <w:sz w:val="24"/>
          <w:szCs w:val="24"/>
        </w:rPr>
        <w:t>h and 36</w:t>
      </w:r>
      <w:r w:rsidR="00FE7FCD">
        <w:rPr>
          <w:rFonts w:ascii="Book Antiqua" w:hAnsi="Book Antiqua" w:cs="Times New Roman" w:hint="eastAsia"/>
          <w:bCs/>
          <w:sz w:val="24"/>
          <w:szCs w:val="24"/>
        </w:rPr>
        <w:t xml:space="preserve"> </w:t>
      </w:r>
      <w:r w:rsidRPr="009E2BF9">
        <w:rPr>
          <w:rFonts w:ascii="Book Antiqua" w:hAnsi="Book Antiqua" w:cs="Times New Roman"/>
          <w:bCs/>
          <w:sz w:val="24"/>
          <w:szCs w:val="24"/>
        </w:rPr>
        <w:t>h, and then the proliferation inhibitory rates were detected by MTT assay. Apoptosis was observed after Hoechst staining. The protein expressions of STAT3, p-STAT3, STAT5, p-STAT5, p-</w:t>
      </w:r>
      <w:r w:rsidR="00FE7FCD" w:rsidRPr="009E2BF9">
        <w:rPr>
          <w:rFonts w:ascii="Book Antiqua" w:hAnsi="Book Antiqua" w:cs="Times New Roman"/>
          <w:bCs/>
          <w:sz w:val="24"/>
          <w:szCs w:val="24"/>
        </w:rPr>
        <w:t>Janus-activated kinase 2 (JAK2)</w:t>
      </w:r>
      <w:r w:rsidRPr="009E2BF9">
        <w:rPr>
          <w:rFonts w:ascii="Book Antiqua" w:hAnsi="Book Antiqua" w:cs="Times New Roman"/>
          <w:bCs/>
          <w:sz w:val="24"/>
          <w:szCs w:val="24"/>
        </w:rPr>
        <w:t>, JAK2, p-Src, Src, GAPDH, Lamin-A, survivin, Cyclin D, Bcl-2, Bax, PPAR, Caspase-3,7,9</w:t>
      </w:r>
      <w:r w:rsidR="00FE7FCD">
        <w:rPr>
          <w:rFonts w:ascii="Book Antiqua" w:hAnsi="Book Antiqua" w:cs="Times New Roman" w:hint="eastAsia"/>
          <w:bCs/>
          <w:sz w:val="24"/>
          <w:szCs w:val="24"/>
        </w:rPr>
        <w:t xml:space="preserve"> </w:t>
      </w:r>
      <w:r w:rsidRPr="009E2BF9">
        <w:rPr>
          <w:rFonts w:ascii="Book Antiqua" w:hAnsi="Book Antiqua" w:cs="Times New Roman"/>
          <w:bCs/>
          <w:sz w:val="24"/>
          <w:szCs w:val="24"/>
        </w:rPr>
        <w:t>were detected by Western blot. The cell cycle and apoptosis were determined with flow cytometry.</w:t>
      </w:r>
      <w:r w:rsidR="00FE7FCD">
        <w:rPr>
          <w:rFonts w:ascii="Book Antiqua" w:hAnsi="Book Antiqua" w:cs="Times New Roman" w:hint="eastAsia"/>
          <w:bCs/>
          <w:sz w:val="24"/>
          <w:szCs w:val="24"/>
        </w:rPr>
        <w:t xml:space="preserve"> </w:t>
      </w:r>
      <w:r w:rsidRPr="009E2BF9">
        <w:rPr>
          <w:rFonts w:ascii="Book Antiqua" w:hAnsi="Book Antiqua" w:cs="Times New Roman"/>
          <w:bCs/>
          <w:sz w:val="24"/>
          <w:szCs w:val="24"/>
        </w:rPr>
        <w:t xml:space="preserve">TQ induced dose-dependent apoptotic cell death in HGC27 cells, as measured by Annexin V-FITC/PI analysis and Hoechst 33258. </w:t>
      </w:r>
    </w:p>
    <w:p w:rsidR="009E2BF9" w:rsidRPr="009E2BF9" w:rsidRDefault="009E2BF9" w:rsidP="001E38EA">
      <w:pPr>
        <w:adjustRightInd w:val="0"/>
        <w:snapToGrid w:val="0"/>
        <w:spacing w:line="360" w:lineRule="auto"/>
        <w:rPr>
          <w:rFonts w:ascii="Book Antiqua" w:hAnsi="Book Antiqua" w:cs="Times New Roman"/>
          <w:bCs/>
          <w:sz w:val="24"/>
          <w:szCs w:val="24"/>
        </w:rPr>
      </w:pPr>
    </w:p>
    <w:p w:rsidR="00DF581C" w:rsidRPr="009E2BF9" w:rsidRDefault="009E2BF9" w:rsidP="001E38EA">
      <w:pPr>
        <w:adjustRightInd w:val="0"/>
        <w:snapToGrid w:val="0"/>
        <w:spacing w:line="360" w:lineRule="auto"/>
        <w:rPr>
          <w:rFonts w:ascii="Book Antiqua" w:hAnsi="Book Antiqua" w:cs="Times New Roman"/>
          <w:bCs/>
          <w:sz w:val="24"/>
          <w:szCs w:val="24"/>
        </w:rPr>
      </w:pPr>
      <w:r w:rsidRPr="009E2BF9">
        <w:rPr>
          <w:rFonts w:ascii="Book Antiqua" w:hAnsi="Book Antiqua" w:cs="Times New Roman"/>
          <w:b/>
          <w:bCs/>
          <w:sz w:val="24"/>
          <w:szCs w:val="24"/>
        </w:rPr>
        <w:t>RESULTS:</w:t>
      </w:r>
      <w:r w:rsidRPr="009E2BF9">
        <w:rPr>
          <w:rFonts w:ascii="Book Antiqua" w:hAnsi="Book Antiqua" w:cs="Times New Roman"/>
          <w:bCs/>
          <w:sz w:val="24"/>
          <w:szCs w:val="24"/>
        </w:rPr>
        <w:t xml:space="preserve"> The results showed that TQ inhibits phosphorylation of STAT3, but not STAT5 phosphorylation. TQ-induced down-regulation of STAT3 activation is associated with a reduction in Janus-activated kinase 2 (JAK2) and c-Src activity. TQ also down-regulates the expression of STAT3- regulated genes such as Bcl-2, cyclin D, surviving and </w:t>
      </w:r>
      <w:r w:rsidR="00AD7E7A" w:rsidRPr="009E2BF9">
        <w:rPr>
          <w:rFonts w:ascii="Book Antiqua" w:eastAsia="SimSun" w:hAnsi="Book Antiqua" w:cs="Times New Roman"/>
          <w:sz w:val="24"/>
          <w:szCs w:val="24"/>
        </w:rPr>
        <w:t>vascular endothelial growth factor</w:t>
      </w:r>
      <w:r w:rsidRPr="009E2BF9">
        <w:rPr>
          <w:rFonts w:ascii="Book Antiqua" w:hAnsi="Book Antiqua" w:cs="Times New Roman"/>
          <w:bCs/>
          <w:sz w:val="24"/>
          <w:szCs w:val="24"/>
        </w:rPr>
        <w:t xml:space="preserve">, and activates caspase-3,7,9. to the </w:t>
      </w:r>
      <w:r w:rsidRPr="009E2BF9">
        <w:rPr>
          <w:rFonts w:ascii="Book Antiqua" w:hAnsi="Book Antiqua" w:cs="Times New Roman"/>
          <w:bCs/>
          <w:i/>
          <w:sz w:val="24"/>
          <w:szCs w:val="24"/>
        </w:rPr>
        <w:t>in vitro</w:t>
      </w:r>
      <w:r w:rsidRPr="009E2BF9">
        <w:rPr>
          <w:rFonts w:ascii="Book Antiqua" w:hAnsi="Book Antiqua" w:cs="Times New Roman"/>
          <w:bCs/>
          <w:sz w:val="24"/>
          <w:szCs w:val="24"/>
        </w:rPr>
        <w:t xml:space="preserve"> results, it has been shown that the treatment of TQ represents a significantly effective antitumor agent in a xenograft tumor mouse model. </w:t>
      </w:r>
    </w:p>
    <w:p w:rsidR="009E2BF9" w:rsidRPr="009E2BF9" w:rsidRDefault="009E2BF9" w:rsidP="001E38EA">
      <w:pPr>
        <w:adjustRightInd w:val="0"/>
        <w:snapToGrid w:val="0"/>
        <w:spacing w:line="360" w:lineRule="auto"/>
        <w:rPr>
          <w:rFonts w:ascii="Book Antiqua" w:hAnsi="Book Antiqua" w:cs="Times New Roman"/>
          <w:bCs/>
          <w:sz w:val="24"/>
          <w:szCs w:val="24"/>
        </w:rPr>
      </w:pPr>
    </w:p>
    <w:p w:rsidR="00DF581C" w:rsidRPr="009E2BF9" w:rsidRDefault="009E2BF9" w:rsidP="001E38EA">
      <w:pPr>
        <w:adjustRightInd w:val="0"/>
        <w:snapToGrid w:val="0"/>
        <w:spacing w:line="360" w:lineRule="auto"/>
        <w:rPr>
          <w:rFonts w:ascii="Book Antiqua" w:hAnsi="Book Antiqua" w:cs="Times New Roman"/>
          <w:bCs/>
          <w:sz w:val="24"/>
          <w:szCs w:val="24"/>
        </w:rPr>
      </w:pPr>
      <w:r w:rsidRPr="009E2BF9">
        <w:rPr>
          <w:rFonts w:ascii="Book Antiqua" w:hAnsi="Book Antiqua" w:cs="Times New Roman"/>
          <w:b/>
          <w:bCs/>
          <w:sz w:val="24"/>
          <w:szCs w:val="24"/>
        </w:rPr>
        <w:t>CONCLUSION:</w:t>
      </w:r>
      <w:bookmarkStart w:id="5" w:name="OLE_LINK42"/>
      <w:bookmarkStart w:id="6" w:name="OLE_LINK43"/>
      <w:r w:rsidRPr="009E2BF9">
        <w:rPr>
          <w:rFonts w:ascii="Book Antiqua" w:hAnsi="Book Antiqua" w:cs="Times New Roman"/>
          <w:bCs/>
          <w:sz w:val="24"/>
          <w:szCs w:val="24"/>
        </w:rPr>
        <w:t xml:space="preserve"> This study provides strong evidence that down-regulation of the STAT3 signaling pathway mediates TQ-induced apoptosis in gastric cancer</w:t>
      </w:r>
      <w:bookmarkEnd w:id="5"/>
      <w:bookmarkEnd w:id="6"/>
      <w:r w:rsidRPr="009E2BF9">
        <w:rPr>
          <w:rFonts w:ascii="Book Antiqua" w:hAnsi="Book Antiqua" w:cs="Times New Roman"/>
          <w:bCs/>
          <w:sz w:val="24"/>
          <w:szCs w:val="24"/>
        </w:rPr>
        <w:t>.</w:t>
      </w:r>
    </w:p>
    <w:p w:rsidR="009E2BF9" w:rsidRPr="009E2BF9" w:rsidRDefault="009E2BF9" w:rsidP="001E38EA">
      <w:pPr>
        <w:adjustRightInd w:val="0"/>
        <w:snapToGrid w:val="0"/>
        <w:spacing w:line="360" w:lineRule="auto"/>
        <w:rPr>
          <w:rFonts w:ascii="Book Antiqua" w:hAnsi="Book Antiqua" w:cs="Times New Roman"/>
          <w:bCs/>
          <w:sz w:val="24"/>
          <w:szCs w:val="24"/>
        </w:rPr>
      </w:pPr>
    </w:p>
    <w:p w:rsidR="00DF581C" w:rsidRPr="009E2BF9" w:rsidRDefault="009E2BF9" w:rsidP="001E38EA">
      <w:pPr>
        <w:adjustRightInd w:val="0"/>
        <w:snapToGrid w:val="0"/>
        <w:spacing w:line="360" w:lineRule="auto"/>
        <w:rPr>
          <w:rFonts w:ascii="Book Antiqua" w:hAnsi="Book Antiqua" w:cs="Times New Roman"/>
          <w:bCs/>
          <w:sz w:val="24"/>
          <w:szCs w:val="24"/>
        </w:rPr>
      </w:pPr>
      <w:r w:rsidRPr="009E2BF9">
        <w:rPr>
          <w:rFonts w:ascii="Book Antiqua" w:hAnsi="Book Antiqua" w:cs="Times New Roman"/>
          <w:b/>
          <w:bCs/>
          <w:sz w:val="24"/>
          <w:szCs w:val="24"/>
        </w:rPr>
        <w:t xml:space="preserve">Key words: </w:t>
      </w:r>
      <w:bookmarkStart w:id="7" w:name="OLE_LINK39"/>
      <w:bookmarkStart w:id="8" w:name="OLE_LINK38"/>
      <w:r w:rsidRPr="009E2BF9">
        <w:rPr>
          <w:rFonts w:ascii="Book Antiqua" w:hAnsi="Book Antiqua" w:cs="Times New Roman"/>
          <w:bCs/>
          <w:sz w:val="24"/>
          <w:szCs w:val="24"/>
        </w:rPr>
        <w:t>Thymoquinone; Gastric cancer; STAT3; Proliferation; Apoptosis</w:t>
      </w:r>
      <w:bookmarkEnd w:id="7"/>
      <w:bookmarkEnd w:id="8"/>
    </w:p>
    <w:p w:rsidR="00DF581C" w:rsidRDefault="00DF581C" w:rsidP="001E38EA">
      <w:pPr>
        <w:adjustRightInd w:val="0"/>
        <w:snapToGrid w:val="0"/>
        <w:spacing w:line="360" w:lineRule="auto"/>
        <w:rPr>
          <w:rFonts w:ascii="Book Antiqua" w:hAnsi="Book Antiqua" w:cs="Times New Roman"/>
          <w:bCs/>
          <w:sz w:val="24"/>
          <w:szCs w:val="24"/>
        </w:rPr>
      </w:pPr>
    </w:p>
    <w:p w:rsidR="00D60AB6" w:rsidRDefault="00D60AB6" w:rsidP="001E38EA">
      <w:pPr>
        <w:autoSpaceDE w:val="0"/>
        <w:autoSpaceDN w:val="0"/>
        <w:adjustRightInd w:val="0"/>
        <w:snapToGrid w:val="0"/>
        <w:spacing w:line="360" w:lineRule="auto"/>
        <w:rPr>
          <w:rFonts w:ascii="Book Antiqua" w:hAnsi="Book Antiqua" w:cs="Arial Unicode MS"/>
          <w:sz w:val="24"/>
        </w:rPr>
      </w:pPr>
      <w:bookmarkStart w:id="9" w:name="OLE_LINK98"/>
      <w:bookmarkStart w:id="10" w:name="OLE_LINK156"/>
      <w:bookmarkStart w:id="11" w:name="OLE_LINK196"/>
      <w:bookmarkStart w:id="12" w:name="OLE_LINK217"/>
      <w:bookmarkStart w:id="13" w:name="OLE_LINK242"/>
      <w:bookmarkStart w:id="14" w:name="OLE_LINK247"/>
      <w:bookmarkStart w:id="15" w:name="OLE_LINK311"/>
      <w:bookmarkStart w:id="16" w:name="OLE_LINK312"/>
      <w:bookmarkStart w:id="17" w:name="OLE_LINK325"/>
      <w:bookmarkStart w:id="18" w:name="OLE_LINK330"/>
      <w:bookmarkStart w:id="19" w:name="OLE_LINK513"/>
      <w:bookmarkStart w:id="20" w:name="OLE_LINK514"/>
      <w:bookmarkStart w:id="21" w:name="OLE_LINK464"/>
      <w:bookmarkStart w:id="22" w:name="OLE_LINK465"/>
      <w:bookmarkStart w:id="23" w:name="OLE_LINK466"/>
      <w:bookmarkStart w:id="24" w:name="OLE_LINK470"/>
      <w:bookmarkStart w:id="25" w:name="OLE_LINK471"/>
      <w:bookmarkStart w:id="26" w:name="OLE_LINK472"/>
      <w:bookmarkStart w:id="27" w:name="OLE_LINK474"/>
      <w:bookmarkStart w:id="28" w:name="OLE_LINK512"/>
      <w:bookmarkStart w:id="29" w:name="OLE_LINK800"/>
      <w:bookmarkStart w:id="30" w:name="OLE_LINK982"/>
      <w:bookmarkStart w:id="31" w:name="OLE_LINK1027"/>
      <w:bookmarkStart w:id="32" w:name="OLE_LINK504"/>
      <w:bookmarkStart w:id="33" w:name="OLE_LINK546"/>
      <w:bookmarkStart w:id="34" w:name="OLE_LINK547"/>
      <w:bookmarkStart w:id="35" w:name="OLE_LINK575"/>
      <w:bookmarkStart w:id="36" w:name="OLE_LINK640"/>
      <w:bookmarkStart w:id="37" w:name="OLE_LINK672"/>
      <w:bookmarkStart w:id="38" w:name="OLE_LINK714"/>
      <w:bookmarkStart w:id="39" w:name="OLE_LINK651"/>
      <w:bookmarkStart w:id="40" w:name="OLE_LINK652"/>
      <w:bookmarkStart w:id="41" w:name="OLE_LINK744"/>
      <w:bookmarkStart w:id="42" w:name="OLE_LINK758"/>
      <w:bookmarkStart w:id="43" w:name="OLE_LINK787"/>
      <w:bookmarkStart w:id="44" w:name="OLE_LINK807"/>
      <w:bookmarkStart w:id="45" w:name="OLE_LINK820"/>
      <w:bookmarkStart w:id="46" w:name="OLE_LINK862"/>
      <w:bookmarkStart w:id="47" w:name="OLE_LINK879"/>
      <w:bookmarkStart w:id="48" w:name="OLE_LINK906"/>
      <w:bookmarkStart w:id="49" w:name="OLE_LINK928"/>
      <w:bookmarkStart w:id="50" w:name="OLE_LINK960"/>
      <w:bookmarkStart w:id="51" w:name="OLE_LINK861"/>
      <w:bookmarkStart w:id="52" w:name="OLE_LINK983"/>
      <w:bookmarkStart w:id="53" w:name="OLE_LINK1334"/>
      <w:bookmarkStart w:id="54" w:name="OLE_LINK1029"/>
      <w:bookmarkStart w:id="55" w:name="OLE_LINK1060"/>
      <w:bookmarkStart w:id="56" w:name="OLE_LINK1061"/>
      <w:bookmarkStart w:id="57" w:name="OLE_LINK1348"/>
      <w:bookmarkStart w:id="58" w:name="OLE_LINK1086"/>
      <w:bookmarkStart w:id="59" w:name="OLE_LINK1100"/>
      <w:bookmarkStart w:id="60" w:name="OLE_LINK1125"/>
      <w:bookmarkStart w:id="61" w:name="OLE_LINK1163"/>
      <w:bookmarkStart w:id="62" w:name="OLE_LINK1193"/>
      <w:bookmarkStart w:id="63" w:name="OLE_LINK1219"/>
      <w:bookmarkStart w:id="64" w:name="OLE_LINK1247"/>
      <w:bookmarkStart w:id="65" w:name="OLE_LINK1284"/>
      <w:bookmarkStart w:id="66" w:name="OLE_LINK1313"/>
      <w:bookmarkStart w:id="67" w:name="OLE_LINK1361"/>
      <w:bookmarkStart w:id="68" w:name="OLE_LINK1384"/>
      <w:bookmarkStart w:id="69" w:name="OLE_LINK1403"/>
      <w:bookmarkStart w:id="70" w:name="OLE_LINK1437"/>
      <w:bookmarkStart w:id="71" w:name="OLE_LINK1454"/>
      <w:bookmarkStart w:id="72" w:name="OLE_LINK1480"/>
      <w:bookmarkStart w:id="73" w:name="OLE_LINK1504"/>
      <w:bookmarkStart w:id="74" w:name="OLE_LINK1516"/>
      <w:bookmarkStart w:id="75" w:name="OLE_LINK135"/>
      <w:bookmarkStart w:id="76" w:name="OLE_LINK216"/>
      <w:bookmarkStart w:id="77" w:name="OLE_LINK259"/>
      <w:bookmarkStart w:id="78" w:name="OLE_LINK1186"/>
      <w:bookmarkStart w:id="79" w:name="OLE_LINK1265"/>
      <w:bookmarkStart w:id="80" w:name="OLE_LINK1373"/>
      <w:bookmarkStart w:id="81" w:name="OLE_LINK1478"/>
      <w:bookmarkStart w:id="82" w:name="OLE_LINK1644"/>
      <w:bookmarkStart w:id="83" w:name="OLE_LINK1884"/>
      <w:bookmarkStart w:id="84" w:name="OLE_LINK1885"/>
      <w:bookmarkStart w:id="85" w:name="OLE_LINK1538"/>
      <w:bookmarkStart w:id="86" w:name="OLE_LINK1539"/>
      <w:bookmarkStart w:id="87" w:name="OLE_LINK1543"/>
      <w:bookmarkStart w:id="88" w:name="OLE_LINK1549"/>
      <w:bookmarkStart w:id="89" w:name="OLE_LINK1778"/>
      <w:bookmarkStart w:id="90" w:name="OLE_LINK1756"/>
      <w:bookmarkStart w:id="91" w:name="OLE_LINK1776"/>
      <w:bookmarkStart w:id="92" w:name="OLE_LINK1777"/>
      <w:bookmarkStart w:id="93" w:name="OLE_LINK1868"/>
      <w:bookmarkStart w:id="94" w:name="OLE_LINK1744"/>
      <w:bookmarkStart w:id="95" w:name="OLE_LINK1817"/>
      <w:bookmarkStart w:id="96" w:name="OLE_LINK1835"/>
      <w:bookmarkStart w:id="97" w:name="OLE_LINK1866"/>
      <w:bookmarkStart w:id="98" w:name="OLE_LINK1882"/>
      <w:bookmarkStart w:id="99" w:name="OLE_LINK1901"/>
      <w:bookmarkStart w:id="100" w:name="OLE_LINK1902"/>
      <w:bookmarkStart w:id="101" w:name="OLE_LINK2013"/>
      <w:bookmarkStart w:id="102" w:name="OLE_LINK1894"/>
      <w:bookmarkStart w:id="103" w:name="OLE_LINK1929"/>
      <w:bookmarkStart w:id="104" w:name="OLE_LINK1941"/>
      <w:bookmarkStart w:id="105" w:name="OLE_LINK1995"/>
      <w:bookmarkStart w:id="106" w:name="OLE_LINK1938"/>
      <w:bookmarkStart w:id="107" w:name="OLE_LINK2081"/>
      <w:bookmarkStart w:id="108" w:name="OLE_LINK2082"/>
      <w:bookmarkStart w:id="109" w:name="OLE_LINK2292"/>
      <w:bookmarkStart w:id="110" w:name="OLE_LINK1931"/>
      <w:bookmarkStart w:id="111" w:name="OLE_LINK1964"/>
      <w:bookmarkStart w:id="112" w:name="OLE_LINK2020"/>
      <w:bookmarkStart w:id="113" w:name="OLE_LINK2071"/>
      <w:bookmarkStart w:id="114" w:name="OLE_LINK2134"/>
      <w:bookmarkStart w:id="115" w:name="OLE_LINK2265"/>
      <w:bookmarkStart w:id="116" w:name="OLE_LINK2562"/>
      <w:bookmarkStart w:id="117" w:name="OLE_LINK1923"/>
      <w:bookmarkStart w:id="118" w:name="OLE_LINK2192"/>
      <w:bookmarkStart w:id="119" w:name="OLE_LINK2110"/>
      <w:bookmarkStart w:id="120" w:name="OLE_LINK2445"/>
      <w:bookmarkStart w:id="121" w:name="OLE_LINK2446"/>
      <w:bookmarkStart w:id="122" w:name="OLE_LINK2169"/>
      <w:bookmarkStart w:id="123" w:name="OLE_LINK2190"/>
      <w:bookmarkStart w:id="124" w:name="OLE_LINK2331"/>
      <w:bookmarkStart w:id="125" w:name="OLE_LINK2345"/>
      <w:bookmarkStart w:id="126" w:name="OLE_LINK2467"/>
      <w:bookmarkStart w:id="127" w:name="OLE_LINK2484"/>
      <w:bookmarkStart w:id="128" w:name="OLE_LINK2157"/>
      <w:bookmarkStart w:id="129" w:name="OLE_LINK2221"/>
      <w:bookmarkStart w:id="130" w:name="OLE_LINK2252"/>
      <w:bookmarkStart w:id="131" w:name="OLE_LINK2348"/>
      <w:bookmarkStart w:id="132" w:name="OLE_LINK2451"/>
      <w:bookmarkStart w:id="133" w:name="OLE_LINK2627"/>
      <w:bookmarkStart w:id="134" w:name="OLE_LINK2482"/>
      <w:bookmarkStart w:id="135" w:name="OLE_LINK2663"/>
      <w:bookmarkStart w:id="136" w:name="OLE_LINK2761"/>
      <w:bookmarkStart w:id="137" w:name="OLE_LINK2856"/>
      <w:bookmarkStart w:id="138" w:name="OLE_LINK2993"/>
      <w:bookmarkStart w:id="139" w:name="OLE_LINK2643"/>
      <w:bookmarkStart w:id="140" w:name="OLE_LINK2583"/>
      <w:bookmarkStart w:id="141" w:name="OLE_LINK2762"/>
      <w:bookmarkStart w:id="142" w:name="OLE_LINK2962"/>
      <w:bookmarkStart w:id="143" w:name="OLE_LINK2582"/>
      <w:r w:rsidRPr="00412B34">
        <w:rPr>
          <w:rFonts w:ascii="Book Antiqua" w:hAnsi="Book Antiqua"/>
          <w:b/>
          <w:color w:val="000000"/>
          <w:sz w:val="24"/>
          <w:lang w:val="en-GB"/>
        </w:rPr>
        <w:t xml:space="preserve">© </w:t>
      </w:r>
      <w:r w:rsidRPr="00412B34">
        <w:rPr>
          <w:rFonts w:ascii="Book Antiqua" w:eastAsia="AdvTimes" w:hAnsi="Book Antiqua" w:cs="AdvTimes"/>
          <w:b/>
          <w:color w:val="000000"/>
          <w:sz w:val="24"/>
        </w:rPr>
        <w:t>The Author(s) 201</w:t>
      </w:r>
      <w:r w:rsidRPr="006F54B0">
        <w:rPr>
          <w:rFonts w:ascii="SimSun" w:hAnsi="SimSun" w:cs="AdvTimes" w:hint="eastAsia"/>
          <w:b/>
          <w:color w:val="000000"/>
          <w:sz w:val="24"/>
        </w:rPr>
        <w:t>6</w:t>
      </w:r>
      <w:r w:rsidRPr="00412B34">
        <w:rPr>
          <w:rFonts w:ascii="Book Antiqua" w:eastAsia="AdvTimes" w:hAnsi="Book Antiqua" w:cs="AdvTimes"/>
          <w:b/>
          <w:color w:val="000000"/>
          <w:sz w:val="24"/>
        </w:rPr>
        <w:t>.</w:t>
      </w:r>
      <w:r w:rsidRPr="004269F8">
        <w:rPr>
          <w:rFonts w:ascii="Book Antiqua" w:eastAsia="AdvTimes" w:hAnsi="Book Antiqua" w:cs="AdvTimes"/>
          <w:color w:val="000000"/>
          <w:sz w:val="24"/>
        </w:rPr>
        <w:t xml:space="preserve">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r w:rsidRPr="004269F8">
        <w:rPr>
          <w:rFonts w:ascii="Book Antiqua" w:hAnsi="Book Antiqua" w:cs="Arial Unicode MS"/>
          <w:color w:val="000000"/>
          <w:sz w:val="24"/>
          <w:lang w:val="en-GB"/>
        </w:rPr>
        <w:t>Baishideng Publishing Group Inc.</w:t>
      </w:r>
      <w:r w:rsidRPr="008E6844">
        <w:rPr>
          <w:rFonts w:ascii="Book Antiqua" w:hAnsi="Book Antiqua" w:cs="Arial Unicode MS"/>
          <w:sz w:val="24"/>
        </w:rPr>
        <w:t xml:space="preserve"> </w:t>
      </w:r>
      <w:r w:rsidRPr="00836DCC">
        <w:rPr>
          <w:rFonts w:ascii="Book Antiqua" w:hAnsi="Book Antiqua" w:cs="Arial Unicode MS"/>
          <w:sz w:val="24"/>
        </w:rPr>
        <w:t xml:space="preserve">All </w:t>
      </w:r>
      <w:r w:rsidRPr="00836DCC">
        <w:rPr>
          <w:rFonts w:ascii="Book Antiqua" w:hAnsi="Book Antiqua" w:cs="Arial Unicode MS"/>
          <w:sz w:val="24"/>
        </w:rPr>
        <w:lastRenderedPageBreak/>
        <w:t>rights reserved.</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D60AB6" w:rsidRPr="009E2BF9" w:rsidRDefault="00D60AB6" w:rsidP="001E38EA">
      <w:pPr>
        <w:adjustRightInd w:val="0"/>
        <w:snapToGrid w:val="0"/>
        <w:spacing w:line="360" w:lineRule="auto"/>
        <w:rPr>
          <w:rFonts w:ascii="Book Antiqua" w:hAnsi="Book Antiqua" w:cs="Times New Roman"/>
          <w:bCs/>
          <w:sz w:val="24"/>
          <w:szCs w:val="24"/>
        </w:rPr>
      </w:pPr>
    </w:p>
    <w:p w:rsidR="00DF581C" w:rsidRPr="009E2BF9" w:rsidRDefault="009E2BF9" w:rsidP="001E38EA">
      <w:pPr>
        <w:adjustRightInd w:val="0"/>
        <w:snapToGrid w:val="0"/>
        <w:spacing w:line="360" w:lineRule="auto"/>
        <w:rPr>
          <w:rFonts w:ascii="Book Antiqua" w:hAnsi="Book Antiqua" w:cs="Times New Roman"/>
          <w:bCs/>
          <w:sz w:val="24"/>
          <w:szCs w:val="24"/>
        </w:rPr>
      </w:pPr>
      <w:r w:rsidRPr="009E2BF9">
        <w:rPr>
          <w:rFonts w:ascii="Book Antiqua" w:hAnsi="Book Antiqua" w:cs="Times New Roman"/>
          <w:b/>
          <w:bCs/>
          <w:sz w:val="24"/>
          <w:szCs w:val="24"/>
        </w:rPr>
        <w:t xml:space="preserve">Core tip: </w:t>
      </w:r>
      <w:r w:rsidRPr="009E2BF9">
        <w:rPr>
          <w:rFonts w:ascii="Book Antiqua" w:hAnsi="Book Antiqua" w:cs="Times New Roman"/>
          <w:bCs/>
          <w:sz w:val="24"/>
          <w:szCs w:val="24"/>
        </w:rPr>
        <w:t xml:space="preserve">Thymoquinone (TQ), has demonstrated to exert biological activity in </w:t>
      </w:r>
      <w:r w:rsidRPr="009E2BF9">
        <w:rPr>
          <w:rFonts w:ascii="Book Antiqua" w:hAnsi="Book Antiqua"/>
          <w:bCs/>
          <w:sz w:val="24"/>
          <w:szCs w:val="24"/>
        </w:rPr>
        <w:t xml:space="preserve">gastric cancer. However, </w:t>
      </w:r>
      <w:r w:rsidRPr="009E2BF9">
        <w:rPr>
          <w:rFonts w:ascii="Book Antiqua" w:hAnsi="Book Antiqua"/>
          <w:sz w:val="24"/>
          <w:szCs w:val="24"/>
        </w:rPr>
        <w:t>the specific mechanism of TQ in gastric cancer has not been examined.</w:t>
      </w:r>
      <w:r w:rsidRPr="009E2BF9">
        <w:rPr>
          <w:rFonts w:ascii="Book Antiqua" w:hAnsi="Book Antiqua"/>
          <w:bCs/>
          <w:sz w:val="24"/>
          <w:szCs w:val="24"/>
        </w:rPr>
        <w:t xml:space="preserve"> In order to elucidate the mechanism of TQ-induced apoptosis in human gastric cancer cells, we investigated the effects of TQ on STAT3 and its relative pathway </w:t>
      </w:r>
      <w:r w:rsidRPr="009E2BF9">
        <w:rPr>
          <w:rFonts w:ascii="Book Antiqua" w:hAnsi="Book Antiqua"/>
          <w:bCs/>
          <w:i/>
          <w:sz w:val="24"/>
          <w:szCs w:val="24"/>
        </w:rPr>
        <w:t>in vitro</w:t>
      </w:r>
      <w:r w:rsidRPr="009E2BF9">
        <w:rPr>
          <w:rFonts w:ascii="Book Antiqua" w:hAnsi="Book Antiqua"/>
          <w:bCs/>
          <w:sz w:val="24"/>
          <w:szCs w:val="24"/>
        </w:rPr>
        <w:t xml:space="preserve"> and </w:t>
      </w:r>
      <w:r w:rsidRPr="009E2BF9">
        <w:rPr>
          <w:rFonts w:ascii="Book Antiqua" w:hAnsi="Book Antiqua"/>
          <w:bCs/>
          <w:i/>
          <w:sz w:val="24"/>
          <w:szCs w:val="24"/>
        </w:rPr>
        <w:t>in vivo</w:t>
      </w:r>
      <w:r w:rsidRPr="009E2BF9">
        <w:rPr>
          <w:rFonts w:ascii="Book Antiqua" w:hAnsi="Book Antiqua"/>
          <w:bCs/>
          <w:sz w:val="24"/>
          <w:szCs w:val="24"/>
        </w:rPr>
        <w:t>.</w:t>
      </w:r>
    </w:p>
    <w:p w:rsidR="00DF581C" w:rsidRDefault="00DF581C" w:rsidP="001E38EA">
      <w:pPr>
        <w:adjustRightInd w:val="0"/>
        <w:snapToGrid w:val="0"/>
        <w:spacing w:line="360" w:lineRule="auto"/>
        <w:rPr>
          <w:rFonts w:ascii="Book Antiqua" w:hAnsi="Book Antiqua" w:cs="Times New Roman"/>
          <w:bCs/>
          <w:sz w:val="24"/>
          <w:szCs w:val="24"/>
        </w:rPr>
      </w:pPr>
    </w:p>
    <w:p w:rsidR="00D60AB6" w:rsidRDefault="00D60AB6" w:rsidP="001E38EA">
      <w:pPr>
        <w:adjustRightInd w:val="0"/>
        <w:snapToGrid w:val="0"/>
        <w:spacing w:line="360" w:lineRule="auto"/>
        <w:rPr>
          <w:rFonts w:ascii="Book Antiqua" w:hAnsi="Book Antiqua"/>
          <w:sz w:val="24"/>
        </w:rPr>
      </w:pPr>
      <w:r w:rsidRPr="009E2BF9">
        <w:rPr>
          <w:rFonts w:ascii="Book Antiqua" w:hAnsi="Book Antiqua" w:cs="Times New Roman"/>
          <w:bCs/>
          <w:sz w:val="24"/>
          <w:szCs w:val="24"/>
        </w:rPr>
        <w:t>Zhu</w:t>
      </w:r>
      <w:r>
        <w:rPr>
          <w:rFonts w:ascii="Book Antiqua" w:hAnsi="Book Antiqua" w:cs="Times New Roman" w:hint="eastAsia"/>
          <w:bCs/>
          <w:sz w:val="24"/>
          <w:szCs w:val="24"/>
        </w:rPr>
        <w:t xml:space="preserve"> WQ</w:t>
      </w:r>
      <w:r w:rsidRPr="009E2BF9">
        <w:rPr>
          <w:rFonts w:ascii="Book Antiqua" w:hAnsi="Book Antiqua" w:cs="Times New Roman"/>
          <w:bCs/>
          <w:sz w:val="24"/>
          <w:szCs w:val="24"/>
        </w:rPr>
        <w:t>, Wang</w:t>
      </w:r>
      <w:r>
        <w:rPr>
          <w:rFonts w:ascii="Book Antiqua" w:hAnsi="Book Antiqua" w:cs="Times New Roman" w:hint="eastAsia"/>
          <w:bCs/>
          <w:sz w:val="24"/>
          <w:szCs w:val="24"/>
        </w:rPr>
        <w:t xml:space="preserve"> J</w:t>
      </w:r>
      <w:r w:rsidRPr="009E2BF9">
        <w:rPr>
          <w:rFonts w:ascii="Book Antiqua" w:hAnsi="Book Antiqua" w:cs="Times New Roman"/>
          <w:bCs/>
          <w:sz w:val="24"/>
          <w:szCs w:val="24"/>
        </w:rPr>
        <w:t>, Guo</w:t>
      </w:r>
      <w:r>
        <w:rPr>
          <w:rFonts w:ascii="Book Antiqua" w:hAnsi="Book Antiqua" w:cs="Times New Roman" w:hint="eastAsia"/>
          <w:bCs/>
          <w:sz w:val="24"/>
          <w:szCs w:val="24"/>
        </w:rPr>
        <w:t xml:space="preserve"> XF</w:t>
      </w:r>
      <w:r w:rsidRPr="009E2BF9">
        <w:rPr>
          <w:rFonts w:ascii="Book Antiqua" w:hAnsi="Book Antiqua" w:cs="Times New Roman"/>
          <w:bCs/>
          <w:sz w:val="24"/>
          <w:szCs w:val="24"/>
        </w:rPr>
        <w:t>, Liu</w:t>
      </w:r>
      <w:r>
        <w:rPr>
          <w:rFonts w:ascii="Book Antiqua" w:hAnsi="Book Antiqua" w:cs="Times New Roman" w:hint="eastAsia"/>
          <w:bCs/>
          <w:sz w:val="24"/>
          <w:szCs w:val="24"/>
        </w:rPr>
        <w:t xml:space="preserve"> Z</w:t>
      </w:r>
      <w:r w:rsidRPr="009E2BF9">
        <w:rPr>
          <w:rFonts w:ascii="Book Antiqua" w:hAnsi="Book Antiqua" w:cs="Times New Roman"/>
          <w:bCs/>
          <w:sz w:val="24"/>
          <w:szCs w:val="24"/>
        </w:rPr>
        <w:t>, Dong</w:t>
      </w:r>
      <w:r>
        <w:rPr>
          <w:rFonts w:ascii="Book Antiqua" w:hAnsi="Book Antiqua" w:cs="Times New Roman" w:hint="eastAsia"/>
          <w:bCs/>
          <w:sz w:val="24"/>
          <w:szCs w:val="24"/>
        </w:rPr>
        <w:t xml:space="preserve"> WG. </w:t>
      </w:r>
      <w:r w:rsidRPr="00D60AB6">
        <w:rPr>
          <w:rFonts w:ascii="Book Antiqua" w:hAnsi="Book Antiqua" w:cs="Times New Roman"/>
          <w:bCs/>
          <w:sz w:val="24"/>
          <w:szCs w:val="24"/>
        </w:rPr>
        <w:t xml:space="preserve">Thymoquinone inhibits proliferation in gastric cancer </w:t>
      </w:r>
      <w:r w:rsidRPr="00D60AB6">
        <w:rPr>
          <w:rFonts w:ascii="Book Antiqua" w:hAnsi="Book Antiqua" w:cs="Times New Roman"/>
          <w:bCs/>
          <w:i/>
          <w:sz w:val="24"/>
          <w:szCs w:val="24"/>
        </w:rPr>
        <w:t>via</w:t>
      </w:r>
      <w:r w:rsidRPr="00D60AB6">
        <w:rPr>
          <w:rFonts w:ascii="Book Antiqua" w:hAnsi="Book Antiqua" w:cs="Times New Roman"/>
          <w:bCs/>
          <w:sz w:val="24"/>
          <w:szCs w:val="24"/>
        </w:rPr>
        <w:t xml:space="preserve"> STAT3 pathway </w:t>
      </w:r>
      <w:r w:rsidRPr="00D60AB6">
        <w:rPr>
          <w:rFonts w:ascii="Book Antiqua" w:hAnsi="Book Antiqua" w:cs="Times New Roman"/>
          <w:bCs/>
          <w:i/>
          <w:sz w:val="24"/>
          <w:szCs w:val="24"/>
        </w:rPr>
        <w:t>in vivo</w:t>
      </w:r>
      <w:r w:rsidRPr="00D60AB6">
        <w:rPr>
          <w:rFonts w:ascii="Book Antiqua" w:hAnsi="Book Antiqua" w:cs="Times New Roman"/>
          <w:bCs/>
          <w:sz w:val="24"/>
          <w:szCs w:val="24"/>
        </w:rPr>
        <w:t xml:space="preserve"> and </w:t>
      </w:r>
      <w:r w:rsidRPr="00D60AB6">
        <w:rPr>
          <w:rFonts w:ascii="Book Antiqua" w:hAnsi="Book Antiqua" w:cs="Times New Roman"/>
          <w:bCs/>
          <w:i/>
          <w:sz w:val="24"/>
          <w:szCs w:val="24"/>
        </w:rPr>
        <w:t>in vitro</w:t>
      </w:r>
      <w:r>
        <w:rPr>
          <w:rFonts w:ascii="Book Antiqua" w:hAnsi="Book Antiqua" w:cs="Times New Roman" w:hint="eastAsia"/>
          <w:bCs/>
          <w:sz w:val="24"/>
          <w:szCs w:val="24"/>
        </w:rPr>
        <w:t xml:space="preserve">. </w:t>
      </w:r>
      <w:r w:rsidRPr="009E3692">
        <w:rPr>
          <w:rFonts w:ascii="Book Antiqua" w:hAnsi="Book Antiqua"/>
          <w:i/>
          <w:sz w:val="24"/>
        </w:rPr>
        <w:t>World J Gastroenterol</w:t>
      </w:r>
      <w:r w:rsidRPr="009E3692">
        <w:rPr>
          <w:rFonts w:ascii="Book Antiqua" w:hAnsi="Book Antiqua"/>
          <w:sz w:val="24"/>
        </w:rPr>
        <w:t xml:space="preserve"> 201</w:t>
      </w:r>
      <w:r>
        <w:rPr>
          <w:rFonts w:ascii="Book Antiqua" w:hAnsi="Book Antiqua" w:hint="eastAsia"/>
          <w:sz w:val="24"/>
        </w:rPr>
        <w:t>6</w:t>
      </w:r>
      <w:r w:rsidRPr="009E3692">
        <w:rPr>
          <w:rFonts w:ascii="Book Antiqua" w:hAnsi="Book Antiqua"/>
          <w:sz w:val="24"/>
        </w:rPr>
        <w:t>; In press</w:t>
      </w:r>
    </w:p>
    <w:p w:rsidR="00D60AB6" w:rsidRDefault="00D60AB6" w:rsidP="001E38EA">
      <w:pPr>
        <w:adjustRightInd w:val="0"/>
        <w:snapToGrid w:val="0"/>
        <w:spacing w:line="360" w:lineRule="auto"/>
        <w:rPr>
          <w:rFonts w:ascii="Book Antiqua" w:hAnsi="Book Antiqua" w:cs="Times New Roman"/>
          <w:bCs/>
          <w:sz w:val="24"/>
          <w:szCs w:val="24"/>
        </w:rPr>
      </w:pPr>
      <w:r>
        <w:rPr>
          <w:rFonts w:ascii="Book Antiqua" w:hAnsi="Book Antiqua" w:cs="Times New Roman"/>
          <w:bCs/>
          <w:sz w:val="24"/>
          <w:szCs w:val="24"/>
        </w:rPr>
        <w:br w:type="page"/>
      </w:r>
    </w:p>
    <w:p w:rsidR="00DF581C" w:rsidRPr="00D60AB6" w:rsidRDefault="009E2BF9" w:rsidP="001E38EA">
      <w:pPr>
        <w:adjustRightInd w:val="0"/>
        <w:snapToGrid w:val="0"/>
        <w:spacing w:line="360" w:lineRule="auto"/>
        <w:rPr>
          <w:rFonts w:ascii="Book Antiqua" w:hAnsi="Book Antiqua" w:cs="Times New Roman"/>
          <w:b/>
          <w:caps/>
          <w:sz w:val="24"/>
          <w:szCs w:val="24"/>
        </w:rPr>
      </w:pPr>
      <w:r w:rsidRPr="00D60AB6">
        <w:rPr>
          <w:rFonts w:ascii="Book Antiqua" w:hAnsi="Book Antiqua" w:cs="Times New Roman"/>
          <w:b/>
          <w:caps/>
          <w:sz w:val="24"/>
          <w:szCs w:val="24"/>
        </w:rPr>
        <w:lastRenderedPageBreak/>
        <w:t>Introduction</w:t>
      </w:r>
    </w:p>
    <w:p w:rsidR="00DF581C" w:rsidRPr="009E2BF9" w:rsidRDefault="009E2BF9" w:rsidP="001E38EA">
      <w:pPr>
        <w:shd w:val="clear" w:color="F5F5F5" w:fill="auto"/>
        <w:autoSpaceDN w:val="0"/>
        <w:adjustRightInd w:val="0"/>
        <w:snapToGrid w:val="0"/>
        <w:spacing w:line="360" w:lineRule="auto"/>
        <w:textAlignment w:val="top"/>
        <w:rPr>
          <w:rFonts w:ascii="Book Antiqua" w:eastAsia="SimSun" w:hAnsi="Book Antiqua" w:cs="Times New Roman"/>
          <w:sz w:val="24"/>
          <w:szCs w:val="24"/>
        </w:rPr>
      </w:pPr>
      <w:r w:rsidRPr="009E2BF9">
        <w:rPr>
          <w:rFonts w:ascii="Book Antiqua" w:eastAsia="SimSun" w:hAnsi="Book Antiqua" w:cs="Times New Roman"/>
          <w:sz w:val="24"/>
          <w:szCs w:val="24"/>
        </w:rPr>
        <w:t>Based on GLOBOCAN estimates, about 14.1 million new cancer cases and 8.2 million deaths occur</w:t>
      </w:r>
      <w:r w:rsidRPr="009E2BF9">
        <w:rPr>
          <w:rFonts w:ascii="Book Antiqua" w:hAnsi="Book Antiqua"/>
          <w:bCs/>
          <w:sz w:val="24"/>
          <w:szCs w:val="24"/>
        </w:rPr>
        <w:t>red in 2012 worldwide</w:t>
      </w:r>
      <w:r w:rsidRPr="009E2BF9">
        <w:rPr>
          <w:rFonts w:ascii="Book Antiqua" w:eastAsia="Times New Roman" w:hAnsi="Book Antiqua"/>
          <w:color w:val="080000"/>
          <w:sz w:val="24"/>
          <w:szCs w:val="24"/>
          <w:vertAlign w:val="superscript"/>
        </w:rPr>
        <w:t>[1]</w:t>
      </w:r>
      <w:r w:rsidRPr="009E2BF9">
        <w:rPr>
          <w:rFonts w:ascii="Book Antiqua" w:eastAsia="SimSun" w:hAnsi="Book Antiqua" w:cs="Times New Roman"/>
          <w:sz w:val="24"/>
          <w:szCs w:val="24"/>
        </w:rPr>
        <w:t xml:space="preserve">. Among them, the incidence and mortality rates of gastric cancer account for the fourth and third place in male patients, respectively, and ranks fifth in female </w:t>
      </w:r>
      <w:r w:rsidR="00FE7FCD">
        <w:rPr>
          <w:rFonts w:ascii="Book Antiqua" w:hAnsi="Book Antiqua"/>
          <w:bCs/>
          <w:sz w:val="24"/>
          <w:szCs w:val="24"/>
        </w:rPr>
        <w:t>patients</w:t>
      </w:r>
      <w:r w:rsidRPr="009E2BF9">
        <w:rPr>
          <w:rFonts w:ascii="Book Antiqua" w:eastAsia="Times New Roman" w:hAnsi="Book Antiqua"/>
          <w:color w:val="080000"/>
          <w:sz w:val="24"/>
          <w:szCs w:val="24"/>
          <w:vertAlign w:val="superscript"/>
        </w:rPr>
        <w:t>[1]</w:t>
      </w:r>
      <w:r w:rsidRPr="009E2BF9">
        <w:rPr>
          <w:rFonts w:ascii="Book Antiqua" w:hAnsi="Book Antiqua"/>
          <w:bCs/>
          <w:sz w:val="24"/>
          <w:szCs w:val="24"/>
        </w:rPr>
        <w:t xml:space="preserve">. </w:t>
      </w:r>
      <w:r w:rsidRPr="009E2BF9">
        <w:rPr>
          <w:rFonts w:ascii="Book Antiqua" w:eastAsia="SimSun" w:hAnsi="Book Antiqua" w:cs="Times New Roman"/>
          <w:sz w:val="24"/>
          <w:szCs w:val="24"/>
        </w:rPr>
        <w:t xml:space="preserve">Chemotherapy is commonly used in the treatment of gastric cancer, and the commonly used chemotherapy drugs are 5-fluorouracil, cisplatin and doxorubicin, which have toxic side effects easy </w:t>
      </w:r>
      <w:r w:rsidR="00D60AB6">
        <w:rPr>
          <w:rFonts w:ascii="Book Antiqua" w:eastAsia="SimSun" w:hAnsi="Book Antiqua" w:cs="Times New Roman"/>
          <w:sz w:val="24"/>
          <w:szCs w:val="24"/>
        </w:rPr>
        <w:t>to resistance and other defects</w:t>
      </w:r>
      <w:r w:rsidRPr="009E2BF9">
        <w:rPr>
          <w:rFonts w:ascii="Book Antiqua" w:eastAsia="Times New Roman" w:hAnsi="Book Antiqua"/>
          <w:color w:val="080000"/>
          <w:sz w:val="24"/>
          <w:szCs w:val="24"/>
          <w:vertAlign w:val="superscript"/>
        </w:rPr>
        <w:t>[</w:t>
      </w:r>
      <w:r w:rsidRPr="009E2BF9">
        <w:rPr>
          <w:rFonts w:ascii="Book Antiqua" w:eastAsia="SimSun" w:hAnsi="Book Antiqua"/>
          <w:color w:val="080000"/>
          <w:sz w:val="24"/>
          <w:szCs w:val="24"/>
          <w:vertAlign w:val="superscript"/>
        </w:rPr>
        <w:t>2</w:t>
      </w:r>
      <w:r w:rsidRPr="009E2BF9">
        <w:rPr>
          <w:rFonts w:ascii="Book Antiqua" w:eastAsia="Times New Roman" w:hAnsi="Book Antiqua"/>
          <w:color w:val="080000"/>
          <w:sz w:val="24"/>
          <w:szCs w:val="24"/>
          <w:vertAlign w:val="superscript"/>
        </w:rPr>
        <w:t>]</w:t>
      </w:r>
      <w:r w:rsidRPr="009E2BF9">
        <w:rPr>
          <w:rFonts w:ascii="Book Antiqua" w:eastAsia="SimSun" w:hAnsi="Book Antiqua" w:cs="Times New Roman"/>
          <w:sz w:val="24"/>
          <w:szCs w:val="24"/>
        </w:rPr>
        <w:t xml:space="preserve">. Therefore, it is important to search for low toxicity and efficient anti-cancer drugs inhibit gastric cancer development. </w:t>
      </w:r>
    </w:p>
    <w:p w:rsidR="00DF581C" w:rsidRPr="009E2BF9" w:rsidRDefault="009E2BF9" w:rsidP="001E38EA">
      <w:pPr>
        <w:shd w:val="clear" w:color="F5F5F5" w:fill="auto"/>
        <w:autoSpaceDN w:val="0"/>
        <w:adjustRightInd w:val="0"/>
        <w:snapToGrid w:val="0"/>
        <w:spacing w:line="360" w:lineRule="auto"/>
        <w:ind w:firstLineChars="200" w:firstLine="480"/>
        <w:textAlignment w:val="top"/>
        <w:rPr>
          <w:rFonts w:ascii="Book Antiqua" w:eastAsia="SimSun" w:hAnsi="Book Antiqua" w:cs="Times New Roman"/>
          <w:sz w:val="24"/>
          <w:szCs w:val="24"/>
        </w:rPr>
      </w:pPr>
      <w:r w:rsidRPr="009E2BF9">
        <w:rPr>
          <w:rFonts w:ascii="Book Antiqua" w:eastAsia="SimSun" w:hAnsi="Book Antiqua" w:cs="Times New Roman"/>
          <w:sz w:val="24"/>
          <w:szCs w:val="24"/>
        </w:rPr>
        <w:t>Thymoquinone (TQ, also called 2 - Isopropyl -5 - methyl-1,4 - benzo-quinone, C</w:t>
      </w:r>
      <w:r w:rsidRPr="009E2BF9">
        <w:rPr>
          <w:rFonts w:ascii="Book Antiqua" w:eastAsia="SimSun" w:hAnsi="Book Antiqua" w:cs="Times New Roman"/>
          <w:sz w:val="24"/>
          <w:szCs w:val="24"/>
          <w:vertAlign w:val="subscript"/>
        </w:rPr>
        <w:t>10</w:t>
      </w:r>
      <w:r w:rsidRPr="009E2BF9">
        <w:rPr>
          <w:rFonts w:ascii="Book Antiqua" w:eastAsia="SimSun" w:hAnsi="Book Antiqua" w:cs="Times New Roman"/>
          <w:sz w:val="24"/>
          <w:szCs w:val="24"/>
        </w:rPr>
        <w:t>H</w:t>
      </w:r>
      <w:r w:rsidRPr="009E2BF9">
        <w:rPr>
          <w:rFonts w:ascii="Book Antiqua" w:eastAsia="SimSun" w:hAnsi="Book Antiqua" w:cs="Times New Roman"/>
          <w:sz w:val="24"/>
          <w:szCs w:val="24"/>
          <w:vertAlign w:val="subscript"/>
        </w:rPr>
        <w:t>12</w:t>
      </w:r>
      <w:r w:rsidRPr="009E2BF9">
        <w:rPr>
          <w:rFonts w:ascii="Book Antiqua" w:eastAsia="SimSun" w:hAnsi="Book Antiqua" w:cs="Times New Roman"/>
          <w:sz w:val="24"/>
          <w:szCs w:val="24"/>
        </w:rPr>
        <w:t>O</w:t>
      </w:r>
      <w:r w:rsidRPr="009E2BF9">
        <w:rPr>
          <w:rFonts w:ascii="Book Antiqua" w:eastAsia="SimSun" w:hAnsi="Book Antiqua" w:cs="Times New Roman"/>
          <w:sz w:val="24"/>
          <w:szCs w:val="24"/>
          <w:vertAlign w:val="subscript"/>
        </w:rPr>
        <w:t>2</w:t>
      </w:r>
      <w:r w:rsidRPr="009E2BF9">
        <w:rPr>
          <w:rFonts w:ascii="Book Antiqua" w:eastAsia="SimSun" w:hAnsi="Book Antiqua" w:cs="Times New Roman"/>
          <w:sz w:val="24"/>
          <w:szCs w:val="24"/>
        </w:rPr>
        <w:t>), as the active constituents of black cumin (Nigella sativa) seed oil (</w:t>
      </w:r>
      <w:r w:rsidR="00D60AB6">
        <w:rPr>
          <w:rFonts w:ascii="Book Antiqua" w:eastAsia="SimSun" w:hAnsi="Book Antiqua" w:cs="Times New Roman"/>
          <w:sz w:val="24"/>
          <w:szCs w:val="24"/>
        </w:rPr>
        <w:t>Figure</w:t>
      </w:r>
      <w:r w:rsidRPr="009E2BF9">
        <w:rPr>
          <w:rFonts w:ascii="Book Antiqua" w:eastAsia="SimSun" w:hAnsi="Book Antiqua" w:cs="Times New Roman"/>
          <w:sz w:val="24"/>
          <w:szCs w:val="24"/>
        </w:rPr>
        <w:t xml:space="preserve"> 1A), was f</w:t>
      </w:r>
      <w:r w:rsidR="00D60AB6">
        <w:rPr>
          <w:rFonts w:ascii="Book Antiqua" w:eastAsia="SimSun" w:hAnsi="Book Antiqua" w:cs="Times New Roman"/>
          <w:sz w:val="24"/>
          <w:szCs w:val="24"/>
        </w:rPr>
        <w:t>irst extracted by EI-Dakhakhany</w:t>
      </w:r>
      <w:r w:rsidRPr="009E2BF9">
        <w:rPr>
          <w:rFonts w:ascii="Book Antiqua" w:eastAsia="Times New Roman" w:hAnsi="Book Antiqua"/>
          <w:color w:val="080000"/>
          <w:sz w:val="24"/>
          <w:szCs w:val="24"/>
          <w:vertAlign w:val="superscript"/>
        </w:rPr>
        <w:t>[</w:t>
      </w:r>
      <w:r w:rsidRPr="009E2BF9">
        <w:rPr>
          <w:rFonts w:ascii="Book Antiqua" w:eastAsia="SimSun" w:hAnsi="Book Antiqua"/>
          <w:color w:val="080000"/>
          <w:sz w:val="24"/>
          <w:szCs w:val="24"/>
          <w:vertAlign w:val="superscript"/>
        </w:rPr>
        <w:t>3</w:t>
      </w:r>
      <w:r w:rsidRPr="009E2BF9">
        <w:rPr>
          <w:rFonts w:ascii="Book Antiqua" w:eastAsia="Times New Roman" w:hAnsi="Book Antiqua"/>
          <w:color w:val="080000"/>
          <w:sz w:val="24"/>
          <w:szCs w:val="24"/>
          <w:vertAlign w:val="superscript"/>
        </w:rPr>
        <w:t>]</w:t>
      </w:r>
      <w:r w:rsidRPr="009E2BF9">
        <w:rPr>
          <w:rFonts w:ascii="Book Antiqua" w:eastAsia="SimSun" w:hAnsi="Book Antiqua" w:cs="Times New Roman"/>
          <w:sz w:val="24"/>
          <w:szCs w:val="24"/>
        </w:rPr>
        <w:t>. TQ has been shown to suppress the proliferation, induced apoptosis and drug resistance, and so on in various tumor cells, including colorectal carcinoma, pancreatic carcinoma, breast adenocarcin</w:t>
      </w:r>
      <w:r w:rsidR="00D60AB6">
        <w:rPr>
          <w:rFonts w:ascii="Book Antiqua" w:eastAsia="SimSun" w:hAnsi="Book Antiqua" w:cs="Times New Roman"/>
          <w:sz w:val="24"/>
          <w:szCs w:val="24"/>
        </w:rPr>
        <w:t>oma, prostate cancer, and so on</w:t>
      </w:r>
      <w:r w:rsidRPr="009E2BF9">
        <w:rPr>
          <w:rFonts w:ascii="Book Antiqua" w:eastAsia="Times New Roman" w:hAnsi="Book Antiqua"/>
          <w:color w:val="080000"/>
          <w:sz w:val="24"/>
          <w:szCs w:val="24"/>
          <w:vertAlign w:val="superscript"/>
        </w:rPr>
        <w:t>[4</w:t>
      </w:r>
      <w:r w:rsidRPr="009E2BF9">
        <w:rPr>
          <w:rFonts w:ascii="Book Antiqua" w:eastAsia="SimSun" w:hAnsi="Book Antiqua"/>
          <w:color w:val="080000"/>
          <w:sz w:val="24"/>
          <w:szCs w:val="24"/>
          <w:vertAlign w:val="superscript"/>
        </w:rPr>
        <w:t>-9</w:t>
      </w:r>
      <w:r w:rsidRPr="009E2BF9">
        <w:rPr>
          <w:rFonts w:ascii="Book Antiqua" w:eastAsia="Times New Roman" w:hAnsi="Book Antiqua"/>
          <w:color w:val="080000"/>
          <w:sz w:val="24"/>
          <w:szCs w:val="24"/>
          <w:vertAlign w:val="superscript"/>
        </w:rPr>
        <w:t>]</w:t>
      </w:r>
      <w:r w:rsidRPr="009E2BF9">
        <w:rPr>
          <w:rFonts w:ascii="Book Antiqua" w:eastAsia="SimSun" w:hAnsi="Book Antiqua" w:cs="Times New Roman"/>
          <w:sz w:val="24"/>
          <w:szCs w:val="24"/>
        </w:rPr>
        <w:t xml:space="preserve">. A phase I study had </w:t>
      </w:r>
      <w:r w:rsidR="00D60AB6">
        <w:rPr>
          <w:rFonts w:ascii="Book Antiqua" w:eastAsia="SimSun" w:hAnsi="Book Antiqua" w:cs="Times New Roman"/>
          <w:sz w:val="24"/>
          <w:szCs w:val="24"/>
        </w:rPr>
        <w:t>reported that in adult patients</w:t>
      </w:r>
      <w:r w:rsidRPr="009E2BF9">
        <w:rPr>
          <w:rFonts w:ascii="Book Antiqua" w:eastAsia="SimSun" w:hAnsi="Book Antiqua" w:cs="Times New Roman"/>
          <w:sz w:val="24"/>
          <w:szCs w:val="24"/>
        </w:rPr>
        <w:t xml:space="preserve"> who had solid tumors or hematological malignancies were treated with TQ, results showed out with no significant systemic toxicities</w:t>
      </w:r>
      <w:r w:rsidRPr="009E2BF9">
        <w:rPr>
          <w:rFonts w:ascii="Book Antiqua" w:eastAsia="Times New Roman" w:hAnsi="Book Antiqua"/>
          <w:color w:val="080000"/>
          <w:sz w:val="24"/>
          <w:szCs w:val="24"/>
          <w:vertAlign w:val="superscript"/>
        </w:rPr>
        <w:t>[1</w:t>
      </w:r>
      <w:r w:rsidRPr="009E2BF9">
        <w:rPr>
          <w:rFonts w:ascii="Book Antiqua" w:eastAsia="SimSun" w:hAnsi="Book Antiqua"/>
          <w:color w:val="080000"/>
          <w:sz w:val="24"/>
          <w:szCs w:val="24"/>
          <w:vertAlign w:val="superscript"/>
        </w:rPr>
        <w:t>0</w:t>
      </w:r>
      <w:r w:rsidRPr="009E2BF9">
        <w:rPr>
          <w:rFonts w:ascii="Book Antiqua" w:eastAsia="Times New Roman" w:hAnsi="Book Antiqua"/>
          <w:color w:val="080000"/>
          <w:sz w:val="24"/>
          <w:szCs w:val="24"/>
          <w:vertAlign w:val="superscript"/>
        </w:rPr>
        <w:t>]</w:t>
      </w:r>
      <w:r w:rsidRPr="009E2BF9">
        <w:rPr>
          <w:rFonts w:ascii="Book Antiqua" w:eastAsia="SimSun" w:hAnsi="Book Antiqua" w:cs="Times New Roman"/>
          <w:sz w:val="24"/>
          <w:szCs w:val="24"/>
        </w:rPr>
        <w:t xml:space="preserve">. It was also reported that the human body could tolerate a dose of 75 to 2600 TQ mg/d. Because of its high efficiency, low toxicity and natural features in cancer prevention and treatment, TQ gradually attracted the attention of scholars in the world, but the research in tumors of digestive system especially in gastric cancer is rare. </w:t>
      </w:r>
    </w:p>
    <w:p w:rsidR="00DF581C" w:rsidRPr="009E2BF9" w:rsidRDefault="009E2BF9" w:rsidP="001E38EA">
      <w:pPr>
        <w:shd w:val="clear" w:color="F5F5F5" w:fill="auto"/>
        <w:autoSpaceDN w:val="0"/>
        <w:adjustRightInd w:val="0"/>
        <w:snapToGrid w:val="0"/>
        <w:spacing w:line="360" w:lineRule="auto"/>
        <w:ind w:firstLineChars="200" w:firstLine="480"/>
        <w:textAlignment w:val="top"/>
        <w:rPr>
          <w:rFonts w:ascii="Book Antiqua" w:eastAsia="SimSun" w:hAnsi="Book Antiqua" w:cs="Times New Roman"/>
          <w:sz w:val="24"/>
          <w:szCs w:val="24"/>
        </w:rPr>
      </w:pPr>
      <w:r w:rsidRPr="009E2BF9">
        <w:rPr>
          <w:rFonts w:ascii="Book Antiqua" w:eastAsia="SimSun" w:hAnsi="Book Antiqua" w:cs="Times New Roman"/>
          <w:sz w:val="24"/>
          <w:szCs w:val="24"/>
        </w:rPr>
        <w:t>STAT which refers to Signal transducer and activator of transcription have been shown as a fundamental factor in tumor cell survival and proliferation</w:t>
      </w:r>
      <w:r w:rsidRPr="009E2BF9">
        <w:rPr>
          <w:rFonts w:ascii="Book Antiqua" w:eastAsia="Times New Roman" w:hAnsi="Book Antiqua"/>
          <w:color w:val="080000"/>
          <w:sz w:val="24"/>
          <w:szCs w:val="24"/>
          <w:vertAlign w:val="superscript"/>
        </w:rPr>
        <w:t>[1</w:t>
      </w:r>
      <w:r w:rsidRPr="009E2BF9">
        <w:rPr>
          <w:rFonts w:ascii="Book Antiqua" w:eastAsia="SimSun" w:hAnsi="Book Antiqua"/>
          <w:color w:val="080000"/>
          <w:sz w:val="24"/>
          <w:szCs w:val="24"/>
          <w:vertAlign w:val="superscript"/>
        </w:rPr>
        <w:t>1</w:t>
      </w:r>
      <w:r w:rsidRPr="009E2BF9">
        <w:rPr>
          <w:rFonts w:ascii="Book Antiqua" w:eastAsia="Times New Roman" w:hAnsi="Book Antiqua"/>
          <w:color w:val="080000"/>
          <w:sz w:val="24"/>
          <w:szCs w:val="24"/>
          <w:vertAlign w:val="superscript"/>
        </w:rPr>
        <w:t>]</w:t>
      </w:r>
      <w:r w:rsidRPr="009E2BF9">
        <w:rPr>
          <w:rFonts w:ascii="Book Antiqua" w:eastAsia="SimSun" w:hAnsi="Book Antiqua" w:cs="Times New Roman"/>
          <w:sz w:val="24"/>
          <w:szCs w:val="24"/>
        </w:rPr>
        <w:t>. STAT3, a member of STAT protein family, is a critical molecule of the JAK/STAT signaling pathway, through many signals such as IL-6, TNF-α, and VEGF STAT3 can be activated by a variety of l</w:t>
      </w:r>
      <w:r w:rsidR="00D60AB6">
        <w:rPr>
          <w:rFonts w:ascii="Book Antiqua" w:eastAsia="SimSun" w:hAnsi="Book Antiqua" w:cs="Times New Roman"/>
          <w:sz w:val="24"/>
          <w:szCs w:val="24"/>
        </w:rPr>
        <w:t>igands related to these signals</w:t>
      </w:r>
      <w:r w:rsidRPr="009E2BF9">
        <w:rPr>
          <w:rFonts w:ascii="Book Antiqua" w:eastAsia="Times New Roman" w:hAnsi="Book Antiqua"/>
          <w:color w:val="080000"/>
          <w:sz w:val="24"/>
          <w:szCs w:val="24"/>
          <w:vertAlign w:val="superscript"/>
        </w:rPr>
        <w:t>[1</w:t>
      </w:r>
      <w:r w:rsidRPr="009E2BF9">
        <w:rPr>
          <w:rFonts w:ascii="Book Antiqua" w:eastAsia="SimSun" w:hAnsi="Book Antiqua"/>
          <w:color w:val="080000"/>
          <w:sz w:val="24"/>
          <w:szCs w:val="24"/>
          <w:vertAlign w:val="superscript"/>
        </w:rPr>
        <w:t>2</w:t>
      </w:r>
      <w:r w:rsidRPr="009E2BF9">
        <w:rPr>
          <w:rFonts w:ascii="Book Antiqua" w:eastAsia="Times New Roman" w:hAnsi="Book Antiqua"/>
          <w:color w:val="080000"/>
          <w:sz w:val="24"/>
          <w:szCs w:val="24"/>
          <w:vertAlign w:val="superscript"/>
        </w:rPr>
        <w:t>]</w:t>
      </w:r>
      <w:r w:rsidRPr="009E2BF9">
        <w:rPr>
          <w:rFonts w:ascii="Book Antiqua" w:eastAsia="SimSun" w:hAnsi="Book Antiqua" w:cs="Times New Roman"/>
          <w:sz w:val="24"/>
          <w:szCs w:val="24"/>
        </w:rPr>
        <w:t>. It was reported that in a variety of human malignancies such as gastric, colon, breast and lung, abnormal expression and constitutive a</w:t>
      </w:r>
      <w:r w:rsidR="00D60AB6">
        <w:rPr>
          <w:rFonts w:ascii="Book Antiqua" w:eastAsia="SimSun" w:hAnsi="Book Antiqua" w:cs="Times New Roman"/>
          <w:sz w:val="24"/>
          <w:szCs w:val="24"/>
        </w:rPr>
        <w:t>ctivation of STAT3 are involved</w:t>
      </w:r>
      <w:r w:rsidRPr="009E2BF9">
        <w:rPr>
          <w:rFonts w:ascii="Book Antiqua" w:eastAsia="Times New Roman" w:hAnsi="Book Antiqua"/>
          <w:color w:val="080000"/>
          <w:sz w:val="24"/>
          <w:szCs w:val="24"/>
          <w:vertAlign w:val="superscript"/>
        </w:rPr>
        <w:t>[1</w:t>
      </w:r>
      <w:r w:rsidRPr="009E2BF9">
        <w:rPr>
          <w:rFonts w:ascii="Book Antiqua" w:eastAsia="SimSun" w:hAnsi="Book Antiqua"/>
          <w:color w:val="080000"/>
          <w:sz w:val="24"/>
          <w:szCs w:val="24"/>
          <w:vertAlign w:val="superscript"/>
        </w:rPr>
        <w:t>2,13</w:t>
      </w:r>
      <w:r w:rsidRPr="009E2BF9">
        <w:rPr>
          <w:rFonts w:ascii="Book Antiqua" w:eastAsia="Times New Roman" w:hAnsi="Book Antiqua"/>
          <w:color w:val="080000"/>
          <w:sz w:val="24"/>
          <w:szCs w:val="24"/>
          <w:vertAlign w:val="superscript"/>
        </w:rPr>
        <w:t>]</w:t>
      </w:r>
      <w:r w:rsidRPr="009E2BF9">
        <w:rPr>
          <w:rFonts w:ascii="Book Antiqua" w:eastAsia="SimSun" w:hAnsi="Book Antiqua" w:cs="Times New Roman"/>
          <w:sz w:val="24"/>
          <w:szCs w:val="24"/>
        </w:rPr>
        <w:t xml:space="preserve">. Once activated, STAT3 would continue </w:t>
      </w:r>
      <w:r w:rsidRPr="009E2BF9">
        <w:rPr>
          <w:rFonts w:ascii="Book Antiqua" w:eastAsia="SimSun" w:hAnsi="Book Antiqua" w:cs="Times New Roman"/>
          <w:sz w:val="24"/>
          <w:szCs w:val="24"/>
        </w:rPr>
        <w:lastRenderedPageBreak/>
        <w:t>to phosphorylation-induced homodimerization, leading to nuclear translocation, DNA binding, and subsequent gene transcription (</w:t>
      </w:r>
      <w:r w:rsidRPr="00D60AB6">
        <w:rPr>
          <w:rFonts w:ascii="Book Antiqua" w:eastAsia="SimSun" w:hAnsi="Book Antiqua" w:cs="Times New Roman"/>
          <w:i/>
          <w:sz w:val="24"/>
          <w:szCs w:val="24"/>
        </w:rPr>
        <w:t>e.g.</w:t>
      </w:r>
      <w:r w:rsidR="00D60AB6">
        <w:rPr>
          <w:rFonts w:ascii="Book Antiqua" w:eastAsia="SimSun" w:hAnsi="Book Antiqua" w:cs="Times New Roman" w:hint="eastAsia"/>
          <w:sz w:val="24"/>
          <w:szCs w:val="24"/>
        </w:rPr>
        <w:t>,</w:t>
      </w:r>
      <w:r w:rsidRPr="009E2BF9">
        <w:rPr>
          <w:rFonts w:ascii="Book Antiqua" w:eastAsia="SimSun" w:hAnsi="Book Antiqua" w:cs="Times New Roman"/>
          <w:sz w:val="24"/>
          <w:szCs w:val="24"/>
        </w:rPr>
        <w:t xml:space="preserve"> Bcl-Xl, Bcl-2, survivin, cyclin D, Mcl-1). In addition, STAT3 could also control vascular endothelial growth factor (VEGF) expression, which was necessary for angiogenesis and the m</w:t>
      </w:r>
      <w:r w:rsidR="004A5A5C">
        <w:rPr>
          <w:rFonts w:ascii="Book Antiqua" w:eastAsia="SimSun" w:hAnsi="Book Antiqua" w:cs="Times New Roman"/>
          <w:sz w:val="24"/>
          <w:szCs w:val="24"/>
        </w:rPr>
        <w:t>aintenance of tumor vasculature</w:t>
      </w:r>
      <w:r w:rsidRPr="009E2BF9">
        <w:rPr>
          <w:rFonts w:ascii="Book Antiqua" w:eastAsia="Times New Roman" w:hAnsi="Book Antiqua"/>
          <w:color w:val="080000"/>
          <w:sz w:val="24"/>
          <w:szCs w:val="24"/>
          <w:vertAlign w:val="superscript"/>
        </w:rPr>
        <w:t>[14]</w:t>
      </w:r>
      <w:r w:rsidRPr="009E2BF9">
        <w:rPr>
          <w:rFonts w:ascii="Book Antiqua" w:eastAsia="SimSun" w:hAnsi="Book Antiqua" w:cs="Times New Roman"/>
          <w:sz w:val="24"/>
          <w:szCs w:val="24"/>
        </w:rPr>
        <w:t>. STAT3 has been implicated in the inhibition of immune responses to tumor growth by blocking expression of pro-inflammatory factors. Previous study had shown that TQ could induce apoptosis and augment 5-FU-induced ap</w:t>
      </w:r>
      <w:r w:rsidR="004A5A5C">
        <w:rPr>
          <w:rFonts w:ascii="Book Antiqua" w:eastAsia="SimSun" w:hAnsi="Book Antiqua" w:cs="Times New Roman"/>
          <w:sz w:val="24"/>
          <w:szCs w:val="24"/>
        </w:rPr>
        <w:t>optosis in gastric cancer cells</w:t>
      </w:r>
      <w:r w:rsidRPr="009E2BF9">
        <w:rPr>
          <w:rFonts w:ascii="Book Antiqua" w:eastAsia="Times New Roman" w:hAnsi="Book Antiqua"/>
          <w:color w:val="080000"/>
          <w:sz w:val="24"/>
          <w:szCs w:val="24"/>
          <w:vertAlign w:val="superscript"/>
        </w:rPr>
        <w:t>[1</w:t>
      </w:r>
      <w:r w:rsidRPr="009E2BF9">
        <w:rPr>
          <w:rFonts w:ascii="Book Antiqua" w:eastAsia="SimSun" w:hAnsi="Book Antiqua"/>
          <w:color w:val="080000"/>
          <w:sz w:val="24"/>
          <w:szCs w:val="24"/>
          <w:vertAlign w:val="superscript"/>
        </w:rPr>
        <w:t>5</w:t>
      </w:r>
      <w:r w:rsidRPr="009E2BF9">
        <w:rPr>
          <w:rFonts w:ascii="Book Antiqua" w:eastAsia="Times New Roman" w:hAnsi="Book Antiqua"/>
          <w:color w:val="080000"/>
          <w:sz w:val="24"/>
          <w:szCs w:val="24"/>
          <w:vertAlign w:val="superscript"/>
        </w:rPr>
        <w:t>]</w:t>
      </w:r>
      <w:r w:rsidRPr="009E2BF9">
        <w:rPr>
          <w:rFonts w:ascii="Book Antiqua" w:eastAsia="SimSun" w:hAnsi="Book Antiqua" w:cs="Times New Roman"/>
          <w:sz w:val="24"/>
          <w:szCs w:val="24"/>
        </w:rPr>
        <w:t>. However, the specific mechanism of TQ in gastric cancer has not been examined.</w:t>
      </w:r>
    </w:p>
    <w:p w:rsidR="00DF581C" w:rsidRPr="009E2BF9" w:rsidRDefault="009E2BF9" w:rsidP="001E38EA">
      <w:pPr>
        <w:adjustRightInd w:val="0"/>
        <w:snapToGrid w:val="0"/>
        <w:spacing w:line="360" w:lineRule="auto"/>
        <w:ind w:firstLineChars="200" w:firstLine="480"/>
        <w:rPr>
          <w:rFonts w:ascii="Book Antiqua" w:eastAsia="SimSun" w:hAnsi="Book Antiqua" w:cs="Times New Roman"/>
          <w:sz w:val="24"/>
          <w:szCs w:val="24"/>
        </w:rPr>
      </w:pPr>
      <w:r w:rsidRPr="009E2BF9">
        <w:rPr>
          <w:rFonts w:ascii="Book Antiqua" w:eastAsia="SimSun" w:hAnsi="Book Antiqua" w:cs="Times New Roman"/>
          <w:sz w:val="24"/>
          <w:szCs w:val="24"/>
        </w:rPr>
        <w:t>Based on preliminary studies, we further explore the specific mechanisms of TQ regulating proliferation and apoptosis in gastric cancer cells.</w:t>
      </w:r>
    </w:p>
    <w:p w:rsidR="00DF581C" w:rsidRPr="009E2BF9" w:rsidRDefault="00DF581C" w:rsidP="001E38EA">
      <w:pPr>
        <w:adjustRightInd w:val="0"/>
        <w:snapToGrid w:val="0"/>
        <w:spacing w:line="360" w:lineRule="auto"/>
        <w:rPr>
          <w:rFonts w:ascii="Book Antiqua" w:eastAsia="SimSun" w:hAnsi="Book Antiqua" w:cs="Times New Roman"/>
          <w:sz w:val="24"/>
          <w:szCs w:val="24"/>
        </w:rPr>
      </w:pPr>
    </w:p>
    <w:p w:rsidR="00DF581C" w:rsidRPr="004A5A5C" w:rsidRDefault="009E2BF9" w:rsidP="001E38EA">
      <w:pPr>
        <w:adjustRightInd w:val="0"/>
        <w:snapToGrid w:val="0"/>
        <w:spacing w:line="360" w:lineRule="auto"/>
        <w:rPr>
          <w:rFonts w:ascii="Book Antiqua" w:eastAsia="SimSun" w:hAnsi="Book Antiqua" w:cs="Times New Roman"/>
          <w:b/>
          <w:caps/>
          <w:sz w:val="24"/>
          <w:szCs w:val="24"/>
        </w:rPr>
      </w:pPr>
      <w:r w:rsidRPr="004A5A5C">
        <w:rPr>
          <w:rFonts w:ascii="Book Antiqua" w:eastAsia="SimSun" w:hAnsi="Book Antiqua" w:cs="Times New Roman"/>
          <w:b/>
          <w:caps/>
          <w:sz w:val="24"/>
          <w:szCs w:val="24"/>
        </w:rPr>
        <w:t>Methods and Materials</w:t>
      </w:r>
    </w:p>
    <w:p w:rsidR="00DF581C" w:rsidRPr="004A5A5C" w:rsidRDefault="009E2BF9" w:rsidP="001E38EA">
      <w:pPr>
        <w:adjustRightInd w:val="0"/>
        <w:snapToGrid w:val="0"/>
        <w:spacing w:line="360" w:lineRule="auto"/>
        <w:rPr>
          <w:rFonts w:ascii="Book Antiqua" w:eastAsia="SimSun" w:hAnsi="Book Antiqua" w:cs="Times New Roman"/>
          <w:b/>
          <w:i/>
          <w:sz w:val="24"/>
          <w:szCs w:val="24"/>
        </w:rPr>
      </w:pPr>
      <w:r w:rsidRPr="004A5A5C">
        <w:rPr>
          <w:rFonts w:ascii="Book Antiqua" w:eastAsia="SimSun" w:hAnsi="Book Antiqua" w:cs="Times New Roman"/>
          <w:b/>
          <w:i/>
          <w:sz w:val="24"/>
          <w:szCs w:val="24"/>
        </w:rPr>
        <w:t>Cell culture and reagents</w:t>
      </w:r>
    </w:p>
    <w:p w:rsidR="00DF581C" w:rsidRPr="009E2BF9" w:rsidRDefault="009E2BF9" w:rsidP="001E38EA">
      <w:pPr>
        <w:adjustRightInd w:val="0"/>
        <w:snapToGrid w:val="0"/>
        <w:spacing w:line="360" w:lineRule="auto"/>
        <w:rPr>
          <w:rFonts w:ascii="Book Antiqua" w:eastAsia="SimSun" w:hAnsi="Book Antiqua" w:cs="Times New Roman"/>
          <w:bCs/>
          <w:sz w:val="24"/>
          <w:szCs w:val="24"/>
        </w:rPr>
      </w:pPr>
      <w:r w:rsidRPr="009E2BF9">
        <w:rPr>
          <w:rFonts w:ascii="Book Antiqua" w:eastAsia="SimSun" w:hAnsi="Book Antiqua" w:cs="Times New Roman"/>
          <w:sz w:val="24"/>
          <w:szCs w:val="24"/>
        </w:rPr>
        <w:t xml:space="preserve">Three human gastric cancer cells (HGC27, BGC823 and SGC7901) were obtained from </w:t>
      </w:r>
      <w:r w:rsidRPr="009E2BF9">
        <w:rPr>
          <w:rFonts w:ascii="Book Antiqua" w:eastAsia="SimSun" w:hAnsi="Book Antiqua" w:cs="Times New Roman"/>
          <w:bCs/>
          <w:sz w:val="24"/>
          <w:szCs w:val="24"/>
        </w:rPr>
        <w:t>Key Laboratory of Hubei Province for digestive System Disease (Wuhan University). The cells were maintained in continuous exponential growth in DMEM/F12 medium supplemented with heat-inactivated 10% FBS, 1% antibiotics (100 IU penicillin and 100 µg/m</w:t>
      </w:r>
      <w:r w:rsidRPr="004A5A5C">
        <w:rPr>
          <w:rFonts w:ascii="Book Antiqua" w:eastAsia="SimSun" w:hAnsi="Book Antiqua" w:cs="Times New Roman"/>
          <w:bCs/>
          <w:caps/>
          <w:sz w:val="24"/>
          <w:szCs w:val="24"/>
        </w:rPr>
        <w:t xml:space="preserve">l </w:t>
      </w:r>
      <w:r w:rsidRPr="009E2BF9">
        <w:rPr>
          <w:rFonts w:ascii="Book Antiqua" w:eastAsia="SimSun" w:hAnsi="Book Antiqua" w:cs="Times New Roman"/>
          <w:bCs/>
          <w:sz w:val="24"/>
          <w:szCs w:val="24"/>
        </w:rPr>
        <w:t>streptomycin) in a humidified incubator at 37</w:t>
      </w:r>
      <w:bookmarkStart w:id="144" w:name="OLE_LINK5"/>
      <w:bookmarkStart w:id="145" w:name="OLE_LINK3"/>
      <w:r w:rsidR="004A5A5C">
        <w:rPr>
          <w:rFonts w:ascii="Book Antiqua" w:eastAsia="SimSun" w:hAnsi="Book Antiqua" w:cs="Times New Roman" w:hint="eastAsia"/>
          <w:bCs/>
          <w:sz w:val="24"/>
          <w:szCs w:val="24"/>
        </w:rPr>
        <w:t xml:space="preserve"> </w:t>
      </w:r>
      <w:r w:rsidRPr="009E2BF9">
        <w:rPr>
          <w:rFonts w:ascii="SimSun" w:eastAsia="SimSun" w:hAnsi="SimSun" w:cs="SimSun" w:hint="eastAsia"/>
          <w:bCs/>
          <w:sz w:val="24"/>
          <w:szCs w:val="24"/>
        </w:rPr>
        <w:t>℃</w:t>
      </w:r>
      <w:bookmarkEnd w:id="144"/>
      <w:bookmarkEnd w:id="145"/>
      <w:r w:rsidRPr="009E2BF9">
        <w:rPr>
          <w:rFonts w:ascii="Book Antiqua" w:eastAsia="SimSun" w:hAnsi="Book Antiqua" w:cs="Times New Roman"/>
          <w:bCs/>
          <w:sz w:val="24"/>
          <w:szCs w:val="24"/>
        </w:rPr>
        <w:t xml:space="preserve"> and 5% CO</w:t>
      </w:r>
      <w:r w:rsidRPr="009E2BF9">
        <w:rPr>
          <w:rFonts w:ascii="Book Antiqua" w:eastAsia="SimSun" w:hAnsi="Book Antiqua" w:cs="Times New Roman"/>
          <w:bCs/>
          <w:sz w:val="24"/>
          <w:szCs w:val="24"/>
          <w:vertAlign w:val="subscript"/>
        </w:rPr>
        <w:t>2</w:t>
      </w:r>
      <w:r w:rsidRPr="009E2BF9">
        <w:rPr>
          <w:rFonts w:ascii="Book Antiqua" w:eastAsia="SimSun" w:hAnsi="Book Antiqua" w:cs="Times New Roman"/>
          <w:bCs/>
          <w:sz w:val="24"/>
          <w:szCs w:val="24"/>
        </w:rPr>
        <w:t xml:space="preserve">. </w:t>
      </w:r>
    </w:p>
    <w:p w:rsidR="00DF581C" w:rsidRPr="009E2BF9" w:rsidRDefault="00DF581C" w:rsidP="001E38EA">
      <w:pPr>
        <w:adjustRightInd w:val="0"/>
        <w:snapToGrid w:val="0"/>
        <w:spacing w:line="360" w:lineRule="auto"/>
        <w:rPr>
          <w:rFonts w:ascii="Book Antiqua" w:eastAsia="SimSun" w:hAnsi="Book Antiqua" w:cs="Times New Roman"/>
          <w:bCs/>
          <w:sz w:val="24"/>
          <w:szCs w:val="24"/>
        </w:rPr>
      </w:pPr>
    </w:p>
    <w:p w:rsidR="00DF581C" w:rsidRPr="004A5A5C" w:rsidRDefault="009E2BF9" w:rsidP="001E38EA">
      <w:pPr>
        <w:adjustRightInd w:val="0"/>
        <w:snapToGrid w:val="0"/>
        <w:spacing w:line="360" w:lineRule="auto"/>
        <w:rPr>
          <w:rFonts w:ascii="Book Antiqua" w:eastAsia="SimSun" w:hAnsi="Book Antiqua" w:cs="Times New Roman"/>
          <w:b/>
          <w:bCs/>
          <w:i/>
          <w:sz w:val="24"/>
          <w:szCs w:val="24"/>
        </w:rPr>
      </w:pPr>
      <w:r w:rsidRPr="004A5A5C">
        <w:rPr>
          <w:rFonts w:ascii="Book Antiqua" w:eastAsia="SimSun" w:hAnsi="Book Antiqua" w:cs="Times New Roman"/>
          <w:b/>
          <w:bCs/>
          <w:i/>
          <w:sz w:val="24"/>
          <w:szCs w:val="24"/>
        </w:rPr>
        <w:t>Western blot analysis</w:t>
      </w:r>
    </w:p>
    <w:p w:rsidR="00DF581C" w:rsidRPr="009E2BF9" w:rsidRDefault="009E2BF9" w:rsidP="001E38EA">
      <w:pPr>
        <w:adjustRightInd w:val="0"/>
        <w:snapToGrid w:val="0"/>
        <w:spacing w:line="360" w:lineRule="auto"/>
        <w:rPr>
          <w:rFonts w:ascii="Book Antiqua" w:eastAsia="SimSun" w:hAnsi="Book Antiqua" w:cs="Times New Roman"/>
          <w:bCs/>
          <w:sz w:val="24"/>
          <w:szCs w:val="24"/>
        </w:rPr>
      </w:pPr>
      <w:r w:rsidRPr="009E2BF9">
        <w:rPr>
          <w:rFonts w:ascii="Book Antiqua" w:eastAsia="SimSun" w:hAnsi="Book Antiqua" w:cs="Times New Roman"/>
          <w:bCs/>
          <w:sz w:val="24"/>
          <w:szCs w:val="24"/>
        </w:rPr>
        <w:t>Protein expression levels were assessed by Western blot analysis. Briefly, cells were collected, washed twice, and lysed with lysis buffer. Cell lysates were kept on ice for 30 min and centrifuged at 4</w:t>
      </w:r>
      <w:r w:rsidR="004A5A5C">
        <w:rPr>
          <w:rFonts w:ascii="Book Antiqua" w:eastAsia="SimSun" w:hAnsi="Book Antiqua" w:cs="Times New Roman" w:hint="eastAsia"/>
          <w:bCs/>
          <w:sz w:val="24"/>
          <w:szCs w:val="24"/>
        </w:rPr>
        <w:t xml:space="preserve"> </w:t>
      </w:r>
      <w:r w:rsidRPr="009E2BF9">
        <w:rPr>
          <w:rFonts w:ascii="SimSun" w:eastAsia="SimSun" w:hAnsi="SimSun" w:cs="SimSun" w:hint="eastAsia"/>
          <w:bCs/>
          <w:sz w:val="24"/>
          <w:szCs w:val="24"/>
        </w:rPr>
        <w:t>℃</w:t>
      </w:r>
      <w:r w:rsidRPr="009E2BF9">
        <w:rPr>
          <w:rFonts w:ascii="Book Antiqua" w:eastAsia="SimSun" w:hAnsi="Book Antiqua" w:cs="Times New Roman"/>
          <w:bCs/>
          <w:sz w:val="24"/>
          <w:szCs w:val="24"/>
        </w:rPr>
        <w:t>. Samples were then boiled in loading buffer and separated by 10% sodium dodecyl sulfate-polyacrylamide gel electrophoresis (SDS-PAGE). After electrophoresis, protein was transferred onto a nitrocellulose membrane (Millipore, Bedford, MA, U</w:t>
      </w:r>
      <w:r w:rsidR="004A5A5C">
        <w:rPr>
          <w:rFonts w:ascii="Book Antiqua" w:eastAsia="SimSun" w:hAnsi="Book Antiqua" w:cs="Times New Roman" w:hint="eastAsia"/>
          <w:bCs/>
          <w:sz w:val="24"/>
          <w:szCs w:val="24"/>
        </w:rPr>
        <w:t>nited States</w:t>
      </w:r>
      <w:r w:rsidRPr="009E2BF9">
        <w:rPr>
          <w:rFonts w:ascii="Book Antiqua" w:eastAsia="SimSun" w:hAnsi="Book Antiqua" w:cs="Times New Roman"/>
          <w:bCs/>
          <w:sz w:val="24"/>
          <w:szCs w:val="24"/>
        </w:rPr>
        <w:t xml:space="preserve">), which was incubated with blocking solution (10% non-fat dry milk in TBST containing 0.05% Tween-20) for 2 h and immunoblotted with primary </w:t>
      </w:r>
      <w:r w:rsidRPr="009E2BF9">
        <w:rPr>
          <w:rFonts w:ascii="Book Antiqua" w:eastAsia="SimSun" w:hAnsi="Book Antiqua" w:cs="Times New Roman"/>
          <w:bCs/>
          <w:sz w:val="24"/>
          <w:szCs w:val="24"/>
        </w:rPr>
        <w:lastRenderedPageBreak/>
        <w:t>antibodies, including STAT3, p-STAT3, STAT5, p-STAT5, p-JAK2, JAK2, p-Src, Src, GAPDH, Lamin-A, survivin, Cyclin D, Bcl-2, Bax, PPAR, Caspase-3,7,9 (Cell Signaling Technology, U</w:t>
      </w:r>
      <w:r w:rsidR="00FF23C3">
        <w:rPr>
          <w:rFonts w:ascii="Book Antiqua" w:eastAsia="SimSun" w:hAnsi="Book Antiqua" w:cs="Times New Roman" w:hint="eastAsia"/>
          <w:bCs/>
          <w:sz w:val="24"/>
          <w:szCs w:val="24"/>
        </w:rPr>
        <w:t>nited States</w:t>
      </w:r>
      <w:r w:rsidRPr="009E2BF9">
        <w:rPr>
          <w:rFonts w:ascii="Book Antiqua" w:eastAsia="SimSun" w:hAnsi="Book Antiqua" w:cs="Times New Roman"/>
          <w:bCs/>
          <w:sz w:val="24"/>
          <w:szCs w:val="24"/>
        </w:rPr>
        <w:t>, 1:1000), overnight at 4</w:t>
      </w:r>
      <w:r w:rsidR="00A57A4E">
        <w:rPr>
          <w:rFonts w:ascii="Book Antiqua" w:eastAsia="SimSun" w:hAnsi="Book Antiqua" w:cs="Times New Roman" w:hint="eastAsia"/>
          <w:bCs/>
          <w:sz w:val="24"/>
          <w:szCs w:val="24"/>
        </w:rPr>
        <w:t xml:space="preserve"> </w:t>
      </w:r>
      <w:r w:rsidRPr="009E2BF9">
        <w:rPr>
          <w:rFonts w:ascii="SimSun" w:eastAsia="SimSun" w:hAnsi="SimSun" w:cs="SimSun" w:hint="eastAsia"/>
          <w:bCs/>
          <w:sz w:val="24"/>
          <w:szCs w:val="24"/>
        </w:rPr>
        <w:t>℃</w:t>
      </w:r>
      <w:r w:rsidRPr="009E2BF9">
        <w:rPr>
          <w:rFonts w:ascii="Book Antiqua" w:eastAsia="SimSun" w:hAnsi="Book Antiqua" w:cs="Times New Roman"/>
          <w:bCs/>
          <w:sz w:val="24"/>
          <w:szCs w:val="24"/>
        </w:rPr>
        <w:t xml:space="preserve">. After washing with TBST, the membranes were incubated with anti-rabbit (or anti-mouse) immunoglobulin conjugated to horseradish peroxidase secondary antibody (Promega, Madison, WI, </w:t>
      </w:r>
      <w:r w:rsidR="00A57A4E" w:rsidRPr="009E2BF9">
        <w:rPr>
          <w:rFonts w:ascii="Book Antiqua" w:eastAsia="SimSun" w:hAnsi="Book Antiqua" w:cs="Times New Roman"/>
          <w:bCs/>
          <w:sz w:val="24"/>
          <w:szCs w:val="24"/>
        </w:rPr>
        <w:t>U</w:t>
      </w:r>
      <w:r w:rsidR="00A57A4E">
        <w:rPr>
          <w:rFonts w:ascii="Book Antiqua" w:eastAsia="SimSun" w:hAnsi="Book Antiqua" w:cs="Times New Roman" w:hint="eastAsia"/>
          <w:bCs/>
          <w:sz w:val="24"/>
          <w:szCs w:val="24"/>
        </w:rPr>
        <w:t>nited States</w:t>
      </w:r>
      <w:r w:rsidRPr="009E2BF9">
        <w:rPr>
          <w:rFonts w:ascii="Book Antiqua" w:eastAsia="SimSun" w:hAnsi="Book Antiqua" w:cs="Times New Roman"/>
          <w:bCs/>
          <w:sz w:val="24"/>
          <w:szCs w:val="24"/>
        </w:rPr>
        <w:t xml:space="preserve">, 1:500) for 2 h at room temperature, developed using the enhanced ECL Western blotting kit (Millipore, Bedford, MA, </w:t>
      </w:r>
      <w:r w:rsidR="00A57A4E" w:rsidRPr="009E2BF9">
        <w:rPr>
          <w:rFonts w:ascii="Book Antiqua" w:eastAsia="SimSun" w:hAnsi="Book Antiqua" w:cs="Times New Roman"/>
          <w:bCs/>
          <w:sz w:val="24"/>
          <w:szCs w:val="24"/>
        </w:rPr>
        <w:t>U</w:t>
      </w:r>
      <w:r w:rsidR="00A57A4E">
        <w:rPr>
          <w:rFonts w:ascii="Book Antiqua" w:eastAsia="SimSun" w:hAnsi="Book Antiqua" w:cs="Times New Roman" w:hint="eastAsia"/>
          <w:bCs/>
          <w:sz w:val="24"/>
          <w:szCs w:val="24"/>
        </w:rPr>
        <w:t>nited States</w:t>
      </w:r>
      <w:r w:rsidRPr="009E2BF9">
        <w:rPr>
          <w:rFonts w:ascii="Book Antiqua" w:eastAsia="SimSun" w:hAnsi="Book Antiqua" w:cs="Times New Roman"/>
          <w:bCs/>
          <w:sz w:val="24"/>
          <w:szCs w:val="24"/>
        </w:rPr>
        <w:t xml:space="preserve">), and then exposed to Kodak X-ray Film. Protein band intensities were determined densitometrically using the video imaging CMIASWIN system (BioRad, Hercules, CA, </w:t>
      </w:r>
      <w:r w:rsidR="00A57A4E" w:rsidRPr="009E2BF9">
        <w:rPr>
          <w:rFonts w:ascii="Book Antiqua" w:eastAsia="SimSun" w:hAnsi="Book Antiqua" w:cs="Times New Roman"/>
          <w:bCs/>
          <w:sz w:val="24"/>
          <w:szCs w:val="24"/>
        </w:rPr>
        <w:t>U</w:t>
      </w:r>
      <w:r w:rsidR="00A57A4E">
        <w:rPr>
          <w:rFonts w:ascii="Book Antiqua" w:eastAsia="SimSun" w:hAnsi="Book Antiqua" w:cs="Times New Roman" w:hint="eastAsia"/>
          <w:bCs/>
          <w:sz w:val="24"/>
          <w:szCs w:val="24"/>
        </w:rPr>
        <w:t>nited States</w:t>
      </w:r>
      <w:r w:rsidRPr="009E2BF9">
        <w:rPr>
          <w:rFonts w:ascii="Book Antiqua" w:eastAsia="SimSun" w:hAnsi="Book Antiqua" w:cs="Times New Roman"/>
          <w:bCs/>
          <w:sz w:val="24"/>
          <w:szCs w:val="24"/>
        </w:rPr>
        <w:t>).</w:t>
      </w:r>
    </w:p>
    <w:p w:rsidR="00DF581C" w:rsidRPr="009E2BF9" w:rsidRDefault="00DF581C" w:rsidP="001E38EA">
      <w:pPr>
        <w:adjustRightInd w:val="0"/>
        <w:snapToGrid w:val="0"/>
        <w:spacing w:line="360" w:lineRule="auto"/>
        <w:rPr>
          <w:rFonts w:ascii="Book Antiqua" w:eastAsia="SimSun" w:hAnsi="Book Antiqua" w:cs="Times New Roman"/>
          <w:bCs/>
          <w:sz w:val="24"/>
          <w:szCs w:val="24"/>
        </w:rPr>
      </w:pPr>
    </w:p>
    <w:p w:rsidR="00DF581C" w:rsidRPr="00A57A4E" w:rsidRDefault="009E2BF9" w:rsidP="001E38EA">
      <w:pPr>
        <w:adjustRightInd w:val="0"/>
        <w:snapToGrid w:val="0"/>
        <w:spacing w:line="360" w:lineRule="auto"/>
        <w:rPr>
          <w:rFonts w:ascii="Book Antiqua" w:eastAsia="SimSun" w:hAnsi="Book Antiqua" w:cs="Times New Roman"/>
          <w:b/>
          <w:bCs/>
          <w:i/>
          <w:iCs/>
          <w:sz w:val="24"/>
          <w:szCs w:val="24"/>
        </w:rPr>
      </w:pPr>
      <w:r w:rsidRPr="00A57A4E">
        <w:rPr>
          <w:rFonts w:ascii="Book Antiqua" w:eastAsia="SimSun" w:hAnsi="Book Antiqua" w:cs="Times New Roman"/>
          <w:b/>
          <w:bCs/>
          <w:i/>
          <w:iCs/>
          <w:sz w:val="24"/>
          <w:szCs w:val="24"/>
        </w:rPr>
        <w:t>Real-time reverse transcription polymerase chain reaction</w:t>
      </w:r>
    </w:p>
    <w:p w:rsidR="00DF581C" w:rsidRPr="009E2BF9" w:rsidRDefault="009E2BF9" w:rsidP="001E38EA">
      <w:pPr>
        <w:adjustRightInd w:val="0"/>
        <w:snapToGrid w:val="0"/>
        <w:spacing w:line="360" w:lineRule="auto"/>
        <w:rPr>
          <w:rFonts w:ascii="Book Antiqua" w:eastAsia="SimSun" w:hAnsi="Book Antiqua" w:cs="Times New Roman"/>
          <w:bCs/>
          <w:sz w:val="24"/>
          <w:szCs w:val="24"/>
        </w:rPr>
      </w:pPr>
      <w:r w:rsidRPr="009E2BF9">
        <w:rPr>
          <w:rFonts w:ascii="Book Antiqua" w:eastAsia="SimSun" w:hAnsi="Book Antiqua" w:cs="Times New Roman"/>
          <w:bCs/>
          <w:sz w:val="24"/>
          <w:szCs w:val="24"/>
        </w:rPr>
        <w:t>Total RNA and complementary DNA (cDNA) was extracted from the cells for real-time reverse transcription polymerase chain reaction analysis a</w:t>
      </w:r>
      <w:r w:rsidR="00A57A4E">
        <w:rPr>
          <w:rFonts w:ascii="Book Antiqua" w:eastAsia="SimSun" w:hAnsi="Book Antiqua" w:cs="Times New Roman"/>
          <w:bCs/>
          <w:sz w:val="24"/>
          <w:szCs w:val="24"/>
        </w:rPr>
        <w:t>s described previously</w:t>
      </w:r>
      <w:r w:rsidRPr="009E2BF9">
        <w:rPr>
          <w:rFonts w:ascii="Book Antiqua" w:eastAsia="Times New Roman" w:hAnsi="Book Antiqua"/>
          <w:color w:val="080000"/>
          <w:sz w:val="24"/>
          <w:szCs w:val="24"/>
          <w:vertAlign w:val="superscript"/>
        </w:rPr>
        <w:t>[1</w:t>
      </w:r>
      <w:r w:rsidRPr="009E2BF9">
        <w:rPr>
          <w:rFonts w:ascii="Book Antiqua" w:eastAsia="SimSun" w:hAnsi="Book Antiqua"/>
          <w:color w:val="080000"/>
          <w:sz w:val="24"/>
          <w:szCs w:val="24"/>
          <w:vertAlign w:val="superscript"/>
        </w:rPr>
        <w:t>6</w:t>
      </w:r>
      <w:r w:rsidRPr="009E2BF9">
        <w:rPr>
          <w:rFonts w:ascii="Book Antiqua" w:eastAsia="Times New Roman" w:hAnsi="Book Antiqua"/>
          <w:color w:val="080000"/>
          <w:sz w:val="24"/>
          <w:szCs w:val="24"/>
          <w:vertAlign w:val="superscript"/>
        </w:rPr>
        <w:t>]</w:t>
      </w:r>
      <w:r w:rsidRPr="009E2BF9">
        <w:rPr>
          <w:rFonts w:ascii="Book Antiqua" w:eastAsia="SimSun" w:hAnsi="Book Antiqua" w:cs="Times New Roman"/>
          <w:bCs/>
          <w:sz w:val="24"/>
          <w:szCs w:val="24"/>
        </w:rPr>
        <w:t xml:space="preserve">. The cDNA was used as the template in an SYBR Green Real-Time PCR Master Mixes (Invitrogen, Carlsbad, CA). The PCR reaction was performed with an ABI PRISM 7300 PCR and detection system (Applied Biosystems, Carlsbad, CA). The following primers were used: STAT3 sense 5’- GCCCTTTGGAACGAAGGGTA-3’ and STAT3 antisense 5’- TGGTATTGCTGCAGGTCGTT-3’; GAPDH sense, 5’-TTTGGTATCGTGGAAGGAC-3’, and GAPDH anti-sense, 5’- GTGGAGGAGTGGGTGTCGC-3’. The relative levels of STAT3 messenger RNA (mRNA) transcripts were normalized to the control GAPDH. For relative quantification, the expression levels of </w:t>
      </w:r>
      <w:r w:rsidRPr="005C729E">
        <w:rPr>
          <w:rFonts w:ascii="Book Antiqua" w:eastAsia="SimSun" w:hAnsi="Book Antiqua" w:cs="Times New Roman"/>
          <w:bCs/>
          <w:i/>
          <w:sz w:val="24"/>
          <w:szCs w:val="24"/>
        </w:rPr>
        <w:t>STAT3</w:t>
      </w:r>
      <w:r w:rsidRPr="009E2BF9">
        <w:rPr>
          <w:rFonts w:ascii="Book Antiqua" w:eastAsia="SimSun" w:hAnsi="Book Antiqua" w:cs="Times New Roman"/>
          <w:bCs/>
          <w:sz w:val="24"/>
          <w:szCs w:val="24"/>
        </w:rPr>
        <w:t xml:space="preserve"> gene were calculated based on the method of 2</w:t>
      </w:r>
      <w:r w:rsidRPr="009E2BF9">
        <w:rPr>
          <w:rFonts w:ascii="Book Antiqua" w:eastAsia="SimSun" w:hAnsi="Book Antiqua" w:cs="Times New Roman"/>
          <w:bCs/>
          <w:sz w:val="24"/>
          <w:szCs w:val="24"/>
          <w:vertAlign w:val="superscript"/>
        </w:rPr>
        <w:t>-ΔΔCt</w:t>
      </w:r>
      <w:r w:rsidRPr="009E2BF9">
        <w:rPr>
          <w:rFonts w:ascii="Book Antiqua" w:eastAsia="Times New Roman" w:hAnsi="Book Antiqua"/>
          <w:color w:val="080000"/>
          <w:sz w:val="24"/>
          <w:szCs w:val="24"/>
          <w:vertAlign w:val="superscript"/>
        </w:rPr>
        <w:t>[1</w:t>
      </w:r>
      <w:r w:rsidRPr="009E2BF9">
        <w:rPr>
          <w:rFonts w:ascii="Book Antiqua" w:eastAsia="SimSun" w:hAnsi="Book Antiqua"/>
          <w:color w:val="080000"/>
          <w:sz w:val="24"/>
          <w:szCs w:val="24"/>
          <w:vertAlign w:val="superscript"/>
        </w:rPr>
        <w:t>7</w:t>
      </w:r>
      <w:r w:rsidRPr="009E2BF9">
        <w:rPr>
          <w:rFonts w:ascii="Book Antiqua" w:eastAsia="Times New Roman" w:hAnsi="Book Antiqua"/>
          <w:color w:val="080000"/>
          <w:sz w:val="24"/>
          <w:szCs w:val="24"/>
          <w:vertAlign w:val="superscript"/>
        </w:rPr>
        <w:t>]</w:t>
      </w:r>
      <w:r w:rsidRPr="009E2BF9">
        <w:rPr>
          <w:rFonts w:ascii="Book Antiqua" w:eastAsia="SimSun" w:hAnsi="Book Antiqua" w:cs="Times New Roman"/>
          <w:bCs/>
          <w:sz w:val="24"/>
          <w:szCs w:val="24"/>
        </w:rPr>
        <w:t>.</w:t>
      </w:r>
    </w:p>
    <w:p w:rsidR="00DF581C" w:rsidRPr="009E2BF9" w:rsidRDefault="00DF581C" w:rsidP="001E38EA">
      <w:pPr>
        <w:adjustRightInd w:val="0"/>
        <w:snapToGrid w:val="0"/>
        <w:spacing w:line="360" w:lineRule="auto"/>
        <w:rPr>
          <w:rFonts w:ascii="Book Antiqua" w:eastAsia="SimSun" w:hAnsi="Book Antiqua" w:cs="Times New Roman"/>
          <w:bCs/>
          <w:sz w:val="24"/>
          <w:szCs w:val="24"/>
        </w:rPr>
      </w:pPr>
    </w:p>
    <w:p w:rsidR="00DF581C" w:rsidRPr="00A57A4E" w:rsidRDefault="009E2BF9" w:rsidP="001E38EA">
      <w:pPr>
        <w:adjustRightInd w:val="0"/>
        <w:snapToGrid w:val="0"/>
        <w:spacing w:line="360" w:lineRule="auto"/>
        <w:rPr>
          <w:rFonts w:ascii="Book Antiqua" w:eastAsia="SimSun" w:hAnsi="Book Antiqua" w:cs="Times New Roman"/>
          <w:b/>
          <w:bCs/>
          <w:i/>
          <w:iCs/>
          <w:sz w:val="24"/>
          <w:szCs w:val="24"/>
        </w:rPr>
      </w:pPr>
      <w:r w:rsidRPr="00A57A4E">
        <w:rPr>
          <w:rFonts w:ascii="Book Antiqua" w:eastAsia="SimSun" w:hAnsi="Book Antiqua" w:cs="Times New Roman"/>
          <w:b/>
          <w:bCs/>
          <w:i/>
          <w:iCs/>
          <w:sz w:val="24"/>
          <w:szCs w:val="24"/>
        </w:rPr>
        <w:t>STAT3-Luciferase reporter gene assay</w:t>
      </w:r>
    </w:p>
    <w:p w:rsidR="00DF581C" w:rsidRPr="009E2BF9" w:rsidRDefault="009E2BF9" w:rsidP="001E38EA">
      <w:pPr>
        <w:adjustRightInd w:val="0"/>
        <w:snapToGrid w:val="0"/>
        <w:spacing w:line="360" w:lineRule="auto"/>
        <w:rPr>
          <w:rFonts w:ascii="Book Antiqua" w:eastAsia="SimSun" w:hAnsi="Book Antiqua" w:cs="Times New Roman"/>
          <w:bCs/>
          <w:sz w:val="24"/>
          <w:szCs w:val="24"/>
        </w:rPr>
      </w:pPr>
      <w:r w:rsidRPr="009E2BF9">
        <w:rPr>
          <w:rFonts w:ascii="Book Antiqua" w:eastAsia="SimSun" w:hAnsi="Book Antiqua" w:cs="Times New Roman"/>
          <w:bCs/>
          <w:sz w:val="24"/>
          <w:szCs w:val="24"/>
        </w:rPr>
        <w:t>Cells were seeded into 12-well plates at a density of 5</w:t>
      </w:r>
      <w:r w:rsidR="00A57A4E">
        <w:rPr>
          <w:rFonts w:ascii="Book Antiqua" w:eastAsia="SimSun" w:hAnsi="Book Antiqua" w:cs="Times New Roman" w:hint="eastAsia"/>
          <w:bCs/>
          <w:sz w:val="24"/>
          <w:szCs w:val="24"/>
        </w:rPr>
        <w:t xml:space="preserve"> </w:t>
      </w:r>
      <w:r w:rsidRPr="009E2BF9">
        <w:rPr>
          <w:rFonts w:ascii="Book Antiqua" w:eastAsia="SimSun" w:hAnsi="Book Antiqua" w:cs="Times New Roman"/>
          <w:bCs/>
          <w:sz w:val="24"/>
          <w:szCs w:val="24"/>
        </w:rPr>
        <w:t>×</w:t>
      </w:r>
      <w:r w:rsidR="00A57A4E">
        <w:rPr>
          <w:rFonts w:ascii="Book Antiqua" w:eastAsia="SimSun" w:hAnsi="Book Antiqua" w:cs="Times New Roman" w:hint="eastAsia"/>
          <w:bCs/>
          <w:sz w:val="24"/>
          <w:szCs w:val="24"/>
        </w:rPr>
        <w:t xml:space="preserve"> </w:t>
      </w:r>
      <w:r w:rsidRPr="009E2BF9">
        <w:rPr>
          <w:rFonts w:ascii="Book Antiqua" w:eastAsia="SimSun" w:hAnsi="Book Antiqua" w:cs="Times New Roman"/>
          <w:bCs/>
          <w:sz w:val="24"/>
          <w:szCs w:val="24"/>
        </w:rPr>
        <w:t>10</w:t>
      </w:r>
      <w:r w:rsidRPr="009E2BF9">
        <w:rPr>
          <w:rFonts w:ascii="Book Antiqua" w:eastAsia="SimSun" w:hAnsi="Book Antiqua" w:cs="Times New Roman"/>
          <w:bCs/>
          <w:sz w:val="24"/>
          <w:szCs w:val="24"/>
          <w:vertAlign w:val="superscript"/>
        </w:rPr>
        <w:t>4</w:t>
      </w:r>
      <w:r w:rsidRPr="009E2BF9">
        <w:rPr>
          <w:rFonts w:ascii="Book Antiqua" w:eastAsia="SimSun" w:hAnsi="Book Antiqua" w:cs="Times New Roman"/>
          <w:bCs/>
          <w:sz w:val="24"/>
          <w:szCs w:val="24"/>
        </w:rPr>
        <w:t xml:space="preserve"> cells/well prior to transfection. Cells were transfected with p-STAT3-TA-luc (Clontech, Palo Alto, CA, </w:t>
      </w:r>
      <w:r w:rsidR="00A57A4E" w:rsidRPr="009E2BF9">
        <w:rPr>
          <w:rFonts w:ascii="Book Antiqua" w:eastAsia="SimSun" w:hAnsi="Book Antiqua" w:cs="Times New Roman"/>
          <w:bCs/>
          <w:sz w:val="24"/>
          <w:szCs w:val="24"/>
        </w:rPr>
        <w:t>U</w:t>
      </w:r>
      <w:r w:rsidR="00A57A4E">
        <w:rPr>
          <w:rFonts w:ascii="Book Antiqua" w:eastAsia="SimSun" w:hAnsi="Book Antiqua" w:cs="Times New Roman" w:hint="eastAsia"/>
          <w:bCs/>
          <w:sz w:val="24"/>
          <w:szCs w:val="24"/>
        </w:rPr>
        <w:t>nited States</w:t>
      </w:r>
      <w:r w:rsidRPr="009E2BF9">
        <w:rPr>
          <w:rFonts w:ascii="Book Antiqua" w:eastAsia="SimSun" w:hAnsi="Book Antiqua" w:cs="Times New Roman"/>
          <w:bCs/>
          <w:sz w:val="24"/>
          <w:szCs w:val="24"/>
        </w:rPr>
        <w:t>) or control vector using Genefectin trans</w:t>
      </w:r>
      <w:r w:rsidRPr="009E2BF9">
        <w:rPr>
          <w:rFonts w:ascii="Book Antiqua" w:eastAsia="SimSun" w:hAnsi="Book Antiqua" w:cs="Times New Roman"/>
          <w:bCs/>
          <w:sz w:val="24"/>
          <w:szCs w:val="24"/>
        </w:rPr>
        <w:softHyphen/>
        <w:t xml:space="preserve">fection reagent (Genetrone Biotech, Seoul, </w:t>
      </w:r>
      <w:r w:rsidR="00A57A4E">
        <w:rPr>
          <w:rFonts w:ascii="Book Antiqua" w:eastAsia="SimSun" w:hAnsi="Book Antiqua" w:cs="Times New Roman" w:hint="eastAsia"/>
          <w:bCs/>
          <w:sz w:val="24"/>
          <w:szCs w:val="24"/>
        </w:rPr>
        <w:t xml:space="preserve">South </w:t>
      </w:r>
      <w:r w:rsidRPr="009E2BF9">
        <w:rPr>
          <w:rFonts w:ascii="Book Antiqua" w:eastAsia="SimSun" w:hAnsi="Book Antiqua" w:cs="Times New Roman"/>
          <w:bCs/>
          <w:sz w:val="24"/>
          <w:szCs w:val="24"/>
        </w:rPr>
        <w:t xml:space="preserve">Korea). After 24 h of transfection, cells were </w:t>
      </w:r>
      <w:r w:rsidRPr="009E2BF9">
        <w:rPr>
          <w:rFonts w:ascii="Book Antiqua" w:eastAsia="SimSun" w:hAnsi="Book Antiqua" w:cs="Times New Roman"/>
          <w:bCs/>
          <w:sz w:val="24"/>
          <w:szCs w:val="24"/>
        </w:rPr>
        <w:lastRenderedPageBreak/>
        <w:t>treated with TQ for an additional 24 h and cell lysis was carried out with 1X reporter lysis buffer. After mixing the cell lysates with luciferase substrate (Promega), the luciferase acti</w:t>
      </w:r>
      <w:r w:rsidR="00FE67BF">
        <w:rPr>
          <w:rFonts w:ascii="Book Antiqua" w:eastAsia="SimSun" w:hAnsi="Book Antiqua" w:cs="Times New Roman"/>
          <w:bCs/>
          <w:sz w:val="24"/>
          <w:szCs w:val="24"/>
        </w:rPr>
        <w:t>vity was measured by using lumi</w:t>
      </w:r>
      <w:r w:rsidRPr="009E2BF9">
        <w:rPr>
          <w:rFonts w:ascii="Book Antiqua" w:eastAsia="SimSun" w:hAnsi="Book Antiqua" w:cs="Times New Roman"/>
          <w:bCs/>
          <w:sz w:val="24"/>
          <w:szCs w:val="24"/>
        </w:rPr>
        <w:t>nometer (Tecan Trading AG). The β-galactosidase assay was carried out according to the supplier's instructions (Promega Enzyme Assay System) for normalizing the luciferase activity and the results were expressed as fold transactivation.</w:t>
      </w:r>
    </w:p>
    <w:p w:rsidR="00DF581C" w:rsidRPr="009E2BF9" w:rsidRDefault="00DF581C" w:rsidP="001E38EA">
      <w:pPr>
        <w:adjustRightInd w:val="0"/>
        <w:snapToGrid w:val="0"/>
        <w:spacing w:line="360" w:lineRule="auto"/>
        <w:rPr>
          <w:rFonts w:ascii="Book Antiqua" w:eastAsia="SimSun" w:hAnsi="Book Antiqua" w:cs="Times New Roman"/>
          <w:bCs/>
          <w:sz w:val="24"/>
          <w:szCs w:val="24"/>
        </w:rPr>
      </w:pPr>
    </w:p>
    <w:p w:rsidR="00DF581C" w:rsidRPr="00D32934" w:rsidRDefault="009E2BF9" w:rsidP="001E38EA">
      <w:pPr>
        <w:adjustRightInd w:val="0"/>
        <w:snapToGrid w:val="0"/>
        <w:spacing w:line="360" w:lineRule="auto"/>
        <w:rPr>
          <w:rFonts w:ascii="Book Antiqua" w:eastAsia="SimSun" w:hAnsi="Book Antiqua" w:cs="Times New Roman"/>
          <w:b/>
          <w:bCs/>
          <w:i/>
          <w:sz w:val="24"/>
          <w:szCs w:val="24"/>
        </w:rPr>
      </w:pPr>
      <w:r w:rsidRPr="00D32934">
        <w:rPr>
          <w:rFonts w:ascii="Book Antiqua" w:eastAsia="SimSun" w:hAnsi="Book Antiqua" w:cs="Times New Roman"/>
          <w:b/>
          <w:bCs/>
          <w:i/>
          <w:sz w:val="24"/>
          <w:szCs w:val="24"/>
        </w:rPr>
        <w:t>Cell proliferation assay</w:t>
      </w:r>
    </w:p>
    <w:p w:rsidR="00DF581C" w:rsidRPr="009E2BF9" w:rsidRDefault="009E2BF9" w:rsidP="001E38EA">
      <w:pPr>
        <w:adjustRightInd w:val="0"/>
        <w:snapToGrid w:val="0"/>
        <w:spacing w:line="360" w:lineRule="auto"/>
        <w:rPr>
          <w:rFonts w:ascii="Book Antiqua" w:eastAsia="SimSun" w:hAnsi="Book Antiqua" w:cs="Times New Roman"/>
          <w:bCs/>
          <w:color w:val="FF0000"/>
          <w:sz w:val="24"/>
          <w:szCs w:val="24"/>
        </w:rPr>
      </w:pPr>
      <w:r w:rsidRPr="009E2BF9">
        <w:rPr>
          <w:rFonts w:ascii="Book Antiqua" w:eastAsia="SimSun" w:hAnsi="Book Antiqua" w:cs="Times New Roman"/>
          <w:bCs/>
          <w:sz w:val="24"/>
          <w:szCs w:val="24"/>
        </w:rPr>
        <w:t xml:space="preserve">Cell proliferation was assessed with MTT (3-(4,5-dimethylthiazolyl-2)-2,5 -diphenyltetrazolium bromide) (Sigma, St. Louis, MO, </w:t>
      </w:r>
      <w:r w:rsidR="00D32934" w:rsidRPr="009E2BF9">
        <w:rPr>
          <w:rFonts w:ascii="Book Antiqua" w:eastAsia="SimSun" w:hAnsi="Book Antiqua" w:cs="Times New Roman"/>
          <w:bCs/>
          <w:sz w:val="24"/>
          <w:szCs w:val="24"/>
        </w:rPr>
        <w:t>U</w:t>
      </w:r>
      <w:r w:rsidR="00D32934">
        <w:rPr>
          <w:rFonts w:ascii="Book Antiqua" w:eastAsia="SimSun" w:hAnsi="Book Antiqua" w:cs="Times New Roman" w:hint="eastAsia"/>
          <w:bCs/>
          <w:sz w:val="24"/>
          <w:szCs w:val="24"/>
        </w:rPr>
        <w:t>nited States</w:t>
      </w:r>
      <w:r w:rsidRPr="009E2BF9">
        <w:rPr>
          <w:rFonts w:ascii="Book Antiqua" w:eastAsia="SimSun" w:hAnsi="Book Antiqua" w:cs="Times New Roman"/>
          <w:bCs/>
          <w:sz w:val="24"/>
          <w:szCs w:val="24"/>
        </w:rPr>
        <w:t>) colorimetric method: The gastric cancer cells were cultured in a 96-well plate in the presence of 0, 25, 50, 75, 100 μ</w:t>
      </w:r>
      <w:r w:rsidR="00D32934">
        <w:rPr>
          <w:rFonts w:ascii="Book Antiqua" w:eastAsia="SimSun" w:hAnsi="Book Antiqua" w:cs="Times New Roman" w:hint="eastAsia"/>
          <w:bCs/>
          <w:sz w:val="24"/>
          <w:szCs w:val="24"/>
        </w:rPr>
        <w:t>mol/L</w:t>
      </w:r>
      <w:r w:rsidRPr="009E2BF9">
        <w:rPr>
          <w:rFonts w:ascii="Book Antiqua" w:eastAsia="SimSun" w:hAnsi="Book Antiqua" w:cs="Times New Roman"/>
          <w:bCs/>
          <w:sz w:val="24"/>
          <w:szCs w:val="24"/>
        </w:rPr>
        <w:t xml:space="preserve"> TQ for 12, 24 or 36</w:t>
      </w:r>
      <w:r w:rsidR="00D32934">
        <w:rPr>
          <w:rFonts w:ascii="Book Antiqua" w:eastAsia="SimSun" w:hAnsi="Book Antiqua" w:cs="Times New Roman" w:hint="eastAsia"/>
          <w:bCs/>
          <w:sz w:val="24"/>
          <w:szCs w:val="24"/>
        </w:rPr>
        <w:t xml:space="preserve"> </w:t>
      </w:r>
      <w:r w:rsidRPr="009E2BF9">
        <w:rPr>
          <w:rFonts w:ascii="Book Antiqua" w:eastAsia="SimSun" w:hAnsi="Book Antiqua" w:cs="Times New Roman"/>
          <w:bCs/>
          <w:sz w:val="24"/>
          <w:szCs w:val="24"/>
        </w:rPr>
        <w:t>h. 20 μ</w:t>
      </w:r>
      <w:r w:rsidRPr="00D32934">
        <w:rPr>
          <w:rFonts w:ascii="Book Antiqua" w:eastAsia="SimSun" w:hAnsi="Book Antiqua" w:cs="Times New Roman"/>
          <w:bCs/>
          <w:caps/>
          <w:sz w:val="24"/>
          <w:szCs w:val="24"/>
        </w:rPr>
        <w:t>l</w:t>
      </w:r>
      <w:r w:rsidRPr="009E2BF9">
        <w:rPr>
          <w:rFonts w:ascii="Book Antiqua" w:eastAsia="SimSun" w:hAnsi="Book Antiqua" w:cs="Times New Roman"/>
          <w:bCs/>
          <w:sz w:val="24"/>
          <w:szCs w:val="24"/>
        </w:rPr>
        <w:t xml:space="preserve"> MTT reagent was added into each well and incubated for 4 h at 37</w:t>
      </w:r>
      <w:r w:rsidR="005C729E">
        <w:rPr>
          <w:rFonts w:ascii="Book Antiqua" w:eastAsia="SimSun" w:hAnsi="Book Antiqua" w:cs="Times New Roman" w:hint="eastAsia"/>
          <w:bCs/>
          <w:sz w:val="24"/>
          <w:szCs w:val="24"/>
        </w:rPr>
        <w:t xml:space="preserve"> </w:t>
      </w:r>
      <w:r w:rsidRPr="009E2BF9">
        <w:rPr>
          <w:rFonts w:ascii="SimSun" w:eastAsia="SimSun" w:hAnsi="SimSun" w:cs="SimSun" w:hint="eastAsia"/>
          <w:bCs/>
          <w:sz w:val="24"/>
          <w:szCs w:val="24"/>
        </w:rPr>
        <w:t>℃</w:t>
      </w:r>
      <w:r w:rsidRPr="009E2BF9">
        <w:rPr>
          <w:rFonts w:ascii="Book Antiqua" w:eastAsia="SimSun" w:hAnsi="Book Antiqua" w:cs="Times New Roman"/>
          <w:bCs/>
          <w:sz w:val="24"/>
          <w:szCs w:val="24"/>
        </w:rPr>
        <w:t>. After the purple precipitate was visible, the cells were added with 150</w:t>
      </w:r>
      <w:bookmarkStart w:id="146" w:name="OLE_LINK11"/>
      <w:bookmarkStart w:id="147" w:name="OLE_LINK12"/>
      <w:r w:rsidRPr="009E2BF9">
        <w:rPr>
          <w:rFonts w:ascii="Book Antiqua" w:eastAsia="SimSun" w:hAnsi="Book Antiqua" w:cs="Times New Roman"/>
          <w:bCs/>
          <w:sz w:val="24"/>
          <w:szCs w:val="24"/>
        </w:rPr>
        <w:t xml:space="preserve"> μ</w:t>
      </w:r>
      <w:r w:rsidRPr="00D32934">
        <w:rPr>
          <w:rFonts w:ascii="Book Antiqua" w:eastAsia="SimSun" w:hAnsi="Book Antiqua" w:cs="Times New Roman"/>
          <w:bCs/>
          <w:caps/>
          <w:sz w:val="24"/>
          <w:szCs w:val="24"/>
        </w:rPr>
        <w:t>l</w:t>
      </w:r>
      <w:bookmarkEnd w:id="146"/>
      <w:bookmarkEnd w:id="147"/>
      <w:r w:rsidRPr="009E2BF9">
        <w:rPr>
          <w:rFonts w:ascii="Book Antiqua" w:eastAsia="SimSun" w:hAnsi="Book Antiqua" w:cs="Times New Roman"/>
          <w:bCs/>
          <w:sz w:val="24"/>
          <w:szCs w:val="24"/>
        </w:rPr>
        <w:t xml:space="preserve"> DMSO and incubated at room temperature in the dark for 2 h. The absorbance was recorded at 490 nm. For each experiment, the total procedure was repeated three times.</w:t>
      </w:r>
    </w:p>
    <w:p w:rsidR="00DF581C" w:rsidRPr="009E2BF9" w:rsidRDefault="00DF581C" w:rsidP="001E38EA">
      <w:pPr>
        <w:adjustRightInd w:val="0"/>
        <w:snapToGrid w:val="0"/>
        <w:spacing w:line="360" w:lineRule="auto"/>
        <w:rPr>
          <w:rFonts w:ascii="Book Antiqua" w:eastAsia="SimSun" w:hAnsi="Book Antiqua" w:cs="Times New Roman"/>
          <w:bCs/>
          <w:sz w:val="24"/>
          <w:szCs w:val="24"/>
        </w:rPr>
      </w:pPr>
    </w:p>
    <w:p w:rsidR="00DF581C" w:rsidRPr="00D32934" w:rsidRDefault="009E2BF9" w:rsidP="001E38EA">
      <w:pPr>
        <w:adjustRightInd w:val="0"/>
        <w:snapToGrid w:val="0"/>
        <w:spacing w:line="360" w:lineRule="auto"/>
        <w:rPr>
          <w:rFonts w:ascii="Book Antiqua" w:eastAsia="SimSun" w:hAnsi="Book Antiqua" w:cs="Times New Roman"/>
          <w:b/>
          <w:bCs/>
          <w:i/>
          <w:sz w:val="24"/>
          <w:szCs w:val="24"/>
        </w:rPr>
      </w:pPr>
      <w:r w:rsidRPr="00D32934">
        <w:rPr>
          <w:rFonts w:ascii="Book Antiqua" w:eastAsia="SimSun" w:hAnsi="Book Antiqua" w:cs="Times New Roman"/>
          <w:b/>
          <w:bCs/>
          <w:i/>
          <w:sz w:val="24"/>
          <w:szCs w:val="24"/>
        </w:rPr>
        <w:t>Hoechst 33258 staining for apoptotic cells</w:t>
      </w:r>
    </w:p>
    <w:p w:rsidR="00DF581C" w:rsidRPr="009E2BF9" w:rsidRDefault="009E2BF9" w:rsidP="001E38EA">
      <w:pPr>
        <w:adjustRightInd w:val="0"/>
        <w:snapToGrid w:val="0"/>
        <w:spacing w:line="360" w:lineRule="auto"/>
        <w:rPr>
          <w:rFonts w:ascii="Book Antiqua" w:eastAsia="SimSun" w:hAnsi="Book Antiqua" w:cs="Times New Roman"/>
          <w:bCs/>
          <w:sz w:val="24"/>
          <w:szCs w:val="24"/>
        </w:rPr>
      </w:pPr>
      <w:r w:rsidRPr="009E2BF9">
        <w:rPr>
          <w:rFonts w:ascii="Book Antiqua" w:eastAsia="SimSun" w:hAnsi="Book Antiqua" w:cs="Times New Roman"/>
          <w:bCs/>
          <w:sz w:val="24"/>
          <w:szCs w:val="24"/>
        </w:rPr>
        <w:t>Gastric cancer cells in exponential growth were placed at a final concentration of 5</w:t>
      </w:r>
      <w:r w:rsidR="00D32934">
        <w:rPr>
          <w:rFonts w:ascii="Book Antiqua" w:eastAsia="SimSun" w:hAnsi="Book Antiqua" w:cs="Times New Roman" w:hint="eastAsia"/>
          <w:bCs/>
          <w:sz w:val="24"/>
          <w:szCs w:val="24"/>
        </w:rPr>
        <w:t xml:space="preserve"> </w:t>
      </w:r>
      <w:r w:rsidRPr="009E2BF9">
        <w:rPr>
          <w:rFonts w:ascii="Book Antiqua" w:eastAsia="SimSun" w:hAnsi="Book Antiqua" w:cs="Times New Roman"/>
          <w:bCs/>
          <w:sz w:val="24"/>
          <w:szCs w:val="24"/>
        </w:rPr>
        <w:t>×</w:t>
      </w:r>
      <w:r w:rsidR="00D32934">
        <w:rPr>
          <w:rFonts w:ascii="Book Antiqua" w:eastAsia="SimSun" w:hAnsi="Book Antiqua" w:cs="Times New Roman" w:hint="eastAsia"/>
          <w:bCs/>
          <w:sz w:val="24"/>
          <w:szCs w:val="24"/>
        </w:rPr>
        <w:t xml:space="preserve"> </w:t>
      </w:r>
      <w:r w:rsidRPr="009E2BF9">
        <w:rPr>
          <w:rFonts w:ascii="Book Antiqua" w:eastAsia="SimSun" w:hAnsi="Book Antiqua" w:cs="Times New Roman"/>
          <w:bCs/>
          <w:sz w:val="24"/>
          <w:szCs w:val="24"/>
        </w:rPr>
        <w:t>10</w:t>
      </w:r>
      <w:r w:rsidRPr="009E2BF9">
        <w:rPr>
          <w:rFonts w:ascii="Book Antiqua" w:eastAsia="SimSun" w:hAnsi="Book Antiqua" w:cs="Times New Roman"/>
          <w:bCs/>
          <w:sz w:val="24"/>
          <w:szCs w:val="24"/>
          <w:vertAlign w:val="superscript"/>
        </w:rPr>
        <w:t>5</w:t>
      </w:r>
      <w:r w:rsidRPr="009E2BF9">
        <w:rPr>
          <w:rFonts w:ascii="Book Antiqua" w:eastAsia="SimSun" w:hAnsi="Book Antiqua" w:cs="Times New Roman"/>
          <w:bCs/>
          <w:sz w:val="24"/>
          <w:szCs w:val="24"/>
        </w:rPr>
        <w:t xml:space="preserve"> cells per well in a six-well plate, which was pretreated with 25 μ</w:t>
      </w:r>
      <w:r w:rsidR="00D32934">
        <w:rPr>
          <w:rFonts w:ascii="Book Antiqua" w:eastAsia="SimSun" w:hAnsi="Book Antiqua" w:cs="Times New Roman" w:hint="eastAsia"/>
          <w:bCs/>
          <w:sz w:val="24"/>
          <w:szCs w:val="24"/>
        </w:rPr>
        <w:t>mol/L</w:t>
      </w:r>
      <w:r w:rsidRPr="009E2BF9">
        <w:rPr>
          <w:rFonts w:ascii="Book Antiqua" w:eastAsia="SimSun" w:hAnsi="Book Antiqua" w:cs="Times New Roman"/>
          <w:bCs/>
          <w:sz w:val="24"/>
          <w:szCs w:val="24"/>
        </w:rPr>
        <w:t>, 50 μ</w:t>
      </w:r>
      <w:r w:rsidR="00D32934">
        <w:rPr>
          <w:rFonts w:ascii="Book Antiqua" w:eastAsia="SimSun" w:hAnsi="Book Antiqua" w:cs="Times New Roman" w:hint="eastAsia"/>
          <w:bCs/>
          <w:sz w:val="24"/>
          <w:szCs w:val="24"/>
        </w:rPr>
        <w:t>mol/L</w:t>
      </w:r>
      <w:r w:rsidRPr="009E2BF9">
        <w:rPr>
          <w:rFonts w:ascii="Book Antiqua" w:eastAsia="SimSun" w:hAnsi="Book Antiqua" w:cs="Times New Roman"/>
          <w:bCs/>
          <w:sz w:val="24"/>
          <w:szCs w:val="24"/>
        </w:rPr>
        <w:t>, 75 μ</w:t>
      </w:r>
      <w:r w:rsidR="00D32934">
        <w:rPr>
          <w:rFonts w:ascii="Book Antiqua" w:eastAsia="SimSun" w:hAnsi="Book Antiqua" w:cs="Times New Roman" w:hint="eastAsia"/>
          <w:bCs/>
          <w:sz w:val="24"/>
          <w:szCs w:val="24"/>
        </w:rPr>
        <w:t>mol/L</w:t>
      </w:r>
      <w:r w:rsidRPr="009E2BF9">
        <w:rPr>
          <w:rFonts w:ascii="Book Antiqua" w:eastAsia="SimSun" w:hAnsi="Book Antiqua" w:cs="Times New Roman"/>
          <w:bCs/>
          <w:sz w:val="24"/>
          <w:szCs w:val="24"/>
        </w:rPr>
        <w:t xml:space="preserve"> TQ for 24 h. The cells were subsequently fixed, washed three times with PBS, and stained with Hoechst 33258 (Sigma-Aldrich, St. Louis, MO, </w:t>
      </w:r>
      <w:r w:rsidR="00D32934" w:rsidRPr="009E2BF9">
        <w:rPr>
          <w:rFonts w:ascii="Book Antiqua" w:eastAsia="SimSun" w:hAnsi="Book Antiqua" w:cs="Times New Roman"/>
          <w:bCs/>
          <w:sz w:val="24"/>
          <w:szCs w:val="24"/>
        </w:rPr>
        <w:t>U</w:t>
      </w:r>
      <w:r w:rsidR="00D32934">
        <w:rPr>
          <w:rFonts w:ascii="Book Antiqua" w:eastAsia="SimSun" w:hAnsi="Book Antiqua" w:cs="Times New Roman" w:hint="eastAsia"/>
          <w:bCs/>
          <w:sz w:val="24"/>
          <w:szCs w:val="24"/>
        </w:rPr>
        <w:t>nited States</w:t>
      </w:r>
      <w:r w:rsidRPr="009E2BF9">
        <w:rPr>
          <w:rFonts w:ascii="Book Antiqua" w:eastAsia="SimSun" w:hAnsi="Book Antiqua" w:cs="Times New Roman"/>
          <w:bCs/>
          <w:sz w:val="24"/>
          <w:szCs w:val="24"/>
        </w:rPr>
        <w:t>) according to the manufacturer’s protocol. Apoptotic features were assessed by analyzing chromatin condensation and by staining the fragments under an inverted fluorescent microscope (Olympus).</w:t>
      </w:r>
    </w:p>
    <w:p w:rsidR="00DF581C" w:rsidRPr="009E2BF9" w:rsidRDefault="00DF581C" w:rsidP="001E38EA">
      <w:pPr>
        <w:adjustRightInd w:val="0"/>
        <w:snapToGrid w:val="0"/>
        <w:spacing w:line="360" w:lineRule="auto"/>
        <w:rPr>
          <w:rFonts w:ascii="Book Antiqua" w:eastAsia="SimSun" w:hAnsi="Book Antiqua" w:cs="Times New Roman"/>
          <w:bCs/>
          <w:sz w:val="24"/>
          <w:szCs w:val="24"/>
        </w:rPr>
      </w:pPr>
    </w:p>
    <w:p w:rsidR="00DF581C" w:rsidRPr="00D32934" w:rsidRDefault="009E2BF9" w:rsidP="001E38EA">
      <w:pPr>
        <w:adjustRightInd w:val="0"/>
        <w:snapToGrid w:val="0"/>
        <w:spacing w:line="360" w:lineRule="auto"/>
        <w:rPr>
          <w:rFonts w:ascii="Book Antiqua" w:eastAsia="SimSun" w:hAnsi="Book Antiqua" w:cs="Times New Roman"/>
          <w:b/>
          <w:bCs/>
          <w:i/>
          <w:sz w:val="24"/>
          <w:szCs w:val="24"/>
        </w:rPr>
      </w:pPr>
      <w:r w:rsidRPr="00D32934">
        <w:rPr>
          <w:rFonts w:ascii="Book Antiqua" w:eastAsia="SimSun" w:hAnsi="Book Antiqua" w:cs="Times New Roman"/>
          <w:b/>
          <w:bCs/>
          <w:i/>
          <w:sz w:val="24"/>
          <w:szCs w:val="24"/>
        </w:rPr>
        <w:t>Annexin V staining for apoptosis</w:t>
      </w:r>
    </w:p>
    <w:p w:rsidR="00DF581C" w:rsidRPr="009E2BF9" w:rsidRDefault="009E2BF9" w:rsidP="001E38EA">
      <w:pPr>
        <w:adjustRightInd w:val="0"/>
        <w:snapToGrid w:val="0"/>
        <w:spacing w:line="360" w:lineRule="auto"/>
        <w:rPr>
          <w:rFonts w:ascii="Book Antiqua" w:eastAsia="SimSun" w:hAnsi="Book Antiqua" w:cs="Times New Roman"/>
          <w:bCs/>
          <w:sz w:val="24"/>
          <w:szCs w:val="24"/>
        </w:rPr>
      </w:pPr>
      <w:r w:rsidRPr="009E2BF9">
        <w:rPr>
          <w:rFonts w:ascii="Book Antiqua" w:eastAsia="SimSun" w:hAnsi="Book Antiqua" w:cs="Times New Roman"/>
          <w:bCs/>
          <w:sz w:val="24"/>
          <w:szCs w:val="24"/>
        </w:rPr>
        <w:t>Gastric cancer cells were cultured in the six-well plates at 1</w:t>
      </w:r>
      <w:r w:rsidR="00D32934">
        <w:rPr>
          <w:rFonts w:ascii="Book Antiqua" w:eastAsia="SimSun" w:hAnsi="Book Antiqua" w:cs="Times New Roman" w:hint="eastAsia"/>
          <w:bCs/>
          <w:sz w:val="24"/>
          <w:szCs w:val="24"/>
        </w:rPr>
        <w:t xml:space="preserve"> </w:t>
      </w:r>
      <w:r w:rsidRPr="009E2BF9">
        <w:rPr>
          <w:rFonts w:ascii="Book Antiqua" w:eastAsia="SimSun" w:hAnsi="Book Antiqua" w:cs="Times New Roman"/>
          <w:bCs/>
          <w:sz w:val="24"/>
          <w:szCs w:val="24"/>
        </w:rPr>
        <w:t>×</w:t>
      </w:r>
      <w:r w:rsidR="00D32934">
        <w:rPr>
          <w:rFonts w:ascii="Book Antiqua" w:eastAsia="SimSun" w:hAnsi="Book Antiqua" w:cs="Times New Roman" w:hint="eastAsia"/>
          <w:bCs/>
          <w:sz w:val="24"/>
          <w:szCs w:val="24"/>
        </w:rPr>
        <w:t xml:space="preserve"> </w:t>
      </w:r>
      <w:r w:rsidRPr="009E2BF9">
        <w:rPr>
          <w:rFonts w:ascii="Book Antiqua" w:eastAsia="SimSun" w:hAnsi="Book Antiqua" w:cs="Times New Roman"/>
          <w:bCs/>
          <w:sz w:val="24"/>
          <w:szCs w:val="24"/>
        </w:rPr>
        <w:t>10</w:t>
      </w:r>
      <w:r w:rsidRPr="009E2BF9">
        <w:rPr>
          <w:rFonts w:ascii="Book Antiqua" w:eastAsia="SimSun" w:hAnsi="Book Antiqua" w:cs="Times New Roman"/>
          <w:bCs/>
          <w:sz w:val="24"/>
          <w:szCs w:val="24"/>
          <w:vertAlign w:val="superscript"/>
        </w:rPr>
        <w:t>6</w:t>
      </w:r>
      <w:r w:rsidRPr="009E2BF9">
        <w:rPr>
          <w:rFonts w:ascii="Book Antiqua" w:eastAsia="SimSun" w:hAnsi="Book Antiqua" w:cs="Times New Roman"/>
          <w:bCs/>
          <w:sz w:val="24"/>
          <w:szCs w:val="24"/>
        </w:rPr>
        <w:t xml:space="preserve"> cells/well in DMEM medium supplemented with 0.5% FBS, different concentration of TQ </w:t>
      </w:r>
      <w:r w:rsidRPr="009E2BF9">
        <w:rPr>
          <w:rFonts w:ascii="Book Antiqua" w:eastAsia="SimSun" w:hAnsi="Book Antiqua" w:cs="Times New Roman"/>
          <w:bCs/>
          <w:sz w:val="24"/>
          <w:szCs w:val="24"/>
        </w:rPr>
        <w:lastRenderedPageBreak/>
        <w:t>as described above. Cells were washed twice with cold PBS and centrifuged, and then incubated with 5 ml of Annexin V-FITC and 10 ml of PI at room temperature for 5 min in the dark. Flow cytometric analysis was performed with a FACSCalibur using the CellQuest software (BDIS). For each experiment, the total procedure was repeated three times.</w:t>
      </w:r>
    </w:p>
    <w:p w:rsidR="00DF581C" w:rsidRPr="009E2BF9" w:rsidRDefault="00DF581C" w:rsidP="001E38EA">
      <w:pPr>
        <w:adjustRightInd w:val="0"/>
        <w:snapToGrid w:val="0"/>
        <w:spacing w:line="360" w:lineRule="auto"/>
        <w:rPr>
          <w:rFonts w:ascii="Book Antiqua" w:eastAsia="SimSun" w:hAnsi="Book Antiqua" w:cs="Times New Roman"/>
          <w:sz w:val="24"/>
          <w:szCs w:val="24"/>
        </w:rPr>
      </w:pPr>
    </w:p>
    <w:p w:rsidR="00DF581C" w:rsidRPr="00D32934" w:rsidRDefault="009E2BF9" w:rsidP="001E38EA">
      <w:pPr>
        <w:adjustRightInd w:val="0"/>
        <w:snapToGrid w:val="0"/>
        <w:spacing w:line="360" w:lineRule="auto"/>
        <w:rPr>
          <w:rFonts w:ascii="Book Antiqua" w:eastAsia="SimSun" w:hAnsi="Book Antiqua" w:cs="Times New Roman"/>
          <w:b/>
          <w:i/>
          <w:sz w:val="24"/>
          <w:szCs w:val="24"/>
        </w:rPr>
      </w:pPr>
      <w:r w:rsidRPr="00D32934">
        <w:rPr>
          <w:rFonts w:ascii="Book Antiqua" w:eastAsia="SimSun" w:hAnsi="Book Antiqua" w:cs="Times New Roman"/>
          <w:b/>
          <w:i/>
          <w:sz w:val="24"/>
          <w:szCs w:val="24"/>
        </w:rPr>
        <w:t>Xenograft tumor model</w:t>
      </w:r>
    </w:p>
    <w:p w:rsidR="00DF581C" w:rsidRPr="009E2BF9" w:rsidRDefault="009E2BF9" w:rsidP="001E38EA">
      <w:pPr>
        <w:adjustRightInd w:val="0"/>
        <w:snapToGrid w:val="0"/>
        <w:spacing w:line="360" w:lineRule="auto"/>
        <w:rPr>
          <w:rFonts w:ascii="Book Antiqua" w:eastAsia="SimSun" w:hAnsi="Book Antiqua" w:cs="Times New Roman"/>
          <w:sz w:val="24"/>
          <w:szCs w:val="24"/>
        </w:rPr>
      </w:pPr>
      <w:r w:rsidRPr="009E2BF9">
        <w:rPr>
          <w:rFonts w:ascii="Book Antiqua" w:eastAsia="SimSun" w:hAnsi="Book Antiqua" w:cs="Times New Roman"/>
          <w:sz w:val="24"/>
          <w:szCs w:val="24"/>
        </w:rPr>
        <w:t>Female BALB/c athymic nude mice (4</w:t>
      </w:r>
      <w:r w:rsidR="00D32934">
        <w:rPr>
          <w:rFonts w:ascii="Book Antiqua" w:eastAsia="SimSun" w:hAnsi="Book Antiqua" w:cs="Times New Roman" w:hint="eastAsia"/>
          <w:sz w:val="24"/>
          <w:szCs w:val="24"/>
        </w:rPr>
        <w:t>-</w:t>
      </w:r>
      <w:r w:rsidRPr="009E2BF9">
        <w:rPr>
          <w:rFonts w:ascii="Book Antiqua" w:eastAsia="SimSun" w:hAnsi="Book Antiqua" w:cs="Times New Roman"/>
          <w:sz w:val="24"/>
          <w:szCs w:val="24"/>
        </w:rPr>
        <w:t>wk</w:t>
      </w:r>
      <w:r w:rsidR="00D32934">
        <w:rPr>
          <w:rFonts w:ascii="Book Antiqua" w:eastAsia="SimSun" w:hAnsi="Book Antiqua" w:cs="Times New Roman" w:hint="eastAsia"/>
          <w:sz w:val="24"/>
          <w:szCs w:val="24"/>
        </w:rPr>
        <w:t>-</w:t>
      </w:r>
      <w:r w:rsidRPr="009E2BF9">
        <w:rPr>
          <w:rFonts w:ascii="Book Antiqua" w:eastAsia="SimSun" w:hAnsi="Book Antiqua" w:cs="Times New Roman"/>
          <w:sz w:val="24"/>
          <w:szCs w:val="24"/>
        </w:rPr>
        <w:t>old) were obtained from the Center of Experimental Animals of Wuhan University, and all procedures were performed in compliance with the NIH Guide for the Care and Use of Laboratory Animals. Nude mice were divided into four groups, and mice were housed (four animals per cage) in standard mouse plexiglass cages in a lightand temperature-controlled environment and were provided with food and water ad libitum. Gastric cancer cells were harvested from subconfluent cultures, washed in serum-free medium, and resuspended in PBS. Cells (5</w:t>
      </w:r>
      <w:r w:rsidR="00FE67BF">
        <w:rPr>
          <w:rFonts w:ascii="Book Antiqua" w:eastAsia="SimSun" w:hAnsi="Book Antiqua" w:cs="Times New Roman" w:hint="eastAsia"/>
          <w:sz w:val="24"/>
          <w:szCs w:val="24"/>
        </w:rPr>
        <w:t xml:space="preserve"> </w:t>
      </w:r>
      <w:r w:rsidRPr="009E2BF9">
        <w:rPr>
          <w:rFonts w:ascii="Book Antiqua" w:eastAsia="SimSun" w:hAnsi="Book Antiqua" w:cs="Times New Roman"/>
          <w:sz w:val="24"/>
          <w:szCs w:val="24"/>
        </w:rPr>
        <w:t>×</w:t>
      </w:r>
      <w:r w:rsidR="00FE67BF">
        <w:rPr>
          <w:rFonts w:ascii="Book Antiqua" w:eastAsia="SimSun" w:hAnsi="Book Antiqua" w:cs="Times New Roman" w:hint="eastAsia"/>
          <w:sz w:val="24"/>
          <w:szCs w:val="24"/>
        </w:rPr>
        <w:t xml:space="preserve"> </w:t>
      </w:r>
      <w:r w:rsidRPr="009E2BF9">
        <w:rPr>
          <w:rFonts w:ascii="Book Antiqua" w:eastAsia="SimSun" w:hAnsi="Book Antiqua" w:cs="Times New Roman"/>
          <w:sz w:val="24"/>
          <w:szCs w:val="24"/>
        </w:rPr>
        <w:t>10</w:t>
      </w:r>
      <w:r w:rsidRPr="009E2BF9">
        <w:rPr>
          <w:rFonts w:ascii="Book Antiqua" w:eastAsia="SimSun" w:hAnsi="Book Antiqua" w:cs="Times New Roman"/>
          <w:sz w:val="24"/>
          <w:szCs w:val="24"/>
          <w:vertAlign w:val="superscript"/>
        </w:rPr>
        <w:t>6</w:t>
      </w:r>
      <w:r w:rsidRPr="009E2BF9">
        <w:rPr>
          <w:rFonts w:ascii="Book Antiqua" w:eastAsia="SimSun" w:hAnsi="Book Antiqua" w:cs="Times New Roman"/>
          <w:sz w:val="24"/>
          <w:szCs w:val="24"/>
        </w:rPr>
        <w:t>) resuspended in 0.2 m</w:t>
      </w:r>
      <w:r w:rsidRPr="00FE67BF">
        <w:rPr>
          <w:rFonts w:ascii="Book Antiqua" w:eastAsia="SimSun" w:hAnsi="Book Antiqua" w:cs="Times New Roman"/>
          <w:caps/>
          <w:sz w:val="24"/>
          <w:szCs w:val="24"/>
        </w:rPr>
        <w:t>l</w:t>
      </w:r>
      <w:r w:rsidRPr="009E2BF9">
        <w:rPr>
          <w:rFonts w:ascii="Book Antiqua" w:eastAsia="SimSun" w:hAnsi="Book Antiqua" w:cs="Times New Roman"/>
          <w:sz w:val="24"/>
          <w:szCs w:val="24"/>
        </w:rPr>
        <w:t xml:space="preserve"> PBS were subcutaneously inoculated into the lower right flank of nude mice. When the developing tumors reached 100-150 mm</w:t>
      </w:r>
      <w:r w:rsidRPr="009E2BF9">
        <w:rPr>
          <w:rFonts w:ascii="Book Antiqua" w:eastAsia="SimSun" w:hAnsi="Book Antiqua" w:cs="Times New Roman"/>
          <w:sz w:val="24"/>
          <w:szCs w:val="24"/>
          <w:vertAlign w:val="superscript"/>
        </w:rPr>
        <w:t>3</w:t>
      </w:r>
      <w:r w:rsidRPr="009E2BF9">
        <w:rPr>
          <w:rFonts w:ascii="Book Antiqua" w:eastAsia="SimSun" w:hAnsi="Book Antiqua" w:cs="Times New Roman"/>
          <w:sz w:val="24"/>
          <w:szCs w:val="24"/>
        </w:rPr>
        <w:t xml:space="preserve"> in size, mice were randomly assigned to the following treatment groups (</w:t>
      </w:r>
      <w:r w:rsidRPr="00FE67BF">
        <w:rPr>
          <w:rFonts w:ascii="Book Antiqua" w:eastAsia="SimSun" w:hAnsi="Book Antiqua" w:cs="Times New Roman"/>
          <w:i/>
          <w:sz w:val="24"/>
          <w:szCs w:val="24"/>
        </w:rPr>
        <w:t>n</w:t>
      </w:r>
      <w:r w:rsidRPr="009E2BF9">
        <w:rPr>
          <w:rFonts w:ascii="Book Antiqua" w:eastAsia="SimSun" w:hAnsi="Book Antiqua" w:cs="Times New Roman"/>
          <w:sz w:val="24"/>
          <w:szCs w:val="24"/>
        </w:rPr>
        <w:t xml:space="preserve"> = 5): (</w:t>
      </w:r>
      <w:r w:rsidR="00FE67BF">
        <w:rPr>
          <w:rFonts w:ascii="Book Antiqua" w:eastAsia="SimSun" w:hAnsi="Book Antiqua" w:cs="Times New Roman" w:hint="eastAsia"/>
          <w:sz w:val="24"/>
          <w:szCs w:val="24"/>
        </w:rPr>
        <w:t>1</w:t>
      </w:r>
      <w:r w:rsidRPr="009E2BF9">
        <w:rPr>
          <w:rFonts w:ascii="Book Antiqua" w:eastAsia="SimSun" w:hAnsi="Book Antiqua" w:cs="Times New Roman"/>
          <w:sz w:val="24"/>
          <w:szCs w:val="24"/>
        </w:rPr>
        <w:t>) untreated control, equalvolume physiologic saline</w:t>
      </w:r>
      <w:r w:rsidR="00FE67BF">
        <w:rPr>
          <w:rFonts w:ascii="Book Antiqua" w:eastAsia="SimSun" w:hAnsi="Book Antiqua" w:cs="Times New Roman" w:hint="eastAsia"/>
          <w:sz w:val="24"/>
          <w:szCs w:val="24"/>
        </w:rPr>
        <w:t>;</w:t>
      </w:r>
      <w:r w:rsidRPr="009E2BF9">
        <w:rPr>
          <w:rFonts w:ascii="Book Antiqua" w:eastAsia="SimSun" w:hAnsi="Book Antiqua" w:cs="Times New Roman"/>
          <w:sz w:val="24"/>
          <w:szCs w:val="24"/>
        </w:rPr>
        <w:t xml:space="preserve"> (</w:t>
      </w:r>
      <w:r w:rsidR="00FE67BF">
        <w:rPr>
          <w:rFonts w:ascii="Book Antiqua" w:eastAsia="SimSun" w:hAnsi="Book Antiqua" w:cs="Times New Roman" w:hint="eastAsia"/>
          <w:sz w:val="24"/>
          <w:szCs w:val="24"/>
        </w:rPr>
        <w:t>2</w:t>
      </w:r>
      <w:r w:rsidRPr="009E2BF9">
        <w:rPr>
          <w:rFonts w:ascii="Book Antiqua" w:eastAsia="SimSun" w:hAnsi="Book Antiqua" w:cs="Times New Roman"/>
          <w:sz w:val="24"/>
          <w:szCs w:val="24"/>
        </w:rPr>
        <w:t>) 10 mg/kg TQ</w:t>
      </w:r>
      <w:r w:rsidR="00FE67BF">
        <w:rPr>
          <w:rFonts w:ascii="Book Antiqua" w:eastAsia="SimSun" w:hAnsi="Book Antiqua" w:cs="Times New Roman" w:hint="eastAsia"/>
          <w:sz w:val="24"/>
          <w:szCs w:val="24"/>
        </w:rPr>
        <w:t>;</w:t>
      </w:r>
      <w:r w:rsidRPr="009E2BF9">
        <w:rPr>
          <w:rFonts w:ascii="Book Antiqua" w:eastAsia="SimSun" w:hAnsi="Book Antiqua" w:cs="Times New Roman"/>
          <w:sz w:val="24"/>
          <w:szCs w:val="24"/>
        </w:rPr>
        <w:t xml:space="preserve"> (</w:t>
      </w:r>
      <w:r w:rsidR="00FE67BF">
        <w:rPr>
          <w:rFonts w:ascii="Book Antiqua" w:eastAsia="SimSun" w:hAnsi="Book Antiqua" w:cs="Times New Roman" w:hint="eastAsia"/>
          <w:sz w:val="24"/>
          <w:szCs w:val="24"/>
        </w:rPr>
        <w:t>3</w:t>
      </w:r>
      <w:r w:rsidRPr="009E2BF9">
        <w:rPr>
          <w:rFonts w:ascii="Book Antiqua" w:eastAsia="SimSun" w:hAnsi="Book Antiqua" w:cs="Times New Roman"/>
          <w:sz w:val="24"/>
          <w:szCs w:val="24"/>
        </w:rPr>
        <w:t>) 20 mg/kg TQ</w:t>
      </w:r>
      <w:r w:rsidR="00FE67BF">
        <w:rPr>
          <w:rFonts w:ascii="Book Antiqua" w:eastAsia="SimSun" w:hAnsi="Book Antiqua" w:cs="Times New Roman" w:hint="eastAsia"/>
          <w:sz w:val="24"/>
          <w:szCs w:val="24"/>
        </w:rPr>
        <w:t>;</w:t>
      </w:r>
      <w:r w:rsidRPr="009E2BF9">
        <w:rPr>
          <w:rFonts w:ascii="Book Antiqua" w:eastAsia="SimSun" w:hAnsi="Book Antiqua" w:cs="Times New Roman"/>
          <w:sz w:val="24"/>
          <w:szCs w:val="24"/>
        </w:rPr>
        <w:t xml:space="preserve"> </w:t>
      </w:r>
      <w:r w:rsidR="00FE67BF">
        <w:rPr>
          <w:rFonts w:ascii="Book Antiqua" w:eastAsia="SimSun" w:hAnsi="Book Antiqua" w:cs="Times New Roman" w:hint="eastAsia"/>
          <w:sz w:val="24"/>
          <w:szCs w:val="24"/>
        </w:rPr>
        <w:t xml:space="preserve">and </w:t>
      </w:r>
      <w:r w:rsidRPr="009E2BF9">
        <w:rPr>
          <w:rFonts w:ascii="Book Antiqua" w:eastAsia="SimSun" w:hAnsi="Book Antiqua" w:cs="Times New Roman"/>
          <w:sz w:val="24"/>
          <w:szCs w:val="24"/>
        </w:rPr>
        <w:t>(</w:t>
      </w:r>
      <w:r w:rsidR="00FE67BF">
        <w:rPr>
          <w:rFonts w:ascii="Book Antiqua" w:eastAsia="SimSun" w:hAnsi="Book Antiqua" w:cs="Times New Roman" w:hint="eastAsia"/>
          <w:sz w:val="24"/>
          <w:szCs w:val="24"/>
        </w:rPr>
        <w:t>4</w:t>
      </w:r>
      <w:r w:rsidRPr="009E2BF9">
        <w:rPr>
          <w:rFonts w:ascii="Book Antiqua" w:eastAsia="SimSun" w:hAnsi="Book Antiqua" w:cs="Times New Roman"/>
          <w:sz w:val="24"/>
          <w:szCs w:val="24"/>
        </w:rPr>
        <w:t xml:space="preserve">) 30 mg/kg TQ, all therapies </w:t>
      </w:r>
      <w:r w:rsidRPr="009E2BF9">
        <w:rPr>
          <w:rFonts w:ascii="Book Antiqua" w:hAnsi="Book Antiqua" w:cs="Times New Roman"/>
          <w:iCs/>
          <w:sz w:val="24"/>
          <w:szCs w:val="24"/>
        </w:rPr>
        <w:t xml:space="preserve">were administered three times per week </w:t>
      </w:r>
      <w:r w:rsidRPr="00FE67BF">
        <w:rPr>
          <w:rFonts w:ascii="Book Antiqua" w:hAnsi="Book Antiqua" w:cs="Times New Roman"/>
          <w:i/>
          <w:iCs/>
          <w:sz w:val="24"/>
          <w:szCs w:val="24"/>
        </w:rPr>
        <w:t>via</w:t>
      </w:r>
      <w:r w:rsidRPr="009E2BF9">
        <w:rPr>
          <w:rFonts w:ascii="Book Antiqua" w:hAnsi="Book Antiqua" w:cs="Times New Roman"/>
          <w:iCs/>
          <w:sz w:val="24"/>
          <w:szCs w:val="24"/>
        </w:rPr>
        <w:t xml:space="preserve"> intraperitoneal injection</w:t>
      </w:r>
      <w:r w:rsidRPr="009E2BF9">
        <w:rPr>
          <w:rFonts w:ascii="Book Antiqua" w:eastAsia="SimSun" w:hAnsi="Book Antiqua" w:cs="Times New Roman"/>
          <w:sz w:val="24"/>
          <w:szCs w:val="24"/>
        </w:rPr>
        <w:t xml:space="preserve">. Next, the mice were weighed, and the size of each tumor and its central necrotic area was monitored using calipers every 3 days. Following the last dose of TQ, all mice were sacrificed on day 30. During the autopsy procedure, the tumor was neatly excised and weighed. One part of the tissue was fixed in formalin and another part was frozen in liquid nitrogen. </w:t>
      </w:r>
      <w:bookmarkStart w:id="148" w:name="OLE_LINK44"/>
      <w:bookmarkStart w:id="149" w:name="OLE_LINK45"/>
      <w:r w:rsidRPr="009E2BF9">
        <w:rPr>
          <w:rFonts w:ascii="Book Antiqua" w:eastAsia="SimSun" w:hAnsi="Book Antiqua" w:cs="Times New Roman"/>
          <w:sz w:val="24"/>
          <w:szCs w:val="24"/>
        </w:rPr>
        <w:t>Ethical approval was obtained before the beginning of experiments</w:t>
      </w:r>
      <w:bookmarkEnd w:id="148"/>
      <w:bookmarkEnd w:id="149"/>
      <w:r w:rsidRPr="009E2BF9">
        <w:rPr>
          <w:rFonts w:ascii="Book Antiqua" w:eastAsia="SimSun" w:hAnsi="Book Antiqua" w:cs="Times New Roman"/>
          <w:sz w:val="24"/>
          <w:szCs w:val="24"/>
        </w:rPr>
        <w:t>.</w:t>
      </w:r>
    </w:p>
    <w:p w:rsidR="00DF581C" w:rsidRPr="00FE67BF" w:rsidRDefault="00DF581C" w:rsidP="001E38EA">
      <w:pPr>
        <w:adjustRightInd w:val="0"/>
        <w:snapToGrid w:val="0"/>
        <w:spacing w:line="360" w:lineRule="auto"/>
        <w:rPr>
          <w:rFonts w:ascii="Book Antiqua" w:eastAsia="SimSun" w:hAnsi="Book Antiqua" w:cs="Times New Roman"/>
          <w:b/>
          <w:i/>
          <w:sz w:val="24"/>
          <w:szCs w:val="24"/>
        </w:rPr>
      </w:pPr>
    </w:p>
    <w:p w:rsidR="00DF581C" w:rsidRPr="00FE67BF" w:rsidRDefault="009E2BF9" w:rsidP="001E38EA">
      <w:pPr>
        <w:adjustRightInd w:val="0"/>
        <w:snapToGrid w:val="0"/>
        <w:spacing w:line="360" w:lineRule="auto"/>
        <w:rPr>
          <w:rFonts w:ascii="Book Antiqua" w:eastAsia="SimSun" w:hAnsi="Book Antiqua" w:cs="Times New Roman"/>
          <w:b/>
          <w:i/>
          <w:sz w:val="24"/>
          <w:szCs w:val="24"/>
        </w:rPr>
      </w:pPr>
      <w:r w:rsidRPr="00FE67BF">
        <w:rPr>
          <w:rFonts w:ascii="Book Antiqua" w:eastAsia="SimSun" w:hAnsi="Book Antiqua" w:cs="Times New Roman"/>
          <w:b/>
          <w:i/>
          <w:iCs/>
          <w:sz w:val="24"/>
          <w:szCs w:val="24"/>
        </w:rPr>
        <w:t>TdT-mediated dUTP-biotin nick end-labeling assay</w:t>
      </w:r>
    </w:p>
    <w:p w:rsidR="00DF581C" w:rsidRPr="009E2BF9" w:rsidRDefault="009E2BF9" w:rsidP="001E38EA">
      <w:pPr>
        <w:adjustRightInd w:val="0"/>
        <w:snapToGrid w:val="0"/>
        <w:spacing w:line="360" w:lineRule="auto"/>
        <w:rPr>
          <w:rFonts w:ascii="Book Antiqua" w:eastAsia="SimSun" w:hAnsi="Book Antiqua" w:cs="Times New Roman"/>
          <w:sz w:val="24"/>
          <w:szCs w:val="24"/>
        </w:rPr>
      </w:pPr>
      <w:r w:rsidRPr="009E2BF9">
        <w:rPr>
          <w:rFonts w:ascii="Book Antiqua" w:eastAsia="SimSun" w:hAnsi="Book Antiqua" w:cs="Times New Roman"/>
          <w:sz w:val="24"/>
          <w:szCs w:val="24"/>
        </w:rPr>
        <w:t xml:space="preserve">For histological examination, tumor tissues were fixed in 10% buffered formalin and embedded in paraffin, and then, tissue sections (4 μm) were </w:t>
      </w:r>
      <w:r w:rsidRPr="009E2BF9">
        <w:rPr>
          <w:rFonts w:ascii="Book Antiqua" w:eastAsia="SimSun" w:hAnsi="Book Antiqua" w:cs="Times New Roman"/>
          <w:sz w:val="24"/>
          <w:szCs w:val="24"/>
        </w:rPr>
        <w:lastRenderedPageBreak/>
        <w:t xml:space="preserve">prepared. The TUNEL assay for apoptosis was conducted using an apoptosis detection kit (Roche Diagnostics, Branchburg, NJ, </w:t>
      </w:r>
      <w:r w:rsidR="00FE67BF" w:rsidRPr="009E2BF9">
        <w:rPr>
          <w:rFonts w:ascii="Book Antiqua" w:eastAsia="SimSun" w:hAnsi="Book Antiqua" w:cs="Times New Roman"/>
          <w:bCs/>
          <w:sz w:val="24"/>
          <w:szCs w:val="24"/>
        </w:rPr>
        <w:t>U</w:t>
      </w:r>
      <w:r w:rsidR="00FE67BF">
        <w:rPr>
          <w:rFonts w:ascii="Book Antiqua" w:eastAsia="SimSun" w:hAnsi="Book Antiqua" w:cs="Times New Roman" w:hint="eastAsia"/>
          <w:bCs/>
          <w:sz w:val="24"/>
          <w:szCs w:val="24"/>
        </w:rPr>
        <w:t>nited States</w:t>
      </w:r>
      <w:r w:rsidRPr="009E2BF9">
        <w:rPr>
          <w:rFonts w:ascii="Book Antiqua" w:eastAsia="SimSun" w:hAnsi="Book Antiqua" w:cs="Times New Roman"/>
          <w:sz w:val="24"/>
          <w:szCs w:val="24"/>
        </w:rPr>
        <w:t>) according to the manufacturer’s instructions. Positive cells were counted as the number of TUNEL-labeled cells per 100 epithelial cancer cells in 10 fields of the most affected tumor areas with 400</w:t>
      </w:r>
      <w:r w:rsidR="00FE67BF">
        <w:rPr>
          <w:rFonts w:ascii="Book Antiqua" w:eastAsia="SimSun" w:hAnsi="Book Antiqua" w:cs="Times New Roman" w:hint="eastAsia"/>
          <w:sz w:val="24"/>
          <w:szCs w:val="24"/>
        </w:rPr>
        <w:t xml:space="preserve"> </w:t>
      </w:r>
      <w:r w:rsidRPr="009E2BF9">
        <w:rPr>
          <w:rFonts w:ascii="Book Antiqua" w:eastAsia="SimSun" w:hAnsi="Book Antiqua" w:cs="Times New Roman"/>
          <w:sz w:val="24"/>
          <w:szCs w:val="24"/>
        </w:rPr>
        <w:t xml:space="preserve">× magnification and analyzed using light microscopy (CarlZeiss, Thornwood, NY, </w:t>
      </w:r>
      <w:r w:rsidR="00FE67BF" w:rsidRPr="009E2BF9">
        <w:rPr>
          <w:rFonts w:ascii="Book Antiqua" w:eastAsia="SimSun" w:hAnsi="Book Antiqua" w:cs="Times New Roman"/>
          <w:bCs/>
          <w:sz w:val="24"/>
          <w:szCs w:val="24"/>
        </w:rPr>
        <w:t>U</w:t>
      </w:r>
      <w:r w:rsidR="00FE67BF">
        <w:rPr>
          <w:rFonts w:ascii="Book Antiqua" w:eastAsia="SimSun" w:hAnsi="Book Antiqua" w:cs="Times New Roman" w:hint="eastAsia"/>
          <w:bCs/>
          <w:sz w:val="24"/>
          <w:szCs w:val="24"/>
        </w:rPr>
        <w:t>nited States</w:t>
      </w:r>
      <w:r w:rsidRPr="009E2BF9">
        <w:rPr>
          <w:rFonts w:ascii="Book Antiqua" w:eastAsia="SimSun" w:hAnsi="Book Antiqua" w:cs="Times New Roman"/>
          <w:sz w:val="24"/>
          <w:szCs w:val="24"/>
        </w:rPr>
        <w:t>).</w:t>
      </w:r>
    </w:p>
    <w:p w:rsidR="00DF581C" w:rsidRPr="00FE67BF" w:rsidRDefault="00DF581C" w:rsidP="001E38EA">
      <w:pPr>
        <w:adjustRightInd w:val="0"/>
        <w:snapToGrid w:val="0"/>
        <w:spacing w:line="360" w:lineRule="auto"/>
        <w:rPr>
          <w:rFonts w:ascii="Book Antiqua" w:eastAsia="SimSun" w:hAnsi="Book Antiqua" w:cs="Times New Roman"/>
          <w:sz w:val="24"/>
          <w:szCs w:val="24"/>
        </w:rPr>
      </w:pPr>
    </w:p>
    <w:p w:rsidR="00DF581C" w:rsidRPr="00FE67BF" w:rsidRDefault="009E2BF9" w:rsidP="001E38EA">
      <w:pPr>
        <w:adjustRightInd w:val="0"/>
        <w:snapToGrid w:val="0"/>
        <w:spacing w:line="360" w:lineRule="auto"/>
        <w:rPr>
          <w:rFonts w:ascii="Book Antiqua" w:eastAsia="SimSun" w:hAnsi="Book Antiqua" w:cs="Times New Roman"/>
          <w:b/>
          <w:i/>
          <w:sz w:val="24"/>
          <w:szCs w:val="24"/>
        </w:rPr>
      </w:pPr>
      <w:r w:rsidRPr="00FE67BF">
        <w:rPr>
          <w:rFonts w:ascii="Book Antiqua" w:eastAsia="SimSun" w:hAnsi="Book Antiqua" w:cs="Times New Roman"/>
          <w:b/>
          <w:i/>
          <w:sz w:val="24"/>
          <w:szCs w:val="24"/>
        </w:rPr>
        <w:t>Statistical analysis</w:t>
      </w:r>
    </w:p>
    <w:p w:rsidR="00DF581C" w:rsidRPr="009E2BF9" w:rsidRDefault="009E2BF9" w:rsidP="001E38EA">
      <w:pPr>
        <w:adjustRightInd w:val="0"/>
        <w:snapToGrid w:val="0"/>
        <w:spacing w:line="360" w:lineRule="auto"/>
        <w:rPr>
          <w:rFonts w:ascii="Book Antiqua" w:eastAsia="SimSun" w:hAnsi="Book Antiqua" w:cs="Times New Roman"/>
          <w:sz w:val="24"/>
          <w:szCs w:val="24"/>
        </w:rPr>
      </w:pPr>
      <w:r w:rsidRPr="009E2BF9">
        <w:rPr>
          <w:rFonts w:ascii="Book Antiqua" w:eastAsia="SimSun" w:hAnsi="Book Antiqua" w:cs="Times New Roman"/>
          <w:sz w:val="24"/>
          <w:szCs w:val="24"/>
        </w:rPr>
        <w:t xml:space="preserve">Results were analyzed by SPSS version 17.0 (SPSS, Inc., Chicago, IL, </w:t>
      </w:r>
      <w:r w:rsidR="00FE67BF" w:rsidRPr="009E2BF9">
        <w:rPr>
          <w:rFonts w:ascii="Book Antiqua" w:eastAsia="SimSun" w:hAnsi="Book Antiqua" w:cs="Times New Roman"/>
          <w:bCs/>
          <w:sz w:val="24"/>
          <w:szCs w:val="24"/>
        </w:rPr>
        <w:t>U</w:t>
      </w:r>
      <w:r w:rsidR="00FE67BF">
        <w:rPr>
          <w:rFonts w:ascii="Book Antiqua" w:eastAsia="SimSun" w:hAnsi="Book Antiqua" w:cs="Times New Roman" w:hint="eastAsia"/>
          <w:bCs/>
          <w:sz w:val="24"/>
          <w:szCs w:val="24"/>
        </w:rPr>
        <w:t>nited States</w:t>
      </w:r>
      <w:r w:rsidRPr="009E2BF9">
        <w:rPr>
          <w:rFonts w:ascii="Book Antiqua" w:eastAsia="SimSun" w:hAnsi="Book Antiqua" w:cs="Times New Roman"/>
          <w:sz w:val="24"/>
          <w:szCs w:val="24"/>
        </w:rPr>
        <w:t xml:space="preserve">) and All data are presented as the mean ± SD. One-way ANOVA (multiple comparisons) and </w:t>
      </w:r>
      <w:r w:rsidRPr="00495E92">
        <w:rPr>
          <w:rFonts w:ascii="Book Antiqua" w:eastAsia="SimSun" w:hAnsi="Book Antiqua" w:cs="Times New Roman"/>
          <w:i/>
          <w:sz w:val="24"/>
          <w:szCs w:val="24"/>
        </w:rPr>
        <w:t>t</w:t>
      </w:r>
      <w:r w:rsidRPr="009E2BF9">
        <w:rPr>
          <w:rFonts w:ascii="Book Antiqua" w:eastAsia="SimSun" w:hAnsi="Book Antiqua" w:cs="Times New Roman"/>
          <w:sz w:val="24"/>
          <w:szCs w:val="24"/>
        </w:rPr>
        <w:t xml:space="preserve">-tests (two groups comparisons) were performed accordingly. </w:t>
      </w:r>
      <w:r w:rsidR="005C729E" w:rsidRPr="005C729E">
        <w:rPr>
          <w:rFonts w:ascii="Book Antiqua" w:eastAsia="SimSun" w:hAnsi="Book Antiqua" w:cs="Times New Roman"/>
          <w:i/>
          <w:sz w:val="24"/>
          <w:szCs w:val="24"/>
        </w:rPr>
        <w:t>P &lt;</w:t>
      </w:r>
      <w:r w:rsidR="00495E92">
        <w:rPr>
          <w:rFonts w:ascii="Book Antiqua" w:eastAsia="SimSun" w:hAnsi="Book Antiqua" w:cs="Times New Roman" w:hint="eastAsia"/>
          <w:sz w:val="24"/>
          <w:szCs w:val="24"/>
        </w:rPr>
        <w:t xml:space="preserve"> </w:t>
      </w:r>
      <w:r w:rsidRPr="009E2BF9">
        <w:rPr>
          <w:rFonts w:ascii="Book Antiqua" w:eastAsia="SimSun" w:hAnsi="Book Antiqua" w:cs="Times New Roman"/>
          <w:sz w:val="24"/>
          <w:szCs w:val="24"/>
        </w:rPr>
        <w:t xml:space="preserve">0.05 was considered to be statistically significant. </w:t>
      </w:r>
    </w:p>
    <w:p w:rsidR="00DF581C" w:rsidRPr="009E2BF9" w:rsidRDefault="00DF581C" w:rsidP="001E38EA">
      <w:pPr>
        <w:adjustRightInd w:val="0"/>
        <w:snapToGrid w:val="0"/>
        <w:spacing w:line="360" w:lineRule="auto"/>
        <w:rPr>
          <w:rFonts w:ascii="Book Antiqua" w:eastAsia="SimSun" w:hAnsi="Book Antiqua" w:cs="Times New Roman"/>
          <w:b/>
          <w:sz w:val="24"/>
          <w:szCs w:val="24"/>
        </w:rPr>
      </w:pPr>
    </w:p>
    <w:p w:rsidR="00DF581C" w:rsidRPr="00495E92" w:rsidRDefault="009E2BF9" w:rsidP="001E38EA">
      <w:pPr>
        <w:adjustRightInd w:val="0"/>
        <w:snapToGrid w:val="0"/>
        <w:spacing w:line="360" w:lineRule="auto"/>
        <w:rPr>
          <w:rFonts w:ascii="Book Antiqua" w:eastAsia="SimSun" w:hAnsi="Book Antiqua" w:cs="Times New Roman"/>
          <w:b/>
          <w:caps/>
          <w:sz w:val="24"/>
          <w:szCs w:val="24"/>
        </w:rPr>
      </w:pPr>
      <w:r w:rsidRPr="00495E92">
        <w:rPr>
          <w:rFonts w:ascii="Book Antiqua" w:eastAsia="SimSun" w:hAnsi="Book Antiqua" w:cs="Times New Roman"/>
          <w:b/>
          <w:caps/>
          <w:sz w:val="24"/>
          <w:szCs w:val="24"/>
        </w:rPr>
        <w:t>Results</w:t>
      </w:r>
    </w:p>
    <w:p w:rsidR="00DF581C" w:rsidRPr="00495E92" w:rsidRDefault="009E2BF9" w:rsidP="001E38EA">
      <w:pPr>
        <w:adjustRightInd w:val="0"/>
        <w:snapToGrid w:val="0"/>
        <w:spacing w:line="360" w:lineRule="auto"/>
        <w:rPr>
          <w:rFonts w:ascii="Book Antiqua" w:hAnsi="Book Antiqua" w:cs="Times New Roman"/>
          <w:b/>
          <w:i/>
          <w:sz w:val="24"/>
          <w:szCs w:val="24"/>
        </w:rPr>
      </w:pPr>
      <w:r w:rsidRPr="00495E92">
        <w:rPr>
          <w:rFonts w:ascii="Book Antiqua" w:hAnsi="Book Antiqua" w:cs="Times New Roman"/>
          <w:b/>
          <w:i/>
          <w:sz w:val="24"/>
          <w:szCs w:val="24"/>
        </w:rPr>
        <w:t>TQ inhibited constitutive STAT3 phosphorylation and nuclear translocatin in gastric cancer cells</w:t>
      </w:r>
    </w:p>
    <w:p w:rsidR="00DF581C" w:rsidRPr="009E2BF9" w:rsidRDefault="009E2BF9" w:rsidP="001E38EA">
      <w:pPr>
        <w:adjustRightInd w:val="0"/>
        <w:snapToGrid w:val="0"/>
        <w:spacing w:line="360" w:lineRule="auto"/>
        <w:rPr>
          <w:rFonts w:ascii="Book Antiqua" w:hAnsi="Book Antiqua"/>
          <w:sz w:val="24"/>
          <w:szCs w:val="24"/>
        </w:rPr>
      </w:pPr>
      <w:r w:rsidRPr="009E2BF9">
        <w:rPr>
          <w:rFonts w:ascii="Book Antiqua" w:hAnsi="Book Antiqua"/>
          <w:sz w:val="24"/>
          <w:szCs w:val="24"/>
        </w:rPr>
        <w:t>Since HGC27, BGC823 and SGC7901 cells have been shown to express constitutive STAT3 activation, whether TQ could inhibit this activation in these cells were detected. According to the results of the western</w:t>
      </w:r>
      <w:r w:rsidR="00495E92">
        <w:rPr>
          <w:rFonts w:ascii="Book Antiqua" w:hAnsi="Book Antiqua"/>
          <w:sz w:val="24"/>
          <w:szCs w:val="24"/>
        </w:rPr>
        <w:t xml:space="preserve"> blot, the protein levels of p-</w:t>
      </w:r>
      <w:r w:rsidRPr="009E2BF9">
        <w:rPr>
          <w:rFonts w:ascii="Book Antiqua" w:hAnsi="Book Antiqua"/>
          <w:sz w:val="24"/>
          <w:szCs w:val="24"/>
        </w:rPr>
        <w:t>STAT3 were significantly lower in three types of cancer cells which were treated with TQ than in the cells treated without TQ (</w:t>
      </w:r>
      <w:r w:rsidR="00D60AB6">
        <w:rPr>
          <w:rFonts w:ascii="Book Antiqua" w:hAnsi="Book Antiqua"/>
          <w:sz w:val="24"/>
          <w:szCs w:val="24"/>
        </w:rPr>
        <w:t>Figure</w:t>
      </w:r>
      <w:r w:rsidRPr="009E2BF9">
        <w:rPr>
          <w:rFonts w:ascii="Book Antiqua" w:hAnsi="Book Antiqua"/>
          <w:sz w:val="24"/>
          <w:szCs w:val="24"/>
        </w:rPr>
        <w:t xml:space="preserve"> 1B), suggesting the STAT3 activation was inhibited by TQ in all these cells in a concentration- and time-dependent manner, with maximum inhibition occurring at 75 μ</w:t>
      </w:r>
      <w:r w:rsidR="00495E92">
        <w:rPr>
          <w:rFonts w:ascii="Book Antiqua" w:hAnsi="Book Antiqua" w:hint="eastAsia"/>
          <w:sz w:val="24"/>
          <w:szCs w:val="24"/>
        </w:rPr>
        <w:t>mol/L</w:t>
      </w:r>
      <w:r w:rsidRPr="009E2BF9">
        <w:rPr>
          <w:rFonts w:ascii="Book Antiqua" w:hAnsi="Book Antiqua"/>
          <w:sz w:val="24"/>
          <w:szCs w:val="24"/>
        </w:rPr>
        <w:t xml:space="preserve"> (</w:t>
      </w:r>
      <w:r w:rsidR="00D60AB6">
        <w:rPr>
          <w:rFonts w:ascii="Book Antiqua" w:hAnsi="Book Antiqua"/>
          <w:sz w:val="24"/>
          <w:szCs w:val="24"/>
        </w:rPr>
        <w:t>Figure</w:t>
      </w:r>
      <w:r w:rsidRPr="009E2BF9">
        <w:rPr>
          <w:rFonts w:ascii="Book Antiqua" w:hAnsi="Book Antiqua"/>
          <w:sz w:val="24"/>
          <w:szCs w:val="24"/>
        </w:rPr>
        <w:t xml:space="preserve"> 1C). Although TQ showed no effect on the expression of STAT3 proteins (</w:t>
      </w:r>
      <w:r w:rsidR="00D60AB6">
        <w:rPr>
          <w:rFonts w:ascii="Book Antiqua" w:hAnsi="Book Antiqua"/>
          <w:sz w:val="24"/>
          <w:szCs w:val="24"/>
        </w:rPr>
        <w:t>Figure</w:t>
      </w:r>
      <w:r w:rsidRPr="009E2BF9">
        <w:rPr>
          <w:rFonts w:ascii="Book Antiqua" w:hAnsi="Book Antiqua"/>
          <w:sz w:val="24"/>
          <w:szCs w:val="24"/>
        </w:rPr>
        <w:t xml:space="preserve"> 1B, lower panel), the expression levels of STAT3 protein-encoding gene were suppressed by TQ also in a concentration- and time-dependent manner as demonstrated by Real-time PCR (</w:t>
      </w:r>
      <w:r w:rsidR="00D60AB6">
        <w:rPr>
          <w:rFonts w:ascii="Book Antiqua" w:hAnsi="Book Antiqua"/>
          <w:sz w:val="24"/>
          <w:szCs w:val="24"/>
        </w:rPr>
        <w:t>Figure</w:t>
      </w:r>
      <w:r w:rsidRPr="009E2BF9">
        <w:rPr>
          <w:rFonts w:ascii="Book Antiqua" w:hAnsi="Book Antiqua"/>
          <w:sz w:val="24"/>
          <w:szCs w:val="24"/>
        </w:rPr>
        <w:t xml:space="preserve"> 1D). Because the active dimer of STAT3 is capable of translocating to the nucleus and inducing transcription of specific target genes</w:t>
      </w:r>
      <w:r w:rsidRPr="009E2BF9">
        <w:rPr>
          <w:rFonts w:ascii="Book Antiqua" w:eastAsia="Times New Roman" w:hAnsi="Book Antiqua"/>
          <w:color w:val="080000"/>
          <w:sz w:val="24"/>
          <w:szCs w:val="24"/>
          <w:vertAlign w:val="superscript"/>
        </w:rPr>
        <w:t>[1</w:t>
      </w:r>
      <w:r w:rsidRPr="009E2BF9">
        <w:rPr>
          <w:rFonts w:ascii="Book Antiqua" w:eastAsia="SimSun" w:hAnsi="Book Antiqua"/>
          <w:color w:val="080000"/>
          <w:sz w:val="24"/>
          <w:szCs w:val="24"/>
          <w:vertAlign w:val="superscript"/>
        </w:rPr>
        <w:t>8</w:t>
      </w:r>
      <w:r w:rsidRPr="009E2BF9">
        <w:rPr>
          <w:rFonts w:ascii="Book Antiqua" w:eastAsia="Times New Roman" w:hAnsi="Book Antiqua"/>
          <w:color w:val="080000"/>
          <w:sz w:val="24"/>
          <w:szCs w:val="24"/>
          <w:vertAlign w:val="superscript"/>
        </w:rPr>
        <w:t>]</w:t>
      </w:r>
      <w:r w:rsidRPr="009E2BF9">
        <w:rPr>
          <w:rFonts w:ascii="Book Antiqua" w:hAnsi="Book Antiqua"/>
          <w:sz w:val="24"/>
          <w:szCs w:val="24"/>
        </w:rPr>
        <w:t xml:space="preserve">, we determined whether TQ suppresses the nuclear translocation of STAT3. Western blot clearly demonstrates that TQ blocked the translocation </w:t>
      </w:r>
      <w:r w:rsidRPr="009E2BF9">
        <w:rPr>
          <w:rFonts w:ascii="Book Antiqua" w:hAnsi="Book Antiqua"/>
          <w:sz w:val="24"/>
          <w:szCs w:val="24"/>
        </w:rPr>
        <w:lastRenderedPageBreak/>
        <w:t>of STAT3 into the nucleus in HGC27 cells (</w:t>
      </w:r>
      <w:r w:rsidR="00D60AB6">
        <w:rPr>
          <w:rFonts w:ascii="Book Antiqua" w:hAnsi="Book Antiqua"/>
          <w:sz w:val="24"/>
          <w:szCs w:val="24"/>
        </w:rPr>
        <w:t>Figure</w:t>
      </w:r>
      <w:r w:rsidRPr="009E2BF9">
        <w:rPr>
          <w:rFonts w:ascii="Book Antiqua" w:hAnsi="Book Antiqua"/>
          <w:sz w:val="24"/>
          <w:szCs w:val="24"/>
        </w:rPr>
        <w:t xml:space="preserve"> 1E). However, the phosphorylation of STAT5 as well as th eexpression of STAT5 was not affected by TQ (</w:t>
      </w:r>
      <w:r w:rsidR="00D60AB6">
        <w:rPr>
          <w:rFonts w:ascii="Book Antiqua" w:hAnsi="Book Antiqua"/>
          <w:sz w:val="24"/>
          <w:szCs w:val="24"/>
        </w:rPr>
        <w:t>Figure</w:t>
      </w:r>
      <w:r w:rsidRPr="009E2BF9">
        <w:rPr>
          <w:rFonts w:ascii="Book Antiqua" w:hAnsi="Book Antiqua"/>
          <w:sz w:val="24"/>
          <w:szCs w:val="24"/>
        </w:rPr>
        <w:t xml:space="preserve"> 2A</w:t>
      </w:r>
      <w:r w:rsidR="00495E92">
        <w:rPr>
          <w:rFonts w:ascii="Book Antiqua" w:hAnsi="Book Antiqua" w:hint="eastAsia"/>
          <w:sz w:val="24"/>
          <w:szCs w:val="24"/>
        </w:rPr>
        <w:t xml:space="preserve"> and </w:t>
      </w:r>
      <w:r w:rsidRPr="009E2BF9">
        <w:rPr>
          <w:rFonts w:ascii="Book Antiqua" w:hAnsi="Book Antiqua"/>
          <w:sz w:val="24"/>
          <w:szCs w:val="24"/>
        </w:rPr>
        <w:t>B).</w:t>
      </w:r>
    </w:p>
    <w:p w:rsidR="00DF581C" w:rsidRPr="009E2BF9" w:rsidRDefault="00DF581C" w:rsidP="001E38EA">
      <w:pPr>
        <w:adjustRightInd w:val="0"/>
        <w:snapToGrid w:val="0"/>
        <w:spacing w:line="360" w:lineRule="auto"/>
        <w:rPr>
          <w:rFonts w:ascii="Book Antiqua" w:hAnsi="Book Antiqua"/>
          <w:sz w:val="24"/>
          <w:szCs w:val="24"/>
        </w:rPr>
      </w:pPr>
    </w:p>
    <w:p w:rsidR="00DF581C" w:rsidRPr="00495E92" w:rsidRDefault="009E2BF9" w:rsidP="001E38EA">
      <w:pPr>
        <w:adjustRightInd w:val="0"/>
        <w:snapToGrid w:val="0"/>
        <w:spacing w:line="360" w:lineRule="auto"/>
        <w:rPr>
          <w:rFonts w:ascii="Book Antiqua" w:hAnsi="Book Antiqua" w:cs="Times New Roman"/>
          <w:b/>
          <w:i/>
          <w:sz w:val="24"/>
          <w:szCs w:val="24"/>
        </w:rPr>
      </w:pPr>
      <w:r w:rsidRPr="00495E92">
        <w:rPr>
          <w:rFonts w:ascii="Book Antiqua" w:hAnsi="Book Antiqua" w:cs="Times New Roman"/>
          <w:b/>
          <w:i/>
          <w:sz w:val="24"/>
          <w:szCs w:val="24"/>
        </w:rPr>
        <w:t>TQ suppresses constitutive STAT3 phosphorylation and nuclear translocation</w:t>
      </w:r>
    </w:p>
    <w:p w:rsidR="00DF581C" w:rsidRPr="009E2BF9" w:rsidRDefault="009E2BF9" w:rsidP="001E38EA">
      <w:pPr>
        <w:adjustRightInd w:val="0"/>
        <w:snapToGrid w:val="0"/>
        <w:spacing w:line="360" w:lineRule="auto"/>
        <w:rPr>
          <w:rFonts w:ascii="Book Antiqua" w:hAnsi="Book Antiqua" w:cs="Times New Roman"/>
          <w:sz w:val="24"/>
          <w:szCs w:val="24"/>
        </w:rPr>
      </w:pPr>
      <w:r w:rsidRPr="009E2BF9">
        <w:rPr>
          <w:rFonts w:ascii="Book Antiqua" w:hAnsi="Book Antiqua" w:cs="Times New Roman"/>
          <w:sz w:val="24"/>
          <w:szCs w:val="24"/>
        </w:rPr>
        <w:t xml:space="preserve">Human gastric cancer cells are well-known to express constitutively active STAT3. Whether TQ can modulate the constitutive STAT3 activation in these cells was investigated. As shown in </w:t>
      </w:r>
      <w:r w:rsidR="00D60AB6">
        <w:rPr>
          <w:rFonts w:ascii="Book Antiqua" w:hAnsi="Book Antiqua" w:cs="Times New Roman"/>
          <w:sz w:val="24"/>
          <w:szCs w:val="24"/>
        </w:rPr>
        <w:t>Figure</w:t>
      </w:r>
      <w:r w:rsidRPr="009E2BF9">
        <w:rPr>
          <w:rFonts w:ascii="Book Antiqua" w:hAnsi="Book Antiqua" w:cs="Times New Roman"/>
          <w:sz w:val="24"/>
          <w:szCs w:val="24"/>
        </w:rPr>
        <w:t xml:space="preserve"> 1C (upper panel), TQ suppressed the constitutive activation of STAT3 in a concentration- and time-dependent manner, with complete inhibition occurring at 75 μ</w:t>
      </w:r>
      <w:r w:rsidR="00495E92">
        <w:rPr>
          <w:rFonts w:ascii="Book Antiqua" w:hAnsi="Book Antiqua" w:cs="Times New Roman" w:hint="eastAsia"/>
          <w:sz w:val="24"/>
          <w:szCs w:val="24"/>
        </w:rPr>
        <w:t>mol/L</w:t>
      </w:r>
      <w:r w:rsidRPr="009E2BF9">
        <w:rPr>
          <w:rFonts w:ascii="Book Antiqua" w:hAnsi="Book Antiqua" w:cs="Times New Roman"/>
          <w:sz w:val="24"/>
          <w:szCs w:val="24"/>
        </w:rPr>
        <w:t>. TQ had no effect on the expression of STAT3 proteins (</w:t>
      </w:r>
      <w:r w:rsidR="00D60AB6">
        <w:rPr>
          <w:rFonts w:ascii="Book Antiqua" w:hAnsi="Book Antiqua" w:cs="Times New Roman"/>
          <w:sz w:val="24"/>
          <w:szCs w:val="24"/>
        </w:rPr>
        <w:t>Figure</w:t>
      </w:r>
      <w:r w:rsidRPr="009E2BF9">
        <w:rPr>
          <w:rFonts w:ascii="Book Antiqua" w:hAnsi="Book Antiqua" w:cs="Times New Roman"/>
          <w:sz w:val="24"/>
          <w:szCs w:val="24"/>
        </w:rPr>
        <w:t xml:space="preserve"> 1C, lower panel). Besides, TQ also inhibits the levels of STAT3 gene in a concentration- and time-dependent manner, as demonstrated by Real-time PCR (</w:t>
      </w:r>
      <w:r w:rsidR="00D60AB6">
        <w:rPr>
          <w:rFonts w:ascii="Book Antiqua" w:hAnsi="Book Antiqua" w:cs="Times New Roman"/>
          <w:sz w:val="24"/>
          <w:szCs w:val="24"/>
        </w:rPr>
        <w:t>Figure</w:t>
      </w:r>
      <w:r w:rsidRPr="009E2BF9">
        <w:rPr>
          <w:rFonts w:ascii="Book Antiqua" w:hAnsi="Book Antiqua" w:cs="Times New Roman"/>
          <w:sz w:val="24"/>
          <w:szCs w:val="24"/>
        </w:rPr>
        <w:t xml:space="preserve"> 1D). Because the active dimer of STAT3 is capable of translocating to the nucleus and inducing transcription of specific target genes</w:t>
      </w:r>
      <w:r w:rsidRPr="009E2BF9">
        <w:rPr>
          <w:rFonts w:ascii="Book Antiqua" w:eastAsia="Times New Roman" w:hAnsi="Book Antiqua"/>
          <w:color w:val="080000"/>
          <w:sz w:val="24"/>
          <w:szCs w:val="24"/>
          <w:vertAlign w:val="superscript"/>
        </w:rPr>
        <w:t>[1</w:t>
      </w:r>
      <w:r w:rsidRPr="009E2BF9">
        <w:rPr>
          <w:rFonts w:ascii="Book Antiqua" w:eastAsia="SimSun" w:hAnsi="Book Antiqua"/>
          <w:color w:val="080000"/>
          <w:sz w:val="24"/>
          <w:szCs w:val="24"/>
          <w:vertAlign w:val="superscript"/>
        </w:rPr>
        <w:t>8</w:t>
      </w:r>
      <w:r w:rsidRPr="009E2BF9">
        <w:rPr>
          <w:rFonts w:ascii="Book Antiqua" w:eastAsia="Times New Roman" w:hAnsi="Book Antiqua"/>
          <w:color w:val="080000"/>
          <w:sz w:val="24"/>
          <w:szCs w:val="24"/>
          <w:vertAlign w:val="superscript"/>
        </w:rPr>
        <w:t>]</w:t>
      </w:r>
      <w:r w:rsidRPr="009E2BF9">
        <w:rPr>
          <w:rFonts w:ascii="Book Antiqua" w:hAnsi="Book Antiqua" w:cs="Times New Roman"/>
          <w:sz w:val="24"/>
          <w:szCs w:val="24"/>
        </w:rPr>
        <w:t xml:space="preserve">, we determined whether TQ suppresses the </w:t>
      </w:r>
      <w:bookmarkStart w:id="150" w:name="OLE_LINK40"/>
      <w:bookmarkStart w:id="151" w:name="OLE_LINK41"/>
      <w:r w:rsidRPr="009E2BF9">
        <w:rPr>
          <w:rFonts w:ascii="Book Antiqua" w:hAnsi="Book Antiqua" w:cs="Times New Roman"/>
          <w:sz w:val="24"/>
          <w:szCs w:val="24"/>
        </w:rPr>
        <w:t>nuclear translocation</w:t>
      </w:r>
      <w:bookmarkEnd w:id="150"/>
      <w:bookmarkEnd w:id="151"/>
      <w:r w:rsidRPr="009E2BF9">
        <w:rPr>
          <w:rFonts w:ascii="Book Antiqua" w:hAnsi="Book Antiqua" w:cs="Times New Roman"/>
          <w:sz w:val="24"/>
          <w:szCs w:val="24"/>
        </w:rPr>
        <w:t xml:space="preserve"> of STAT3. Western blot clearly demonstrates that TQ blocked the translocation of STAT3 into the nucleus in HGC27 cells (</w:t>
      </w:r>
      <w:r w:rsidR="00D60AB6">
        <w:rPr>
          <w:rFonts w:ascii="Book Antiqua" w:hAnsi="Book Antiqua" w:cs="Times New Roman"/>
          <w:sz w:val="24"/>
          <w:szCs w:val="24"/>
        </w:rPr>
        <w:t>Figure</w:t>
      </w:r>
      <w:r w:rsidRPr="009E2BF9">
        <w:rPr>
          <w:rFonts w:ascii="Book Antiqua" w:hAnsi="Book Antiqua" w:cs="Times New Roman"/>
          <w:sz w:val="24"/>
          <w:szCs w:val="24"/>
        </w:rPr>
        <w:t xml:space="preserve"> 1E). We also determined the effect of TQ on STAT5 activation. As shown in </w:t>
      </w:r>
      <w:r w:rsidR="00D60AB6">
        <w:rPr>
          <w:rFonts w:ascii="Book Antiqua" w:hAnsi="Book Antiqua" w:cs="Times New Roman"/>
          <w:sz w:val="24"/>
          <w:szCs w:val="24"/>
        </w:rPr>
        <w:t>Figure</w:t>
      </w:r>
      <w:r w:rsidRPr="009E2BF9">
        <w:rPr>
          <w:rFonts w:ascii="Book Antiqua" w:hAnsi="Book Antiqua" w:cs="Times New Roman"/>
          <w:sz w:val="24"/>
          <w:szCs w:val="24"/>
        </w:rPr>
        <w:t xml:space="preserve"> 2A</w:t>
      </w:r>
      <w:r w:rsidR="00495E92">
        <w:rPr>
          <w:rFonts w:ascii="Book Antiqua" w:hAnsi="Book Antiqua" w:cs="Times New Roman" w:hint="eastAsia"/>
          <w:sz w:val="24"/>
          <w:szCs w:val="24"/>
        </w:rPr>
        <w:t xml:space="preserve"> and </w:t>
      </w:r>
      <w:r w:rsidRPr="009E2BF9">
        <w:rPr>
          <w:rFonts w:ascii="Book Antiqua" w:hAnsi="Book Antiqua" w:cs="Times New Roman"/>
          <w:sz w:val="24"/>
          <w:szCs w:val="24"/>
        </w:rPr>
        <w:t>B, TQ did not inhibit STAT5 phosphorylation or the expression of STAT3 protein (</w:t>
      </w:r>
      <w:r w:rsidR="00D60AB6">
        <w:rPr>
          <w:rFonts w:ascii="Book Antiqua" w:hAnsi="Book Antiqua" w:cs="Times New Roman"/>
          <w:sz w:val="24"/>
          <w:szCs w:val="24"/>
        </w:rPr>
        <w:t>Figure</w:t>
      </w:r>
      <w:r w:rsidRPr="009E2BF9">
        <w:rPr>
          <w:rFonts w:ascii="Book Antiqua" w:hAnsi="Book Antiqua" w:cs="Times New Roman"/>
          <w:sz w:val="24"/>
          <w:szCs w:val="24"/>
        </w:rPr>
        <w:t xml:space="preserve"> 2A</w:t>
      </w:r>
      <w:r w:rsidR="00495E92">
        <w:rPr>
          <w:rFonts w:ascii="Book Antiqua" w:hAnsi="Book Antiqua" w:cs="Times New Roman" w:hint="eastAsia"/>
          <w:sz w:val="24"/>
          <w:szCs w:val="24"/>
        </w:rPr>
        <w:t xml:space="preserve"> and </w:t>
      </w:r>
      <w:r w:rsidRPr="009E2BF9">
        <w:rPr>
          <w:rFonts w:ascii="Book Antiqua" w:hAnsi="Book Antiqua" w:cs="Times New Roman"/>
          <w:sz w:val="24"/>
          <w:szCs w:val="24"/>
        </w:rPr>
        <w:t>B). The results indicate that TQ specifically inhibits STAT3 tyrosine phosphorylation.</w:t>
      </w:r>
    </w:p>
    <w:p w:rsidR="00DF581C" w:rsidRPr="009E2BF9" w:rsidRDefault="00DF581C" w:rsidP="001E38EA">
      <w:pPr>
        <w:adjustRightInd w:val="0"/>
        <w:snapToGrid w:val="0"/>
        <w:spacing w:line="360" w:lineRule="auto"/>
        <w:rPr>
          <w:rFonts w:ascii="Book Antiqua" w:hAnsi="Book Antiqua"/>
          <w:sz w:val="24"/>
          <w:szCs w:val="24"/>
        </w:rPr>
      </w:pPr>
    </w:p>
    <w:p w:rsidR="00DF581C" w:rsidRPr="00E54836" w:rsidRDefault="009E2BF9" w:rsidP="001E38EA">
      <w:pPr>
        <w:adjustRightInd w:val="0"/>
        <w:snapToGrid w:val="0"/>
        <w:spacing w:line="360" w:lineRule="auto"/>
        <w:rPr>
          <w:rFonts w:ascii="Book Antiqua" w:hAnsi="Book Antiqua"/>
          <w:b/>
          <w:i/>
          <w:sz w:val="24"/>
          <w:szCs w:val="24"/>
        </w:rPr>
      </w:pPr>
      <w:r w:rsidRPr="00E54836">
        <w:rPr>
          <w:rFonts w:ascii="Book Antiqua" w:hAnsi="Book Antiqua"/>
          <w:b/>
          <w:i/>
          <w:sz w:val="24"/>
          <w:szCs w:val="24"/>
        </w:rPr>
        <w:t>TQ suppressed constitutive activation of other proteins</w:t>
      </w:r>
    </w:p>
    <w:p w:rsidR="00DF581C" w:rsidRPr="009E2BF9" w:rsidRDefault="009E2BF9" w:rsidP="001E38EA">
      <w:pPr>
        <w:adjustRightInd w:val="0"/>
        <w:snapToGrid w:val="0"/>
        <w:spacing w:line="360" w:lineRule="auto"/>
        <w:rPr>
          <w:rFonts w:ascii="Book Antiqua" w:hAnsi="Book Antiqua"/>
          <w:sz w:val="24"/>
          <w:szCs w:val="24"/>
        </w:rPr>
      </w:pPr>
      <w:r w:rsidRPr="009E2BF9">
        <w:rPr>
          <w:rFonts w:ascii="Book Antiqua" w:hAnsi="Book Antiqua"/>
          <w:sz w:val="24"/>
          <w:szCs w:val="24"/>
        </w:rPr>
        <w:t>Since JAK2 and c-Src kinase were two of the main kinases involved in the activation of STAT3</w:t>
      </w:r>
      <w:r w:rsidRPr="009E2BF9">
        <w:rPr>
          <w:rFonts w:ascii="Book Antiqua" w:eastAsia="Times New Roman" w:hAnsi="Book Antiqua"/>
          <w:color w:val="080000"/>
          <w:sz w:val="24"/>
          <w:szCs w:val="24"/>
          <w:vertAlign w:val="superscript"/>
        </w:rPr>
        <w:t>[</w:t>
      </w:r>
      <w:r w:rsidRPr="009E2BF9">
        <w:rPr>
          <w:rFonts w:ascii="Book Antiqua" w:eastAsia="SimSun" w:hAnsi="Book Antiqua"/>
          <w:color w:val="080000"/>
          <w:sz w:val="24"/>
          <w:szCs w:val="24"/>
          <w:vertAlign w:val="superscript"/>
        </w:rPr>
        <w:t>19,20</w:t>
      </w:r>
      <w:r w:rsidRPr="009E2BF9">
        <w:rPr>
          <w:rFonts w:ascii="Book Antiqua" w:eastAsia="Times New Roman" w:hAnsi="Book Antiqua"/>
          <w:color w:val="080000"/>
          <w:sz w:val="24"/>
          <w:szCs w:val="24"/>
          <w:vertAlign w:val="superscript"/>
        </w:rPr>
        <w:t>]</w:t>
      </w:r>
      <w:r w:rsidRPr="009E2BF9">
        <w:rPr>
          <w:rFonts w:ascii="Book Antiqua" w:hAnsi="Book Antiqua"/>
          <w:sz w:val="24"/>
          <w:szCs w:val="24"/>
        </w:rPr>
        <w:t xml:space="preserve">, we also examined the effect of TQ on the expression and phosphorylation  of those two proteins. As shown in </w:t>
      </w:r>
      <w:r w:rsidR="00D60AB6">
        <w:rPr>
          <w:rFonts w:ascii="Book Antiqua" w:hAnsi="Book Antiqua"/>
          <w:sz w:val="24"/>
          <w:szCs w:val="24"/>
        </w:rPr>
        <w:t>Figure</w:t>
      </w:r>
      <w:r w:rsidRPr="009E2BF9">
        <w:rPr>
          <w:rFonts w:ascii="Book Antiqua" w:hAnsi="Book Antiqua"/>
          <w:sz w:val="24"/>
          <w:szCs w:val="24"/>
        </w:rPr>
        <w:t xml:space="preserve"> 2C, JAK2 was constitutively active in HGC27 cells and the pretreatment with TQ clearly suppressed this phosphorylation in a time-dependent manner. However, JAK2 was remained at the same level with no change. At the same time, we found that TQ suppressed the constitutive phosphorylation of c-Src kinase in </w:t>
      </w:r>
      <w:r w:rsidRPr="009E2BF9">
        <w:rPr>
          <w:rFonts w:ascii="Book Antiqua" w:hAnsi="Book Antiqua"/>
          <w:sz w:val="24"/>
          <w:szCs w:val="24"/>
        </w:rPr>
        <w:lastRenderedPageBreak/>
        <w:t>a time-dependent manner as well</w:t>
      </w:r>
      <w:r w:rsidR="005C729E">
        <w:rPr>
          <w:rFonts w:ascii="Book Antiqua" w:hAnsi="Book Antiqua" w:hint="eastAsia"/>
          <w:sz w:val="24"/>
          <w:szCs w:val="24"/>
        </w:rPr>
        <w:t xml:space="preserve"> </w:t>
      </w:r>
      <w:r w:rsidRPr="009E2BF9">
        <w:rPr>
          <w:rFonts w:ascii="Book Antiqua" w:hAnsi="Book Antiqua"/>
          <w:sz w:val="24"/>
          <w:szCs w:val="24"/>
        </w:rPr>
        <w:t>(</w:t>
      </w:r>
      <w:r w:rsidR="00D60AB6">
        <w:rPr>
          <w:rFonts w:ascii="Book Antiqua" w:hAnsi="Book Antiqua"/>
          <w:sz w:val="24"/>
          <w:szCs w:val="24"/>
        </w:rPr>
        <w:t>Figure</w:t>
      </w:r>
      <w:r w:rsidRPr="009E2BF9">
        <w:rPr>
          <w:rFonts w:ascii="Book Antiqua" w:hAnsi="Book Antiqua"/>
          <w:sz w:val="24"/>
          <w:szCs w:val="24"/>
        </w:rPr>
        <w:t xml:space="preserve"> 2D). While the levels of total c-Src kinase remained unchanged under the same conditions (</w:t>
      </w:r>
      <w:r w:rsidR="00D60AB6">
        <w:rPr>
          <w:rFonts w:ascii="Book Antiqua" w:hAnsi="Book Antiqua"/>
          <w:sz w:val="24"/>
          <w:szCs w:val="24"/>
        </w:rPr>
        <w:t>Figure</w:t>
      </w:r>
      <w:r w:rsidRPr="009E2BF9">
        <w:rPr>
          <w:rFonts w:ascii="Book Antiqua" w:hAnsi="Book Antiqua"/>
          <w:sz w:val="24"/>
          <w:szCs w:val="24"/>
        </w:rPr>
        <w:t xml:space="preserve"> 2D, lower panel). </w:t>
      </w:r>
    </w:p>
    <w:p w:rsidR="00DF581C" w:rsidRPr="009E2BF9" w:rsidRDefault="00DF581C" w:rsidP="001E38EA">
      <w:pPr>
        <w:adjustRightInd w:val="0"/>
        <w:snapToGrid w:val="0"/>
        <w:spacing w:line="360" w:lineRule="auto"/>
        <w:rPr>
          <w:rFonts w:ascii="Book Antiqua" w:hAnsi="Book Antiqua" w:cs="Times New Roman"/>
          <w:iCs/>
          <w:sz w:val="24"/>
          <w:szCs w:val="24"/>
        </w:rPr>
      </w:pPr>
    </w:p>
    <w:p w:rsidR="00DF581C" w:rsidRPr="005C729E" w:rsidRDefault="009E2BF9" w:rsidP="001E38EA">
      <w:pPr>
        <w:adjustRightInd w:val="0"/>
        <w:snapToGrid w:val="0"/>
        <w:spacing w:line="360" w:lineRule="auto"/>
        <w:rPr>
          <w:rFonts w:ascii="Book Antiqua" w:hAnsi="Book Antiqua" w:cs="Times New Roman"/>
          <w:b/>
          <w:i/>
          <w:iCs/>
          <w:sz w:val="24"/>
          <w:szCs w:val="24"/>
        </w:rPr>
      </w:pPr>
      <w:r w:rsidRPr="005C729E">
        <w:rPr>
          <w:rFonts w:ascii="Book Antiqua" w:hAnsi="Book Antiqua" w:cs="Times New Roman"/>
          <w:b/>
          <w:i/>
          <w:iCs/>
          <w:sz w:val="24"/>
          <w:szCs w:val="24"/>
        </w:rPr>
        <w:t xml:space="preserve">TQ </w:t>
      </w:r>
      <w:bookmarkStart w:id="152" w:name="OLE_LINK20"/>
      <w:bookmarkStart w:id="153" w:name="OLE_LINK21"/>
      <w:r w:rsidRPr="005C729E">
        <w:rPr>
          <w:rFonts w:ascii="Book Antiqua" w:hAnsi="Book Antiqua" w:cs="Times New Roman"/>
          <w:b/>
          <w:i/>
          <w:iCs/>
          <w:sz w:val="24"/>
          <w:szCs w:val="24"/>
        </w:rPr>
        <w:t>suppresses STAT3-dependent reporter gene expression</w:t>
      </w:r>
      <w:bookmarkEnd w:id="152"/>
      <w:bookmarkEnd w:id="153"/>
    </w:p>
    <w:p w:rsidR="00DF581C" w:rsidRPr="009E2BF9" w:rsidRDefault="009E2BF9" w:rsidP="001E38EA">
      <w:pPr>
        <w:adjustRightInd w:val="0"/>
        <w:snapToGrid w:val="0"/>
        <w:spacing w:line="360" w:lineRule="auto"/>
        <w:rPr>
          <w:rFonts w:ascii="Book Antiqua" w:hAnsi="Book Antiqua" w:cs="Times New Roman"/>
          <w:iCs/>
          <w:sz w:val="24"/>
          <w:szCs w:val="24"/>
        </w:rPr>
      </w:pPr>
      <w:r w:rsidRPr="009E2BF9">
        <w:rPr>
          <w:rFonts w:ascii="Book Antiqua" w:hAnsi="Book Antiqua"/>
          <w:sz w:val="24"/>
          <w:szCs w:val="24"/>
        </w:rPr>
        <w:t>Since STAT3 was constitutively active in gastric cancer and plays a critical role in cell proliferation</w:t>
      </w:r>
      <w:r w:rsidR="005C729E">
        <w:rPr>
          <w:rFonts w:ascii="Book Antiqua" w:hAnsi="Book Antiqua"/>
          <w:sz w:val="24"/>
          <w:szCs w:val="24"/>
        </w:rPr>
        <w:t xml:space="preserve"> through transcriptional activa</w:t>
      </w:r>
      <w:r w:rsidRPr="009E2BF9">
        <w:rPr>
          <w:rFonts w:ascii="Book Antiqua" w:hAnsi="Book Antiqua"/>
          <w:sz w:val="24"/>
          <w:szCs w:val="24"/>
        </w:rPr>
        <w:t>tion of pro-survival genes</w:t>
      </w:r>
      <w:r w:rsidRPr="009E2BF9">
        <w:rPr>
          <w:rFonts w:ascii="Book Antiqua" w:eastAsia="Times New Roman" w:hAnsi="Book Antiqua"/>
          <w:color w:val="080000"/>
          <w:sz w:val="24"/>
          <w:szCs w:val="24"/>
          <w:vertAlign w:val="superscript"/>
        </w:rPr>
        <w:t>[</w:t>
      </w:r>
      <w:r w:rsidRPr="009E2BF9">
        <w:rPr>
          <w:rFonts w:ascii="Book Antiqua" w:eastAsia="SimSun" w:hAnsi="Book Antiqua"/>
          <w:color w:val="080000"/>
          <w:sz w:val="24"/>
          <w:szCs w:val="24"/>
          <w:vertAlign w:val="superscript"/>
        </w:rPr>
        <w:t>21</w:t>
      </w:r>
      <w:r w:rsidRPr="009E2BF9">
        <w:rPr>
          <w:rFonts w:ascii="Book Antiqua" w:eastAsia="Times New Roman" w:hAnsi="Book Antiqua"/>
          <w:color w:val="080000"/>
          <w:sz w:val="24"/>
          <w:szCs w:val="24"/>
          <w:vertAlign w:val="superscript"/>
        </w:rPr>
        <w:t>]</w:t>
      </w:r>
      <w:r w:rsidRPr="009E2BF9">
        <w:rPr>
          <w:rFonts w:ascii="Book Antiqua" w:hAnsi="Book Antiqua"/>
          <w:sz w:val="24"/>
          <w:szCs w:val="24"/>
        </w:rPr>
        <w:t xml:space="preserve">, we found that </w:t>
      </w:r>
      <w:r w:rsidRPr="009E2BF9">
        <w:rPr>
          <w:rFonts w:ascii="Book Antiqua" w:hAnsi="Book Antiqua" w:cs="Times New Roman"/>
          <w:iCs/>
          <w:sz w:val="24"/>
          <w:szCs w:val="24"/>
        </w:rPr>
        <w:t>TQ reduced the STAT3 reporter gene activity in HGC27 cells which were transiently transfected with STAT3-luc vector (</w:t>
      </w:r>
      <w:r w:rsidR="00D60AB6">
        <w:rPr>
          <w:rFonts w:ascii="Book Antiqua" w:hAnsi="Book Antiqua" w:cs="Times New Roman"/>
          <w:iCs/>
          <w:sz w:val="24"/>
          <w:szCs w:val="24"/>
        </w:rPr>
        <w:t>Figure</w:t>
      </w:r>
      <w:r w:rsidRPr="009E2BF9">
        <w:rPr>
          <w:rFonts w:ascii="Book Antiqua" w:hAnsi="Book Antiqua" w:cs="Times New Roman"/>
          <w:iCs/>
          <w:sz w:val="24"/>
          <w:szCs w:val="24"/>
        </w:rPr>
        <w:t xml:space="preserve"> 3A). Moreover, TQ attenuated the protein expression of STAT3 target gene products, such as survivin, cyclin-D, VEGF, Bcl-2, and increased the expression levels of Bax (</w:t>
      </w:r>
      <w:r w:rsidR="00D60AB6">
        <w:rPr>
          <w:rFonts w:ascii="Book Antiqua" w:hAnsi="Book Antiqua" w:cs="Times New Roman"/>
          <w:iCs/>
          <w:sz w:val="24"/>
          <w:szCs w:val="24"/>
        </w:rPr>
        <w:t>Figure</w:t>
      </w:r>
      <w:r w:rsidRPr="009E2BF9">
        <w:rPr>
          <w:rFonts w:ascii="Book Antiqua" w:hAnsi="Book Antiqua" w:cs="Times New Roman"/>
          <w:iCs/>
          <w:sz w:val="24"/>
          <w:szCs w:val="24"/>
        </w:rPr>
        <w:t xml:space="preserve"> 3B,</w:t>
      </w:r>
      <w:r w:rsidR="005C729E">
        <w:rPr>
          <w:rFonts w:ascii="Book Antiqua" w:hAnsi="Book Antiqua" w:cs="Times New Roman" w:hint="eastAsia"/>
          <w:iCs/>
          <w:sz w:val="24"/>
          <w:szCs w:val="24"/>
        </w:rPr>
        <w:t xml:space="preserve"> </w:t>
      </w:r>
      <w:r w:rsidRPr="009E2BF9">
        <w:rPr>
          <w:rFonts w:ascii="Book Antiqua" w:hAnsi="Book Antiqua" w:cs="Times New Roman"/>
          <w:iCs/>
          <w:sz w:val="24"/>
          <w:szCs w:val="24"/>
        </w:rPr>
        <w:t xml:space="preserve">C). </w:t>
      </w:r>
    </w:p>
    <w:p w:rsidR="00DF581C" w:rsidRPr="009E2BF9" w:rsidRDefault="00DF581C" w:rsidP="001E38EA">
      <w:pPr>
        <w:adjustRightInd w:val="0"/>
        <w:snapToGrid w:val="0"/>
        <w:spacing w:line="360" w:lineRule="auto"/>
        <w:rPr>
          <w:rFonts w:ascii="Book Antiqua" w:hAnsi="Book Antiqua" w:cs="Times New Roman"/>
          <w:iCs/>
          <w:sz w:val="24"/>
          <w:szCs w:val="24"/>
        </w:rPr>
      </w:pPr>
    </w:p>
    <w:p w:rsidR="00DF581C" w:rsidRPr="005C729E" w:rsidRDefault="009E2BF9" w:rsidP="001E38EA">
      <w:pPr>
        <w:adjustRightInd w:val="0"/>
        <w:snapToGrid w:val="0"/>
        <w:spacing w:line="360" w:lineRule="auto"/>
        <w:rPr>
          <w:rFonts w:ascii="Book Antiqua" w:hAnsi="Book Antiqua" w:cs="Times New Roman"/>
          <w:b/>
          <w:i/>
          <w:iCs/>
          <w:sz w:val="24"/>
          <w:szCs w:val="24"/>
        </w:rPr>
      </w:pPr>
      <w:r w:rsidRPr="005C729E">
        <w:rPr>
          <w:rFonts w:ascii="Book Antiqua" w:hAnsi="Book Antiqua" w:cs="Times New Roman"/>
          <w:b/>
          <w:i/>
          <w:iCs/>
          <w:sz w:val="24"/>
          <w:szCs w:val="24"/>
        </w:rPr>
        <w:t>TQ activated caspase activity and induced PARP cleavage</w:t>
      </w:r>
    </w:p>
    <w:p w:rsidR="00DF581C" w:rsidRPr="009E2BF9" w:rsidRDefault="009E2BF9" w:rsidP="001E38EA">
      <w:pPr>
        <w:adjustRightInd w:val="0"/>
        <w:snapToGrid w:val="0"/>
        <w:spacing w:line="360" w:lineRule="auto"/>
        <w:rPr>
          <w:rFonts w:ascii="Book Antiqua" w:hAnsi="Book Antiqua" w:cs="Times New Roman"/>
          <w:iCs/>
          <w:sz w:val="24"/>
          <w:szCs w:val="24"/>
        </w:rPr>
      </w:pPr>
      <w:r w:rsidRPr="009E2BF9">
        <w:rPr>
          <w:rFonts w:ascii="Book Antiqua" w:hAnsi="Book Antiqua" w:cs="Times New Roman"/>
          <w:iCs/>
          <w:sz w:val="24"/>
          <w:szCs w:val="24"/>
        </w:rPr>
        <w:t>Whether suppression of constitutively active STAT3 in HGC27 cells by TQ caused cell apoptosis was also investigated. In HGC27 cells treated with TQ, there was a concentration-dependent activation of pro-caspase-3, 7, 9 (Figure 3D). Activation of downstream procaspase-3 led to the cleavage of a 116 kDa PARP protein into an 85 kDa fragment (Figure 3C). These results clearly suggested that TQ induces caspase-3-dependent apoptosis in HGC27 cells.</w:t>
      </w:r>
    </w:p>
    <w:p w:rsidR="00DF581C" w:rsidRPr="009E2BF9" w:rsidRDefault="00DF581C" w:rsidP="001E38EA">
      <w:pPr>
        <w:adjustRightInd w:val="0"/>
        <w:snapToGrid w:val="0"/>
        <w:spacing w:line="360" w:lineRule="auto"/>
        <w:rPr>
          <w:rFonts w:ascii="Book Antiqua" w:hAnsi="Book Antiqua" w:cs="Times New Roman"/>
          <w:b/>
          <w:sz w:val="24"/>
          <w:szCs w:val="24"/>
        </w:rPr>
      </w:pPr>
    </w:p>
    <w:p w:rsidR="00DF581C" w:rsidRPr="005C729E" w:rsidRDefault="009E2BF9" w:rsidP="001E38EA">
      <w:pPr>
        <w:adjustRightInd w:val="0"/>
        <w:snapToGrid w:val="0"/>
        <w:spacing w:line="360" w:lineRule="auto"/>
        <w:rPr>
          <w:rFonts w:ascii="Book Antiqua" w:hAnsi="Book Antiqua" w:cs="Times New Roman"/>
          <w:b/>
          <w:i/>
          <w:iCs/>
          <w:sz w:val="24"/>
          <w:szCs w:val="24"/>
        </w:rPr>
      </w:pPr>
      <w:r w:rsidRPr="005C729E">
        <w:rPr>
          <w:rFonts w:ascii="Book Antiqua" w:hAnsi="Book Antiqua" w:cs="Times New Roman"/>
          <w:b/>
          <w:i/>
          <w:iCs/>
          <w:sz w:val="24"/>
          <w:szCs w:val="24"/>
        </w:rPr>
        <w:t>TQ inhibited proliferation and induces apoptosis</w:t>
      </w:r>
    </w:p>
    <w:p w:rsidR="00DF581C" w:rsidRPr="009E2BF9" w:rsidRDefault="009E2BF9" w:rsidP="001E38EA">
      <w:pPr>
        <w:adjustRightInd w:val="0"/>
        <w:snapToGrid w:val="0"/>
        <w:spacing w:line="360" w:lineRule="auto"/>
        <w:rPr>
          <w:rFonts w:ascii="Book Antiqua" w:hAnsi="Book Antiqua" w:cs="Times New Roman"/>
          <w:iCs/>
          <w:sz w:val="24"/>
          <w:szCs w:val="24"/>
        </w:rPr>
      </w:pPr>
      <w:r w:rsidRPr="009E2BF9">
        <w:rPr>
          <w:rFonts w:ascii="Book Antiqua" w:hAnsi="Book Antiqua" w:cs="Times New Roman"/>
          <w:iCs/>
          <w:sz w:val="24"/>
          <w:szCs w:val="24"/>
        </w:rPr>
        <w:t>According to the results of MTT assay, the cell viabilities were reduced in the present of TQ (25, 50 or 75 μ</w:t>
      </w:r>
      <w:r w:rsidR="005C729E">
        <w:rPr>
          <w:rFonts w:ascii="Book Antiqua" w:hAnsi="Book Antiqua" w:cs="Times New Roman" w:hint="eastAsia"/>
          <w:iCs/>
          <w:sz w:val="24"/>
          <w:szCs w:val="24"/>
        </w:rPr>
        <w:t>mol/L</w:t>
      </w:r>
      <w:r w:rsidRPr="009E2BF9">
        <w:rPr>
          <w:rFonts w:ascii="Book Antiqua" w:hAnsi="Book Antiqua" w:cs="Times New Roman"/>
          <w:iCs/>
          <w:sz w:val="24"/>
          <w:szCs w:val="24"/>
        </w:rPr>
        <w:t>) in a time- and concentration-dependent manner (</w:t>
      </w:r>
      <w:r w:rsidR="00D60AB6">
        <w:rPr>
          <w:rFonts w:ascii="Book Antiqua" w:hAnsi="Book Antiqua" w:cs="Times New Roman"/>
          <w:iCs/>
          <w:sz w:val="24"/>
          <w:szCs w:val="24"/>
        </w:rPr>
        <w:t>Figure</w:t>
      </w:r>
      <w:r w:rsidRPr="009E2BF9">
        <w:rPr>
          <w:rFonts w:ascii="Book Antiqua" w:hAnsi="Book Antiqua" w:cs="Times New Roman"/>
          <w:iCs/>
          <w:sz w:val="24"/>
          <w:szCs w:val="24"/>
        </w:rPr>
        <w:t xml:space="preserve"> 4). Annexin V staining of cells tr</w:t>
      </w:r>
      <w:r w:rsidR="000F4707">
        <w:rPr>
          <w:rFonts w:ascii="Book Antiqua" w:hAnsi="Book Antiqua" w:cs="Times New Roman"/>
          <w:iCs/>
          <w:sz w:val="24"/>
          <w:szCs w:val="24"/>
        </w:rPr>
        <w:t>eated with the indicated concen</w:t>
      </w:r>
      <w:r w:rsidRPr="009E2BF9">
        <w:rPr>
          <w:rFonts w:ascii="Book Antiqua" w:hAnsi="Book Antiqua" w:cs="Times New Roman"/>
          <w:iCs/>
          <w:sz w:val="24"/>
          <w:szCs w:val="24"/>
        </w:rPr>
        <w:t>trations of TQ showed that the compound induced apoptosis in a concentration-dependent manner (</w:t>
      </w:r>
      <w:r w:rsidR="00D60AB6">
        <w:rPr>
          <w:rFonts w:ascii="Book Antiqua" w:hAnsi="Book Antiqua" w:cs="Times New Roman"/>
          <w:iCs/>
          <w:sz w:val="24"/>
          <w:szCs w:val="24"/>
        </w:rPr>
        <w:t>Figure</w:t>
      </w:r>
      <w:r w:rsidRPr="009E2BF9">
        <w:rPr>
          <w:rFonts w:ascii="Book Antiqua" w:hAnsi="Book Antiqua" w:cs="Times New Roman"/>
          <w:iCs/>
          <w:sz w:val="24"/>
          <w:szCs w:val="24"/>
        </w:rPr>
        <w:t xml:space="preserve"> 5A). In addition, Hoechst 33258 staining </w:t>
      </w:r>
      <w:r w:rsidR="005C729E">
        <w:rPr>
          <w:rFonts w:ascii="Book Antiqua" w:hAnsi="Book Antiqua" w:cs="Times New Roman"/>
          <w:iCs/>
          <w:sz w:val="24"/>
          <w:szCs w:val="24"/>
        </w:rPr>
        <w:t>were also used in treated cells</w:t>
      </w:r>
      <w:r w:rsidRPr="009E2BF9">
        <w:rPr>
          <w:rFonts w:ascii="Book Antiqua" w:hAnsi="Book Antiqua" w:cs="Times New Roman"/>
          <w:iCs/>
          <w:sz w:val="24"/>
          <w:szCs w:val="24"/>
        </w:rPr>
        <w:t>, which showing that apoptotic bodies containing nuclear fragments were generated in apoptosis cells (</w:t>
      </w:r>
      <w:r w:rsidR="00D60AB6">
        <w:rPr>
          <w:rFonts w:ascii="Book Antiqua" w:hAnsi="Book Antiqua" w:cs="Times New Roman"/>
          <w:iCs/>
          <w:sz w:val="24"/>
          <w:szCs w:val="24"/>
        </w:rPr>
        <w:t>Figure</w:t>
      </w:r>
      <w:r w:rsidRPr="009E2BF9">
        <w:rPr>
          <w:rFonts w:ascii="Book Antiqua" w:hAnsi="Book Antiqua" w:cs="Times New Roman"/>
          <w:iCs/>
          <w:sz w:val="24"/>
          <w:szCs w:val="24"/>
        </w:rPr>
        <w:t xml:space="preserve"> 5B).</w:t>
      </w:r>
    </w:p>
    <w:p w:rsidR="00DF581C" w:rsidRPr="009E2BF9" w:rsidRDefault="00DF581C" w:rsidP="001E38EA">
      <w:pPr>
        <w:adjustRightInd w:val="0"/>
        <w:snapToGrid w:val="0"/>
        <w:spacing w:line="360" w:lineRule="auto"/>
        <w:rPr>
          <w:rFonts w:ascii="Book Antiqua" w:hAnsi="Book Antiqua" w:cs="Times New Roman"/>
          <w:iCs/>
          <w:sz w:val="24"/>
          <w:szCs w:val="24"/>
        </w:rPr>
      </w:pPr>
    </w:p>
    <w:p w:rsidR="00DF581C" w:rsidRPr="005C729E" w:rsidRDefault="009E2BF9" w:rsidP="001E38EA">
      <w:pPr>
        <w:adjustRightInd w:val="0"/>
        <w:snapToGrid w:val="0"/>
        <w:spacing w:line="360" w:lineRule="auto"/>
        <w:rPr>
          <w:rFonts w:ascii="Book Antiqua" w:hAnsi="Book Antiqua" w:cs="Times New Roman"/>
          <w:b/>
          <w:i/>
          <w:sz w:val="24"/>
          <w:szCs w:val="24"/>
        </w:rPr>
      </w:pPr>
      <w:r w:rsidRPr="005C729E">
        <w:rPr>
          <w:rFonts w:ascii="Book Antiqua" w:hAnsi="Book Antiqua" w:cs="Times New Roman"/>
          <w:b/>
          <w:i/>
          <w:sz w:val="24"/>
          <w:szCs w:val="24"/>
        </w:rPr>
        <w:t>Anti-tumor effects in vivo</w:t>
      </w:r>
    </w:p>
    <w:p w:rsidR="00DF581C" w:rsidRPr="009E2BF9" w:rsidRDefault="009E2BF9" w:rsidP="001E38EA">
      <w:pPr>
        <w:adjustRightInd w:val="0"/>
        <w:snapToGrid w:val="0"/>
        <w:spacing w:line="360" w:lineRule="auto"/>
        <w:rPr>
          <w:rFonts w:ascii="Book Antiqua" w:hAnsi="Book Antiqua" w:cs="Times New Roman"/>
          <w:sz w:val="24"/>
          <w:szCs w:val="24"/>
        </w:rPr>
      </w:pPr>
      <w:r w:rsidRPr="009E2BF9">
        <w:rPr>
          <w:rFonts w:ascii="Book Antiqua" w:hAnsi="Book Antiqua" w:cs="Times New Roman"/>
          <w:sz w:val="24"/>
          <w:szCs w:val="24"/>
        </w:rPr>
        <w:lastRenderedPageBreak/>
        <w:t xml:space="preserve">According to the analysis of apoptosis induction in gastric cancer cell </w:t>
      </w:r>
      <w:r w:rsidRPr="009E2BF9">
        <w:rPr>
          <w:rFonts w:ascii="Book Antiqua" w:hAnsi="Book Antiqua" w:cs="Times New Roman"/>
          <w:i/>
          <w:sz w:val="24"/>
          <w:szCs w:val="24"/>
        </w:rPr>
        <w:t>in vitro</w:t>
      </w:r>
      <w:r w:rsidRPr="009E2BF9">
        <w:rPr>
          <w:rFonts w:ascii="Book Antiqua" w:hAnsi="Book Antiqua" w:cs="Times New Roman"/>
          <w:sz w:val="24"/>
          <w:szCs w:val="24"/>
        </w:rPr>
        <w:t>, the antitumor effect of TQ was in a dose-dependent manner. In a xenograft tumor mouse model, the treatments of intraperitoneally adminis</w:t>
      </w:r>
      <w:r w:rsidR="005C729E">
        <w:rPr>
          <w:rFonts w:ascii="Book Antiqua" w:hAnsi="Book Antiqua" w:cs="Times New Roman"/>
          <w:sz w:val="24"/>
          <w:szCs w:val="24"/>
        </w:rPr>
        <w:t>tered injections of TQ for 30 d</w:t>
      </w:r>
      <w:r w:rsidRPr="009E2BF9">
        <w:rPr>
          <w:rFonts w:ascii="Book Antiqua" w:hAnsi="Book Antiqua" w:cs="Times New Roman"/>
          <w:sz w:val="24"/>
          <w:szCs w:val="24"/>
        </w:rPr>
        <w:t xml:space="preserve"> led to significant decreases in tumor weight and size in contrast to the control group mice (</w:t>
      </w:r>
      <w:r w:rsidR="005C729E" w:rsidRPr="005C729E">
        <w:rPr>
          <w:rFonts w:ascii="Book Antiqua" w:hAnsi="Book Antiqua" w:cs="Times New Roman"/>
          <w:i/>
          <w:sz w:val="24"/>
          <w:szCs w:val="24"/>
        </w:rPr>
        <w:t>P &lt;</w:t>
      </w:r>
      <w:r w:rsidRPr="009E2BF9">
        <w:rPr>
          <w:rFonts w:ascii="Book Antiqua" w:hAnsi="Book Antiqua" w:cs="Times New Roman"/>
          <w:sz w:val="24"/>
          <w:szCs w:val="24"/>
        </w:rPr>
        <w:t xml:space="preserve"> 0.05). (</w:t>
      </w:r>
      <w:r w:rsidR="00D60AB6">
        <w:rPr>
          <w:rFonts w:ascii="Book Antiqua" w:hAnsi="Book Antiqua" w:cs="Times New Roman"/>
          <w:sz w:val="24"/>
          <w:szCs w:val="24"/>
        </w:rPr>
        <w:t>Figure</w:t>
      </w:r>
      <w:r w:rsidRPr="009E2BF9">
        <w:rPr>
          <w:rFonts w:ascii="Book Antiqua" w:hAnsi="Book Antiqua" w:cs="Times New Roman"/>
          <w:sz w:val="24"/>
          <w:szCs w:val="24"/>
        </w:rPr>
        <w:t xml:space="preserve"> 6A, B). Tumor tissues isolated from the xenograft mice of four groups were processed for TUNEL assay, the results showed (</w:t>
      </w:r>
      <w:r w:rsidR="00D60AB6">
        <w:rPr>
          <w:rFonts w:ascii="Book Antiqua" w:hAnsi="Book Antiqua" w:cs="Times New Roman"/>
          <w:sz w:val="24"/>
          <w:szCs w:val="24"/>
        </w:rPr>
        <w:t>Figure</w:t>
      </w:r>
      <w:r w:rsidRPr="009E2BF9">
        <w:rPr>
          <w:rFonts w:ascii="Book Antiqua" w:hAnsi="Book Antiqua" w:cs="Times New Roman"/>
          <w:sz w:val="24"/>
          <w:szCs w:val="24"/>
        </w:rPr>
        <w:t xml:space="preserve"> 6C</w:t>
      </w:r>
      <w:r w:rsidR="005B61AD">
        <w:rPr>
          <w:rFonts w:ascii="Book Antiqua" w:hAnsi="Book Antiqua" w:cs="Times New Roman" w:hint="eastAsia"/>
          <w:sz w:val="24"/>
          <w:szCs w:val="24"/>
        </w:rPr>
        <w:t xml:space="preserve"> and D</w:t>
      </w:r>
      <w:r w:rsidRPr="009E2BF9">
        <w:rPr>
          <w:rFonts w:ascii="Book Antiqua" w:hAnsi="Book Antiqua" w:cs="Times New Roman"/>
          <w:sz w:val="24"/>
          <w:szCs w:val="24"/>
        </w:rPr>
        <w:t xml:space="preserve">) that the tumors derived from high doses of TQ treated mice exhibited a markedly higher count of apoptotic bodies compared with the isolated from control group mice. In addition, we further measured </w:t>
      </w:r>
      <w:bookmarkStart w:id="154" w:name="OLE_LINK109"/>
      <w:bookmarkStart w:id="155" w:name="OLE_LINK108"/>
      <w:r w:rsidRPr="009E2BF9">
        <w:rPr>
          <w:rFonts w:ascii="Book Antiqua" w:hAnsi="Book Antiqua" w:cs="Times New Roman"/>
          <w:sz w:val="24"/>
          <w:szCs w:val="24"/>
        </w:rPr>
        <w:t>the levels of STAT3 in tumor tissue by western blot, and the results showed TQ could also inhibit STAT3 phosphorylation</w:t>
      </w:r>
      <w:bookmarkEnd w:id="154"/>
      <w:bookmarkEnd w:id="155"/>
      <w:r w:rsidRPr="009E2BF9">
        <w:rPr>
          <w:rFonts w:ascii="Book Antiqua" w:hAnsi="Book Antiqua" w:cs="Times New Roman"/>
          <w:sz w:val="24"/>
          <w:szCs w:val="24"/>
        </w:rPr>
        <w:t xml:space="preserve"> </w:t>
      </w:r>
      <w:r w:rsidRPr="009E2BF9">
        <w:rPr>
          <w:rFonts w:ascii="Book Antiqua" w:hAnsi="Book Antiqua" w:cs="Times New Roman"/>
          <w:i/>
          <w:sz w:val="24"/>
          <w:szCs w:val="24"/>
        </w:rPr>
        <w:t>in vivo</w:t>
      </w:r>
      <w:r w:rsidRPr="009E2BF9">
        <w:rPr>
          <w:rFonts w:ascii="Book Antiqua" w:hAnsi="Book Antiqua" w:cs="Times New Roman"/>
          <w:sz w:val="24"/>
          <w:szCs w:val="24"/>
        </w:rPr>
        <w:t xml:space="preserve"> (</w:t>
      </w:r>
      <w:r w:rsidR="00D60AB6">
        <w:rPr>
          <w:rFonts w:ascii="Book Antiqua" w:hAnsi="Book Antiqua" w:cs="Times New Roman"/>
          <w:sz w:val="24"/>
          <w:szCs w:val="24"/>
        </w:rPr>
        <w:t>Figure</w:t>
      </w:r>
      <w:r w:rsidRPr="009E2BF9">
        <w:rPr>
          <w:rFonts w:ascii="Book Antiqua" w:hAnsi="Book Antiqua" w:cs="Times New Roman"/>
          <w:sz w:val="24"/>
          <w:szCs w:val="24"/>
        </w:rPr>
        <w:t xml:space="preserve"> 6E).</w:t>
      </w:r>
    </w:p>
    <w:p w:rsidR="00DF581C" w:rsidRPr="009E2BF9" w:rsidRDefault="00DF581C" w:rsidP="001E38EA">
      <w:pPr>
        <w:adjustRightInd w:val="0"/>
        <w:snapToGrid w:val="0"/>
        <w:spacing w:line="360" w:lineRule="auto"/>
        <w:rPr>
          <w:rFonts w:ascii="Book Antiqua" w:hAnsi="Book Antiqua" w:cs="Times New Roman"/>
          <w:b/>
          <w:sz w:val="24"/>
          <w:szCs w:val="24"/>
        </w:rPr>
      </w:pPr>
    </w:p>
    <w:p w:rsidR="00DF581C" w:rsidRPr="005C729E" w:rsidRDefault="009E2BF9" w:rsidP="001E38EA">
      <w:pPr>
        <w:adjustRightInd w:val="0"/>
        <w:snapToGrid w:val="0"/>
        <w:spacing w:line="360" w:lineRule="auto"/>
        <w:rPr>
          <w:rFonts w:ascii="Book Antiqua" w:hAnsi="Book Antiqua" w:cs="Times New Roman"/>
          <w:b/>
          <w:caps/>
          <w:sz w:val="24"/>
          <w:szCs w:val="24"/>
        </w:rPr>
      </w:pPr>
      <w:r w:rsidRPr="005C729E">
        <w:rPr>
          <w:rFonts w:ascii="Book Antiqua" w:hAnsi="Book Antiqua" w:cs="Times New Roman"/>
          <w:b/>
          <w:caps/>
          <w:sz w:val="24"/>
          <w:szCs w:val="24"/>
        </w:rPr>
        <w:t>Discussion</w:t>
      </w:r>
    </w:p>
    <w:p w:rsidR="00DF581C" w:rsidRPr="009E2BF9" w:rsidRDefault="009E2BF9" w:rsidP="001E38EA">
      <w:pPr>
        <w:adjustRightInd w:val="0"/>
        <w:snapToGrid w:val="0"/>
        <w:spacing w:line="360" w:lineRule="auto"/>
        <w:rPr>
          <w:rFonts w:ascii="Book Antiqua" w:hAnsi="Book Antiqua" w:cs="Times New Roman"/>
          <w:sz w:val="24"/>
          <w:szCs w:val="24"/>
        </w:rPr>
      </w:pPr>
      <w:r w:rsidRPr="009E2BF9">
        <w:rPr>
          <w:rFonts w:ascii="Book Antiqua" w:hAnsi="Book Antiqua"/>
          <w:sz w:val="24"/>
          <w:szCs w:val="24"/>
        </w:rPr>
        <w:t>As the second most common cause of cancer-related death in the world, gastric cancer was reported to present particularly high incidence and mortality rates in eastern Asia, and its survival rate was substantially lower than those of patie</w:t>
      </w:r>
      <w:r w:rsidR="005C729E">
        <w:rPr>
          <w:rFonts w:ascii="Book Antiqua" w:hAnsi="Book Antiqua"/>
          <w:sz w:val="24"/>
          <w:szCs w:val="24"/>
        </w:rPr>
        <w:t>nts with other types of cancers</w:t>
      </w:r>
      <w:r w:rsidRPr="009E2BF9">
        <w:rPr>
          <w:rFonts w:ascii="Book Antiqua" w:eastAsia="Times New Roman" w:hAnsi="Book Antiqua"/>
          <w:color w:val="080000"/>
          <w:sz w:val="24"/>
          <w:szCs w:val="24"/>
          <w:vertAlign w:val="superscript"/>
        </w:rPr>
        <w:t>[</w:t>
      </w:r>
      <w:r w:rsidRPr="009E2BF9">
        <w:rPr>
          <w:rFonts w:ascii="Book Antiqua" w:eastAsia="SimSun" w:hAnsi="Book Antiqua"/>
          <w:color w:val="080000"/>
          <w:sz w:val="24"/>
          <w:szCs w:val="24"/>
          <w:vertAlign w:val="superscript"/>
        </w:rPr>
        <w:t>22</w:t>
      </w:r>
      <w:r w:rsidRPr="009E2BF9">
        <w:rPr>
          <w:rFonts w:ascii="Book Antiqua" w:eastAsia="Times New Roman" w:hAnsi="Book Antiqua"/>
          <w:color w:val="080000"/>
          <w:sz w:val="24"/>
          <w:szCs w:val="24"/>
          <w:vertAlign w:val="superscript"/>
        </w:rPr>
        <w:t>]</w:t>
      </w:r>
      <w:r w:rsidRPr="009E2BF9">
        <w:rPr>
          <w:rFonts w:ascii="Book Antiqua" w:hAnsi="Book Antiqua" w:cs="Times New Roman"/>
          <w:sz w:val="24"/>
          <w:szCs w:val="24"/>
        </w:rPr>
        <w:t xml:space="preserve">. </w:t>
      </w:r>
    </w:p>
    <w:p w:rsidR="00DF581C" w:rsidRPr="009E2BF9" w:rsidRDefault="009E2BF9" w:rsidP="001E38EA">
      <w:pPr>
        <w:adjustRightInd w:val="0"/>
        <w:snapToGrid w:val="0"/>
        <w:spacing w:line="360" w:lineRule="auto"/>
        <w:ind w:firstLineChars="150" w:firstLine="360"/>
        <w:rPr>
          <w:rFonts w:ascii="Book Antiqua" w:hAnsi="Book Antiqua" w:cs="Times New Roman"/>
          <w:bCs/>
          <w:sz w:val="24"/>
          <w:szCs w:val="24"/>
        </w:rPr>
      </w:pPr>
      <w:r w:rsidRPr="009E2BF9">
        <w:rPr>
          <w:rFonts w:ascii="Book Antiqua" w:hAnsi="Book Antiqua"/>
          <w:sz w:val="24"/>
          <w:szCs w:val="24"/>
        </w:rPr>
        <w:t xml:space="preserve">Thymoquinone (TQ), the oil active constituent of these seeds, exhibited </w:t>
      </w:r>
      <w:r w:rsidRPr="009E2BF9">
        <w:rPr>
          <w:rFonts w:ascii="Book Antiqua" w:hAnsi="Book Antiqua" w:cs="Times New Roman"/>
          <w:sz w:val="24"/>
          <w:szCs w:val="24"/>
        </w:rPr>
        <w:t>inhibitory effects on the proliferation of various types of tumor cells, including lung carcinoma, breast adenocarcinoma, pancreatic cancer, colorectal cancer, acute lymphoblastic leukemia, and prostate cancer</w:t>
      </w:r>
      <w:r w:rsidRPr="009E2BF9">
        <w:rPr>
          <w:rFonts w:ascii="Book Antiqua" w:eastAsia="Times New Roman" w:hAnsi="Book Antiqua"/>
          <w:color w:val="080000"/>
          <w:sz w:val="24"/>
          <w:szCs w:val="24"/>
          <w:vertAlign w:val="superscript"/>
        </w:rPr>
        <w:t>[</w:t>
      </w:r>
      <w:r w:rsidRPr="009E2BF9">
        <w:rPr>
          <w:rFonts w:ascii="Book Antiqua" w:eastAsia="SimSun" w:hAnsi="Book Antiqua"/>
          <w:color w:val="080000"/>
          <w:sz w:val="24"/>
          <w:szCs w:val="24"/>
          <w:vertAlign w:val="superscript"/>
        </w:rPr>
        <w:t>23,24</w:t>
      </w:r>
      <w:r w:rsidRPr="009E2BF9">
        <w:rPr>
          <w:rFonts w:ascii="Book Antiqua" w:eastAsia="Times New Roman" w:hAnsi="Book Antiqua"/>
          <w:color w:val="080000"/>
          <w:sz w:val="24"/>
          <w:szCs w:val="24"/>
          <w:vertAlign w:val="superscript"/>
        </w:rPr>
        <w:t>]</w:t>
      </w:r>
      <w:r w:rsidRPr="009E2BF9">
        <w:rPr>
          <w:rFonts w:ascii="Book Antiqua" w:hAnsi="Book Antiqua" w:cs="Times New Roman"/>
          <w:sz w:val="24"/>
          <w:szCs w:val="24"/>
        </w:rPr>
        <w:t>. It has also been shown to enhance detoxification and inhibit benzo(a)pyrene (BP)-induced fore-stomach tumors in a female Swiss albino mouse model</w:t>
      </w:r>
      <w:r w:rsidRPr="009E2BF9">
        <w:rPr>
          <w:rFonts w:ascii="Book Antiqua" w:eastAsia="Times New Roman" w:hAnsi="Book Antiqua"/>
          <w:color w:val="080000"/>
          <w:sz w:val="24"/>
          <w:szCs w:val="24"/>
          <w:vertAlign w:val="superscript"/>
        </w:rPr>
        <w:t>[</w:t>
      </w:r>
      <w:r w:rsidRPr="009E2BF9">
        <w:rPr>
          <w:rFonts w:ascii="Book Antiqua" w:eastAsia="SimSun" w:hAnsi="Book Antiqua"/>
          <w:color w:val="080000"/>
          <w:sz w:val="24"/>
          <w:szCs w:val="24"/>
          <w:vertAlign w:val="superscript"/>
        </w:rPr>
        <w:t>25</w:t>
      </w:r>
      <w:r w:rsidRPr="009E2BF9">
        <w:rPr>
          <w:rFonts w:ascii="Book Antiqua" w:eastAsia="Times New Roman" w:hAnsi="Book Antiqua"/>
          <w:color w:val="080000"/>
          <w:sz w:val="24"/>
          <w:szCs w:val="24"/>
          <w:vertAlign w:val="superscript"/>
        </w:rPr>
        <w:t>]</w:t>
      </w:r>
      <w:r w:rsidRPr="009E2BF9">
        <w:rPr>
          <w:rFonts w:ascii="Book Antiqua" w:hAnsi="Book Antiqua" w:cs="Times New Roman"/>
          <w:sz w:val="24"/>
          <w:szCs w:val="24"/>
        </w:rPr>
        <w:t xml:space="preserve">. </w:t>
      </w:r>
      <w:bookmarkStart w:id="156" w:name="OLE_LINK4"/>
      <w:r w:rsidRPr="009E2BF9">
        <w:rPr>
          <w:rFonts w:ascii="Book Antiqua" w:hAnsi="Book Antiqua" w:cs="Times New Roman"/>
          <w:sz w:val="24"/>
          <w:szCs w:val="24"/>
        </w:rPr>
        <w:t>In addtion, TQ was proved to induce apoptosis and augment 5-FU-induced apoptosis in gastric cancer cells</w:t>
      </w:r>
      <w:bookmarkEnd w:id="156"/>
      <w:r w:rsidRPr="009E2BF9">
        <w:rPr>
          <w:rFonts w:ascii="Book Antiqua" w:eastAsia="Times New Roman" w:hAnsi="Book Antiqua"/>
          <w:color w:val="080000"/>
          <w:sz w:val="24"/>
          <w:szCs w:val="24"/>
          <w:vertAlign w:val="superscript"/>
        </w:rPr>
        <w:t>[1</w:t>
      </w:r>
      <w:r w:rsidRPr="009E2BF9">
        <w:rPr>
          <w:rFonts w:ascii="Book Antiqua" w:eastAsia="SimSun" w:hAnsi="Book Antiqua"/>
          <w:color w:val="080000"/>
          <w:sz w:val="24"/>
          <w:szCs w:val="24"/>
          <w:vertAlign w:val="superscript"/>
        </w:rPr>
        <w:t>5</w:t>
      </w:r>
      <w:r w:rsidRPr="009E2BF9">
        <w:rPr>
          <w:rFonts w:ascii="Book Antiqua" w:eastAsia="Times New Roman" w:hAnsi="Book Antiqua"/>
          <w:color w:val="080000"/>
          <w:sz w:val="24"/>
          <w:szCs w:val="24"/>
          <w:vertAlign w:val="superscript"/>
        </w:rPr>
        <w:t>]</w:t>
      </w:r>
      <w:r w:rsidRPr="009E2BF9">
        <w:rPr>
          <w:rFonts w:ascii="Book Antiqua" w:hAnsi="Book Antiqua" w:cs="Times New Roman"/>
          <w:sz w:val="24"/>
          <w:szCs w:val="24"/>
        </w:rPr>
        <w:t xml:space="preserve">. In this study, we found that </w:t>
      </w:r>
      <w:r w:rsidRPr="009E2BF9">
        <w:rPr>
          <w:rFonts w:ascii="Book Antiqua" w:hAnsi="Book Antiqua" w:cs="Times New Roman"/>
          <w:bCs/>
          <w:sz w:val="24"/>
          <w:szCs w:val="24"/>
        </w:rPr>
        <w:t xml:space="preserve">TQ inhibits phosphorylation of STAT3 in three gastric cancer cells. TQ also inhibits the levels of </w:t>
      </w:r>
      <w:r w:rsidRPr="005C729E">
        <w:rPr>
          <w:rFonts w:ascii="Book Antiqua" w:hAnsi="Book Antiqua" w:cs="Times New Roman"/>
          <w:bCs/>
          <w:i/>
          <w:sz w:val="24"/>
          <w:szCs w:val="24"/>
        </w:rPr>
        <w:t>STAT3</w:t>
      </w:r>
      <w:r w:rsidRPr="009E2BF9">
        <w:rPr>
          <w:rFonts w:ascii="Book Antiqua" w:hAnsi="Book Antiqua" w:cs="Times New Roman"/>
          <w:bCs/>
          <w:sz w:val="24"/>
          <w:szCs w:val="24"/>
        </w:rPr>
        <w:t xml:space="preserve"> gene in a </w:t>
      </w:r>
      <w:bookmarkStart w:id="157" w:name="OLE_LINK110"/>
      <w:bookmarkStart w:id="158" w:name="OLE_LINK111"/>
      <w:r w:rsidRPr="009E2BF9">
        <w:rPr>
          <w:rFonts w:ascii="Book Antiqua" w:hAnsi="Book Antiqua" w:cs="Times New Roman"/>
          <w:bCs/>
          <w:sz w:val="24"/>
          <w:szCs w:val="24"/>
        </w:rPr>
        <w:t>concentration- and time-dependent manner</w:t>
      </w:r>
      <w:bookmarkEnd w:id="157"/>
      <w:bookmarkEnd w:id="158"/>
      <w:r w:rsidRPr="009E2BF9">
        <w:rPr>
          <w:rFonts w:ascii="Book Antiqua" w:hAnsi="Book Antiqua" w:cs="Times New Roman"/>
          <w:bCs/>
          <w:sz w:val="24"/>
          <w:szCs w:val="24"/>
        </w:rPr>
        <w:t xml:space="preserve">, as demonstrated by Real-time PCR. </w:t>
      </w:r>
    </w:p>
    <w:p w:rsidR="00DF581C" w:rsidRPr="009E2BF9" w:rsidRDefault="009E2BF9" w:rsidP="001E38EA">
      <w:pPr>
        <w:adjustRightInd w:val="0"/>
        <w:snapToGrid w:val="0"/>
        <w:spacing w:line="360" w:lineRule="auto"/>
        <w:ind w:firstLineChars="150" w:firstLine="360"/>
        <w:rPr>
          <w:rFonts w:ascii="Book Antiqua" w:hAnsi="Book Antiqua" w:cs="Times New Roman"/>
          <w:sz w:val="24"/>
          <w:szCs w:val="24"/>
        </w:rPr>
      </w:pPr>
      <w:r w:rsidRPr="009E2BF9">
        <w:rPr>
          <w:rFonts w:ascii="Book Antiqua" w:hAnsi="Book Antiqua"/>
          <w:sz w:val="24"/>
          <w:szCs w:val="24"/>
        </w:rPr>
        <w:t xml:space="preserve">The phosphorylation was required for the activation of STAT3, which would result in dimerization, nuclear translocation, DNA binding, and </w:t>
      </w:r>
      <w:r w:rsidRPr="009E2BF9">
        <w:rPr>
          <w:rFonts w:ascii="Book Antiqua" w:hAnsi="Book Antiqua"/>
          <w:sz w:val="24"/>
          <w:szCs w:val="24"/>
        </w:rPr>
        <w:lastRenderedPageBreak/>
        <w:t>transcriptional activation of</w:t>
      </w:r>
      <w:r w:rsidR="000F4707">
        <w:rPr>
          <w:rFonts w:ascii="Book Antiqua" w:hAnsi="Book Antiqua"/>
          <w:sz w:val="24"/>
          <w:szCs w:val="24"/>
        </w:rPr>
        <w:t xml:space="preserve"> target genes</w:t>
      </w:r>
      <w:r w:rsidRPr="009E2BF9">
        <w:rPr>
          <w:rFonts w:ascii="Book Antiqua" w:eastAsia="Times New Roman" w:hAnsi="Book Antiqua"/>
          <w:color w:val="080000"/>
          <w:sz w:val="24"/>
          <w:szCs w:val="24"/>
          <w:vertAlign w:val="superscript"/>
        </w:rPr>
        <w:t>[</w:t>
      </w:r>
      <w:r w:rsidRPr="009E2BF9">
        <w:rPr>
          <w:rFonts w:ascii="Book Antiqua" w:eastAsia="SimSun" w:hAnsi="Book Antiqua"/>
          <w:color w:val="080000"/>
          <w:sz w:val="24"/>
          <w:szCs w:val="24"/>
          <w:vertAlign w:val="superscript"/>
        </w:rPr>
        <w:t>26</w:t>
      </w:r>
      <w:r w:rsidRPr="009E2BF9">
        <w:rPr>
          <w:rFonts w:ascii="Book Antiqua" w:eastAsia="Times New Roman" w:hAnsi="Book Antiqua"/>
          <w:color w:val="080000"/>
          <w:sz w:val="24"/>
          <w:szCs w:val="24"/>
          <w:vertAlign w:val="superscript"/>
        </w:rPr>
        <w:t>]</w:t>
      </w:r>
      <w:r w:rsidRPr="009E2BF9">
        <w:rPr>
          <w:rFonts w:ascii="Book Antiqua" w:hAnsi="Book Antiqua" w:cs="Times New Roman"/>
          <w:sz w:val="24"/>
          <w:szCs w:val="24"/>
        </w:rPr>
        <w:t xml:space="preserve">. </w:t>
      </w:r>
      <w:r w:rsidRPr="009E2BF9">
        <w:rPr>
          <w:rFonts w:ascii="Book Antiqua" w:hAnsi="Book Antiqua"/>
          <w:sz w:val="24"/>
          <w:szCs w:val="24"/>
        </w:rPr>
        <w:t>To investigate the mechanism of TQ-induced STAT3 inhibition in HGC27 cells, we analyzed the activation of upstream protein kinases such as JAK and Src. The results showed that TQ could inhibit JAK2 and Src phosphorylation, supposing that the suppression of STAT3 phosphorylation at Tyr705 was due to the inhibition of JAK2 and Src activity. Interestingly, the inhibition of tyrosine phosphorylation induced by TQ was only observed at STAT3 rather than at STAT5. These results suggested that TQ specifically inhibited phosphorylation of STAT3 at Tyr705.</w:t>
      </w:r>
    </w:p>
    <w:p w:rsidR="00DF581C" w:rsidRPr="009E2BF9" w:rsidRDefault="009E2BF9" w:rsidP="001E38EA">
      <w:pPr>
        <w:adjustRightInd w:val="0"/>
        <w:snapToGrid w:val="0"/>
        <w:spacing w:line="360" w:lineRule="auto"/>
        <w:ind w:firstLineChars="200" w:firstLine="480"/>
        <w:rPr>
          <w:rFonts w:ascii="Book Antiqua" w:hAnsi="Book Antiqua" w:cs="Times New Roman"/>
          <w:bCs/>
          <w:sz w:val="24"/>
          <w:szCs w:val="24"/>
        </w:rPr>
      </w:pPr>
      <w:r w:rsidRPr="009E2BF9">
        <w:rPr>
          <w:rFonts w:ascii="Book Antiqua" w:hAnsi="Book Antiqua" w:cs="Times New Roman"/>
          <w:sz w:val="24"/>
          <w:szCs w:val="24"/>
        </w:rPr>
        <w:t xml:space="preserve">We also observed that TQ suppressed the expression of several STAT3-regulated genes, including proliferative (cyclin D1) and anti-apoptotic gene products (Bcl-2, survivin), and angiogenic gene product (VEGF) in HGC27 cells. Activation of STAT3 signalling was thought to induce </w:t>
      </w:r>
      <w:r w:rsidRPr="009E2BF9">
        <w:rPr>
          <w:rFonts w:ascii="Book Antiqua" w:hAnsi="Book Antiqua" w:cs="Times New Roman"/>
          <w:i/>
          <w:iCs/>
          <w:sz w:val="24"/>
          <w:szCs w:val="24"/>
        </w:rPr>
        <w:t xml:space="preserve">survivin </w:t>
      </w:r>
      <w:r w:rsidRPr="009E2BF9">
        <w:rPr>
          <w:rFonts w:ascii="Book Antiqua" w:hAnsi="Book Antiqua" w:cs="Times New Roman"/>
          <w:sz w:val="24"/>
          <w:szCs w:val="24"/>
        </w:rPr>
        <w:t>gene expression and confer resistance to apoptosis in human breast cancer cells</w:t>
      </w:r>
      <w:r w:rsidRPr="009E2BF9">
        <w:rPr>
          <w:rFonts w:ascii="Book Antiqua" w:eastAsia="Times New Roman" w:hAnsi="Book Antiqua"/>
          <w:color w:val="080000"/>
          <w:sz w:val="24"/>
          <w:szCs w:val="24"/>
          <w:vertAlign w:val="superscript"/>
        </w:rPr>
        <w:t>[</w:t>
      </w:r>
      <w:r w:rsidRPr="009E2BF9">
        <w:rPr>
          <w:rFonts w:ascii="Book Antiqua" w:eastAsia="SimSun" w:hAnsi="Book Antiqua"/>
          <w:color w:val="080000"/>
          <w:sz w:val="24"/>
          <w:szCs w:val="24"/>
          <w:vertAlign w:val="superscript"/>
        </w:rPr>
        <w:t>27</w:t>
      </w:r>
      <w:r w:rsidRPr="009E2BF9">
        <w:rPr>
          <w:rFonts w:ascii="Book Antiqua" w:eastAsia="Times New Roman" w:hAnsi="Book Antiqua"/>
          <w:color w:val="080000"/>
          <w:sz w:val="24"/>
          <w:szCs w:val="24"/>
          <w:vertAlign w:val="superscript"/>
        </w:rPr>
        <w:t>]</w:t>
      </w:r>
      <w:r w:rsidRPr="009E2BF9">
        <w:rPr>
          <w:rFonts w:ascii="Book Antiqua" w:hAnsi="Book Antiqua" w:cs="Times New Roman"/>
          <w:sz w:val="24"/>
          <w:szCs w:val="24"/>
        </w:rPr>
        <w:t xml:space="preserve">. </w:t>
      </w:r>
      <w:r w:rsidRPr="009E2BF9">
        <w:rPr>
          <w:rFonts w:ascii="Book Antiqua" w:hAnsi="Book Antiqua"/>
          <w:sz w:val="24"/>
          <w:szCs w:val="24"/>
        </w:rPr>
        <w:t>It was reported that blocking cell death by Bcl-2 and Bcl-Xl could be induced by a variety of chemotherapeutic agents, in parallel with an increase in chemoresistance</w:t>
      </w:r>
      <w:r w:rsidRPr="009E2BF9">
        <w:rPr>
          <w:rFonts w:ascii="Book Antiqua" w:eastAsia="Times New Roman" w:hAnsi="Book Antiqua"/>
          <w:color w:val="080000"/>
          <w:sz w:val="24"/>
          <w:szCs w:val="24"/>
          <w:vertAlign w:val="superscript"/>
        </w:rPr>
        <w:t>[</w:t>
      </w:r>
      <w:r w:rsidRPr="009E2BF9">
        <w:rPr>
          <w:rFonts w:ascii="Book Antiqua" w:eastAsia="SimSun" w:hAnsi="Book Antiqua"/>
          <w:color w:val="080000"/>
          <w:sz w:val="24"/>
          <w:szCs w:val="24"/>
          <w:vertAlign w:val="superscript"/>
        </w:rPr>
        <w:t>28,29</w:t>
      </w:r>
      <w:r w:rsidRPr="009E2BF9">
        <w:rPr>
          <w:rFonts w:ascii="Book Antiqua" w:eastAsia="Times New Roman" w:hAnsi="Book Antiqua"/>
          <w:color w:val="080000"/>
          <w:sz w:val="24"/>
          <w:szCs w:val="24"/>
          <w:vertAlign w:val="superscript"/>
        </w:rPr>
        <w:t>]</w:t>
      </w:r>
      <w:r w:rsidRPr="009E2BF9">
        <w:rPr>
          <w:rFonts w:ascii="Book Antiqua" w:hAnsi="Book Antiqua" w:cs="Times New Roman"/>
          <w:sz w:val="24"/>
          <w:szCs w:val="24"/>
        </w:rPr>
        <w:t xml:space="preserve">. </w:t>
      </w:r>
      <w:r w:rsidRPr="009E2BF9">
        <w:rPr>
          <w:rFonts w:ascii="Book Antiqua" w:hAnsi="Book Antiqua"/>
          <w:sz w:val="24"/>
          <w:szCs w:val="24"/>
        </w:rPr>
        <w:t xml:space="preserve">Thus, we considered that the down-regulation of the expression of Bcl-2, Bcl-xL and survivin was likely to be linked with TQ’s ability to induce apoptosis in HGC27 cells as </w:t>
      </w:r>
      <w:bookmarkStart w:id="159" w:name="OLE_LINK55"/>
      <w:r w:rsidRPr="009E2BF9">
        <w:rPr>
          <w:rFonts w:ascii="Book Antiqua" w:hAnsi="Book Antiqua"/>
          <w:sz w:val="24"/>
          <w:szCs w:val="24"/>
        </w:rPr>
        <w:t>evidenced</w:t>
      </w:r>
      <w:bookmarkEnd w:id="159"/>
      <w:r w:rsidRPr="009E2BF9">
        <w:rPr>
          <w:rFonts w:ascii="Book Antiqua" w:hAnsi="Book Antiqua"/>
          <w:sz w:val="24"/>
          <w:szCs w:val="24"/>
        </w:rPr>
        <w:t xml:space="preserve"> by cleavage of PARP. </w:t>
      </w:r>
      <w:r w:rsidRPr="009E2BF9">
        <w:rPr>
          <w:rFonts w:ascii="Book Antiqua" w:hAnsi="Book Antiqua" w:cs="Times New Roman"/>
          <w:sz w:val="24"/>
          <w:szCs w:val="24"/>
        </w:rPr>
        <w:t xml:space="preserve">In </w:t>
      </w:r>
      <w:r w:rsidR="000F4707" w:rsidRPr="009E2BF9">
        <w:rPr>
          <w:rFonts w:ascii="Book Antiqua" w:hAnsi="Book Antiqua" w:cs="Times New Roman"/>
          <w:sz w:val="24"/>
          <w:szCs w:val="24"/>
        </w:rPr>
        <w:t>a</w:t>
      </w:r>
      <w:r w:rsidRPr="009E2BF9">
        <w:rPr>
          <w:rFonts w:ascii="Book Antiqua" w:hAnsi="Book Antiqua" w:cs="Times New Roman"/>
          <w:sz w:val="24"/>
          <w:szCs w:val="24"/>
        </w:rPr>
        <w:t xml:space="preserve">ddition, we also observed that TQ could activate caspase-3, 7, 9 activities in a concentration-dependent manner. The results of MTT assay showed TQ could inhibit cell viability in a </w:t>
      </w:r>
      <w:r w:rsidRPr="009E2BF9">
        <w:rPr>
          <w:rFonts w:ascii="Book Antiqua" w:hAnsi="Book Antiqua" w:cs="Times New Roman"/>
          <w:bCs/>
          <w:sz w:val="24"/>
          <w:szCs w:val="24"/>
        </w:rPr>
        <w:t>concentration- and time-dependent manner</w:t>
      </w:r>
      <w:r w:rsidRPr="009E2BF9">
        <w:rPr>
          <w:rFonts w:ascii="Book Antiqua" w:hAnsi="Book Antiqua" w:cs="Times New Roman"/>
          <w:sz w:val="24"/>
          <w:szCs w:val="24"/>
        </w:rPr>
        <w:t xml:space="preserve">. </w:t>
      </w:r>
      <w:r w:rsidRPr="009E2BF9">
        <w:rPr>
          <w:rFonts w:ascii="Book Antiqua" w:hAnsi="Book Antiqua" w:cs="Times New Roman"/>
          <w:bCs/>
          <w:sz w:val="24"/>
          <w:szCs w:val="24"/>
        </w:rPr>
        <w:t>TQ induced dose-dependent apoptotic cell death in HGC27 cells, as estimated by Annexin V-FITC/PI analysis and Hoechst33258.</w:t>
      </w:r>
    </w:p>
    <w:p w:rsidR="00DF581C" w:rsidRPr="009E2BF9" w:rsidRDefault="009E2BF9" w:rsidP="001E38EA">
      <w:pPr>
        <w:adjustRightInd w:val="0"/>
        <w:snapToGrid w:val="0"/>
        <w:spacing w:line="360" w:lineRule="auto"/>
        <w:ind w:firstLineChars="200" w:firstLine="480"/>
        <w:rPr>
          <w:rFonts w:ascii="Book Antiqua" w:hAnsi="Book Antiqua" w:cs="Times New Roman"/>
          <w:bCs/>
          <w:sz w:val="24"/>
          <w:szCs w:val="24"/>
        </w:rPr>
      </w:pPr>
      <w:r w:rsidRPr="009E2BF9">
        <w:rPr>
          <w:rFonts w:ascii="Book Antiqua" w:hAnsi="Book Antiqua"/>
          <w:bCs/>
          <w:sz w:val="24"/>
          <w:szCs w:val="24"/>
        </w:rPr>
        <w:t xml:space="preserve">Besides the results focused on the </w:t>
      </w:r>
      <w:r w:rsidRPr="009E2BF9">
        <w:rPr>
          <w:rFonts w:ascii="Book Antiqua" w:hAnsi="Book Antiqua"/>
          <w:bCs/>
          <w:i/>
          <w:sz w:val="24"/>
          <w:szCs w:val="24"/>
        </w:rPr>
        <w:t>in vitro</w:t>
      </w:r>
      <w:r w:rsidRPr="009E2BF9">
        <w:rPr>
          <w:rFonts w:ascii="Book Antiqua" w:hAnsi="Book Antiqua"/>
          <w:bCs/>
          <w:sz w:val="24"/>
          <w:szCs w:val="24"/>
        </w:rPr>
        <w:t xml:space="preserve"> culture cells, we further analyzed the effect of TQ on xenograft tumor </w:t>
      </w:r>
      <w:r w:rsidRPr="009E2BF9">
        <w:rPr>
          <w:rFonts w:ascii="Book Antiqua" w:hAnsi="Book Antiqua"/>
          <w:bCs/>
          <w:i/>
          <w:sz w:val="24"/>
          <w:szCs w:val="24"/>
        </w:rPr>
        <w:t>in vivo</w:t>
      </w:r>
      <w:r w:rsidRPr="009E2BF9">
        <w:rPr>
          <w:rFonts w:ascii="Book Antiqua" w:hAnsi="Book Antiqua"/>
          <w:bCs/>
          <w:sz w:val="24"/>
          <w:szCs w:val="24"/>
        </w:rPr>
        <w:t xml:space="preserve">. The results showed that the treatment of TQ presented obvious antitumor effects in a xenograft tumor mouse model. The therapeutic effect has been demonstrated by TUNEL analysis, which displayed obvious cell death in tumor mass </w:t>
      </w:r>
      <w:r w:rsidRPr="00FE67BF">
        <w:rPr>
          <w:rFonts w:ascii="Book Antiqua" w:hAnsi="Book Antiqua"/>
          <w:bCs/>
          <w:i/>
          <w:sz w:val="24"/>
          <w:szCs w:val="24"/>
        </w:rPr>
        <w:t>via</w:t>
      </w:r>
      <w:r w:rsidRPr="009E2BF9">
        <w:rPr>
          <w:rFonts w:ascii="Book Antiqua" w:hAnsi="Book Antiqua"/>
          <w:bCs/>
          <w:sz w:val="24"/>
          <w:szCs w:val="24"/>
        </w:rPr>
        <w:t xml:space="preserve"> apoptosis. Moreover, we also detected the STAT3 protein in tumor tissue and found that the levels of p-STAT3 in tumor tissue were significantly decreased after TQ treatment.</w:t>
      </w:r>
    </w:p>
    <w:p w:rsidR="00DF581C" w:rsidRPr="009E2BF9" w:rsidRDefault="009E2BF9" w:rsidP="001E38EA">
      <w:pPr>
        <w:adjustRightInd w:val="0"/>
        <w:snapToGrid w:val="0"/>
        <w:spacing w:line="360" w:lineRule="auto"/>
        <w:ind w:firstLineChars="150" w:firstLine="360"/>
        <w:rPr>
          <w:rFonts w:ascii="Book Antiqua" w:hAnsi="Book Antiqua" w:cs="Times New Roman"/>
          <w:bCs/>
          <w:sz w:val="24"/>
          <w:szCs w:val="24"/>
        </w:rPr>
      </w:pPr>
      <w:r w:rsidRPr="009E2BF9">
        <w:rPr>
          <w:rFonts w:ascii="Book Antiqua" w:hAnsi="Book Antiqua" w:cs="Times New Roman"/>
          <w:bCs/>
          <w:sz w:val="24"/>
          <w:szCs w:val="24"/>
        </w:rPr>
        <w:lastRenderedPageBreak/>
        <w:t xml:space="preserve">In conclusion, the present study demonstrated that TQ inhibited proliferation and induced apoptosis </w:t>
      </w:r>
      <w:r w:rsidRPr="00FE67BF">
        <w:rPr>
          <w:rFonts w:ascii="Book Antiqua" w:hAnsi="Book Antiqua" w:cs="Times New Roman"/>
          <w:bCs/>
          <w:i/>
          <w:sz w:val="24"/>
          <w:szCs w:val="24"/>
        </w:rPr>
        <w:t>via</w:t>
      </w:r>
      <w:r w:rsidRPr="009E2BF9">
        <w:rPr>
          <w:rFonts w:ascii="Book Antiqua" w:hAnsi="Book Antiqua" w:cs="Times New Roman"/>
          <w:bCs/>
          <w:sz w:val="24"/>
          <w:szCs w:val="24"/>
        </w:rPr>
        <w:t xml:space="preserve"> down-regulation of the STAT3 signaling pathway. TQ may be a candidate for a cancer Chemopreventive or chemotherapeutic agent. </w:t>
      </w:r>
    </w:p>
    <w:p w:rsidR="00DF581C" w:rsidRPr="009E2BF9" w:rsidRDefault="00DF581C" w:rsidP="001E38EA">
      <w:pPr>
        <w:adjustRightInd w:val="0"/>
        <w:snapToGrid w:val="0"/>
        <w:spacing w:line="360" w:lineRule="auto"/>
        <w:ind w:firstLineChars="150" w:firstLine="360"/>
        <w:rPr>
          <w:rFonts w:ascii="Book Antiqua" w:hAnsi="Book Antiqua" w:cs="Times New Roman"/>
          <w:bCs/>
          <w:sz w:val="24"/>
          <w:szCs w:val="24"/>
        </w:rPr>
      </w:pPr>
    </w:p>
    <w:p w:rsidR="00DF581C" w:rsidRPr="00D050FA" w:rsidRDefault="00D050FA" w:rsidP="001E38EA">
      <w:pPr>
        <w:adjustRightInd w:val="0"/>
        <w:snapToGrid w:val="0"/>
        <w:spacing w:line="360" w:lineRule="auto"/>
        <w:rPr>
          <w:rFonts w:ascii="Book Antiqua" w:hAnsi="Book Antiqua" w:cs="Times New Roman"/>
          <w:b/>
          <w:caps/>
          <w:sz w:val="24"/>
          <w:szCs w:val="24"/>
        </w:rPr>
      </w:pPr>
      <w:r w:rsidRPr="00D050FA">
        <w:rPr>
          <w:rFonts w:ascii="Book Antiqua" w:hAnsi="Book Antiqua" w:cs="Times New Roman"/>
          <w:b/>
          <w:caps/>
          <w:sz w:val="24"/>
          <w:szCs w:val="24"/>
        </w:rPr>
        <w:t>Comments</w:t>
      </w:r>
    </w:p>
    <w:p w:rsidR="00DF581C" w:rsidRPr="009E2BF9" w:rsidRDefault="009E2BF9" w:rsidP="001E38EA">
      <w:pPr>
        <w:adjustRightInd w:val="0"/>
        <w:snapToGrid w:val="0"/>
        <w:spacing w:line="360" w:lineRule="auto"/>
        <w:rPr>
          <w:rFonts w:ascii="Book Antiqua" w:hAnsi="Book Antiqua"/>
          <w:b/>
          <w:bCs/>
          <w:i/>
          <w:sz w:val="24"/>
          <w:szCs w:val="24"/>
        </w:rPr>
      </w:pPr>
      <w:r w:rsidRPr="009E2BF9">
        <w:rPr>
          <w:rFonts w:ascii="Book Antiqua" w:hAnsi="Book Antiqua"/>
          <w:b/>
          <w:bCs/>
          <w:i/>
          <w:sz w:val="24"/>
          <w:szCs w:val="24"/>
        </w:rPr>
        <w:t xml:space="preserve">Background </w:t>
      </w:r>
    </w:p>
    <w:p w:rsidR="00DF581C" w:rsidRDefault="009E2BF9" w:rsidP="001E38EA">
      <w:pPr>
        <w:adjustRightInd w:val="0"/>
        <w:snapToGrid w:val="0"/>
        <w:spacing w:line="360" w:lineRule="auto"/>
        <w:rPr>
          <w:rFonts w:ascii="Book Antiqua" w:hAnsi="Book Antiqua"/>
          <w:bCs/>
          <w:sz w:val="24"/>
          <w:szCs w:val="24"/>
        </w:rPr>
      </w:pPr>
      <w:r w:rsidRPr="009E2BF9">
        <w:rPr>
          <w:rFonts w:ascii="Book Antiqua" w:hAnsi="Book Antiqua" w:cs="Times New Roman"/>
          <w:bCs/>
          <w:sz w:val="24"/>
          <w:szCs w:val="24"/>
        </w:rPr>
        <w:t xml:space="preserve">Thymoquinone (TQ), has demonstrated to exert biological activity in </w:t>
      </w:r>
      <w:r w:rsidRPr="009E2BF9">
        <w:rPr>
          <w:rFonts w:ascii="Book Antiqua" w:hAnsi="Book Antiqua"/>
          <w:bCs/>
          <w:sz w:val="24"/>
          <w:szCs w:val="24"/>
        </w:rPr>
        <w:t xml:space="preserve">gastric cancer. However, </w:t>
      </w:r>
      <w:r w:rsidRPr="009E2BF9">
        <w:rPr>
          <w:rFonts w:ascii="Book Antiqua" w:hAnsi="Book Antiqua"/>
          <w:sz w:val="24"/>
          <w:szCs w:val="24"/>
        </w:rPr>
        <w:t>the specific mechanism of TQ in gastric cancer is still need to be examined.</w:t>
      </w:r>
      <w:r w:rsidRPr="009E2BF9">
        <w:rPr>
          <w:rFonts w:ascii="Book Antiqua" w:hAnsi="Book Antiqua"/>
          <w:bCs/>
          <w:sz w:val="24"/>
          <w:szCs w:val="24"/>
        </w:rPr>
        <w:t xml:space="preserve"> So in order to elucidate the mechanism of TQ-induced apoptosis in human gastric cancer cells, we investigated the effects of TQ about STAT3 and its relative pathway </w:t>
      </w:r>
      <w:r w:rsidRPr="009E2BF9">
        <w:rPr>
          <w:rFonts w:ascii="Book Antiqua" w:hAnsi="Book Antiqua"/>
          <w:bCs/>
          <w:i/>
          <w:sz w:val="24"/>
          <w:szCs w:val="24"/>
        </w:rPr>
        <w:t>in vitro</w:t>
      </w:r>
      <w:r w:rsidRPr="009E2BF9">
        <w:rPr>
          <w:rFonts w:ascii="Book Antiqua" w:hAnsi="Book Antiqua"/>
          <w:bCs/>
          <w:sz w:val="24"/>
          <w:szCs w:val="24"/>
        </w:rPr>
        <w:t xml:space="preserve"> and </w:t>
      </w:r>
      <w:r w:rsidRPr="009E2BF9">
        <w:rPr>
          <w:rFonts w:ascii="Book Antiqua" w:hAnsi="Book Antiqua"/>
          <w:bCs/>
          <w:i/>
          <w:sz w:val="24"/>
          <w:szCs w:val="24"/>
        </w:rPr>
        <w:t>in vivo</w:t>
      </w:r>
      <w:r w:rsidRPr="009E2BF9">
        <w:rPr>
          <w:rFonts w:ascii="Book Antiqua" w:hAnsi="Book Antiqua"/>
          <w:bCs/>
          <w:sz w:val="24"/>
          <w:szCs w:val="24"/>
        </w:rPr>
        <w:t>.</w:t>
      </w:r>
    </w:p>
    <w:p w:rsidR="00D050FA" w:rsidRPr="009E2BF9" w:rsidRDefault="00D050FA" w:rsidP="001E38EA">
      <w:pPr>
        <w:adjustRightInd w:val="0"/>
        <w:snapToGrid w:val="0"/>
        <w:spacing w:line="360" w:lineRule="auto"/>
        <w:rPr>
          <w:rFonts w:ascii="Book Antiqua" w:hAnsi="Book Antiqua"/>
          <w:bCs/>
          <w:sz w:val="24"/>
          <w:szCs w:val="24"/>
        </w:rPr>
      </w:pPr>
    </w:p>
    <w:p w:rsidR="00DF581C" w:rsidRPr="009E2BF9" w:rsidRDefault="009E2BF9" w:rsidP="001E38EA">
      <w:pPr>
        <w:adjustRightInd w:val="0"/>
        <w:snapToGrid w:val="0"/>
        <w:spacing w:line="360" w:lineRule="auto"/>
        <w:rPr>
          <w:rFonts w:ascii="Book Antiqua" w:hAnsi="Book Antiqua"/>
          <w:b/>
          <w:bCs/>
          <w:i/>
          <w:sz w:val="24"/>
          <w:szCs w:val="24"/>
        </w:rPr>
      </w:pPr>
      <w:r w:rsidRPr="009E2BF9">
        <w:rPr>
          <w:rFonts w:ascii="Book Antiqua" w:hAnsi="Book Antiqua"/>
          <w:b/>
          <w:bCs/>
          <w:i/>
          <w:sz w:val="24"/>
          <w:szCs w:val="24"/>
        </w:rPr>
        <w:t>Research frontiers</w:t>
      </w:r>
    </w:p>
    <w:p w:rsidR="00DF581C" w:rsidRDefault="009E2BF9" w:rsidP="001E38EA">
      <w:pPr>
        <w:adjustRightInd w:val="0"/>
        <w:snapToGrid w:val="0"/>
        <w:spacing w:line="360" w:lineRule="auto"/>
        <w:rPr>
          <w:rFonts w:ascii="Book Antiqua" w:hAnsi="Book Antiqua"/>
          <w:bCs/>
          <w:sz w:val="24"/>
          <w:szCs w:val="24"/>
        </w:rPr>
      </w:pPr>
      <w:r w:rsidRPr="009E2BF9">
        <w:rPr>
          <w:rFonts w:ascii="Book Antiqua" w:hAnsi="Book Antiqua"/>
          <w:bCs/>
          <w:sz w:val="24"/>
          <w:szCs w:val="24"/>
        </w:rPr>
        <w:t>In 2014, a study</w:t>
      </w:r>
      <w:r w:rsidR="004E3FDB">
        <w:rPr>
          <w:rFonts w:ascii="Book Antiqua" w:hAnsi="Book Antiqua" w:hint="eastAsia"/>
          <w:bCs/>
          <w:sz w:val="24"/>
          <w:szCs w:val="24"/>
        </w:rPr>
        <w:t xml:space="preserve"> </w:t>
      </w:r>
      <w:r w:rsidRPr="009E2BF9">
        <w:rPr>
          <w:rFonts w:ascii="Book Antiqua" w:hAnsi="Book Antiqua"/>
          <w:bCs/>
          <w:sz w:val="24"/>
          <w:szCs w:val="24"/>
        </w:rPr>
        <w:t xml:space="preserve">written by Kundu J has stated that in human colon cancer HCT116 cells, TQ induces apoptosis through inactivation of STAT3 by blocking JAK2- and Src-mediated phosphorylation of EGF receptor tyrosine kinase. Which is similar with our study, JAK2- and </w:t>
      </w:r>
      <w:r w:rsidR="00D050FA">
        <w:rPr>
          <w:rFonts w:ascii="Book Antiqua" w:hAnsi="Book Antiqua"/>
          <w:bCs/>
          <w:sz w:val="24"/>
          <w:szCs w:val="24"/>
        </w:rPr>
        <w:t>Src- got our attention as well.</w:t>
      </w:r>
    </w:p>
    <w:p w:rsidR="00D050FA" w:rsidRPr="009E2BF9" w:rsidRDefault="00D050FA" w:rsidP="001E38EA">
      <w:pPr>
        <w:adjustRightInd w:val="0"/>
        <w:snapToGrid w:val="0"/>
        <w:spacing w:line="360" w:lineRule="auto"/>
        <w:rPr>
          <w:rFonts w:ascii="Book Antiqua" w:hAnsi="Book Antiqua"/>
          <w:bCs/>
          <w:sz w:val="24"/>
          <w:szCs w:val="24"/>
        </w:rPr>
      </w:pPr>
    </w:p>
    <w:p w:rsidR="00DF581C" w:rsidRPr="009E2BF9" w:rsidRDefault="009E2BF9" w:rsidP="001E38EA">
      <w:pPr>
        <w:adjustRightInd w:val="0"/>
        <w:snapToGrid w:val="0"/>
        <w:spacing w:line="360" w:lineRule="auto"/>
        <w:rPr>
          <w:rFonts w:ascii="Book Antiqua" w:hAnsi="Book Antiqua"/>
          <w:b/>
          <w:bCs/>
          <w:i/>
          <w:sz w:val="24"/>
          <w:szCs w:val="24"/>
        </w:rPr>
      </w:pPr>
      <w:r w:rsidRPr="009E2BF9">
        <w:rPr>
          <w:rFonts w:ascii="Book Antiqua" w:hAnsi="Book Antiqua"/>
          <w:b/>
          <w:bCs/>
          <w:i/>
          <w:sz w:val="24"/>
          <w:szCs w:val="24"/>
        </w:rPr>
        <w:t>Innovations and breakthroughs</w:t>
      </w:r>
    </w:p>
    <w:p w:rsidR="00DF581C" w:rsidRDefault="009E2BF9" w:rsidP="001E38EA">
      <w:pPr>
        <w:adjustRightInd w:val="0"/>
        <w:snapToGrid w:val="0"/>
        <w:spacing w:line="360" w:lineRule="auto"/>
        <w:rPr>
          <w:rFonts w:ascii="Book Antiqua" w:hAnsi="Book Antiqua"/>
          <w:bCs/>
          <w:sz w:val="24"/>
          <w:szCs w:val="24"/>
        </w:rPr>
      </w:pPr>
      <w:r w:rsidRPr="009E2BF9">
        <w:rPr>
          <w:rFonts w:ascii="Book Antiqua" w:hAnsi="Book Antiqua"/>
          <w:bCs/>
          <w:sz w:val="24"/>
          <w:szCs w:val="24"/>
        </w:rPr>
        <w:t>Previous study had shown that TQ could induce apoptosis in gastric cancer cells. However, the specific mechanism of TQ in gastric cancer has not been examined. Our study demonstrated that in gastric tumor cells, TQ inhibited proliferation and induced apoptosis though down-regulation of the STAT3 signaling pathway. Which means TQ may be a Chemopreventive or chemotherapeu</w:t>
      </w:r>
      <w:r w:rsidR="00D050FA">
        <w:rPr>
          <w:rFonts w:ascii="Book Antiqua" w:hAnsi="Book Antiqua"/>
          <w:bCs/>
          <w:sz w:val="24"/>
          <w:szCs w:val="24"/>
        </w:rPr>
        <w:t>tic candidate for gastic cancer.</w:t>
      </w:r>
    </w:p>
    <w:p w:rsidR="00D050FA" w:rsidRPr="009E2BF9" w:rsidRDefault="00D050FA" w:rsidP="001E38EA">
      <w:pPr>
        <w:adjustRightInd w:val="0"/>
        <w:snapToGrid w:val="0"/>
        <w:spacing w:line="360" w:lineRule="auto"/>
        <w:rPr>
          <w:rFonts w:ascii="Book Antiqua" w:hAnsi="Book Antiqua"/>
          <w:sz w:val="24"/>
          <w:szCs w:val="24"/>
        </w:rPr>
      </w:pPr>
    </w:p>
    <w:p w:rsidR="00DF581C" w:rsidRPr="009E2BF9" w:rsidRDefault="009E2BF9" w:rsidP="001E38EA">
      <w:pPr>
        <w:adjustRightInd w:val="0"/>
        <w:snapToGrid w:val="0"/>
        <w:spacing w:line="360" w:lineRule="auto"/>
        <w:rPr>
          <w:rFonts w:ascii="Book Antiqua" w:hAnsi="Book Antiqua"/>
          <w:b/>
          <w:bCs/>
          <w:i/>
          <w:sz w:val="24"/>
          <w:szCs w:val="24"/>
        </w:rPr>
      </w:pPr>
      <w:r w:rsidRPr="009E2BF9">
        <w:rPr>
          <w:rFonts w:ascii="Book Antiqua" w:hAnsi="Book Antiqua"/>
          <w:b/>
          <w:bCs/>
          <w:i/>
          <w:sz w:val="24"/>
          <w:szCs w:val="24"/>
        </w:rPr>
        <w:t xml:space="preserve">Applications </w:t>
      </w:r>
    </w:p>
    <w:p w:rsidR="00DF581C" w:rsidRDefault="009E2BF9" w:rsidP="001E38EA">
      <w:pPr>
        <w:adjustRightInd w:val="0"/>
        <w:snapToGrid w:val="0"/>
        <w:spacing w:line="360" w:lineRule="auto"/>
        <w:rPr>
          <w:rFonts w:ascii="Book Antiqua" w:hAnsi="Book Antiqua"/>
          <w:bCs/>
          <w:sz w:val="24"/>
          <w:szCs w:val="24"/>
        </w:rPr>
      </w:pPr>
      <w:r w:rsidRPr="009E2BF9">
        <w:rPr>
          <w:rFonts w:ascii="Book Antiqua" w:hAnsi="Book Antiqua"/>
          <w:bCs/>
          <w:sz w:val="24"/>
          <w:szCs w:val="24"/>
        </w:rPr>
        <w:t xml:space="preserve">In the further research, as we know that STAT3 is the main signaling pathway when TQ inhibits proliferation of gastic cancer, TQ can be used in chinical </w:t>
      </w:r>
      <w:r w:rsidRPr="009E2BF9">
        <w:rPr>
          <w:rFonts w:ascii="Book Antiqua" w:hAnsi="Book Antiqua"/>
          <w:bCs/>
          <w:sz w:val="24"/>
          <w:szCs w:val="24"/>
        </w:rPr>
        <w:lastRenderedPageBreak/>
        <w:t xml:space="preserve">safely, however, if TQ still can be treated in gastric cancer with drug resistance may not been studied yet. It is a new direction </w:t>
      </w:r>
      <w:r w:rsidR="00D050FA">
        <w:rPr>
          <w:rFonts w:ascii="Book Antiqua" w:hAnsi="Book Antiqua" w:hint="eastAsia"/>
          <w:bCs/>
          <w:sz w:val="24"/>
          <w:szCs w:val="24"/>
        </w:rPr>
        <w:t>the authors</w:t>
      </w:r>
      <w:r w:rsidRPr="009E2BF9">
        <w:rPr>
          <w:rFonts w:ascii="Book Antiqua" w:hAnsi="Book Antiqua"/>
          <w:bCs/>
          <w:sz w:val="24"/>
          <w:szCs w:val="24"/>
        </w:rPr>
        <w:t xml:space="preserve"> can go further.</w:t>
      </w:r>
    </w:p>
    <w:p w:rsidR="00D050FA" w:rsidRPr="009E2BF9" w:rsidRDefault="00D050FA" w:rsidP="001E38EA">
      <w:pPr>
        <w:adjustRightInd w:val="0"/>
        <w:snapToGrid w:val="0"/>
        <w:spacing w:line="360" w:lineRule="auto"/>
        <w:rPr>
          <w:rFonts w:ascii="Book Antiqua" w:hAnsi="Book Antiqua"/>
          <w:bCs/>
          <w:sz w:val="24"/>
          <w:szCs w:val="24"/>
        </w:rPr>
      </w:pPr>
    </w:p>
    <w:p w:rsidR="00DF581C" w:rsidRPr="009E2BF9" w:rsidRDefault="009E2BF9" w:rsidP="001E38EA">
      <w:pPr>
        <w:adjustRightInd w:val="0"/>
        <w:snapToGrid w:val="0"/>
        <w:spacing w:line="360" w:lineRule="auto"/>
        <w:rPr>
          <w:rFonts w:ascii="Book Antiqua" w:hAnsi="Book Antiqua"/>
          <w:b/>
          <w:bCs/>
          <w:i/>
          <w:sz w:val="24"/>
          <w:szCs w:val="24"/>
        </w:rPr>
      </w:pPr>
      <w:r w:rsidRPr="009E2BF9">
        <w:rPr>
          <w:rFonts w:ascii="Book Antiqua" w:hAnsi="Book Antiqua"/>
          <w:b/>
          <w:bCs/>
          <w:i/>
          <w:sz w:val="24"/>
          <w:szCs w:val="24"/>
        </w:rPr>
        <w:t>Terminology</w:t>
      </w:r>
    </w:p>
    <w:p w:rsidR="00DF581C" w:rsidRDefault="009E2BF9" w:rsidP="001E38EA">
      <w:pPr>
        <w:adjustRightInd w:val="0"/>
        <w:snapToGrid w:val="0"/>
        <w:spacing w:line="360" w:lineRule="auto"/>
        <w:rPr>
          <w:rFonts w:ascii="Book Antiqua" w:eastAsia="SimSun" w:hAnsi="Book Antiqua" w:cs="Times New Roman"/>
          <w:sz w:val="24"/>
          <w:szCs w:val="24"/>
        </w:rPr>
      </w:pPr>
      <w:r w:rsidRPr="009E2BF9">
        <w:rPr>
          <w:rFonts w:ascii="Book Antiqua" w:eastAsia="SimSun" w:hAnsi="Book Antiqua" w:cs="Times New Roman"/>
          <w:sz w:val="24"/>
          <w:szCs w:val="24"/>
        </w:rPr>
        <w:t>Thymoquinone (TQ, also called 2 - Isopropyl -5 - methyl-1,4 - benzo-quinone, C</w:t>
      </w:r>
      <w:r w:rsidRPr="009E2BF9">
        <w:rPr>
          <w:rFonts w:ascii="Book Antiqua" w:eastAsia="SimSun" w:hAnsi="Book Antiqua" w:cs="Times New Roman"/>
          <w:sz w:val="24"/>
          <w:szCs w:val="24"/>
          <w:vertAlign w:val="subscript"/>
        </w:rPr>
        <w:t>10</w:t>
      </w:r>
      <w:r w:rsidRPr="009E2BF9">
        <w:rPr>
          <w:rFonts w:ascii="Book Antiqua" w:eastAsia="SimSun" w:hAnsi="Book Antiqua" w:cs="Times New Roman"/>
          <w:sz w:val="24"/>
          <w:szCs w:val="24"/>
        </w:rPr>
        <w:t>H</w:t>
      </w:r>
      <w:r w:rsidRPr="009E2BF9">
        <w:rPr>
          <w:rFonts w:ascii="Book Antiqua" w:eastAsia="SimSun" w:hAnsi="Book Antiqua" w:cs="Times New Roman"/>
          <w:sz w:val="24"/>
          <w:szCs w:val="24"/>
          <w:vertAlign w:val="subscript"/>
        </w:rPr>
        <w:t>12</w:t>
      </w:r>
      <w:r w:rsidRPr="009E2BF9">
        <w:rPr>
          <w:rFonts w:ascii="Book Antiqua" w:eastAsia="SimSun" w:hAnsi="Book Antiqua" w:cs="Times New Roman"/>
          <w:sz w:val="24"/>
          <w:szCs w:val="24"/>
        </w:rPr>
        <w:t>O</w:t>
      </w:r>
      <w:r w:rsidRPr="009E2BF9">
        <w:rPr>
          <w:rFonts w:ascii="Book Antiqua" w:eastAsia="SimSun" w:hAnsi="Book Antiqua" w:cs="Times New Roman"/>
          <w:sz w:val="24"/>
          <w:szCs w:val="24"/>
          <w:vertAlign w:val="subscript"/>
        </w:rPr>
        <w:t>2</w:t>
      </w:r>
      <w:r w:rsidRPr="009E2BF9">
        <w:rPr>
          <w:rFonts w:ascii="Book Antiqua" w:eastAsia="SimSun" w:hAnsi="Book Antiqua" w:cs="Times New Roman"/>
          <w:sz w:val="24"/>
          <w:szCs w:val="24"/>
        </w:rPr>
        <w:t>), as the active constituents of black cumin (Nigella sativa) seed oil (</w:t>
      </w:r>
      <w:r w:rsidR="00D60AB6">
        <w:rPr>
          <w:rFonts w:ascii="Book Antiqua" w:eastAsia="SimSun" w:hAnsi="Book Antiqua" w:cs="Times New Roman"/>
          <w:sz w:val="24"/>
          <w:szCs w:val="24"/>
        </w:rPr>
        <w:t>Figure</w:t>
      </w:r>
      <w:r w:rsidRPr="009E2BF9">
        <w:rPr>
          <w:rFonts w:ascii="Book Antiqua" w:eastAsia="SimSun" w:hAnsi="Book Antiqua" w:cs="Times New Roman"/>
          <w:sz w:val="24"/>
          <w:szCs w:val="24"/>
        </w:rPr>
        <w:t xml:space="preserve"> 1A), was first extracted by EI-Dakhakhany.</w:t>
      </w:r>
      <w:r w:rsidR="00D050FA">
        <w:rPr>
          <w:rFonts w:ascii="Book Antiqua" w:eastAsia="SimSun" w:hAnsi="Book Antiqua" w:cs="Times New Roman" w:hint="eastAsia"/>
          <w:sz w:val="24"/>
          <w:szCs w:val="24"/>
        </w:rPr>
        <w:t xml:space="preserve"> </w:t>
      </w:r>
      <w:r w:rsidRPr="009E2BF9">
        <w:rPr>
          <w:rFonts w:ascii="Book Antiqua" w:eastAsia="SimSun" w:hAnsi="Book Antiqua" w:cs="Times New Roman"/>
          <w:sz w:val="24"/>
          <w:szCs w:val="24"/>
        </w:rPr>
        <w:t>STAT refers to Signal transducer and activator of transcription. VEGF refers to vas</w:t>
      </w:r>
      <w:r w:rsidR="00D050FA">
        <w:rPr>
          <w:rFonts w:ascii="Book Antiqua" w:eastAsia="SimSun" w:hAnsi="Book Antiqua" w:cs="Times New Roman"/>
          <w:sz w:val="24"/>
          <w:szCs w:val="24"/>
        </w:rPr>
        <w:t>cular endothelial growth factor</w:t>
      </w:r>
      <w:r w:rsidRPr="009E2BF9">
        <w:rPr>
          <w:rFonts w:ascii="Book Antiqua" w:eastAsia="SimSun" w:hAnsi="Book Antiqua" w:cs="Times New Roman"/>
          <w:sz w:val="24"/>
          <w:szCs w:val="24"/>
        </w:rPr>
        <w:t>.</w:t>
      </w:r>
    </w:p>
    <w:p w:rsidR="00D050FA" w:rsidRPr="009E2BF9" w:rsidRDefault="00D050FA" w:rsidP="001E38EA">
      <w:pPr>
        <w:adjustRightInd w:val="0"/>
        <w:snapToGrid w:val="0"/>
        <w:spacing w:line="360" w:lineRule="auto"/>
        <w:rPr>
          <w:rFonts w:ascii="Book Antiqua" w:eastAsia="SimSun" w:hAnsi="Book Antiqua" w:cs="Times New Roman"/>
          <w:sz w:val="24"/>
          <w:szCs w:val="24"/>
        </w:rPr>
      </w:pPr>
    </w:p>
    <w:p w:rsidR="00DF581C" w:rsidRPr="009E2BF9" w:rsidRDefault="00D050FA" w:rsidP="001E38EA">
      <w:pPr>
        <w:adjustRightInd w:val="0"/>
        <w:snapToGrid w:val="0"/>
        <w:spacing w:line="360" w:lineRule="auto"/>
        <w:rPr>
          <w:rFonts w:ascii="Book Antiqua" w:hAnsi="Book Antiqua"/>
          <w:b/>
          <w:bCs/>
          <w:i/>
          <w:sz w:val="24"/>
          <w:szCs w:val="24"/>
        </w:rPr>
      </w:pPr>
      <w:r>
        <w:rPr>
          <w:rFonts w:ascii="Book Antiqua" w:hAnsi="Book Antiqua"/>
          <w:b/>
          <w:bCs/>
          <w:i/>
          <w:sz w:val="24"/>
          <w:szCs w:val="24"/>
        </w:rPr>
        <w:t>Peer-</w:t>
      </w:r>
      <w:r w:rsidR="009E2BF9" w:rsidRPr="009E2BF9">
        <w:rPr>
          <w:rFonts w:ascii="Book Antiqua" w:hAnsi="Book Antiqua"/>
          <w:b/>
          <w:bCs/>
          <w:i/>
          <w:sz w:val="24"/>
          <w:szCs w:val="24"/>
        </w:rPr>
        <w:t>review</w:t>
      </w:r>
    </w:p>
    <w:p w:rsidR="00DF581C" w:rsidRPr="009E2BF9" w:rsidRDefault="009E2BF9" w:rsidP="001E38EA">
      <w:pPr>
        <w:adjustRightInd w:val="0"/>
        <w:snapToGrid w:val="0"/>
        <w:spacing w:line="360" w:lineRule="auto"/>
        <w:rPr>
          <w:rFonts w:ascii="Book Antiqua" w:eastAsia="SimSun" w:hAnsi="Book Antiqua" w:cs="Times New Roman"/>
          <w:sz w:val="24"/>
          <w:szCs w:val="24"/>
        </w:rPr>
      </w:pPr>
      <w:r w:rsidRPr="009E2BF9">
        <w:rPr>
          <w:rFonts w:ascii="Book Antiqua" w:eastAsia="SimSun" w:hAnsi="Book Antiqua" w:cs="Times New Roman"/>
          <w:sz w:val="24"/>
          <w:szCs w:val="24"/>
        </w:rPr>
        <w:t>This article analyzed from the mechanism of the role of the TQ, which is a more accurate guidance for clinical administration, with practical research significance.</w:t>
      </w:r>
    </w:p>
    <w:p w:rsidR="00D050FA" w:rsidRDefault="00D050FA" w:rsidP="001E38EA">
      <w:pPr>
        <w:adjustRightInd w:val="0"/>
        <w:snapToGrid w:val="0"/>
        <w:spacing w:line="360" w:lineRule="auto"/>
        <w:rPr>
          <w:rFonts w:ascii="Book Antiqua" w:hAnsi="Book Antiqua" w:cs="Times New Roman"/>
          <w:sz w:val="24"/>
          <w:szCs w:val="24"/>
        </w:rPr>
      </w:pPr>
      <w:r>
        <w:rPr>
          <w:rFonts w:ascii="Book Antiqua" w:hAnsi="Book Antiqua" w:cs="Times New Roman"/>
          <w:sz w:val="24"/>
          <w:szCs w:val="24"/>
        </w:rPr>
        <w:br w:type="page"/>
      </w:r>
    </w:p>
    <w:p w:rsidR="00DF581C" w:rsidRDefault="009E2BF9" w:rsidP="001E38EA">
      <w:pPr>
        <w:adjustRightInd w:val="0"/>
        <w:snapToGrid w:val="0"/>
        <w:spacing w:line="360" w:lineRule="auto"/>
        <w:rPr>
          <w:rFonts w:ascii="Book Antiqua" w:hAnsi="Book Antiqua" w:cs="Times New Roman"/>
          <w:b/>
          <w:caps/>
          <w:sz w:val="24"/>
          <w:szCs w:val="24"/>
        </w:rPr>
      </w:pPr>
      <w:r w:rsidRPr="00D050FA">
        <w:rPr>
          <w:rFonts w:ascii="Book Antiqua" w:hAnsi="Book Antiqua" w:cs="Times New Roman"/>
          <w:b/>
          <w:caps/>
          <w:sz w:val="24"/>
          <w:szCs w:val="24"/>
        </w:rPr>
        <w:lastRenderedPageBreak/>
        <w:t>References</w:t>
      </w:r>
    </w:p>
    <w:p w:rsidR="00203D5C" w:rsidRPr="00DD07CA" w:rsidRDefault="00203D5C" w:rsidP="001E38EA">
      <w:pPr>
        <w:widowControl/>
        <w:adjustRightInd w:val="0"/>
        <w:snapToGrid w:val="0"/>
        <w:spacing w:line="360" w:lineRule="auto"/>
        <w:rPr>
          <w:rFonts w:ascii="Book Antiqua" w:eastAsia="SimSun" w:hAnsi="Book Antiqua" w:cs="SimSun"/>
          <w:color w:val="000000"/>
          <w:kern w:val="0"/>
          <w:sz w:val="24"/>
          <w:szCs w:val="24"/>
        </w:rPr>
      </w:pPr>
      <w:r w:rsidRPr="00DD07CA">
        <w:rPr>
          <w:rFonts w:ascii="Book Antiqua" w:eastAsia="SimSun" w:hAnsi="Book Antiqua" w:cs="SimSun"/>
          <w:color w:val="000000"/>
          <w:kern w:val="0"/>
          <w:sz w:val="24"/>
          <w:szCs w:val="24"/>
        </w:rPr>
        <w:t>1 </w:t>
      </w:r>
      <w:r w:rsidRPr="00DD07CA">
        <w:rPr>
          <w:rFonts w:ascii="Book Antiqua" w:eastAsia="SimSun" w:hAnsi="Book Antiqua" w:cs="SimSun"/>
          <w:b/>
          <w:bCs/>
          <w:color w:val="000000"/>
          <w:kern w:val="0"/>
          <w:sz w:val="24"/>
          <w:szCs w:val="24"/>
        </w:rPr>
        <w:t>Torre LA</w:t>
      </w:r>
      <w:r w:rsidRPr="00DD07CA">
        <w:rPr>
          <w:rFonts w:ascii="Book Antiqua" w:eastAsia="SimSun" w:hAnsi="Book Antiqua" w:cs="SimSun"/>
          <w:color w:val="000000"/>
          <w:kern w:val="0"/>
          <w:sz w:val="24"/>
          <w:szCs w:val="24"/>
        </w:rPr>
        <w:t>, Bray F, Siegel RL, Ferlay J, Lortet-Tieulent J, Jemal A. Global cancer statistics, 2012. </w:t>
      </w:r>
      <w:r w:rsidRPr="00DD07CA">
        <w:rPr>
          <w:rFonts w:ascii="Book Antiqua" w:eastAsia="SimSun" w:hAnsi="Book Antiqua" w:cs="SimSun"/>
          <w:i/>
          <w:iCs/>
          <w:color w:val="000000"/>
          <w:kern w:val="0"/>
          <w:sz w:val="24"/>
          <w:szCs w:val="24"/>
        </w:rPr>
        <w:t>CA Cancer J Clin</w:t>
      </w:r>
      <w:r w:rsidRPr="00DD07CA">
        <w:rPr>
          <w:rFonts w:ascii="Book Antiqua" w:eastAsia="SimSun" w:hAnsi="Book Antiqua" w:cs="SimSun"/>
          <w:color w:val="000000"/>
          <w:kern w:val="0"/>
          <w:sz w:val="24"/>
          <w:szCs w:val="24"/>
        </w:rPr>
        <w:t> 2015; </w:t>
      </w:r>
      <w:r w:rsidRPr="00DD07CA">
        <w:rPr>
          <w:rFonts w:ascii="Book Antiqua" w:eastAsia="SimSun" w:hAnsi="Book Antiqua" w:cs="SimSun"/>
          <w:b/>
          <w:bCs/>
          <w:color w:val="000000"/>
          <w:kern w:val="0"/>
          <w:sz w:val="24"/>
          <w:szCs w:val="24"/>
        </w:rPr>
        <w:t>65</w:t>
      </w:r>
      <w:r w:rsidRPr="00DD07CA">
        <w:rPr>
          <w:rFonts w:ascii="Book Antiqua" w:eastAsia="SimSun" w:hAnsi="Book Antiqua" w:cs="SimSun"/>
          <w:color w:val="000000"/>
          <w:kern w:val="0"/>
          <w:sz w:val="24"/>
          <w:szCs w:val="24"/>
        </w:rPr>
        <w:t>: 87-108 [PMID: 25651787 DOI: 10.3322/caac.21262]</w:t>
      </w:r>
    </w:p>
    <w:p w:rsidR="00203D5C" w:rsidRPr="00DD07CA" w:rsidRDefault="00203D5C" w:rsidP="001E38EA">
      <w:pPr>
        <w:widowControl/>
        <w:adjustRightInd w:val="0"/>
        <w:snapToGrid w:val="0"/>
        <w:spacing w:line="360" w:lineRule="auto"/>
        <w:rPr>
          <w:rFonts w:ascii="Book Antiqua" w:eastAsia="SimSun" w:hAnsi="Book Antiqua" w:cs="SimSun"/>
          <w:color w:val="000000"/>
          <w:kern w:val="0"/>
          <w:sz w:val="24"/>
          <w:szCs w:val="24"/>
        </w:rPr>
      </w:pPr>
      <w:r w:rsidRPr="00DD07CA">
        <w:rPr>
          <w:rFonts w:ascii="Book Antiqua" w:eastAsia="SimSun" w:hAnsi="Book Antiqua" w:cs="SimSun"/>
          <w:color w:val="000000"/>
          <w:kern w:val="0"/>
          <w:sz w:val="24"/>
          <w:szCs w:val="24"/>
        </w:rPr>
        <w:t>2 </w:t>
      </w:r>
      <w:r w:rsidRPr="00DD07CA">
        <w:rPr>
          <w:rFonts w:ascii="Book Antiqua" w:eastAsia="SimSun" w:hAnsi="Book Antiqua" w:cs="SimSun"/>
          <w:b/>
          <w:bCs/>
          <w:color w:val="000000"/>
          <w:kern w:val="0"/>
          <w:sz w:val="24"/>
          <w:szCs w:val="24"/>
        </w:rPr>
        <w:t>Ohtsu A</w:t>
      </w:r>
      <w:r w:rsidRPr="00DD07CA">
        <w:rPr>
          <w:rFonts w:ascii="Book Antiqua" w:eastAsia="SimSun" w:hAnsi="Book Antiqua" w:cs="SimSun"/>
          <w:color w:val="000000"/>
          <w:kern w:val="0"/>
          <w:sz w:val="24"/>
          <w:szCs w:val="24"/>
        </w:rPr>
        <w:t>. Chemotherapy for metastatic gastric cancer: past, present, and future. </w:t>
      </w:r>
      <w:r w:rsidRPr="00DD07CA">
        <w:rPr>
          <w:rFonts w:ascii="Book Antiqua" w:eastAsia="SimSun" w:hAnsi="Book Antiqua" w:cs="SimSun"/>
          <w:i/>
          <w:iCs/>
          <w:color w:val="000000"/>
          <w:kern w:val="0"/>
          <w:sz w:val="24"/>
          <w:szCs w:val="24"/>
        </w:rPr>
        <w:t>J Gastroenterol</w:t>
      </w:r>
      <w:r w:rsidRPr="00DD07CA">
        <w:rPr>
          <w:rFonts w:ascii="Book Antiqua" w:eastAsia="SimSun" w:hAnsi="Book Antiqua" w:cs="SimSun"/>
          <w:color w:val="000000"/>
          <w:kern w:val="0"/>
          <w:sz w:val="24"/>
          <w:szCs w:val="24"/>
        </w:rPr>
        <w:t> 2008; </w:t>
      </w:r>
      <w:r w:rsidRPr="00DD07CA">
        <w:rPr>
          <w:rFonts w:ascii="Book Antiqua" w:eastAsia="SimSun" w:hAnsi="Book Antiqua" w:cs="SimSun"/>
          <w:b/>
          <w:bCs/>
          <w:color w:val="000000"/>
          <w:kern w:val="0"/>
          <w:sz w:val="24"/>
          <w:szCs w:val="24"/>
        </w:rPr>
        <w:t>43</w:t>
      </w:r>
      <w:r w:rsidRPr="00DD07CA">
        <w:rPr>
          <w:rFonts w:ascii="Book Antiqua" w:eastAsia="SimSun" w:hAnsi="Book Antiqua" w:cs="SimSun"/>
          <w:color w:val="000000"/>
          <w:kern w:val="0"/>
          <w:sz w:val="24"/>
          <w:szCs w:val="24"/>
        </w:rPr>
        <w:t>: 256-264 [PMID: 18458840 DOI: 10.1007/s00535-008-2177-6]</w:t>
      </w:r>
    </w:p>
    <w:p w:rsidR="00203D5C" w:rsidRPr="00DD07CA" w:rsidRDefault="00203D5C" w:rsidP="001E38EA">
      <w:pPr>
        <w:widowControl/>
        <w:adjustRightInd w:val="0"/>
        <w:snapToGrid w:val="0"/>
        <w:spacing w:line="360" w:lineRule="auto"/>
        <w:rPr>
          <w:rFonts w:ascii="Book Antiqua" w:eastAsia="SimSun" w:hAnsi="Book Antiqua" w:cs="SimSun"/>
          <w:color w:val="000000"/>
          <w:kern w:val="0"/>
          <w:sz w:val="24"/>
          <w:szCs w:val="24"/>
        </w:rPr>
      </w:pPr>
      <w:r w:rsidRPr="00DD07CA">
        <w:rPr>
          <w:rFonts w:ascii="Book Antiqua" w:eastAsia="SimSun" w:hAnsi="Book Antiqua" w:cs="SimSun"/>
          <w:color w:val="000000"/>
          <w:kern w:val="0"/>
          <w:sz w:val="24"/>
          <w:szCs w:val="24"/>
        </w:rPr>
        <w:t xml:space="preserve">3 </w:t>
      </w:r>
      <w:r w:rsidRPr="00DD07CA">
        <w:rPr>
          <w:rFonts w:ascii="Book Antiqua" w:eastAsia="SimSun" w:hAnsi="Book Antiqua" w:cs="SimSun"/>
          <w:b/>
          <w:color w:val="000000"/>
          <w:kern w:val="0"/>
          <w:sz w:val="24"/>
          <w:szCs w:val="24"/>
        </w:rPr>
        <w:t>El-Dakhakhany M</w:t>
      </w:r>
      <w:r w:rsidRPr="00DD07CA">
        <w:rPr>
          <w:rFonts w:ascii="Book Antiqua" w:eastAsia="SimSun" w:hAnsi="Book Antiqua" w:cs="SimSun"/>
          <w:color w:val="000000"/>
          <w:kern w:val="0"/>
          <w:sz w:val="24"/>
          <w:szCs w:val="24"/>
        </w:rPr>
        <w:t xml:space="preserve">. Studies on the chemical constitution of Egyptian N. sativa L. seeds. </w:t>
      </w:r>
      <w:r w:rsidRPr="00DD07CA">
        <w:rPr>
          <w:rFonts w:ascii="Book Antiqua" w:eastAsia="SimSun" w:hAnsi="Book Antiqua" w:cs="SimSun"/>
          <w:i/>
          <w:color w:val="000000"/>
          <w:kern w:val="0"/>
          <w:sz w:val="24"/>
          <w:szCs w:val="24"/>
        </w:rPr>
        <w:t xml:space="preserve">Planta Medica </w:t>
      </w:r>
      <w:r w:rsidRPr="00DD07CA">
        <w:rPr>
          <w:rFonts w:ascii="Book Antiqua" w:eastAsia="SimSun" w:hAnsi="Book Antiqua" w:cs="SimSun"/>
          <w:color w:val="000000"/>
          <w:kern w:val="0"/>
          <w:sz w:val="24"/>
          <w:szCs w:val="24"/>
        </w:rPr>
        <w:t xml:space="preserve">1963; </w:t>
      </w:r>
      <w:r w:rsidRPr="00DD07CA">
        <w:rPr>
          <w:rFonts w:ascii="Book Antiqua" w:eastAsia="SimSun" w:hAnsi="Book Antiqua" w:cs="SimSun"/>
          <w:b/>
          <w:color w:val="000000"/>
          <w:kern w:val="0"/>
          <w:sz w:val="24"/>
          <w:szCs w:val="24"/>
        </w:rPr>
        <w:t>11</w:t>
      </w:r>
      <w:r w:rsidRPr="00DD07CA">
        <w:rPr>
          <w:rFonts w:ascii="Book Antiqua" w:eastAsia="SimSun" w:hAnsi="Book Antiqua" w:cs="SimSun"/>
          <w:color w:val="000000"/>
          <w:kern w:val="0"/>
          <w:sz w:val="24"/>
          <w:szCs w:val="24"/>
        </w:rPr>
        <w:t>: 465–470 [DOI: 10.1055/s-0028-1100266]</w:t>
      </w:r>
    </w:p>
    <w:p w:rsidR="00203D5C" w:rsidRPr="00DD07CA" w:rsidRDefault="00203D5C" w:rsidP="001E38EA">
      <w:pPr>
        <w:widowControl/>
        <w:adjustRightInd w:val="0"/>
        <w:snapToGrid w:val="0"/>
        <w:spacing w:line="360" w:lineRule="auto"/>
        <w:rPr>
          <w:rFonts w:ascii="Book Antiqua" w:eastAsia="SimSun" w:hAnsi="Book Antiqua" w:cs="SimSun"/>
          <w:color w:val="000000"/>
          <w:kern w:val="0"/>
          <w:sz w:val="24"/>
          <w:szCs w:val="24"/>
        </w:rPr>
      </w:pPr>
      <w:r w:rsidRPr="00DD07CA">
        <w:rPr>
          <w:rFonts w:ascii="Book Antiqua" w:eastAsia="SimSun" w:hAnsi="Book Antiqua" w:cs="SimSun"/>
          <w:color w:val="000000"/>
          <w:kern w:val="0"/>
          <w:sz w:val="24"/>
          <w:szCs w:val="24"/>
        </w:rPr>
        <w:t>4 </w:t>
      </w:r>
      <w:r w:rsidRPr="00DD07CA">
        <w:rPr>
          <w:rFonts w:ascii="Book Antiqua" w:eastAsia="SimSun" w:hAnsi="Book Antiqua" w:cs="SimSun"/>
          <w:b/>
          <w:bCs/>
          <w:color w:val="000000"/>
          <w:kern w:val="0"/>
          <w:sz w:val="24"/>
          <w:szCs w:val="24"/>
        </w:rPr>
        <w:t>Gali-Muhtasib H</w:t>
      </w:r>
      <w:r w:rsidRPr="00DD07CA">
        <w:rPr>
          <w:rFonts w:ascii="Book Antiqua" w:eastAsia="SimSun" w:hAnsi="Book Antiqua" w:cs="SimSun"/>
          <w:color w:val="000000"/>
          <w:kern w:val="0"/>
          <w:sz w:val="24"/>
          <w:szCs w:val="24"/>
        </w:rPr>
        <w:t>, Kuester D, Mawrin C, Bajbouj K, Diestel A, Ocker M, Habold C, Foltzer-Jourdainne C, Schoenfeld P, Peters B, Diab-Assaf M, Pommrich U, Itani W, Lippert H, Roessner A, Schneider-Stock R. Thymoquinone triggers inactivation of the stress response pathway sensor CHEK1 and contributes to apoptosis in colorectal cancer cells. </w:t>
      </w:r>
      <w:r w:rsidRPr="00DD07CA">
        <w:rPr>
          <w:rFonts w:ascii="Book Antiqua" w:eastAsia="SimSun" w:hAnsi="Book Antiqua" w:cs="SimSun"/>
          <w:i/>
          <w:iCs/>
          <w:color w:val="000000"/>
          <w:kern w:val="0"/>
          <w:sz w:val="24"/>
          <w:szCs w:val="24"/>
        </w:rPr>
        <w:t>Cancer Res</w:t>
      </w:r>
      <w:r w:rsidRPr="00DD07CA">
        <w:rPr>
          <w:rFonts w:ascii="Book Antiqua" w:eastAsia="SimSun" w:hAnsi="Book Antiqua" w:cs="SimSun"/>
          <w:color w:val="000000"/>
          <w:kern w:val="0"/>
          <w:sz w:val="24"/>
          <w:szCs w:val="24"/>
        </w:rPr>
        <w:t> 2008; </w:t>
      </w:r>
      <w:r w:rsidRPr="00DD07CA">
        <w:rPr>
          <w:rFonts w:ascii="Book Antiqua" w:eastAsia="SimSun" w:hAnsi="Book Antiqua" w:cs="SimSun"/>
          <w:b/>
          <w:bCs/>
          <w:color w:val="000000"/>
          <w:kern w:val="0"/>
          <w:sz w:val="24"/>
          <w:szCs w:val="24"/>
        </w:rPr>
        <w:t>68</w:t>
      </w:r>
      <w:r w:rsidRPr="00DD07CA">
        <w:rPr>
          <w:rFonts w:ascii="Book Antiqua" w:eastAsia="SimSun" w:hAnsi="Book Antiqua" w:cs="SimSun"/>
          <w:color w:val="000000"/>
          <w:kern w:val="0"/>
          <w:sz w:val="24"/>
          <w:szCs w:val="24"/>
        </w:rPr>
        <w:t>: 5609-5618 [PMID: 18632613 DOI: 10.1158/0008-5472.CAN-08-0884]</w:t>
      </w:r>
    </w:p>
    <w:p w:rsidR="00203D5C" w:rsidRPr="00DD07CA" w:rsidRDefault="00203D5C" w:rsidP="001E38EA">
      <w:pPr>
        <w:widowControl/>
        <w:adjustRightInd w:val="0"/>
        <w:snapToGrid w:val="0"/>
        <w:spacing w:line="360" w:lineRule="auto"/>
        <w:rPr>
          <w:rFonts w:ascii="Book Antiqua" w:eastAsia="SimSun" w:hAnsi="Book Antiqua" w:cs="SimSun"/>
          <w:color w:val="000000"/>
          <w:kern w:val="0"/>
          <w:sz w:val="24"/>
          <w:szCs w:val="24"/>
        </w:rPr>
      </w:pPr>
      <w:r w:rsidRPr="00DD07CA">
        <w:rPr>
          <w:rFonts w:ascii="Book Antiqua" w:eastAsia="SimSun" w:hAnsi="Book Antiqua" w:cs="SimSun"/>
          <w:color w:val="000000"/>
          <w:kern w:val="0"/>
          <w:sz w:val="24"/>
          <w:szCs w:val="24"/>
        </w:rPr>
        <w:t>5 </w:t>
      </w:r>
      <w:r w:rsidRPr="00DD07CA">
        <w:rPr>
          <w:rFonts w:ascii="Book Antiqua" w:eastAsia="SimSun" w:hAnsi="Book Antiqua" w:cs="SimSun"/>
          <w:b/>
          <w:bCs/>
          <w:color w:val="000000"/>
          <w:kern w:val="0"/>
          <w:sz w:val="24"/>
          <w:szCs w:val="24"/>
        </w:rPr>
        <w:t>Chehl N</w:t>
      </w:r>
      <w:r w:rsidRPr="00DD07CA">
        <w:rPr>
          <w:rFonts w:ascii="Book Antiqua" w:eastAsia="SimSun" w:hAnsi="Book Antiqua" w:cs="SimSun"/>
          <w:color w:val="000000"/>
          <w:kern w:val="0"/>
          <w:sz w:val="24"/>
          <w:szCs w:val="24"/>
        </w:rPr>
        <w:t>, Chipitsyna G, Gong Q, Yeo CJ, Arafat HA. Anti-inflammatory effects of the Nigella sativa seed extract, thymoquinone, in pancreatic cancer cells. </w:t>
      </w:r>
      <w:r w:rsidRPr="00DD07CA">
        <w:rPr>
          <w:rFonts w:ascii="Book Antiqua" w:eastAsia="SimSun" w:hAnsi="Book Antiqua" w:cs="SimSun"/>
          <w:i/>
          <w:iCs/>
          <w:color w:val="000000"/>
          <w:kern w:val="0"/>
          <w:sz w:val="24"/>
          <w:szCs w:val="24"/>
        </w:rPr>
        <w:t>HPB (Oxford)</w:t>
      </w:r>
      <w:r w:rsidRPr="00DD07CA">
        <w:rPr>
          <w:rFonts w:ascii="Book Antiqua" w:eastAsia="SimSun" w:hAnsi="Book Antiqua" w:cs="SimSun"/>
          <w:color w:val="000000"/>
          <w:kern w:val="0"/>
          <w:sz w:val="24"/>
          <w:szCs w:val="24"/>
        </w:rPr>
        <w:t> 2009; </w:t>
      </w:r>
      <w:r w:rsidRPr="00DD07CA">
        <w:rPr>
          <w:rFonts w:ascii="Book Antiqua" w:eastAsia="SimSun" w:hAnsi="Book Antiqua" w:cs="SimSun"/>
          <w:b/>
          <w:bCs/>
          <w:color w:val="000000"/>
          <w:kern w:val="0"/>
          <w:sz w:val="24"/>
          <w:szCs w:val="24"/>
        </w:rPr>
        <w:t>11</w:t>
      </w:r>
      <w:r w:rsidRPr="00DD07CA">
        <w:rPr>
          <w:rFonts w:ascii="Book Antiqua" w:eastAsia="SimSun" w:hAnsi="Book Antiqua" w:cs="SimSun"/>
          <w:color w:val="000000"/>
          <w:kern w:val="0"/>
          <w:sz w:val="24"/>
          <w:szCs w:val="24"/>
        </w:rPr>
        <w:t>: 373-381 [PMID: 19768141 DOI: 10.1111/j.1477-2574.2009.00059.x]</w:t>
      </w:r>
    </w:p>
    <w:p w:rsidR="00203D5C" w:rsidRPr="00DD07CA" w:rsidRDefault="00203D5C" w:rsidP="001E38EA">
      <w:pPr>
        <w:widowControl/>
        <w:adjustRightInd w:val="0"/>
        <w:snapToGrid w:val="0"/>
        <w:spacing w:line="360" w:lineRule="auto"/>
        <w:rPr>
          <w:rFonts w:ascii="Book Antiqua" w:eastAsia="SimSun" w:hAnsi="Book Antiqua" w:cs="SimSun"/>
          <w:color w:val="000000"/>
          <w:kern w:val="0"/>
          <w:sz w:val="24"/>
          <w:szCs w:val="24"/>
        </w:rPr>
      </w:pPr>
      <w:r w:rsidRPr="00DD07CA">
        <w:rPr>
          <w:rFonts w:ascii="Book Antiqua" w:eastAsia="SimSun" w:hAnsi="Book Antiqua" w:cs="SimSun"/>
          <w:color w:val="000000"/>
          <w:kern w:val="0"/>
          <w:sz w:val="24"/>
          <w:szCs w:val="24"/>
        </w:rPr>
        <w:t>6 </w:t>
      </w:r>
      <w:r w:rsidRPr="00DD07CA">
        <w:rPr>
          <w:rFonts w:ascii="Book Antiqua" w:eastAsia="SimSun" w:hAnsi="Book Antiqua" w:cs="SimSun"/>
          <w:b/>
          <w:bCs/>
          <w:color w:val="000000"/>
          <w:kern w:val="0"/>
          <w:sz w:val="24"/>
          <w:szCs w:val="24"/>
        </w:rPr>
        <w:t>Connelly L</w:t>
      </w:r>
      <w:r w:rsidRPr="00DD07CA">
        <w:rPr>
          <w:rFonts w:ascii="Book Antiqua" w:eastAsia="SimSun" w:hAnsi="Book Antiqua" w:cs="SimSun"/>
          <w:color w:val="000000"/>
          <w:kern w:val="0"/>
          <w:sz w:val="24"/>
          <w:szCs w:val="24"/>
        </w:rPr>
        <w:t>, Barham W, Onishko HM, Sherrill T, Chodosh LA, Blackwell TS, Yull FE. Inhibition of NF-kappa B activity in mammary epithelium increases tumor latency and decreases tumor burden. </w:t>
      </w:r>
      <w:r w:rsidRPr="00DD07CA">
        <w:rPr>
          <w:rFonts w:ascii="Book Antiqua" w:eastAsia="SimSun" w:hAnsi="Book Antiqua" w:cs="SimSun"/>
          <w:i/>
          <w:iCs/>
          <w:color w:val="000000"/>
          <w:kern w:val="0"/>
          <w:sz w:val="24"/>
          <w:szCs w:val="24"/>
        </w:rPr>
        <w:t>Oncogene</w:t>
      </w:r>
      <w:r w:rsidRPr="00DD07CA">
        <w:rPr>
          <w:rFonts w:ascii="Book Antiqua" w:eastAsia="SimSun" w:hAnsi="Book Antiqua" w:cs="SimSun"/>
          <w:color w:val="000000"/>
          <w:kern w:val="0"/>
          <w:sz w:val="24"/>
          <w:szCs w:val="24"/>
        </w:rPr>
        <w:t> 2011; </w:t>
      </w:r>
      <w:r w:rsidRPr="00DD07CA">
        <w:rPr>
          <w:rFonts w:ascii="Book Antiqua" w:eastAsia="SimSun" w:hAnsi="Book Antiqua" w:cs="SimSun"/>
          <w:b/>
          <w:bCs/>
          <w:color w:val="000000"/>
          <w:kern w:val="0"/>
          <w:sz w:val="24"/>
          <w:szCs w:val="24"/>
        </w:rPr>
        <w:t>30</w:t>
      </w:r>
      <w:r w:rsidRPr="00DD07CA">
        <w:rPr>
          <w:rFonts w:ascii="Book Antiqua" w:eastAsia="SimSun" w:hAnsi="Book Antiqua" w:cs="SimSun"/>
          <w:color w:val="000000"/>
          <w:kern w:val="0"/>
          <w:sz w:val="24"/>
          <w:szCs w:val="24"/>
        </w:rPr>
        <w:t>: 1402-1412 [PMID: 21076466 DOI: 10.1038/onc.2010.521]</w:t>
      </w:r>
    </w:p>
    <w:p w:rsidR="00203D5C" w:rsidRPr="00DD07CA" w:rsidRDefault="00203D5C" w:rsidP="001E38EA">
      <w:pPr>
        <w:widowControl/>
        <w:adjustRightInd w:val="0"/>
        <w:snapToGrid w:val="0"/>
        <w:spacing w:line="360" w:lineRule="auto"/>
        <w:rPr>
          <w:rFonts w:ascii="Book Antiqua" w:eastAsia="SimSun" w:hAnsi="Book Antiqua" w:cs="SimSun"/>
          <w:color w:val="000000"/>
          <w:kern w:val="0"/>
          <w:sz w:val="24"/>
          <w:szCs w:val="24"/>
        </w:rPr>
      </w:pPr>
      <w:r w:rsidRPr="00DD07CA">
        <w:rPr>
          <w:rFonts w:ascii="Book Antiqua" w:eastAsia="SimSun" w:hAnsi="Book Antiqua" w:cs="SimSun"/>
          <w:color w:val="000000"/>
          <w:kern w:val="0"/>
          <w:sz w:val="24"/>
          <w:szCs w:val="24"/>
        </w:rPr>
        <w:t>7 </w:t>
      </w:r>
      <w:r w:rsidRPr="00DD07CA">
        <w:rPr>
          <w:rFonts w:ascii="Book Antiqua" w:eastAsia="SimSun" w:hAnsi="Book Antiqua" w:cs="SimSun"/>
          <w:b/>
          <w:bCs/>
          <w:color w:val="000000"/>
          <w:kern w:val="0"/>
          <w:sz w:val="24"/>
          <w:szCs w:val="24"/>
        </w:rPr>
        <w:t>Kaseb AO</w:t>
      </w:r>
      <w:r w:rsidRPr="00DD07CA">
        <w:rPr>
          <w:rFonts w:ascii="Book Antiqua" w:eastAsia="SimSun" w:hAnsi="Book Antiqua" w:cs="SimSun"/>
          <w:color w:val="000000"/>
          <w:kern w:val="0"/>
          <w:sz w:val="24"/>
          <w:szCs w:val="24"/>
        </w:rPr>
        <w:t>, Chinnakannu K, Chen D, Sivanandam A, Tejwani S, Menon M, Dou QP, Reddy GP. Androgen receptor and E2F-1 targeted thymoquinone therapy for hormone-refractory prostate cancer. </w:t>
      </w:r>
      <w:r w:rsidRPr="00DD07CA">
        <w:rPr>
          <w:rFonts w:ascii="Book Antiqua" w:eastAsia="SimSun" w:hAnsi="Book Antiqua" w:cs="SimSun"/>
          <w:i/>
          <w:iCs/>
          <w:color w:val="000000"/>
          <w:kern w:val="0"/>
          <w:sz w:val="24"/>
          <w:szCs w:val="24"/>
        </w:rPr>
        <w:t>Cancer Res</w:t>
      </w:r>
      <w:r w:rsidRPr="00DD07CA">
        <w:rPr>
          <w:rFonts w:ascii="Book Antiqua" w:eastAsia="SimSun" w:hAnsi="Book Antiqua" w:cs="SimSun"/>
          <w:color w:val="000000"/>
          <w:kern w:val="0"/>
          <w:sz w:val="24"/>
          <w:szCs w:val="24"/>
        </w:rPr>
        <w:t> 2007; </w:t>
      </w:r>
      <w:r w:rsidRPr="00DD07CA">
        <w:rPr>
          <w:rFonts w:ascii="Book Antiqua" w:eastAsia="SimSun" w:hAnsi="Book Antiqua" w:cs="SimSun"/>
          <w:b/>
          <w:bCs/>
          <w:color w:val="000000"/>
          <w:kern w:val="0"/>
          <w:sz w:val="24"/>
          <w:szCs w:val="24"/>
        </w:rPr>
        <w:t>67</w:t>
      </w:r>
      <w:r w:rsidRPr="00DD07CA">
        <w:rPr>
          <w:rFonts w:ascii="Book Antiqua" w:eastAsia="SimSun" w:hAnsi="Book Antiqua" w:cs="SimSun"/>
          <w:color w:val="000000"/>
          <w:kern w:val="0"/>
          <w:sz w:val="24"/>
          <w:szCs w:val="24"/>
        </w:rPr>
        <w:t>: 7782-7788 [PMID: 17699783 DOI: 10.1158/0008-5472.CAN-07-1483]</w:t>
      </w:r>
    </w:p>
    <w:p w:rsidR="00203D5C" w:rsidRPr="00DD07CA" w:rsidRDefault="00203D5C" w:rsidP="001E38EA">
      <w:pPr>
        <w:widowControl/>
        <w:adjustRightInd w:val="0"/>
        <w:snapToGrid w:val="0"/>
        <w:spacing w:line="360" w:lineRule="auto"/>
        <w:rPr>
          <w:rFonts w:ascii="Book Antiqua" w:eastAsia="SimSun" w:hAnsi="Book Antiqua" w:cs="SimSun"/>
          <w:color w:val="000000"/>
          <w:kern w:val="0"/>
          <w:sz w:val="24"/>
          <w:szCs w:val="24"/>
        </w:rPr>
      </w:pPr>
      <w:r w:rsidRPr="00DD07CA">
        <w:rPr>
          <w:rFonts w:ascii="Book Antiqua" w:eastAsia="SimSun" w:hAnsi="Book Antiqua" w:cs="SimSun"/>
          <w:color w:val="000000"/>
          <w:kern w:val="0"/>
          <w:sz w:val="24"/>
          <w:szCs w:val="24"/>
        </w:rPr>
        <w:t>8 </w:t>
      </w:r>
      <w:r w:rsidRPr="00DD07CA">
        <w:rPr>
          <w:rFonts w:ascii="Book Antiqua" w:eastAsia="SimSun" w:hAnsi="Book Antiqua" w:cs="SimSun"/>
          <w:b/>
          <w:bCs/>
          <w:color w:val="000000"/>
          <w:kern w:val="0"/>
          <w:sz w:val="24"/>
          <w:szCs w:val="24"/>
        </w:rPr>
        <w:t>Das S</w:t>
      </w:r>
      <w:r w:rsidRPr="00DD07CA">
        <w:rPr>
          <w:rFonts w:ascii="Book Antiqua" w:eastAsia="SimSun" w:hAnsi="Book Antiqua" w:cs="SimSun"/>
          <w:color w:val="000000"/>
          <w:kern w:val="0"/>
          <w:sz w:val="24"/>
          <w:szCs w:val="24"/>
        </w:rPr>
        <w:t xml:space="preserve">, Dey KK, Dey G, Pal I, Majumder A, MaitiChoudhury S, kundu SC, Mandal M. Antineoplastic and apoptotic potential of traditional medicines </w:t>
      </w:r>
      <w:r w:rsidRPr="00DD07CA">
        <w:rPr>
          <w:rFonts w:ascii="Book Antiqua" w:eastAsia="SimSun" w:hAnsi="Book Antiqua" w:cs="SimSun"/>
          <w:color w:val="000000"/>
          <w:kern w:val="0"/>
          <w:sz w:val="24"/>
          <w:szCs w:val="24"/>
        </w:rPr>
        <w:lastRenderedPageBreak/>
        <w:t>thymoquinone and diosgenin in squamous cell carcinoma. </w:t>
      </w:r>
      <w:r w:rsidRPr="00DD07CA">
        <w:rPr>
          <w:rFonts w:ascii="Book Antiqua" w:eastAsia="SimSun" w:hAnsi="Book Antiqua" w:cs="SimSun"/>
          <w:i/>
          <w:iCs/>
          <w:color w:val="000000"/>
          <w:kern w:val="0"/>
          <w:sz w:val="24"/>
          <w:szCs w:val="24"/>
        </w:rPr>
        <w:t>PLoS One</w:t>
      </w:r>
      <w:r w:rsidRPr="00DD07CA">
        <w:rPr>
          <w:rFonts w:ascii="Book Antiqua" w:eastAsia="SimSun" w:hAnsi="Book Antiqua" w:cs="SimSun"/>
          <w:color w:val="000000"/>
          <w:kern w:val="0"/>
          <w:sz w:val="24"/>
          <w:szCs w:val="24"/>
        </w:rPr>
        <w:t> 2012; </w:t>
      </w:r>
      <w:r w:rsidRPr="00DD07CA">
        <w:rPr>
          <w:rFonts w:ascii="Book Antiqua" w:eastAsia="SimSun" w:hAnsi="Book Antiqua" w:cs="SimSun"/>
          <w:b/>
          <w:bCs/>
          <w:color w:val="000000"/>
          <w:kern w:val="0"/>
          <w:sz w:val="24"/>
          <w:szCs w:val="24"/>
        </w:rPr>
        <w:t>7</w:t>
      </w:r>
      <w:r w:rsidRPr="00DD07CA">
        <w:rPr>
          <w:rFonts w:ascii="Book Antiqua" w:eastAsia="SimSun" w:hAnsi="Book Antiqua" w:cs="SimSun"/>
          <w:color w:val="000000"/>
          <w:kern w:val="0"/>
          <w:sz w:val="24"/>
          <w:szCs w:val="24"/>
        </w:rPr>
        <w:t>: e46641 [PMID: 23077516 DOI: 10.1371/journal.pone.0046641]</w:t>
      </w:r>
    </w:p>
    <w:p w:rsidR="00203D5C" w:rsidRPr="00DD07CA" w:rsidRDefault="00203D5C" w:rsidP="001E38EA">
      <w:pPr>
        <w:widowControl/>
        <w:adjustRightInd w:val="0"/>
        <w:snapToGrid w:val="0"/>
        <w:spacing w:line="360" w:lineRule="auto"/>
        <w:rPr>
          <w:rFonts w:ascii="Book Antiqua" w:eastAsia="SimSun" w:hAnsi="Book Antiqua" w:cs="SimSun"/>
          <w:color w:val="000000"/>
          <w:kern w:val="0"/>
          <w:sz w:val="24"/>
          <w:szCs w:val="24"/>
        </w:rPr>
      </w:pPr>
      <w:r w:rsidRPr="00DD07CA">
        <w:rPr>
          <w:rFonts w:ascii="Book Antiqua" w:eastAsia="SimSun" w:hAnsi="Book Antiqua" w:cs="SimSun"/>
          <w:color w:val="000000"/>
          <w:kern w:val="0"/>
          <w:sz w:val="24"/>
          <w:szCs w:val="24"/>
        </w:rPr>
        <w:t>9 </w:t>
      </w:r>
      <w:r w:rsidRPr="00DD07CA">
        <w:rPr>
          <w:rFonts w:ascii="Book Antiqua" w:eastAsia="SimSun" w:hAnsi="Book Antiqua" w:cs="SimSun"/>
          <w:b/>
          <w:bCs/>
          <w:color w:val="000000"/>
          <w:kern w:val="0"/>
          <w:sz w:val="24"/>
          <w:szCs w:val="24"/>
        </w:rPr>
        <w:t>Attoub S</w:t>
      </w:r>
      <w:r w:rsidRPr="00DD07CA">
        <w:rPr>
          <w:rFonts w:ascii="Book Antiqua" w:eastAsia="SimSun" w:hAnsi="Book Antiqua" w:cs="SimSun"/>
          <w:color w:val="000000"/>
          <w:kern w:val="0"/>
          <w:sz w:val="24"/>
          <w:szCs w:val="24"/>
        </w:rPr>
        <w:t>, Sperandio O, Raza H, Arafat K, Al-Salam S, Al Sultan MA, Al Safi M, Takahashi T, Adem A. Thymoquinone as an anticancer agent: evidence from inhibition of cancer cells viability and invasion in vitro and tumor growth in vivo. </w:t>
      </w:r>
      <w:r w:rsidRPr="00DD07CA">
        <w:rPr>
          <w:rFonts w:ascii="Book Antiqua" w:eastAsia="SimSun" w:hAnsi="Book Antiqua" w:cs="SimSun"/>
          <w:i/>
          <w:iCs/>
          <w:color w:val="000000"/>
          <w:kern w:val="0"/>
          <w:sz w:val="24"/>
          <w:szCs w:val="24"/>
        </w:rPr>
        <w:t>Fundam Clin Pharmacol</w:t>
      </w:r>
      <w:r w:rsidRPr="00DD07CA">
        <w:rPr>
          <w:rFonts w:ascii="Book Antiqua" w:eastAsia="SimSun" w:hAnsi="Book Antiqua" w:cs="SimSun"/>
          <w:color w:val="000000"/>
          <w:kern w:val="0"/>
          <w:sz w:val="24"/>
          <w:szCs w:val="24"/>
        </w:rPr>
        <w:t> 2013; </w:t>
      </w:r>
      <w:r w:rsidRPr="00DD07CA">
        <w:rPr>
          <w:rFonts w:ascii="Book Antiqua" w:eastAsia="SimSun" w:hAnsi="Book Antiqua" w:cs="SimSun"/>
          <w:b/>
          <w:bCs/>
          <w:color w:val="000000"/>
          <w:kern w:val="0"/>
          <w:sz w:val="24"/>
          <w:szCs w:val="24"/>
        </w:rPr>
        <w:t>27</w:t>
      </w:r>
      <w:r w:rsidRPr="00DD07CA">
        <w:rPr>
          <w:rFonts w:ascii="Book Antiqua" w:eastAsia="SimSun" w:hAnsi="Book Antiqua" w:cs="SimSun"/>
          <w:color w:val="000000"/>
          <w:kern w:val="0"/>
          <w:sz w:val="24"/>
          <w:szCs w:val="24"/>
        </w:rPr>
        <w:t>: 557-569 [PMID: 22788741 DOI: 10.1111/j.1472-8206.2012.01056.x]</w:t>
      </w:r>
    </w:p>
    <w:p w:rsidR="00203D5C" w:rsidRPr="00DD07CA" w:rsidRDefault="00203D5C" w:rsidP="001E38EA">
      <w:pPr>
        <w:widowControl/>
        <w:adjustRightInd w:val="0"/>
        <w:snapToGrid w:val="0"/>
        <w:spacing w:line="360" w:lineRule="auto"/>
        <w:rPr>
          <w:rFonts w:ascii="Book Antiqua" w:eastAsia="SimSun" w:hAnsi="Book Antiqua" w:cs="SimSun"/>
          <w:color w:val="000000"/>
          <w:kern w:val="0"/>
          <w:sz w:val="24"/>
          <w:szCs w:val="24"/>
        </w:rPr>
      </w:pPr>
      <w:r w:rsidRPr="00DD07CA">
        <w:rPr>
          <w:rFonts w:ascii="Book Antiqua" w:eastAsia="SimSun" w:hAnsi="Book Antiqua" w:cs="SimSun"/>
          <w:color w:val="000000"/>
          <w:kern w:val="0"/>
          <w:sz w:val="24"/>
          <w:szCs w:val="24"/>
        </w:rPr>
        <w:t xml:space="preserve">10 </w:t>
      </w:r>
      <w:r w:rsidRPr="00DD07CA">
        <w:rPr>
          <w:rFonts w:ascii="Book Antiqua" w:eastAsia="SimSun" w:hAnsi="Book Antiqua" w:cs="SimSun"/>
          <w:b/>
          <w:color w:val="000000"/>
          <w:kern w:val="0"/>
          <w:sz w:val="24"/>
          <w:szCs w:val="24"/>
        </w:rPr>
        <w:t>Al-Amri AM</w:t>
      </w:r>
      <w:r w:rsidRPr="00DD07CA">
        <w:rPr>
          <w:rFonts w:ascii="Book Antiqua" w:eastAsia="SimSun" w:hAnsi="Book Antiqua" w:cs="SimSun"/>
          <w:color w:val="000000"/>
          <w:kern w:val="0"/>
          <w:sz w:val="24"/>
          <w:szCs w:val="24"/>
        </w:rPr>
        <w:t xml:space="preserve">, Bamosa AO. Phase I safety and clinical activity study of thymoquinone in patients with advanced refractory malignant disease. </w:t>
      </w:r>
      <w:r w:rsidRPr="00DD07CA">
        <w:rPr>
          <w:rFonts w:ascii="Book Antiqua" w:eastAsia="SimSun" w:hAnsi="Book Antiqua" w:cs="SimSun"/>
          <w:i/>
          <w:color w:val="000000"/>
          <w:kern w:val="0"/>
          <w:sz w:val="24"/>
          <w:szCs w:val="24"/>
        </w:rPr>
        <w:t>Shiraz E-Med J</w:t>
      </w:r>
      <w:r w:rsidRPr="00DD07CA">
        <w:rPr>
          <w:rFonts w:ascii="Book Antiqua" w:eastAsia="SimSun" w:hAnsi="Book Antiqua" w:cs="SimSun"/>
          <w:color w:val="000000"/>
          <w:kern w:val="0"/>
          <w:sz w:val="24"/>
          <w:szCs w:val="24"/>
        </w:rPr>
        <w:t xml:space="preserve"> 2009; </w:t>
      </w:r>
      <w:r w:rsidRPr="00DD07CA">
        <w:rPr>
          <w:rFonts w:ascii="Book Antiqua" w:eastAsia="SimSun" w:hAnsi="Book Antiqua" w:cs="SimSun"/>
          <w:b/>
          <w:color w:val="000000"/>
          <w:kern w:val="0"/>
          <w:sz w:val="24"/>
          <w:szCs w:val="24"/>
        </w:rPr>
        <w:t>10</w:t>
      </w:r>
      <w:r w:rsidRPr="00DD07CA">
        <w:rPr>
          <w:rFonts w:ascii="Book Antiqua" w:eastAsia="SimSun" w:hAnsi="Book Antiqua" w:cs="SimSun"/>
          <w:color w:val="000000"/>
          <w:kern w:val="0"/>
          <w:sz w:val="24"/>
          <w:szCs w:val="24"/>
        </w:rPr>
        <w:t>: 107–111</w:t>
      </w:r>
    </w:p>
    <w:p w:rsidR="00203D5C" w:rsidRPr="00DD07CA" w:rsidRDefault="00203D5C" w:rsidP="001E38EA">
      <w:pPr>
        <w:widowControl/>
        <w:adjustRightInd w:val="0"/>
        <w:snapToGrid w:val="0"/>
        <w:spacing w:line="360" w:lineRule="auto"/>
        <w:rPr>
          <w:rFonts w:ascii="Book Antiqua" w:eastAsia="SimSun" w:hAnsi="Book Antiqua" w:cs="SimSun"/>
          <w:color w:val="000000"/>
          <w:kern w:val="0"/>
          <w:sz w:val="24"/>
          <w:szCs w:val="24"/>
        </w:rPr>
      </w:pPr>
      <w:r w:rsidRPr="00DD07CA">
        <w:rPr>
          <w:rFonts w:ascii="Book Antiqua" w:eastAsia="SimSun" w:hAnsi="Book Antiqua" w:cs="SimSun"/>
          <w:color w:val="000000"/>
          <w:kern w:val="0"/>
          <w:sz w:val="24"/>
          <w:szCs w:val="24"/>
        </w:rPr>
        <w:t>11 </w:t>
      </w:r>
      <w:r w:rsidRPr="00DD07CA">
        <w:rPr>
          <w:rFonts w:ascii="Book Antiqua" w:eastAsia="SimSun" w:hAnsi="Book Antiqua" w:cs="SimSun"/>
          <w:b/>
          <w:bCs/>
          <w:color w:val="000000"/>
          <w:kern w:val="0"/>
          <w:sz w:val="24"/>
          <w:szCs w:val="24"/>
        </w:rPr>
        <w:t>Ihle JN</w:t>
      </w:r>
      <w:r w:rsidRPr="00DD07CA">
        <w:rPr>
          <w:rFonts w:ascii="Book Antiqua" w:eastAsia="SimSun" w:hAnsi="Book Antiqua" w:cs="SimSun"/>
          <w:color w:val="000000"/>
          <w:kern w:val="0"/>
          <w:sz w:val="24"/>
          <w:szCs w:val="24"/>
        </w:rPr>
        <w:t>. The Stat family in cytokine signaling. </w:t>
      </w:r>
      <w:r w:rsidRPr="00DD07CA">
        <w:rPr>
          <w:rFonts w:ascii="Book Antiqua" w:eastAsia="SimSun" w:hAnsi="Book Antiqua" w:cs="SimSun"/>
          <w:i/>
          <w:iCs/>
          <w:color w:val="000000"/>
          <w:kern w:val="0"/>
          <w:sz w:val="24"/>
          <w:szCs w:val="24"/>
        </w:rPr>
        <w:t>Curr Opin Cell Biol</w:t>
      </w:r>
      <w:r w:rsidRPr="00DD07CA">
        <w:rPr>
          <w:rFonts w:ascii="Book Antiqua" w:eastAsia="SimSun" w:hAnsi="Book Antiqua" w:cs="SimSun"/>
          <w:color w:val="000000"/>
          <w:kern w:val="0"/>
          <w:sz w:val="24"/>
          <w:szCs w:val="24"/>
        </w:rPr>
        <w:t> 2001; </w:t>
      </w:r>
      <w:r w:rsidRPr="00DD07CA">
        <w:rPr>
          <w:rFonts w:ascii="Book Antiqua" w:eastAsia="SimSun" w:hAnsi="Book Antiqua" w:cs="SimSun"/>
          <w:b/>
          <w:bCs/>
          <w:color w:val="000000"/>
          <w:kern w:val="0"/>
          <w:sz w:val="24"/>
          <w:szCs w:val="24"/>
        </w:rPr>
        <w:t>13</w:t>
      </w:r>
      <w:r w:rsidRPr="00DD07CA">
        <w:rPr>
          <w:rFonts w:ascii="Book Antiqua" w:eastAsia="SimSun" w:hAnsi="Book Antiqua" w:cs="SimSun"/>
          <w:color w:val="000000"/>
          <w:kern w:val="0"/>
          <w:sz w:val="24"/>
          <w:szCs w:val="24"/>
        </w:rPr>
        <w:t>: 211-217 [PMID: 11248555 DOI: 10.1016/S0955-0674(00)00199-X]</w:t>
      </w:r>
    </w:p>
    <w:p w:rsidR="00203D5C" w:rsidRPr="00DD07CA" w:rsidRDefault="00203D5C" w:rsidP="001E38EA">
      <w:pPr>
        <w:widowControl/>
        <w:adjustRightInd w:val="0"/>
        <w:snapToGrid w:val="0"/>
        <w:spacing w:line="360" w:lineRule="auto"/>
        <w:rPr>
          <w:rFonts w:ascii="Book Antiqua" w:eastAsia="SimSun" w:hAnsi="Book Antiqua" w:cs="SimSun"/>
          <w:color w:val="000000"/>
          <w:kern w:val="0"/>
          <w:sz w:val="24"/>
          <w:szCs w:val="24"/>
        </w:rPr>
      </w:pPr>
      <w:r w:rsidRPr="00DD07CA">
        <w:rPr>
          <w:rFonts w:ascii="Book Antiqua" w:eastAsia="SimSun" w:hAnsi="Book Antiqua" w:cs="SimSun"/>
          <w:color w:val="000000"/>
          <w:kern w:val="0"/>
          <w:sz w:val="24"/>
          <w:szCs w:val="24"/>
        </w:rPr>
        <w:t>12 </w:t>
      </w:r>
      <w:r w:rsidRPr="00DD07CA">
        <w:rPr>
          <w:rFonts w:ascii="Book Antiqua" w:eastAsia="SimSun" w:hAnsi="Book Antiqua" w:cs="SimSun"/>
          <w:b/>
          <w:bCs/>
          <w:color w:val="000000"/>
          <w:kern w:val="0"/>
          <w:sz w:val="24"/>
          <w:szCs w:val="24"/>
        </w:rPr>
        <w:t>Xiong A</w:t>
      </w:r>
      <w:r w:rsidRPr="00DD07CA">
        <w:rPr>
          <w:rFonts w:ascii="Book Antiqua" w:eastAsia="SimSun" w:hAnsi="Book Antiqua" w:cs="SimSun"/>
          <w:color w:val="000000"/>
          <w:kern w:val="0"/>
          <w:sz w:val="24"/>
          <w:szCs w:val="24"/>
        </w:rPr>
        <w:t>, Yang Z, Shen Y, Zhou J, Shen Q. Transcription Factor STAT3 as a Novel Molecular Target for Cancer Prevention. </w:t>
      </w:r>
      <w:r w:rsidRPr="00DD07CA">
        <w:rPr>
          <w:rFonts w:ascii="Book Antiqua" w:eastAsia="SimSun" w:hAnsi="Book Antiqua" w:cs="SimSun"/>
          <w:i/>
          <w:iCs/>
          <w:color w:val="000000"/>
          <w:kern w:val="0"/>
          <w:sz w:val="24"/>
          <w:szCs w:val="24"/>
        </w:rPr>
        <w:t>Cancers (Basel)</w:t>
      </w:r>
      <w:r w:rsidRPr="00DD07CA">
        <w:rPr>
          <w:rFonts w:ascii="Book Antiqua" w:eastAsia="SimSun" w:hAnsi="Book Antiqua" w:cs="SimSun"/>
          <w:color w:val="000000"/>
          <w:kern w:val="0"/>
          <w:sz w:val="24"/>
          <w:szCs w:val="24"/>
        </w:rPr>
        <w:t> 2014; </w:t>
      </w:r>
      <w:r w:rsidRPr="00DD07CA">
        <w:rPr>
          <w:rFonts w:ascii="Book Antiqua" w:eastAsia="SimSun" w:hAnsi="Book Antiqua" w:cs="SimSun"/>
          <w:b/>
          <w:bCs/>
          <w:color w:val="000000"/>
          <w:kern w:val="0"/>
          <w:sz w:val="24"/>
          <w:szCs w:val="24"/>
        </w:rPr>
        <w:t>6</w:t>
      </w:r>
      <w:r w:rsidRPr="00DD07CA">
        <w:rPr>
          <w:rFonts w:ascii="Book Antiqua" w:eastAsia="SimSun" w:hAnsi="Book Antiqua" w:cs="SimSun"/>
          <w:color w:val="000000"/>
          <w:kern w:val="0"/>
          <w:sz w:val="24"/>
          <w:szCs w:val="24"/>
        </w:rPr>
        <w:t>: 926-957 [PMID: 24743778 DOI: 10.3390/cancers6020926]</w:t>
      </w:r>
    </w:p>
    <w:p w:rsidR="00203D5C" w:rsidRPr="00DD07CA" w:rsidRDefault="00203D5C" w:rsidP="001E38EA">
      <w:pPr>
        <w:widowControl/>
        <w:adjustRightInd w:val="0"/>
        <w:snapToGrid w:val="0"/>
        <w:spacing w:line="360" w:lineRule="auto"/>
        <w:rPr>
          <w:rFonts w:ascii="Book Antiqua" w:eastAsia="SimSun" w:hAnsi="Book Antiqua" w:cs="SimSun"/>
          <w:color w:val="000000"/>
          <w:kern w:val="0"/>
          <w:sz w:val="24"/>
          <w:szCs w:val="24"/>
        </w:rPr>
      </w:pPr>
      <w:r w:rsidRPr="00DD07CA">
        <w:rPr>
          <w:rFonts w:ascii="Book Antiqua" w:eastAsia="SimSun" w:hAnsi="Book Antiqua" w:cs="SimSun"/>
          <w:color w:val="000000"/>
          <w:kern w:val="0"/>
          <w:sz w:val="24"/>
          <w:szCs w:val="24"/>
        </w:rPr>
        <w:t>13 </w:t>
      </w:r>
      <w:r w:rsidRPr="00DD07CA">
        <w:rPr>
          <w:rFonts w:ascii="Book Antiqua" w:eastAsia="SimSun" w:hAnsi="Book Antiqua" w:cs="SimSun"/>
          <w:b/>
          <w:bCs/>
          <w:color w:val="000000"/>
          <w:kern w:val="0"/>
          <w:sz w:val="24"/>
          <w:szCs w:val="24"/>
        </w:rPr>
        <w:t>Kanda N</w:t>
      </w:r>
      <w:r w:rsidRPr="00DD07CA">
        <w:rPr>
          <w:rFonts w:ascii="Book Antiqua" w:eastAsia="SimSun" w:hAnsi="Book Antiqua" w:cs="SimSun"/>
          <w:color w:val="000000"/>
          <w:kern w:val="0"/>
          <w:sz w:val="24"/>
          <w:szCs w:val="24"/>
        </w:rPr>
        <w:t>, Seno H, Konda Y, Marusawa H, Kanai M, Nakajima T, Kawashima T, Nanakin A, Sawabu T, Uenoyama Y, Sekikawa A, Kawada M, Suzuki K, Kayahara T, Fukui H, Sawada M, Chiba T. STAT3 is constitutively activated and supports cell survival in association with survivin expression in gastric cancer cells. </w:t>
      </w:r>
      <w:r w:rsidRPr="00DD07CA">
        <w:rPr>
          <w:rFonts w:ascii="Book Antiqua" w:eastAsia="SimSun" w:hAnsi="Book Antiqua" w:cs="SimSun"/>
          <w:i/>
          <w:iCs/>
          <w:color w:val="000000"/>
          <w:kern w:val="0"/>
          <w:sz w:val="24"/>
          <w:szCs w:val="24"/>
        </w:rPr>
        <w:t>Oncogene</w:t>
      </w:r>
      <w:r w:rsidRPr="00DD07CA">
        <w:rPr>
          <w:rFonts w:ascii="Book Antiqua" w:eastAsia="SimSun" w:hAnsi="Book Antiqua" w:cs="SimSun"/>
          <w:color w:val="000000"/>
          <w:kern w:val="0"/>
          <w:sz w:val="24"/>
          <w:szCs w:val="24"/>
        </w:rPr>
        <w:t> 2004; </w:t>
      </w:r>
      <w:r w:rsidRPr="00DD07CA">
        <w:rPr>
          <w:rFonts w:ascii="Book Antiqua" w:eastAsia="SimSun" w:hAnsi="Book Antiqua" w:cs="SimSun"/>
          <w:b/>
          <w:bCs/>
          <w:color w:val="000000"/>
          <w:kern w:val="0"/>
          <w:sz w:val="24"/>
          <w:szCs w:val="24"/>
        </w:rPr>
        <w:t>23</w:t>
      </w:r>
      <w:r w:rsidRPr="00DD07CA">
        <w:rPr>
          <w:rFonts w:ascii="Book Antiqua" w:eastAsia="SimSun" w:hAnsi="Book Antiqua" w:cs="SimSun"/>
          <w:color w:val="000000"/>
          <w:kern w:val="0"/>
          <w:sz w:val="24"/>
          <w:szCs w:val="24"/>
        </w:rPr>
        <w:t>: 4921-4929 [PMID: 15077160 DOI: 10.1038/sj.onc.1207606]</w:t>
      </w:r>
    </w:p>
    <w:p w:rsidR="00203D5C" w:rsidRPr="00DD07CA" w:rsidRDefault="00203D5C" w:rsidP="001E38EA">
      <w:pPr>
        <w:widowControl/>
        <w:adjustRightInd w:val="0"/>
        <w:snapToGrid w:val="0"/>
        <w:spacing w:line="360" w:lineRule="auto"/>
        <w:rPr>
          <w:rFonts w:ascii="Book Antiqua" w:eastAsia="SimSun" w:hAnsi="Book Antiqua" w:cs="SimSun"/>
          <w:color w:val="000000"/>
          <w:kern w:val="0"/>
          <w:sz w:val="24"/>
          <w:szCs w:val="24"/>
        </w:rPr>
      </w:pPr>
      <w:r w:rsidRPr="00DD07CA">
        <w:rPr>
          <w:rFonts w:ascii="Book Antiqua" w:eastAsia="SimSun" w:hAnsi="Book Antiqua" w:cs="SimSun"/>
          <w:color w:val="000000"/>
          <w:kern w:val="0"/>
          <w:sz w:val="24"/>
          <w:szCs w:val="24"/>
        </w:rPr>
        <w:t>14 </w:t>
      </w:r>
      <w:r w:rsidRPr="00DD07CA">
        <w:rPr>
          <w:rFonts w:ascii="Book Antiqua" w:eastAsia="SimSun" w:hAnsi="Book Antiqua" w:cs="SimSun"/>
          <w:b/>
          <w:bCs/>
          <w:color w:val="000000"/>
          <w:kern w:val="0"/>
          <w:sz w:val="24"/>
          <w:szCs w:val="24"/>
        </w:rPr>
        <w:t>Niu G</w:t>
      </w:r>
      <w:r w:rsidRPr="00DD07CA">
        <w:rPr>
          <w:rFonts w:ascii="Book Antiqua" w:eastAsia="SimSun" w:hAnsi="Book Antiqua" w:cs="SimSun"/>
          <w:color w:val="000000"/>
          <w:kern w:val="0"/>
          <w:sz w:val="24"/>
          <w:szCs w:val="24"/>
        </w:rPr>
        <w:t>, Wright KL, Huang M, Song L, Haura E, Turkson J, Zhang S, Wang T, Sinibaldi D, Coppola D, Heller R, Ellis LM, Karras J, Bromberg J, Pardoll D, Jove R, Yu H. Constitutive Stat3 activity up-regulates VEGF expression and tumor angiogenesis. </w:t>
      </w:r>
      <w:r w:rsidRPr="00DD07CA">
        <w:rPr>
          <w:rFonts w:ascii="Book Antiqua" w:eastAsia="SimSun" w:hAnsi="Book Antiqua" w:cs="SimSun"/>
          <w:i/>
          <w:iCs/>
          <w:color w:val="000000"/>
          <w:kern w:val="0"/>
          <w:sz w:val="24"/>
          <w:szCs w:val="24"/>
        </w:rPr>
        <w:t>Oncogene</w:t>
      </w:r>
      <w:r w:rsidRPr="00DD07CA">
        <w:rPr>
          <w:rFonts w:ascii="Book Antiqua" w:eastAsia="SimSun" w:hAnsi="Book Antiqua" w:cs="SimSun"/>
          <w:color w:val="000000"/>
          <w:kern w:val="0"/>
          <w:sz w:val="24"/>
          <w:szCs w:val="24"/>
        </w:rPr>
        <w:t> 2002; </w:t>
      </w:r>
      <w:r w:rsidRPr="00DD07CA">
        <w:rPr>
          <w:rFonts w:ascii="Book Antiqua" w:eastAsia="SimSun" w:hAnsi="Book Antiqua" w:cs="SimSun"/>
          <w:b/>
          <w:bCs/>
          <w:color w:val="000000"/>
          <w:kern w:val="0"/>
          <w:sz w:val="24"/>
          <w:szCs w:val="24"/>
        </w:rPr>
        <w:t>21</w:t>
      </w:r>
      <w:r w:rsidRPr="00DD07CA">
        <w:rPr>
          <w:rFonts w:ascii="Book Antiqua" w:eastAsia="SimSun" w:hAnsi="Book Antiqua" w:cs="SimSun"/>
          <w:color w:val="000000"/>
          <w:kern w:val="0"/>
          <w:sz w:val="24"/>
          <w:szCs w:val="24"/>
        </w:rPr>
        <w:t>: 2000-2008 [PMID: 11960372 DOI: 10.1038/sj.onc.1205260]</w:t>
      </w:r>
    </w:p>
    <w:p w:rsidR="00203D5C" w:rsidRPr="00DD07CA" w:rsidRDefault="00203D5C" w:rsidP="001E38EA">
      <w:pPr>
        <w:widowControl/>
        <w:adjustRightInd w:val="0"/>
        <w:snapToGrid w:val="0"/>
        <w:spacing w:line="360" w:lineRule="auto"/>
        <w:rPr>
          <w:rFonts w:ascii="Book Antiqua" w:eastAsia="SimSun" w:hAnsi="Book Antiqua" w:cs="SimSun"/>
          <w:color w:val="000000"/>
          <w:kern w:val="0"/>
          <w:sz w:val="24"/>
          <w:szCs w:val="24"/>
        </w:rPr>
      </w:pPr>
      <w:r w:rsidRPr="00DD07CA">
        <w:rPr>
          <w:rFonts w:ascii="Book Antiqua" w:eastAsia="SimSun" w:hAnsi="Book Antiqua" w:cs="SimSun"/>
          <w:color w:val="000000"/>
          <w:kern w:val="0"/>
          <w:sz w:val="24"/>
          <w:szCs w:val="24"/>
        </w:rPr>
        <w:t>15 </w:t>
      </w:r>
      <w:r w:rsidRPr="00DD07CA">
        <w:rPr>
          <w:rFonts w:ascii="Book Antiqua" w:eastAsia="SimSun" w:hAnsi="Book Antiqua" w:cs="SimSun"/>
          <w:b/>
          <w:bCs/>
          <w:color w:val="000000"/>
          <w:kern w:val="0"/>
          <w:sz w:val="24"/>
          <w:szCs w:val="24"/>
        </w:rPr>
        <w:t>Lei X</w:t>
      </w:r>
      <w:r w:rsidRPr="00DD07CA">
        <w:rPr>
          <w:rFonts w:ascii="Book Antiqua" w:eastAsia="SimSun" w:hAnsi="Book Antiqua" w:cs="SimSun"/>
          <w:color w:val="000000"/>
          <w:kern w:val="0"/>
          <w:sz w:val="24"/>
          <w:szCs w:val="24"/>
        </w:rPr>
        <w:t>, Lv X, Liu M, Yang Z, Ji M, Guo X, Dong W. Thymoquinone inhibits growth and augments 5-fluorouracil-induced apoptosis in gastric cancer cells both in vitro and in vivo. </w:t>
      </w:r>
      <w:r w:rsidRPr="00DD07CA">
        <w:rPr>
          <w:rFonts w:ascii="Book Antiqua" w:eastAsia="SimSun" w:hAnsi="Book Antiqua" w:cs="SimSun"/>
          <w:i/>
          <w:iCs/>
          <w:color w:val="000000"/>
          <w:kern w:val="0"/>
          <w:sz w:val="24"/>
          <w:szCs w:val="24"/>
        </w:rPr>
        <w:t>Biochem Biophys Res Commun</w:t>
      </w:r>
      <w:r w:rsidRPr="00DD07CA">
        <w:rPr>
          <w:rFonts w:ascii="Book Antiqua" w:eastAsia="SimSun" w:hAnsi="Book Antiqua" w:cs="SimSun"/>
          <w:color w:val="000000"/>
          <w:kern w:val="0"/>
          <w:sz w:val="24"/>
          <w:szCs w:val="24"/>
        </w:rPr>
        <w:t> 2012; </w:t>
      </w:r>
      <w:r w:rsidRPr="00DD07CA">
        <w:rPr>
          <w:rFonts w:ascii="Book Antiqua" w:eastAsia="SimSun" w:hAnsi="Book Antiqua" w:cs="SimSun"/>
          <w:b/>
          <w:bCs/>
          <w:color w:val="000000"/>
          <w:kern w:val="0"/>
          <w:sz w:val="24"/>
          <w:szCs w:val="24"/>
        </w:rPr>
        <w:t>417</w:t>
      </w:r>
      <w:r w:rsidRPr="00DD07CA">
        <w:rPr>
          <w:rFonts w:ascii="Book Antiqua" w:eastAsia="SimSun" w:hAnsi="Book Antiqua" w:cs="SimSun"/>
          <w:color w:val="000000"/>
          <w:kern w:val="0"/>
          <w:sz w:val="24"/>
          <w:szCs w:val="24"/>
        </w:rPr>
        <w:t>: 864-868 [PMID: 22206670 DOI: 10.1016/j.bbrc.2011.12.063]</w:t>
      </w:r>
    </w:p>
    <w:p w:rsidR="00203D5C" w:rsidRPr="00DD07CA" w:rsidRDefault="00203D5C" w:rsidP="001E38EA">
      <w:pPr>
        <w:widowControl/>
        <w:adjustRightInd w:val="0"/>
        <w:snapToGrid w:val="0"/>
        <w:spacing w:line="360" w:lineRule="auto"/>
        <w:rPr>
          <w:rFonts w:ascii="Book Antiqua" w:eastAsia="SimSun" w:hAnsi="Book Antiqua" w:cs="SimSun"/>
          <w:color w:val="000000"/>
          <w:kern w:val="0"/>
          <w:sz w:val="24"/>
          <w:szCs w:val="24"/>
        </w:rPr>
      </w:pPr>
      <w:r w:rsidRPr="00DD07CA">
        <w:rPr>
          <w:rFonts w:ascii="Book Antiqua" w:eastAsia="SimSun" w:hAnsi="Book Antiqua" w:cs="SimSun"/>
          <w:color w:val="000000"/>
          <w:kern w:val="0"/>
          <w:sz w:val="24"/>
          <w:szCs w:val="24"/>
        </w:rPr>
        <w:lastRenderedPageBreak/>
        <w:t>16 </w:t>
      </w:r>
      <w:r w:rsidRPr="00DD07CA">
        <w:rPr>
          <w:rFonts w:ascii="Book Antiqua" w:eastAsia="SimSun" w:hAnsi="Book Antiqua" w:cs="SimSun"/>
          <w:b/>
          <w:bCs/>
          <w:color w:val="000000"/>
          <w:kern w:val="0"/>
          <w:sz w:val="24"/>
          <w:szCs w:val="24"/>
        </w:rPr>
        <w:t>Song J</w:t>
      </w:r>
      <w:r w:rsidRPr="00DD07CA">
        <w:rPr>
          <w:rFonts w:ascii="Book Antiqua" w:eastAsia="SimSun" w:hAnsi="Book Antiqua" w:cs="SimSun"/>
          <w:color w:val="000000"/>
          <w:kern w:val="0"/>
          <w:sz w:val="24"/>
          <w:szCs w:val="24"/>
        </w:rPr>
        <w:t>, Peng XL, Ji MY, Ai MH, Zhang JX, Dong WG. Hugl-1 induces apoptosis in esophageal carcinoma cells both in vitro and in vivo. </w:t>
      </w:r>
      <w:r w:rsidRPr="00DD07CA">
        <w:rPr>
          <w:rFonts w:ascii="Book Antiqua" w:eastAsia="SimSun" w:hAnsi="Book Antiqua" w:cs="SimSun"/>
          <w:i/>
          <w:iCs/>
          <w:color w:val="000000"/>
          <w:kern w:val="0"/>
          <w:sz w:val="24"/>
          <w:szCs w:val="24"/>
        </w:rPr>
        <w:t>World J Gastroenterol</w:t>
      </w:r>
      <w:r w:rsidRPr="00DD07CA">
        <w:rPr>
          <w:rFonts w:ascii="Book Antiqua" w:eastAsia="SimSun" w:hAnsi="Book Antiqua" w:cs="SimSun"/>
          <w:color w:val="000000"/>
          <w:kern w:val="0"/>
          <w:sz w:val="24"/>
          <w:szCs w:val="24"/>
        </w:rPr>
        <w:t> 2013; </w:t>
      </w:r>
      <w:r w:rsidRPr="00DD07CA">
        <w:rPr>
          <w:rFonts w:ascii="Book Antiqua" w:eastAsia="SimSun" w:hAnsi="Book Antiqua" w:cs="SimSun"/>
          <w:b/>
          <w:bCs/>
          <w:color w:val="000000"/>
          <w:kern w:val="0"/>
          <w:sz w:val="24"/>
          <w:szCs w:val="24"/>
        </w:rPr>
        <w:t>19</w:t>
      </w:r>
      <w:r w:rsidRPr="00DD07CA">
        <w:rPr>
          <w:rFonts w:ascii="Book Antiqua" w:eastAsia="SimSun" w:hAnsi="Book Antiqua" w:cs="SimSun"/>
          <w:color w:val="000000"/>
          <w:kern w:val="0"/>
          <w:sz w:val="24"/>
          <w:szCs w:val="24"/>
        </w:rPr>
        <w:t>: 4127-4136 [PMID: 23864775 DOI: 10.3748/wjg.v19.i26.4127]</w:t>
      </w:r>
    </w:p>
    <w:p w:rsidR="00203D5C" w:rsidRPr="00DD07CA" w:rsidRDefault="00203D5C" w:rsidP="001E38EA">
      <w:pPr>
        <w:widowControl/>
        <w:adjustRightInd w:val="0"/>
        <w:snapToGrid w:val="0"/>
        <w:spacing w:line="360" w:lineRule="auto"/>
        <w:rPr>
          <w:rFonts w:ascii="Book Antiqua" w:eastAsia="SimSun" w:hAnsi="Book Antiqua" w:cs="SimSun"/>
          <w:color w:val="000000"/>
          <w:kern w:val="0"/>
          <w:sz w:val="24"/>
          <w:szCs w:val="24"/>
        </w:rPr>
      </w:pPr>
      <w:r w:rsidRPr="00DD07CA">
        <w:rPr>
          <w:rFonts w:ascii="Book Antiqua" w:eastAsia="SimSun" w:hAnsi="Book Antiqua" w:cs="SimSun"/>
          <w:color w:val="000000"/>
          <w:kern w:val="0"/>
          <w:sz w:val="24"/>
          <w:szCs w:val="24"/>
        </w:rPr>
        <w:t>17 </w:t>
      </w:r>
      <w:r w:rsidRPr="00DD07CA">
        <w:rPr>
          <w:rFonts w:ascii="Book Antiqua" w:eastAsia="SimSun" w:hAnsi="Book Antiqua" w:cs="SimSun"/>
          <w:b/>
          <w:bCs/>
          <w:color w:val="000000"/>
          <w:kern w:val="0"/>
          <w:sz w:val="24"/>
          <w:szCs w:val="24"/>
        </w:rPr>
        <w:t>Livak KJ</w:t>
      </w:r>
      <w:r w:rsidRPr="00DD07CA">
        <w:rPr>
          <w:rFonts w:ascii="Book Antiqua" w:eastAsia="SimSun" w:hAnsi="Book Antiqua" w:cs="SimSun"/>
          <w:color w:val="000000"/>
          <w:kern w:val="0"/>
          <w:sz w:val="24"/>
          <w:szCs w:val="24"/>
        </w:rPr>
        <w:t>, Schmittgen TD. Analysis of relative gene expression data using real-time quantitative PCR and the 2(-Delta Delta C(T)) Method. </w:t>
      </w:r>
      <w:r w:rsidRPr="00DD07CA">
        <w:rPr>
          <w:rFonts w:ascii="Book Antiqua" w:eastAsia="SimSun" w:hAnsi="Book Antiqua" w:cs="SimSun"/>
          <w:i/>
          <w:iCs/>
          <w:color w:val="000000"/>
          <w:kern w:val="0"/>
          <w:sz w:val="24"/>
          <w:szCs w:val="24"/>
        </w:rPr>
        <w:t>Methods</w:t>
      </w:r>
      <w:r w:rsidRPr="00DD07CA">
        <w:rPr>
          <w:rFonts w:ascii="Book Antiqua" w:eastAsia="SimSun" w:hAnsi="Book Antiqua" w:cs="SimSun"/>
          <w:color w:val="000000"/>
          <w:kern w:val="0"/>
          <w:sz w:val="24"/>
          <w:szCs w:val="24"/>
        </w:rPr>
        <w:t> 2001; </w:t>
      </w:r>
      <w:r w:rsidRPr="00DD07CA">
        <w:rPr>
          <w:rFonts w:ascii="Book Antiqua" w:eastAsia="SimSun" w:hAnsi="Book Antiqua" w:cs="SimSun"/>
          <w:b/>
          <w:bCs/>
          <w:color w:val="000000"/>
          <w:kern w:val="0"/>
          <w:sz w:val="24"/>
          <w:szCs w:val="24"/>
        </w:rPr>
        <w:t>25</w:t>
      </w:r>
      <w:r w:rsidRPr="00DD07CA">
        <w:rPr>
          <w:rFonts w:ascii="Book Antiqua" w:eastAsia="SimSun" w:hAnsi="Book Antiqua" w:cs="SimSun"/>
          <w:color w:val="000000"/>
          <w:kern w:val="0"/>
          <w:sz w:val="24"/>
          <w:szCs w:val="24"/>
        </w:rPr>
        <w:t>: 402-408 [PMID: 11846609 DOI: 10.1006/meth.2001.1262]</w:t>
      </w:r>
    </w:p>
    <w:p w:rsidR="00203D5C" w:rsidRPr="00DD07CA" w:rsidRDefault="00203D5C" w:rsidP="001E38EA">
      <w:pPr>
        <w:widowControl/>
        <w:adjustRightInd w:val="0"/>
        <w:snapToGrid w:val="0"/>
        <w:spacing w:line="360" w:lineRule="auto"/>
        <w:rPr>
          <w:rFonts w:ascii="Book Antiqua" w:eastAsia="SimSun" w:hAnsi="Book Antiqua" w:cs="SimSun"/>
          <w:color w:val="000000"/>
          <w:kern w:val="0"/>
          <w:sz w:val="24"/>
          <w:szCs w:val="24"/>
        </w:rPr>
      </w:pPr>
      <w:r w:rsidRPr="00DD07CA">
        <w:rPr>
          <w:rFonts w:ascii="Book Antiqua" w:eastAsia="SimSun" w:hAnsi="Book Antiqua" w:cs="SimSun"/>
          <w:color w:val="000000"/>
          <w:kern w:val="0"/>
          <w:sz w:val="24"/>
          <w:szCs w:val="24"/>
        </w:rPr>
        <w:t>18 </w:t>
      </w:r>
      <w:r w:rsidRPr="00DD07CA">
        <w:rPr>
          <w:rFonts w:ascii="Book Antiqua" w:eastAsia="SimSun" w:hAnsi="Book Antiqua" w:cs="SimSun"/>
          <w:b/>
          <w:bCs/>
          <w:color w:val="000000"/>
          <w:kern w:val="0"/>
          <w:sz w:val="24"/>
          <w:szCs w:val="24"/>
        </w:rPr>
        <w:t>Yu CL</w:t>
      </w:r>
      <w:r w:rsidRPr="00DD07CA">
        <w:rPr>
          <w:rFonts w:ascii="Book Antiqua" w:eastAsia="SimSun" w:hAnsi="Book Antiqua" w:cs="SimSun"/>
          <w:color w:val="000000"/>
          <w:kern w:val="0"/>
          <w:sz w:val="24"/>
          <w:szCs w:val="24"/>
        </w:rPr>
        <w:t>, Meyer DJ, Campbell GS, Larner AC, Carter-Su C, Schwartz J, Jove R. Enhanced DNA-binding activity of a Stat3-related protein in cells transformed by the Src oncoprotein. </w:t>
      </w:r>
      <w:r w:rsidRPr="00DD07CA">
        <w:rPr>
          <w:rFonts w:ascii="Book Antiqua" w:eastAsia="SimSun" w:hAnsi="Book Antiqua" w:cs="SimSun"/>
          <w:i/>
          <w:iCs/>
          <w:color w:val="000000"/>
          <w:kern w:val="0"/>
          <w:sz w:val="24"/>
          <w:szCs w:val="24"/>
        </w:rPr>
        <w:t>Science</w:t>
      </w:r>
      <w:r w:rsidRPr="00DD07CA">
        <w:rPr>
          <w:rFonts w:ascii="Book Antiqua" w:eastAsia="SimSun" w:hAnsi="Book Antiqua" w:cs="SimSun"/>
          <w:color w:val="000000"/>
          <w:kern w:val="0"/>
          <w:sz w:val="24"/>
          <w:szCs w:val="24"/>
        </w:rPr>
        <w:t> 1995; </w:t>
      </w:r>
      <w:r w:rsidRPr="00DD07CA">
        <w:rPr>
          <w:rFonts w:ascii="Book Antiqua" w:eastAsia="SimSun" w:hAnsi="Book Antiqua" w:cs="SimSun"/>
          <w:b/>
          <w:bCs/>
          <w:color w:val="000000"/>
          <w:kern w:val="0"/>
          <w:sz w:val="24"/>
          <w:szCs w:val="24"/>
        </w:rPr>
        <w:t>269</w:t>
      </w:r>
      <w:r w:rsidRPr="00DD07CA">
        <w:rPr>
          <w:rFonts w:ascii="Book Antiqua" w:eastAsia="SimSun" w:hAnsi="Book Antiqua" w:cs="SimSun"/>
          <w:color w:val="000000"/>
          <w:kern w:val="0"/>
          <w:sz w:val="24"/>
          <w:szCs w:val="24"/>
        </w:rPr>
        <w:t>: 81-83 [PMID: 7541555 DOI: 10.1126/science.7541555]</w:t>
      </w:r>
    </w:p>
    <w:p w:rsidR="00203D5C" w:rsidRPr="00DD07CA" w:rsidRDefault="00203D5C" w:rsidP="001E38EA">
      <w:pPr>
        <w:widowControl/>
        <w:adjustRightInd w:val="0"/>
        <w:snapToGrid w:val="0"/>
        <w:spacing w:line="360" w:lineRule="auto"/>
        <w:rPr>
          <w:rFonts w:ascii="Book Antiqua" w:eastAsia="SimSun" w:hAnsi="Book Antiqua" w:cs="SimSun"/>
          <w:color w:val="000000"/>
          <w:kern w:val="0"/>
          <w:sz w:val="24"/>
          <w:szCs w:val="24"/>
        </w:rPr>
      </w:pPr>
      <w:r w:rsidRPr="00DD07CA">
        <w:rPr>
          <w:rFonts w:ascii="Book Antiqua" w:eastAsia="SimSun" w:hAnsi="Book Antiqua" w:cs="SimSun"/>
          <w:color w:val="000000"/>
          <w:kern w:val="0"/>
          <w:sz w:val="24"/>
          <w:szCs w:val="24"/>
        </w:rPr>
        <w:t>19 </w:t>
      </w:r>
      <w:r w:rsidRPr="00DD07CA">
        <w:rPr>
          <w:rFonts w:ascii="Book Antiqua" w:eastAsia="SimSun" w:hAnsi="Book Antiqua" w:cs="SimSun"/>
          <w:b/>
          <w:bCs/>
          <w:color w:val="000000"/>
          <w:kern w:val="0"/>
          <w:sz w:val="24"/>
          <w:szCs w:val="24"/>
        </w:rPr>
        <w:t>Ihle JN</w:t>
      </w:r>
      <w:r w:rsidRPr="00DD07CA">
        <w:rPr>
          <w:rFonts w:ascii="Book Antiqua" w:eastAsia="SimSun" w:hAnsi="Book Antiqua" w:cs="SimSun"/>
          <w:color w:val="000000"/>
          <w:kern w:val="0"/>
          <w:sz w:val="24"/>
          <w:szCs w:val="24"/>
        </w:rPr>
        <w:t>. STATs: signal transducers and activators of transcription. </w:t>
      </w:r>
      <w:r w:rsidRPr="00DD07CA">
        <w:rPr>
          <w:rFonts w:ascii="Book Antiqua" w:eastAsia="SimSun" w:hAnsi="Book Antiqua" w:cs="SimSun"/>
          <w:i/>
          <w:iCs/>
          <w:color w:val="000000"/>
          <w:kern w:val="0"/>
          <w:sz w:val="24"/>
          <w:szCs w:val="24"/>
        </w:rPr>
        <w:t>Cell</w:t>
      </w:r>
      <w:r w:rsidRPr="00DD07CA">
        <w:rPr>
          <w:rFonts w:ascii="Book Antiqua" w:eastAsia="SimSun" w:hAnsi="Book Antiqua" w:cs="SimSun"/>
          <w:color w:val="000000"/>
          <w:kern w:val="0"/>
          <w:sz w:val="24"/>
          <w:szCs w:val="24"/>
        </w:rPr>
        <w:t> 1996; </w:t>
      </w:r>
      <w:r w:rsidRPr="00DD07CA">
        <w:rPr>
          <w:rFonts w:ascii="Book Antiqua" w:eastAsia="SimSun" w:hAnsi="Book Antiqua" w:cs="SimSun"/>
          <w:b/>
          <w:bCs/>
          <w:color w:val="000000"/>
          <w:kern w:val="0"/>
          <w:sz w:val="24"/>
          <w:szCs w:val="24"/>
        </w:rPr>
        <w:t>84</w:t>
      </w:r>
      <w:r w:rsidRPr="00DD07CA">
        <w:rPr>
          <w:rFonts w:ascii="Book Antiqua" w:eastAsia="SimSun" w:hAnsi="Book Antiqua" w:cs="SimSun"/>
          <w:color w:val="000000"/>
          <w:kern w:val="0"/>
          <w:sz w:val="24"/>
          <w:szCs w:val="24"/>
        </w:rPr>
        <w:t>: 331-334 [PMID: 8608586 DOI: 10.1016/S0092-8674(00)81277-5]</w:t>
      </w:r>
    </w:p>
    <w:p w:rsidR="00203D5C" w:rsidRPr="00DD07CA" w:rsidRDefault="00203D5C" w:rsidP="001E38EA">
      <w:pPr>
        <w:widowControl/>
        <w:adjustRightInd w:val="0"/>
        <w:snapToGrid w:val="0"/>
        <w:spacing w:line="360" w:lineRule="auto"/>
        <w:rPr>
          <w:rFonts w:ascii="Book Antiqua" w:eastAsia="SimSun" w:hAnsi="Book Antiqua" w:cs="SimSun"/>
          <w:color w:val="000000"/>
          <w:kern w:val="0"/>
          <w:sz w:val="24"/>
          <w:szCs w:val="24"/>
        </w:rPr>
      </w:pPr>
      <w:r w:rsidRPr="00DD07CA">
        <w:rPr>
          <w:rFonts w:ascii="Book Antiqua" w:eastAsia="SimSun" w:hAnsi="Book Antiqua" w:cs="SimSun"/>
          <w:color w:val="000000"/>
          <w:kern w:val="0"/>
          <w:sz w:val="24"/>
          <w:szCs w:val="24"/>
        </w:rPr>
        <w:t>20 </w:t>
      </w:r>
      <w:r w:rsidRPr="00DD07CA">
        <w:rPr>
          <w:rFonts w:ascii="Book Antiqua" w:eastAsia="SimSun" w:hAnsi="Book Antiqua" w:cs="SimSun"/>
          <w:b/>
          <w:bCs/>
          <w:color w:val="000000"/>
          <w:kern w:val="0"/>
          <w:sz w:val="24"/>
          <w:szCs w:val="24"/>
        </w:rPr>
        <w:t>Schreiner SJ</w:t>
      </w:r>
      <w:r w:rsidRPr="00DD07CA">
        <w:rPr>
          <w:rFonts w:ascii="Book Antiqua" w:eastAsia="SimSun" w:hAnsi="Book Antiqua" w:cs="SimSun"/>
          <w:color w:val="000000"/>
          <w:kern w:val="0"/>
          <w:sz w:val="24"/>
          <w:szCs w:val="24"/>
        </w:rPr>
        <w:t>, Schiavone AP, Smithgall TE. Activation of STAT3 by the Src family kinase Hck requires a functional SH3 domain. </w:t>
      </w:r>
      <w:r w:rsidRPr="00DD07CA">
        <w:rPr>
          <w:rFonts w:ascii="Book Antiqua" w:eastAsia="SimSun" w:hAnsi="Book Antiqua" w:cs="SimSun"/>
          <w:i/>
          <w:iCs/>
          <w:color w:val="000000"/>
          <w:kern w:val="0"/>
          <w:sz w:val="24"/>
          <w:szCs w:val="24"/>
        </w:rPr>
        <w:t>J Biol Chem</w:t>
      </w:r>
      <w:r w:rsidRPr="00DD07CA">
        <w:rPr>
          <w:rFonts w:ascii="Book Antiqua" w:eastAsia="SimSun" w:hAnsi="Book Antiqua" w:cs="SimSun"/>
          <w:color w:val="000000"/>
          <w:kern w:val="0"/>
          <w:sz w:val="24"/>
          <w:szCs w:val="24"/>
        </w:rPr>
        <w:t> 2002; </w:t>
      </w:r>
      <w:r w:rsidRPr="00DD07CA">
        <w:rPr>
          <w:rFonts w:ascii="Book Antiqua" w:eastAsia="SimSun" w:hAnsi="Book Antiqua" w:cs="SimSun"/>
          <w:b/>
          <w:bCs/>
          <w:color w:val="000000"/>
          <w:kern w:val="0"/>
          <w:sz w:val="24"/>
          <w:szCs w:val="24"/>
        </w:rPr>
        <w:t>277</w:t>
      </w:r>
      <w:r w:rsidRPr="00DD07CA">
        <w:rPr>
          <w:rFonts w:ascii="Book Antiqua" w:eastAsia="SimSun" w:hAnsi="Book Antiqua" w:cs="SimSun"/>
          <w:color w:val="000000"/>
          <w:kern w:val="0"/>
          <w:sz w:val="24"/>
          <w:szCs w:val="24"/>
        </w:rPr>
        <w:t>: 45680-45687 [PMID: 12244095 DOI: 10.1074/jbc.M204255200]</w:t>
      </w:r>
    </w:p>
    <w:p w:rsidR="00203D5C" w:rsidRPr="00DD07CA" w:rsidRDefault="00203D5C" w:rsidP="001E38EA">
      <w:pPr>
        <w:widowControl/>
        <w:adjustRightInd w:val="0"/>
        <w:snapToGrid w:val="0"/>
        <w:spacing w:line="360" w:lineRule="auto"/>
        <w:rPr>
          <w:rFonts w:ascii="Book Antiqua" w:eastAsia="SimSun" w:hAnsi="Book Antiqua" w:cs="SimSun"/>
          <w:color w:val="000000"/>
          <w:kern w:val="0"/>
          <w:sz w:val="24"/>
          <w:szCs w:val="24"/>
        </w:rPr>
      </w:pPr>
      <w:r w:rsidRPr="00DD07CA">
        <w:rPr>
          <w:rFonts w:ascii="Book Antiqua" w:eastAsia="SimSun" w:hAnsi="Book Antiqua" w:cs="SimSun"/>
          <w:color w:val="000000"/>
          <w:kern w:val="0"/>
          <w:sz w:val="24"/>
          <w:szCs w:val="24"/>
        </w:rPr>
        <w:t>21 </w:t>
      </w:r>
      <w:r w:rsidRPr="00DD07CA">
        <w:rPr>
          <w:rFonts w:ascii="Book Antiqua" w:eastAsia="SimSun" w:hAnsi="Book Antiqua" w:cs="SimSun"/>
          <w:b/>
          <w:bCs/>
          <w:color w:val="000000"/>
          <w:kern w:val="0"/>
          <w:sz w:val="24"/>
          <w:szCs w:val="24"/>
        </w:rPr>
        <w:t>Aggarwal BB</w:t>
      </w:r>
      <w:r w:rsidRPr="00DD07CA">
        <w:rPr>
          <w:rFonts w:ascii="Book Antiqua" w:eastAsia="SimSun" w:hAnsi="Book Antiqua" w:cs="SimSun"/>
          <w:color w:val="000000"/>
          <w:kern w:val="0"/>
          <w:sz w:val="24"/>
          <w:szCs w:val="24"/>
        </w:rPr>
        <w:t>, Kunnumakkara AB, Harikumar KB, Gupta SR, Tharakan ST, Koca C, Dey S, Sung B. Signal transducer and activator of transcription-3, inflammation, and cancer: how intimate is the relationship?. </w:t>
      </w:r>
      <w:r w:rsidRPr="00DD07CA">
        <w:rPr>
          <w:rFonts w:ascii="Book Antiqua" w:eastAsia="SimSun" w:hAnsi="Book Antiqua" w:cs="SimSun"/>
          <w:i/>
          <w:iCs/>
          <w:color w:val="000000"/>
          <w:kern w:val="0"/>
          <w:sz w:val="24"/>
          <w:szCs w:val="24"/>
        </w:rPr>
        <w:t>Ann N Y Acad Sci</w:t>
      </w:r>
      <w:r w:rsidRPr="00DD07CA">
        <w:rPr>
          <w:rFonts w:ascii="Book Antiqua" w:eastAsia="SimSun" w:hAnsi="Book Antiqua" w:cs="SimSun"/>
          <w:color w:val="000000"/>
          <w:kern w:val="0"/>
          <w:sz w:val="24"/>
          <w:szCs w:val="24"/>
        </w:rPr>
        <w:t> 2009; </w:t>
      </w:r>
      <w:r w:rsidRPr="00DD07CA">
        <w:rPr>
          <w:rFonts w:ascii="Book Antiqua" w:eastAsia="SimSun" w:hAnsi="Book Antiqua" w:cs="SimSun"/>
          <w:b/>
          <w:bCs/>
          <w:color w:val="000000"/>
          <w:kern w:val="0"/>
          <w:sz w:val="24"/>
          <w:szCs w:val="24"/>
        </w:rPr>
        <w:t>1171</w:t>
      </w:r>
      <w:r w:rsidRPr="00DD07CA">
        <w:rPr>
          <w:rFonts w:ascii="Book Antiqua" w:eastAsia="SimSun" w:hAnsi="Book Antiqua" w:cs="SimSun"/>
          <w:color w:val="000000"/>
          <w:kern w:val="0"/>
          <w:sz w:val="24"/>
          <w:szCs w:val="24"/>
        </w:rPr>
        <w:t>: 59-76 [PMID: 19723038 DOI: 10.1111/j.1749-6632.2009.04911.x]</w:t>
      </w:r>
    </w:p>
    <w:p w:rsidR="00203D5C" w:rsidRPr="00DD07CA" w:rsidRDefault="00203D5C" w:rsidP="001E38EA">
      <w:pPr>
        <w:widowControl/>
        <w:adjustRightInd w:val="0"/>
        <w:snapToGrid w:val="0"/>
        <w:spacing w:line="360" w:lineRule="auto"/>
        <w:rPr>
          <w:rFonts w:ascii="Book Antiqua" w:eastAsia="SimSun" w:hAnsi="Book Antiqua" w:cs="SimSun"/>
          <w:color w:val="000000"/>
          <w:kern w:val="0"/>
          <w:sz w:val="24"/>
          <w:szCs w:val="24"/>
        </w:rPr>
      </w:pPr>
      <w:r w:rsidRPr="00DD07CA">
        <w:rPr>
          <w:rFonts w:ascii="Book Antiqua" w:eastAsia="SimSun" w:hAnsi="Book Antiqua" w:cs="SimSun"/>
          <w:color w:val="000000"/>
          <w:kern w:val="0"/>
          <w:sz w:val="24"/>
          <w:szCs w:val="24"/>
        </w:rPr>
        <w:t>22 </w:t>
      </w:r>
      <w:r w:rsidRPr="00DD07CA">
        <w:rPr>
          <w:rFonts w:ascii="Book Antiqua" w:eastAsia="SimSun" w:hAnsi="Book Antiqua" w:cs="SimSun"/>
          <w:b/>
          <w:bCs/>
          <w:color w:val="000000"/>
          <w:kern w:val="0"/>
          <w:sz w:val="24"/>
          <w:szCs w:val="24"/>
        </w:rPr>
        <w:t>Shen L</w:t>
      </w:r>
      <w:r w:rsidRPr="00DD07CA">
        <w:rPr>
          <w:rFonts w:ascii="Book Antiqua" w:eastAsia="SimSun" w:hAnsi="Book Antiqua" w:cs="SimSun"/>
          <w:color w:val="000000"/>
          <w:kern w:val="0"/>
          <w:sz w:val="24"/>
          <w:szCs w:val="24"/>
        </w:rPr>
        <w:t>, Shan YS, Hu HM, Price TJ, Sirohi B, Yeh KH, Yang YH, Sano T, Yang HK, Zhang X, Park SR, Fujii M, Kang YK, Chen LT. Management of gastric cancer in Asia: resource-stratified guidelines. </w:t>
      </w:r>
      <w:r w:rsidRPr="00DD07CA">
        <w:rPr>
          <w:rFonts w:ascii="Book Antiqua" w:eastAsia="SimSun" w:hAnsi="Book Antiqua" w:cs="SimSun"/>
          <w:i/>
          <w:iCs/>
          <w:color w:val="000000"/>
          <w:kern w:val="0"/>
          <w:sz w:val="24"/>
          <w:szCs w:val="24"/>
        </w:rPr>
        <w:t>Lancet Oncol</w:t>
      </w:r>
      <w:r w:rsidRPr="00DD07CA">
        <w:rPr>
          <w:rFonts w:ascii="Book Antiqua" w:eastAsia="SimSun" w:hAnsi="Book Antiqua" w:cs="SimSun"/>
          <w:color w:val="000000"/>
          <w:kern w:val="0"/>
          <w:sz w:val="24"/>
          <w:szCs w:val="24"/>
        </w:rPr>
        <w:t> 2013; </w:t>
      </w:r>
      <w:r w:rsidRPr="00DD07CA">
        <w:rPr>
          <w:rFonts w:ascii="Book Antiqua" w:eastAsia="SimSun" w:hAnsi="Book Antiqua" w:cs="SimSun"/>
          <w:b/>
          <w:bCs/>
          <w:color w:val="000000"/>
          <w:kern w:val="0"/>
          <w:sz w:val="24"/>
          <w:szCs w:val="24"/>
        </w:rPr>
        <w:t>14</w:t>
      </w:r>
      <w:r w:rsidRPr="00DD07CA">
        <w:rPr>
          <w:rFonts w:ascii="Book Antiqua" w:eastAsia="SimSun" w:hAnsi="Book Antiqua" w:cs="SimSun"/>
          <w:color w:val="000000"/>
          <w:kern w:val="0"/>
          <w:sz w:val="24"/>
          <w:szCs w:val="24"/>
        </w:rPr>
        <w:t>: e535-e547 [PMID: 24176572 DOI: 10.1016/S1470-2045(13)70436-4]</w:t>
      </w:r>
    </w:p>
    <w:p w:rsidR="00203D5C" w:rsidRPr="00DD07CA" w:rsidRDefault="00203D5C" w:rsidP="001E38EA">
      <w:pPr>
        <w:widowControl/>
        <w:adjustRightInd w:val="0"/>
        <w:snapToGrid w:val="0"/>
        <w:spacing w:line="360" w:lineRule="auto"/>
        <w:rPr>
          <w:rFonts w:ascii="Book Antiqua" w:eastAsia="SimSun" w:hAnsi="Book Antiqua" w:cs="SimSun"/>
          <w:color w:val="000000"/>
          <w:kern w:val="0"/>
          <w:sz w:val="24"/>
          <w:szCs w:val="24"/>
        </w:rPr>
      </w:pPr>
      <w:r w:rsidRPr="00DD07CA">
        <w:rPr>
          <w:rFonts w:ascii="Book Antiqua" w:eastAsia="SimSun" w:hAnsi="Book Antiqua" w:cs="SimSun"/>
          <w:color w:val="000000"/>
          <w:kern w:val="0"/>
          <w:sz w:val="24"/>
          <w:szCs w:val="24"/>
        </w:rPr>
        <w:t>23 </w:t>
      </w:r>
      <w:r w:rsidRPr="00DD07CA">
        <w:rPr>
          <w:rFonts w:ascii="Book Antiqua" w:eastAsia="SimSun" w:hAnsi="Book Antiqua" w:cs="SimSun"/>
          <w:b/>
          <w:bCs/>
          <w:color w:val="000000"/>
          <w:kern w:val="0"/>
          <w:sz w:val="24"/>
          <w:szCs w:val="24"/>
        </w:rPr>
        <w:t>Banerjee S</w:t>
      </w:r>
      <w:r w:rsidRPr="00DD07CA">
        <w:rPr>
          <w:rFonts w:ascii="Book Antiqua" w:eastAsia="SimSun" w:hAnsi="Book Antiqua" w:cs="SimSun"/>
          <w:color w:val="000000"/>
          <w:kern w:val="0"/>
          <w:sz w:val="24"/>
          <w:szCs w:val="24"/>
        </w:rPr>
        <w:t>, Kaseb AO, Wang Z, Kong D, Mohammad M, Padhye S, Sarkar FH, Mohammad RM. Antitumor activity of gemcitabine and oxaliplatin is augmented by thymoquinone in pancreatic cancer. </w:t>
      </w:r>
      <w:r w:rsidRPr="00DD07CA">
        <w:rPr>
          <w:rFonts w:ascii="Book Antiqua" w:eastAsia="SimSun" w:hAnsi="Book Antiqua" w:cs="SimSun"/>
          <w:i/>
          <w:iCs/>
          <w:color w:val="000000"/>
          <w:kern w:val="0"/>
          <w:sz w:val="24"/>
          <w:szCs w:val="24"/>
        </w:rPr>
        <w:t>Cancer Res</w:t>
      </w:r>
      <w:r w:rsidRPr="00DD07CA">
        <w:rPr>
          <w:rFonts w:ascii="Book Antiqua" w:eastAsia="SimSun" w:hAnsi="Book Antiqua" w:cs="SimSun"/>
          <w:color w:val="000000"/>
          <w:kern w:val="0"/>
          <w:sz w:val="24"/>
          <w:szCs w:val="24"/>
        </w:rPr>
        <w:t> 2009; </w:t>
      </w:r>
      <w:r w:rsidRPr="00DD07CA">
        <w:rPr>
          <w:rFonts w:ascii="Book Antiqua" w:eastAsia="SimSun" w:hAnsi="Book Antiqua" w:cs="SimSun"/>
          <w:b/>
          <w:bCs/>
          <w:color w:val="000000"/>
          <w:kern w:val="0"/>
          <w:sz w:val="24"/>
          <w:szCs w:val="24"/>
        </w:rPr>
        <w:t>69</w:t>
      </w:r>
      <w:r w:rsidRPr="00DD07CA">
        <w:rPr>
          <w:rFonts w:ascii="Book Antiqua" w:eastAsia="SimSun" w:hAnsi="Book Antiqua" w:cs="SimSun"/>
          <w:color w:val="000000"/>
          <w:kern w:val="0"/>
          <w:sz w:val="24"/>
          <w:szCs w:val="24"/>
        </w:rPr>
        <w:t>: 5575-5583 [PMID: 19549912 DOI: 10.1158/0008-5472.CAN-08-4235]</w:t>
      </w:r>
    </w:p>
    <w:p w:rsidR="00203D5C" w:rsidRPr="00DD07CA" w:rsidRDefault="00203D5C" w:rsidP="001E38EA">
      <w:pPr>
        <w:widowControl/>
        <w:adjustRightInd w:val="0"/>
        <w:snapToGrid w:val="0"/>
        <w:spacing w:line="360" w:lineRule="auto"/>
        <w:rPr>
          <w:rFonts w:ascii="Book Antiqua" w:eastAsia="SimSun" w:hAnsi="Book Antiqua" w:cs="SimSun"/>
          <w:color w:val="000000"/>
          <w:kern w:val="0"/>
          <w:sz w:val="24"/>
          <w:szCs w:val="24"/>
        </w:rPr>
      </w:pPr>
      <w:r w:rsidRPr="00DD07CA">
        <w:rPr>
          <w:rFonts w:ascii="Book Antiqua" w:eastAsia="SimSun" w:hAnsi="Book Antiqua" w:cs="SimSun"/>
          <w:color w:val="000000"/>
          <w:kern w:val="0"/>
          <w:sz w:val="24"/>
          <w:szCs w:val="24"/>
        </w:rPr>
        <w:lastRenderedPageBreak/>
        <w:t>24 </w:t>
      </w:r>
      <w:r w:rsidRPr="00DD07CA">
        <w:rPr>
          <w:rFonts w:ascii="Book Antiqua" w:eastAsia="SimSun" w:hAnsi="Book Antiqua" w:cs="SimSun"/>
          <w:b/>
          <w:bCs/>
          <w:color w:val="000000"/>
          <w:kern w:val="0"/>
          <w:sz w:val="24"/>
          <w:szCs w:val="24"/>
        </w:rPr>
        <w:t>Kundu J</w:t>
      </w:r>
      <w:r w:rsidRPr="00DD07CA">
        <w:rPr>
          <w:rFonts w:ascii="Book Antiqua" w:eastAsia="SimSun" w:hAnsi="Book Antiqua" w:cs="SimSun"/>
          <w:color w:val="000000"/>
          <w:kern w:val="0"/>
          <w:sz w:val="24"/>
          <w:szCs w:val="24"/>
        </w:rPr>
        <w:t>, Choi BY, Jeong CH, Kundu JK, Chun KS. Thymoquinone induces apoptosis in human colon cancer HCT116 cells through inactivation of STAT3 by blocking JAK2- and Src</w:t>
      </w:r>
      <w:r w:rsidRPr="00DD07CA">
        <w:rPr>
          <w:rFonts w:ascii="Book Antiqua" w:eastAsia="SimSun" w:hAnsi="Book Antiqua" w:cs="SimSun"/>
          <w:color w:val="000000"/>
          <w:kern w:val="0"/>
          <w:sz w:val="24"/>
          <w:szCs w:val="24"/>
        </w:rPr>
        <w:noBreakHyphen/>
        <w:t>mediated phosphorylation of EGF receptor tyrosine kinase. </w:t>
      </w:r>
      <w:r w:rsidRPr="00DD07CA">
        <w:rPr>
          <w:rFonts w:ascii="Book Antiqua" w:eastAsia="SimSun" w:hAnsi="Book Antiqua" w:cs="SimSun"/>
          <w:i/>
          <w:iCs/>
          <w:color w:val="000000"/>
          <w:kern w:val="0"/>
          <w:sz w:val="24"/>
          <w:szCs w:val="24"/>
        </w:rPr>
        <w:t>Oncol Rep</w:t>
      </w:r>
      <w:r w:rsidRPr="00DD07CA">
        <w:rPr>
          <w:rFonts w:ascii="Book Antiqua" w:eastAsia="SimSun" w:hAnsi="Book Antiqua" w:cs="SimSun"/>
          <w:color w:val="000000"/>
          <w:kern w:val="0"/>
          <w:sz w:val="24"/>
          <w:szCs w:val="24"/>
        </w:rPr>
        <w:t> 2014; </w:t>
      </w:r>
      <w:r w:rsidRPr="00DD07CA">
        <w:rPr>
          <w:rFonts w:ascii="Book Antiqua" w:eastAsia="SimSun" w:hAnsi="Book Antiqua" w:cs="SimSun"/>
          <w:b/>
          <w:bCs/>
          <w:color w:val="000000"/>
          <w:kern w:val="0"/>
          <w:sz w:val="24"/>
          <w:szCs w:val="24"/>
        </w:rPr>
        <w:t>32</w:t>
      </w:r>
      <w:r w:rsidRPr="00DD07CA">
        <w:rPr>
          <w:rFonts w:ascii="Book Antiqua" w:eastAsia="SimSun" w:hAnsi="Book Antiqua" w:cs="SimSun"/>
          <w:color w:val="000000"/>
          <w:kern w:val="0"/>
          <w:sz w:val="24"/>
          <w:szCs w:val="24"/>
        </w:rPr>
        <w:t>: 821-828 [PMID: 24890449]</w:t>
      </w:r>
    </w:p>
    <w:p w:rsidR="00203D5C" w:rsidRPr="00DD07CA" w:rsidRDefault="00203D5C" w:rsidP="001E38EA">
      <w:pPr>
        <w:widowControl/>
        <w:adjustRightInd w:val="0"/>
        <w:snapToGrid w:val="0"/>
        <w:spacing w:line="360" w:lineRule="auto"/>
        <w:rPr>
          <w:rFonts w:ascii="Book Antiqua" w:eastAsia="SimSun" w:hAnsi="Book Antiqua" w:cs="SimSun"/>
          <w:color w:val="000000"/>
          <w:kern w:val="0"/>
          <w:sz w:val="24"/>
          <w:szCs w:val="24"/>
        </w:rPr>
      </w:pPr>
      <w:r w:rsidRPr="00DD07CA">
        <w:rPr>
          <w:rFonts w:ascii="Book Antiqua" w:eastAsia="SimSun" w:hAnsi="Book Antiqua" w:cs="SimSun"/>
          <w:color w:val="000000"/>
          <w:kern w:val="0"/>
          <w:sz w:val="24"/>
          <w:szCs w:val="24"/>
        </w:rPr>
        <w:t>25 </w:t>
      </w:r>
      <w:r w:rsidRPr="00DD07CA">
        <w:rPr>
          <w:rFonts w:ascii="Book Antiqua" w:eastAsia="SimSun" w:hAnsi="Book Antiqua" w:cs="SimSun"/>
          <w:b/>
          <w:bCs/>
          <w:color w:val="000000"/>
          <w:kern w:val="0"/>
          <w:sz w:val="24"/>
          <w:szCs w:val="24"/>
        </w:rPr>
        <w:t>Badary OA</w:t>
      </w:r>
      <w:r w:rsidRPr="00DD07CA">
        <w:rPr>
          <w:rFonts w:ascii="Book Antiqua" w:eastAsia="SimSun" w:hAnsi="Book Antiqua" w:cs="SimSun"/>
          <w:color w:val="000000"/>
          <w:kern w:val="0"/>
          <w:sz w:val="24"/>
          <w:szCs w:val="24"/>
        </w:rPr>
        <w:t>, Al-Shabanah OA, Nagi MN, Al-Rikabi AC, Elmazar MM. Inhibition of benzo(a)pyrene-induced forestomach carcinogenesis in mice by thymoquinone. </w:t>
      </w:r>
      <w:r w:rsidRPr="00DD07CA">
        <w:rPr>
          <w:rFonts w:ascii="Book Antiqua" w:eastAsia="SimSun" w:hAnsi="Book Antiqua" w:cs="SimSun"/>
          <w:i/>
          <w:iCs/>
          <w:color w:val="000000"/>
          <w:kern w:val="0"/>
          <w:sz w:val="24"/>
          <w:szCs w:val="24"/>
        </w:rPr>
        <w:t>Eur J Cancer Prev</w:t>
      </w:r>
      <w:r w:rsidRPr="00DD07CA">
        <w:rPr>
          <w:rFonts w:ascii="Book Antiqua" w:eastAsia="SimSun" w:hAnsi="Book Antiqua" w:cs="SimSun"/>
          <w:color w:val="000000"/>
          <w:kern w:val="0"/>
          <w:sz w:val="24"/>
          <w:szCs w:val="24"/>
        </w:rPr>
        <w:t> 1999; </w:t>
      </w:r>
      <w:r w:rsidRPr="00DD07CA">
        <w:rPr>
          <w:rFonts w:ascii="Book Antiqua" w:eastAsia="SimSun" w:hAnsi="Book Antiqua" w:cs="SimSun"/>
          <w:b/>
          <w:bCs/>
          <w:color w:val="000000"/>
          <w:kern w:val="0"/>
          <w:sz w:val="24"/>
          <w:szCs w:val="24"/>
        </w:rPr>
        <w:t>8</w:t>
      </w:r>
      <w:r w:rsidRPr="00DD07CA">
        <w:rPr>
          <w:rFonts w:ascii="Book Antiqua" w:eastAsia="SimSun" w:hAnsi="Book Antiqua" w:cs="SimSun"/>
          <w:color w:val="000000"/>
          <w:kern w:val="0"/>
          <w:sz w:val="24"/>
          <w:szCs w:val="24"/>
        </w:rPr>
        <w:t>: 435-440 [PMID: 10548399 DOI: 10.1097/00008469-199910000-00009]</w:t>
      </w:r>
    </w:p>
    <w:p w:rsidR="00203D5C" w:rsidRPr="00DD07CA" w:rsidRDefault="00203D5C" w:rsidP="001E38EA">
      <w:pPr>
        <w:widowControl/>
        <w:adjustRightInd w:val="0"/>
        <w:snapToGrid w:val="0"/>
        <w:spacing w:line="360" w:lineRule="auto"/>
        <w:rPr>
          <w:rFonts w:ascii="Book Antiqua" w:eastAsia="SimSun" w:hAnsi="Book Antiqua" w:cs="SimSun"/>
          <w:color w:val="000000"/>
          <w:kern w:val="0"/>
          <w:sz w:val="24"/>
          <w:szCs w:val="24"/>
        </w:rPr>
      </w:pPr>
      <w:r w:rsidRPr="00DD07CA">
        <w:rPr>
          <w:rFonts w:ascii="Book Antiqua" w:eastAsia="SimSun" w:hAnsi="Book Antiqua" w:cs="SimSun"/>
          <w:color w:val="000000"/>
          <w:kern w:val="0"/>
          <w:sz w:val="24"/>
          <w:szCs w:val="24"/>
        </w:rPr>
        <w:t>26 </w:t>
      </w:r>
      <w:r w:rsidRPr="00DD07CA">
        <w:rPr>
          <w:rFonts w:ascii="Book Antiqua" w:eastAsia="SimSun" w:hAnsi="Book Antiqua" w:cs="SimSun"/>
          <w:b/>
          <w:bCs/>
          <w:color w:val="000000"/>
          <w:kern w:val="0"/>
          <w:sz w:val="24"/>
          <w:szCs w:val="24"/>
        </w:rPr>
        <w:t>Groner B</w:t>
      </w:r>
      <w:r w:rsidRPr="00DD07CA">
        <w:rPr>
          <w:rFonts w:ascii="Book Antiqua" w:eastAsia="SimSun" w:hAnsi="Book Antiqua" w:cs="SimSun"/>
          <w:color w:val="000000"/>
          <w:kern w:val="0"/>
          <w:sz w:val="24"/>
          <w:szCs w:val="24"/>
        </w:rPr>
        <w:t>, Lucks P, Borghouts C. The function of Stat3 in tumor cells and their microenvironment. </w:t>
      </w:r>
      <w:r w:rsidRPr="00DD07CA">
        <w:rPr>
          <w:rFonts w:ascii="Book Antiqua" w:eastAsia="SimSun" w:hAnsi="Book Antiqua" w:cs="SimSun"/>
          <w:i/>
          <w:iCs/>
          <w:color w:val="000000"/>
          <w:kern w:val="0"/>
          <w:sz w:val="24"/>
          <w:szCs w:val="24"/>
        </w:rPr>
        <w:t>Semin Cell Dev Biol</w:t>
      </w:r>
      <w:r w:rsidRPr="00DD07CA">
        <w:rPr>
          <w:rFonts w:ascii="Book Antiqua" w:eastAsia="SimSun" w:hAnsi="Book Antiqua" w:cs="SimSun"/>
          <w:color w:val="000000"/>
          <w:kern w:val="0"/>
          <w:sz w:val="24"/>
          <w:szCs w:val="24"/>
        </w:rPr>
        <w:t> 2008; </w:t>
      </w:r>
      <w:r w:rsidRPr="00DD07CA">
        <w:rPr>
          <w:rFonts w:ascii="Book Antiqua" w:eastAsia="SimSun" w:hAnsi="Book Antiqua" w:cs="SimSun"/>
          <w:b/>
          <w:bCs/>
          <w:color w:val="000000"/>
          <w:kern w:val="0"/>
          <w:sz w:val="24"/>
          <w:szCs w:val="24"/>
        </w:rPr>
        <w:t>19</w:t>
      </w:r>
      <w:r w:rsidRPr="00DD07CA">
        <w:rPr>
          <w:rFonts w:ascii="Book Antiqua" w:eastAsia="SimSun" w:hAnsi="Book Antiqua" w:cs="SimSun"/>
          <w:color w:val="000000"/>
          <w:kern w:val="0"/>
          <w:sz w:val="24"/>
          <w:szCs w:val="24"/>
        </w:rPr>
        <w:t>: 341-350 [PMID: 18621135 DOI: 10.1016/j.semcdb.2008.06.005]</w:t>
      </w:r>
    </w:p>
    <w:p w:rsidR="00203D5C" w:rsidRPr="00DD07CA" w:rsidRDefault="00203D5C" w:rsidP="001E38EA">
      <w:pPr>
        <w:widowControl/>
        <w:adjustRightInd w:val="0"/>
        <w:snapToGrid w:val="0"/>
        <w:spacing w:line="360" w:lineRule="auto"/>
        <w:rPr>
          <w:rFonts w:ascii="Book Antiqua" w:eastAsia="SimSun" w:hAnsi="Book Antiqua" w:cs="SimSun"/>
          <w:color w:val="000000"/>
          <w:kern w:val="0"/>
          <w:sz w:val="24"/>
          <w:szCs w:val="24"/>
        </w:rPr>
      </w:pPr>
      <w:r w:rsidRPr="00DD07CA">
        <w:rPr>
          <w:rFonts w:ascii="Book Antiqua" w:eastAsia="SimSun" w:hAnsi="Book Antiqua" w:cs="SimSun"/>
          <w:color w:val="000000"/>
          <w:kern w:val="0"/>
          <w:sz w:val="24"/>
          <w:szCs w:val="24"/>
        </w:rPr>
        <w:t>27 </w:t>
      </w:r>
      <w:r w:rsidRPr="00DD07CA">
        <w:rPr>
          <w:rFonts w:ascii="Book Antiqua" w:eastAsia="SimSun" w:hAnsi="Book Antiqua" w:cs="SimSun"/>
          <w:b/>
          <w:bCs/>
          <w:color w:val="000000"/>
          <w:kern w:val="0"/>
          <w:sz w:val="24"/>
          <w:szCs w:val="24"/>
        </w:rPr>
        <w:t>Gritsko T</w:t>
      </w:r>
      <w:r w:rsidRPr="00DD07CA">
        <w:rPr>
          <w:rFonts w:ascii="Book Antiqua" w:eastAsia="SimSun" w:hAnsi="Book Antiqua" w:cs="SimSun"/>
          <w:color w:val="000000"/>
          <w:kern w:val="0"/>
          <w:sz w:val="24"/>
          <w:szCs w:val="24"/>
        </w:rPr>
        <w:t>, Williams A, Turkson J, Kaneko S, Bowman T, Huang M, Nam S, Eweis I, Diaz N, Sullivan D, Yoder S, Enkemann S, Eschrich S, Lee JH, Beam CA, Cheng J, Minton S, Muro-Cacho CA, Jove R. Persistent activation of stat3 signaling induces survivin gene expression and confers resistance to apoptosis in human breast cancer cells. </w:t>
      </w:r>
      <w:r w:rsidRPr="00DD07CA">
        <w:rPr>
          <w:rFonts w:ascii="Book Antiqua" w:eastAsia="SimSun" w:hAnsi="Book Antiqua" w:cs="SimSun"/>
          <w:i/>
          <w:iCs/>
          <w:color w:val="000000"/>
          <w:kern w:val="0"/>
          <w:sz w:val="24"/>
          <w:szCs w:val="24"/>
        </w:rPr>
        <w:t>Clin Cancer Res</w:t>
      </w:r>
      <w:r w:rsidRPr="00DD07CA">
        <w:rPr>
          <w:rFonts w:ascii="Book Antiqua" w:eastAsia="SimSun" w:hAnsi="Book Antiqua" w:cs="SimSun"/>
          <w:color w:val="000000"/>
          <w:kern w:val="0"/>
          <w:sz w:val="24"/>
          <w:szCs w:val="24"/>
        </w:rPr>
        <w:t> 2006; </w:t>
      </w:r>
      <w:r w:rsidRPr="00DD07CA">
        <w:rPr>
          <w:rFonts w:ascii="Book Antiqua" w:eastAsia="SimSun" w:hAnsi="Book Antiqua" w:cs="SimSun"/>
          <w:b/>
          <w:bCs/>
          <w:color w:val="000000"/>
          <w:kern w:val="0"/>
          <w:sz w:val="24"/>
          <w:szCs w:val="24"/>
        </w:rPr>
        <w:t>12</w:t>
      </w:r>
      <w:r w:rsidRPr="00DD07CA">
        <w:rPr>
          <w:rFonts w:ascii="Book Antiqua" w:eastAsia="SimSun" w:hAnsi="Book Antiqua" w:cs="SimSun"/>
          <w:color w:val="000000"/>
          <w:kern w:val="0"/>
          <w:sz w:val="24"/>
          <w:szCs w:val="24"/>
        </w:rPr>
        <w:t>: 11-19 [PMID: 16397018 DOI: 10.1158/1078-0432.CCR-04-1752]</w:t>
      </w:r>
    </w:p>
    <w:p w:rsidR="00203D5C" w:rsidRPr="00DD07CA" w:rsidRDefault="00203D5C" w:rsidP="001E38EA">
      <w:pPr>
        <w:widowControl/>
        <w:adjustRightInd w:val="0"/>
        <w:snapToGrid w:val="0"/>
        <w:spacing w:line="360" w:lineRule="auto"/>
        <w:rPr>
          <w:rFonts w:ascii="Book Antiqua" w:eastAsia="SimSun" w:hAnsi="Book Antiqua" w:cs="SimSun"/>
          <w:color w:val="000000"/>
          <w:kern w:val="0"/>
          <w:sz w:val="24"/>
          <w:szCs w:val="24"/>
        </w:rPr>
      </w:pPr>
      <w:r w:rsidRPr="00DD07CA">
        <w:rPr>
          <w:rFonts w:ascii="Book Antiqua" w:eastAsia="SimSun" w:hAnsi="Book Antiqua" w:cs="SimSun"/>
          <w:color w:val="000000"/>
          <w:kern w:val="0"/>
          <w:sz w:val="24"/>
          <w:szCs w:val="24"/>
        </w:rPr>
        <w:t>28 </w:t>
      </w:r>
      <w:r w:rsidRPr="00DD07CA">
        <w:rPr>
          <w:rFonts w:ascii="Book Antiqua" w:eastAsia="SimSun" w:hAnsi="Book Antiqua" w:cs="SimSun"/>
          <w:b/>
          <w:bCs/>
          <w:color w:val="000000"/>
          <w:kern w:val="0"/>
          <w:sz w:val="24"/>
          <w:szCs w:val="24"/>
        </w:rPr>
        <w:t>Simonian PL</w:t>
      </w:r>
      <w:r w:rsidRPr="00DD07CA">
        <w:rPr>
          <w:rFonts w:ascii="Book Antiqua" w:eastAsia="SimSun" w:hAnsi="Book Antiqua" w:cs="SimSun"/>
          <w:color w:val="000000"/>
          <w:kern w:val="0"/>
          <w:sz w:val="24"/>
          <w:szCs w:val="24"/>
        </w:rPr>
        <w:t>, Grillot DA, Nuñez G. Bcl-2 and Bcl-XL can differentially block chemotherapy-induced cell death. </w:t>
      </w:r>
      <w:r w:rsidRPr="00DD07CA">
        <w:rPr>
          <w:rFonts w:ascii="Book Antiqua" w:eastAsia="SimSun" w:hAnsi="Book Antiqua" w:cs="SimSun"/>
          <w:i/>
          <w:iCs/>
          <w:color w:val="000000"/>
          <w:kern w:val="0"/>
          <w:sz w:val="24"/>
          <w:szCs w:val="24"/>
        </w:rPr>
        <w:t>Blood</w:t>
      </w:r>
      <w:r w:rsidRPr="00DD07CA">
        <w:rPr>
          <w:rFonts w:ascii="Book Antiqua" w:eastAsia="SimSun" w:hAnsi="Book Antiqua" w:cs="SimSun"/>
          <w:color w:val="000000"/>
          <w:kern w:val="0"/>
          <w:sz w:val="24"/>
          <w:szCs w:val="24"/>
        </w:rPr>
        <w:t> 1997; </w:t>
      </w:r>
      <w:r w:rsidRPr="00DD07CA">
        <w:rPr>
          <w:rFonts w:ascii="Book Antiqua" w:eastAsia="SimSun" w:hAnsi="Book Antiqua" w:cs="SimSun"/>
          <w:b/>
          <w:bCs/>
          <w:color w:val="000000"/>
          <w:kern w:val="0"/>
          <w:sz w:val="24"/>
          <w:szCs w:val="24"/>
        </w:rPr>
        <w:t>90</w:t>
      </w:r>
      <w:r w:rsidRPr="00DD07CA">
        <w:rPr>
          <w:rFonts w:ascii="Book Antiqua" w:eastAsia="SimSun" w:hAnsi="Book Antiqua" w:cs="SimSun"/>
          <w:color w:val="000000"/>
          <w:kern w:val="0"/>
          <w:sz w:val="24"/>
          <w:szCs w:val="24"/>
        </w:rPr>
        <w:t>: 1208-1216 [PMID: 9242554]</w:t>
      </w:r>
    </w:p>
    <w:p w:rsidR="00203D5C" w:rsidRPr="00DD07CA" w:rsidRDefault="00203D5C" w:rsidP="001E38EA">
      <w:pPr>
        <w:widowControl/>
        <w:adjustRightInd w:val="0"/>
        <w:snapToGrid w:val="0"/>
        <w:spacing w:line="360" w:lineRule="auto"/>
        <w:rPr>
          <w:rFonts w:ascii="Book Antiqua" w:eastAsia="SimSun" w:hAnsi="Book Antiqua" w:cs="SimSun"/>
          <w:color w:val="000000"/>
          <w:kern w:val="0"/>
          <w:sz w:val="24"/>
          <w:szCs w:val="24"/>
        </w:rPr>
      </w:pPr>
      <w:r w:rsidRPr="00DD07CA">
        <w:rPr>
          <w:rFonts w:ascii="Book Antiqua" w:eastAsia="SimSun" w:hAnsi="Book Antiqua" w:cs="SimSun"/>
          <w:color w:val="000000"/>
          <w:kern w:val="0"/>
          <w:sz w:val="24"/>
          <w:szCs w:val="24"/>
        </w:rPr>
        <w:t>29 </w:t>
      </w:r>
      <w:r w:rsidRPr="00DD07CA">
        <w:rPr>
          <w:rFonts w:ascii="Book Antiqua" w:eastAsia="SimSun" w:hAnsi="Book Antiqua" w:cs="SimSun"/>
          <w:b/>
          <w:bCs/>
          <w:color w:val="000000"/>
          <w:kern w:val="0"/>
          <w:sz w:val="24"/>
          <w:szCs w:val="24"/>
        </w:rPr>
        <w:t>Tu Y</w:t>
      </w:r>
      <w:r w:rsidRPr="00DD07CA">
        <w:rPr>
          <w:rFonts w:ascii="Book Antiqua" w:eastAsia="SimSun" w:hAnsi="Book Antiqua" w:cs="SimSun"/>
          <w:color w:val="000000"/>
          <w:kern w:val="0"/>
          <w:sz w:val="24"/>
          <w:szCs w:val="24"/>
        </w:rPr>
        <w:t>, Renner S, Xu F, Fleishman A, Taylor J, Weisz J, Vescio R, Rettig M, Berenson J, Krajewski S, Reed JC, Lichtenstein A. BCL-X expression in multiple myeloma: possible indicator of chemoresistance. </w:t>
      </w:r>
      <w:r w:rsidRPr="00DD07CA">
        <w:rPr>
          <w:rFonts w:ascii="Book Antiqua" w:eastAsia="SimSun" w:hAnsi="Book Antiqua" w:cs="SimSun"/>
          <w:i/>
          <w:iCs/>
          <w:color w:val="000000"/>
          <w:kern w:val="0"/>
          <w:sz w:val="24"/>
          <w:szCs w:val="24"/>
        </w:rPr>
        <w:t>Cancer Res</w:t>
      </w:r>
      <w:r w:rsidRPr="00DD07CA">
        <w:rPr>
          <w:rFonts w:ascii="Book Antiqua" w:eastAsia="SimSun" w:hAnsi="Book Antiqua" w:cs="SimSun"/>
          <w:color w:val="000000"/>
          <w:kern w:val="0"/>
          <w:sz w:val="24"/>
          <w:szCs w:val="24"/>
        </w:rPr>
        <w:t> 1998; </w:t>
      </w:r>
      <w:r w:rsidRPr="00DD07CA">
        <w:rPr>
          <w:rFonts w:ascii="Book Antiqua" w:eastAsia="SimSun" w:hAnsi="Book Antiqua" w:cs="SimSun"/>
          <w:b/>
          <w:bCs/>
          <w:color w:val="000000"/>
          <w:kern w:val="0"/>
          <w:sz w:val="24"/>
          <w:szCs w:val="24"/>
        </w:rPr>
        <w:t>58</w:t>
      </w:r>
      <w:r w:rsidRPr="00DD07CA">
        <w:rPr>
          <w:rFonts w:ascii="Book Antiqua" w:eastAsia="SimSun" w:hAnsi="Book Antiqua" w:cs="SimSun"/>
          <w:color w:val="000000"/>
          <w:kern w:val="0"/>
          <w:sz w:val="24"/>
          <w:szCs w:val="24"/>
        </w:rPr>
        <w:t>: 256-262 [PMID: 9443402]</w:t>
      </w:r>
    </w:p>
    <w:p w:rsidR="00203D5C" w:rsidRPr="00DD07CA" w:rsidRDefault="00203D5C" w:rsidP="001E38EA">
      <w:pPr>
        <w:adjustRightInd w:val="0"/>
        <w:snapToGrid w:val="0"/>
        <w:spacing w:line="360" w:lineRule="auto"/>
        <w:rPr>
          <w:rFonts w:ascii="Book Antiqua" w:hAnsi="Book Antiqua"/>
          <w:sz w:val="24"/>
          <w:szCs w:val="24"/>
        </w:rPr>
      </w:pPr>
    </w:p>
    <w:p w:rsidR="00203D5C" w:rsidRDefault="00203D5C" w:rsidP="001E38EA">
      <w:pPr>
        <w:adjustRightInd w:val="0"/>
        <w:snapToGrid w:val="0"/>
        <w:spacing w:line="360" w:lineRule="auto"/>
        <w:jc w:val="right"/>
        <w:rPr>
          <w:rFonts w:ascii="Book Antiqua" w:hAnsi="Book Antiqua"/>
          <w:b/>
          <w:bCs/>
          <w:sz w:val="24"/>
        </w:rPr>
      </w:pPr>
      <w:r w:rsidRPr="005F7DC3">
        <w:rPr>
          <w:rFonts w:ascii="Book Antiqua" w:hAnsi="Book Antiqua"/>
          <w:b/>
          <w:bCs/>
          <w:sz w:val="24"/>
        </w:rPr>
        <w:t xml:space="preserve">P-Reviewer: </w:t>
      </w:r>
      <w:r w:rsidR="008A62C2" w:rsidRPr="008A62C2">
        <w:rPr>
          <w:rFonts w:ascii="Book Antiqua" w:hAnsi="Book Antiqua"/>
          <w:bCs/>
          <w:sz w:val="24"/>
        </w:rPr>
        <w:t>Caboclo</w:t>
      </w:r>
      <w:r w:rsidR="008A62C2" w:rsidRPr="008A62C2">
        <w:rPr>
          <w:rFonts w:ascii="Book Antiqua" w:hAnsi="Book Antiqua" w:hint="eastAsia"/>
          <w:bCs/>
          <w:sz w:val="24"/>
        </w:rPr>
        <w:t xml:space="preserve"> JLF</w:t>
      </w:r>
      <w:r w:rsidR="007821FF">
        <w:rPr>
          <w:rFonts w:ascii="Book Antiqua" w:hAnsi="Book Antiqua" w:hint="eastAsia"/>
          <w:bCs/>
          <w:sz w:val="24"/>
        </w:rPr>
        <w:t xml:space="preserve">, </w:t>
      </w:r>
      <w:r w:rsidR="007821FF" w:rsidRPr="007821FF">
        <w:rPr>
          <w:rFonts w:ascii="Book Antiqua" w:hAnsi="Book Antiqua"/>
          <w:bCs/>
          <w:sz w:val="24"/>
        </w:rPr>
        <w:t>Martin-Villa</w:t>
      </w:r>
      <w:r w:rsidR="007821FF">
        <w:rPr>
          <w:rFonts w:ascii="Book Antiqua" w:hAnsi="Book Antiqua" w:hint="eastAsia"/>
          <w:bCs/>
          <w:sz w:val="24"/>
        </w:rPr>
        <w:t xml:space="preserve"> JM</w:t>
      </w:r>
      <w:r w:rsidRPr="008A62C2">
        <w:rPr>
          <w:rFonts w:ascii="Book Antiqua" w:hAnsi="Book Antiqua" w:hint="eastAsia"/>
          <w:bCs/>
          <w:sz w:val="24"/>
        </w:rPr>
        <w:t xml:space="preserve"> </w:t>
      </w:r>
      <w:r w:rsidRPr="005F7DC3">
        <w:rPr>
          <w:rFonts w:ascii="Book Antiqua" w:hAnsi="Book Antiqua"/>
          <w:b/>
          <w:bCs/>
          <w:sz w:val="24"/>
        </w:rPr>
        <w:t>S-Editor:</w:t>
      </w:r>
      <w:r w:rsidRPr="005F7DC3">
        <w:rPr>
          <w:rFonts w:ascii="Book Antiqua" w:hAnsi="Book Antiqua"/>
          <w:sz w:val="24"/>
        </w:rPr>
        <w:t xml:space="preserve"> </w:t>
      </w:r>
      <w:r>
        <w:rPr>
          <w:rFonts w:ascii="Book Antiqua" w:hAnsi="Book Antiqua" w:hint="eastAsia"/>
          <w:sz w:val="24"/>
        </w:rPr>
        <w:t>Ma YJ</w:t>
      </w:r>
      <w:r w:rsidRPr="005F7DC3">
        <w:rPr>
          <w:rFonts w:ascii="Book Antiqua" w:hAnsi="Book Antiqua" w:hint="eastAsia"/>
          <w:sz w:val="24"/>
        </w:rPr>
        <w:t xml:space="preserve"> </w:t>
      </w:r>
      <w:r w:rsidRPr="005F7DC3">
        <w:rPr>
          <w:rFonts w:ascii="Book Antiqua" w:hAnsi="Book Antiqua"/>
          <w:b/>
          <w:bCs/>
          <w:sz w:val="24"/>
        </w:rPr>
        <w:t>L-Editor:</w:t>
      </w:r>
      <w:r w:rsidRPr="005F7DC3">
        <w:rPr>
          <w:rFonts w:ascii="Book Antiqua" w:hAnsi="Book Antiqua"/>
          <w:sz w:val="24"/>
        </w:rPr>
        <w:t xml:space="preserve"> </w:t>
      </w:r>
      <w:r w:rsidRPr="005F7DC3">
        <w:rPr>
          <w:rFonts w:ascii="Book Antiqua" w:hAnsi="Book Antiqua" w:hint="eastAsia"/>
          <w:sz w:val="24"/>
        </w:rPr>
        <w:t xml:space="preserve"> </w:t>
      </w:r>
      <w:r w:rsidRPr="005F7DC3">
        <w:rPr>
          <w:rFonts w:ascii="Book Antiqua" w:hAnsi="Book Antiqua"/>
          <w:sz w:val="24"/>
        </w:rPr>
        <w:t xml:space="preserve"> </w:t>
      </w:r>
      <w:r w:rsidRPr="005F7DC3">
        <w:rPr>
          <w:rFonts w:ascii="Book Antiqua" w:hAnsi="Book Antiqua"/>
          <w:b/>
          <w:bCs/>
          <w:sz w:val="24"/>
        </w:rPr>
        <w:t>E-Editor:</w:t>
      </w:r>
    </w:p>
    <w:p w:rsidR="00C730BE" w:rsidRDefault="00C730BE" w:rsidP="001E38EA">
      <w:pPr>
        <w:adjustRightInd w:val="0"/>
        <w:snapToGrid w:val="0"/>
        <w:spacing w:line="360" w:lineRule="auto"/>
        <w:rPr>
          <w:rFonts w:ascii="Book Antiqua" w:hAnsi="Book Antiqua" w:cs="Times New Roman"/>
          <w:b/>
          <w:caps/>
          <w:sz w:val="24"/>
          <w:szCs w:val="24"/>
        </w:rPr>
      </w:pPr>
      <w:r>
        <w:rPr>
          <w:rFonts w:ascii="Book Antiqua" w:hAnsi="Book Antiqua" w:cs="Times New Roman"/>
          <w:b/>
          <w:caps/>
          <w:sz w:val="24"/>
          <w:szCs w:val="24"/>
        </w:rPr>
        <w:br w:type="page"/>
      </w:r>
    </w:p>
    <w:p w:rsidR="00203D5C" w:rsidRPr="00203D5C" w:rsidRDefault="00203D5C" w:rsidP="001E38EA">
      <w:pPr>
        <w:adjustRightInd w:val="0"/>
        <w:snapToGrid w:val="0"/>
        <w:spacing w:line="360" w:lineRule="auto"/>
        <w:rPr>
          <w:rFonts w:ascii="Book Antiqua" w:hAnsi="Book Antiqua" w:cs="Times New Roman"/>
          <w:b/>
          <w:caps/>
          <w:sz w:val="24"/>
          <w:szCs w:val="24"/>
        </w:rPr>
      </w:pPr>
    </w:p>
    <w:p w:rsidR="00DF581C" w:rsidRPr="009E2BF9" w:rsidRDefault="009E2BF9" w:rsidP="001E38EA">
      <w:pPr>
        <w:adjustRightInd w:val="0"/>
        <w:snapToGrid w:val="0"/>
        <w:spacing w:line="360" w:lineRule="auto"/>
        <w:rPr>
          <w:rFonts w:ascii="Book Antiqua" w:hAnsi="Book Antiqua" w:cs="Times New Roman"/>
          <w:sz w:val="24"/>
          <w:szCs w:val="24"/>
        </w:rPr>
      </w:pPr>
      <w:r w:rsidRPr="009E2BF9">
        <w:rPr>
          <w:rFonts w:ascii="Book Antiqua" w:hAnsi="Book Antiqua" w:cs="Times New Roman"/>
          <w:noProof/>
          <w:sz w:val="24"/>
          <w:szCs w:val="24"/>
        </w:rPr>
        <w:drawing>
          <wp:inline distT="0" distB="0" distL="0" distR="0" wp14:anchorId="2DDF68F1" wp14:editId="6EC9A457">
            <wp:extent cx="5274310" cy="6445885"/>
            <wp:effectExtent l="0" t="0" r="2540" b="0"/>
            <wp:docPr id="1" name="图片 1" descr="C:\Users\Administrator\Desktop\百里醌英文\图1\未标题-1副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百里醌英文\图1\未标题-1副本.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6446379"/>
                    </a:xfrm>
                    <a:prstGeom prst="rect">
                      <a:avLst/>
                    </a:prstGeom>
                    <a:noFill/>
                    <a:ln>
                      <a:noFill/>
                    </a:ln>
                  </pic:spPr>
                </pic:pic>
              </a:graphicData>
            </a:graphic>
          </wp:inline>
        </w:drawing>
      </w:r>
    </w:p>
    <w:p w:rsidR="00ED54B7" w:rsidRDefault="00C730BE" w:rsidP="001E38EA">
      <w:pPr>
        <w:adjustRightInd w:val="0"/>
        <w:snapToGrid w:val="0"/>
        <w:spacing w:line="360" w:lineRule="auto"/>
        <w:rPr>
          <w:rFonts w:ascii="Book Antiqua" w:hAnsi="Book Antiqua" w:cs="Times New Roman"/>
          <w:sz w:val="24"/>
          <w:szCs w:val="24"/>
        </w:rPr>
      </w:pPr>
      <w:r>
        <w:rPr>
          <w:rFonts w:ascii="Book Antiqua" w:hAnsi="Book Antiqua" w:cs="Times New Roman"/>
          <w:b/>
          <w:sz w:val="24"/>
          <w:szCs w:val="24"/>
        </w:rPr>
        <w:t xml:space="preserve">Figure </w:t>
      </w:r>
      <w:r>
        <w:rPr>
          <w:rFonts w:ascii="Book Antiqua" w:hAnsi="Book Antiqua" w:cs="Times New Roman" w:hint="eastAsia"/>
          <w:b/>
          <w:sz w:val="24"/>
          <w:szCs w:val="24"/>
        </w:rPr>
        <w:t>1</w:t>
      </w:r>
      <w:r w:rsidR="009E2BF9" w:rsidRPr="009E2BF9">
        <w:rPr>
          <w:rFonts w:ascii="Book Antiqua" w:hAnsi="Book Antiqua" w:cs="Times New Roman"/>
          <w:b/>
          <w:sz w:val="24"/>
          <w:szCs w:val="24"/>
        </w:rPr>
        <w:t xml:space="preserve"> </w:t>
      </w:r>
      <w:r w:rsidR="003269A4" w:rsidRPr="001C2C37">
        <w:rPr>
          <w:rFonts w:ascii="Book Antiqua" w:hAnsi="Book Antiqua" w:cs="Times New Roman"/>
          <w:b/>
          <w:bCs/>
          <w:caps/>
          <w:sz w:val="24"/>
          <w:szCs w:val="24"/>
        </w:rPr>
        <w:t>t</w:t>
      </w:r>
      <w:r w:rsidR="003269A4" w:rsidRPr="001C2C37">
        <w:rPr>
          <w:rFonts w:ascii="Book Antiqua" w:hAnsi="Book Antiqua" w:cs="Times New Roman"/>
          <w:b/>
          <w:bCs/>
          <w:sz w:val="24"/>
          <w:szCs w:val="24"/>
        </w:rPr>
        <w:t xml:space="preserve">hymoquinone </w:t>
      </w:r>
      <w:r w:rsidR="009E2BF9" w:rsidRPr="001C2C37">
        <w:rPr>
          <w:rFonts w:ascii="Book Antiqua" w:hAnsi="Book Antiqua" w:cs="Times New Roman"/>
          <w:b/>
          <w:sz w:val="24"/>
          <w:szCs w:val="24"/>
        </w:rPr>
        <w:t xml:space="preserve">suppresses constitutive STAT3 activation in three gastric cancer cells. </w:t>
      </w:r>
      <w:r w:rsidR="0040682E" w:rsidRPr="0040682E">
        <w:rPr>
          <w:rFonts w:ascii="Book Antiqua" w:hAnsi="Book Antiqua" w:cs="Times New Roman" w:hint="eastAsia"/>
          <w:sz w:val="24"/>
          <w:szCs w:val="24"/>
        </w:rPr>
        <w:t>A:</w:t>
      </w:r>
      <w:r w:rsidR="0040682E">
        <w:rPr>
          <w:rFonts w:ascii="Book Antiqua" w:hAnsi="Book Antiqua" w:cs="Times New Roman" w:hint="eastAsia"/>
          <w:b/>
          <w:sz w:val="24"/>
          <w:szCs w:val="24"/>
        </w:rPr>
        <w:t xml:space="preserve"> </w:t>
      </w:r>
      <w:r w:rsidR="009E2BF9" w:rsidRPr="009E2BF9">
        <w:rPr>
          <w:rFonts w:ascii="Book Antiqua" w:hAnsi="Book Antiqua" w:cs="Times New Roman"/>
          <w:sz w:val="24"/>
          <w:szCs w:val="24"/>
        </w:rPr>
        <w:t xml:space="preserve">Human gastric cancer cells (HGC27, BGC823 and SGC7901) were incubated with 50 </w:t>
      </w:r>
      <w:r w:rsidR="00D920E7">
        <w:rPr>
          <w:rFonts w:ascii="Book Antiqua" w:hAnsi="Book Antiqua" w:cs="Times New Roman" w:hint="eastAsia"/>
          <w:sz w:val="24"/>
          <w:szCs w:val="24"/>
        </w:rPr>
        <w:t>mol/L</w:t>
      </w:r>
      <w:r w:rsidR="009E2BF9" w:rsidRPr="009E2BF9">
        <w:rPr>
          <w:rFonts w:ascii="Book Antiqua" w:hAnsi="Book Antiqua" w:cs="Times New Roman"/>
          <w:sz w:val="24"/>
          <w:szCs w:val="24"/>
        </w:rPr>
        <w:t xml:space="preserve"> </w:t>
      </w:r>
      <w:r w:rsidR="00ED54B7" w:rsidRPr="00ED54B7">
        <w:rPr>
          <w:rFonts w:ascii="Book Antiqua" w:hAnsi="Book Antiqua" w:cs="Times New Roman"/>
          <w:sz w:val="24"/>
          <w:szCs w:val="24"/>
        </w:rPr>
        <w:t xml:space="preserve">thymoquinone </w:t>
      </w:r>
      <w:r w:rsidR="00ED54B7">
        <w:rPr>
          <w:rFonts w:ascii="Book Antiqua" w:hAnsi="Book Antiqua" w:cs="Times New Roman" w:hint="eastAsia"/>
          <w:sz w:val="24"/>
          <w:szCs w:val="24"/>
        </w:rPr>
        <w:t>(</w:t>
      </w:r>
      <w:r w:rsidR="009E2BF9" w:rsidRPr="009E2BF9">
        <w:rPr>
          <w:rFonts w:ascii="Book Antiqua" w:hAnsi="Book Antiqua" w:cs="Times New Roman"/>
          <w:sz w:val="24"/>
          <w:szCs w:val="24"/>
        </w:rPr>
        <w:t>TQ</w:t>
      </w:r>
      <w:r w:rsidR="00ED54B7">
        <w:rPr>
          <w:rFonts w:ascii="Book Antiqua" w:hAnsi="Book Antiqua" w:cs="Times New Roman" w:hint="eastAsia"/>
          <w:sz w:val="24"/>
          <w:szCs w:val="24"/>
        </w:rPr>
        <w:t>)</w:t>
      </w:r>
      <w:r w:rsidR="009E2BF9" w:rsidRPr="009E2BF9">
        <w:rPr>
          <w:rFonts w:ascii="Book Antiqua" w:hAnsi="Book Antiqua" w:cs="Times New Roman"/>
          <w:sz w:val="24"/>
          <w:szCs w:val="24"/>
        </w:rPr>
        <w:t xml:space="preserve"> for 24 h, after which Western blotting was performed as described previously</w:t>
      </w:r>
      <w:r w:rsidR="00923479">
        <w:rPr>
          <w:rFonts w:ascii="Book Antiqua" w:hAnsi="Book Antiqua" w:cs="Times New Roman" w:hint="eastAsia"/>
          <w:sz w:val="24"/>
          <w:szCs w:val="24"/>
        </w:rPr>
        <w:t>;</w:t>
      </w:r>
      <w:r w:rsidR="009E2BF9" w:rsidRPr="009E2BF9">
        <w:rPr>
          <w:rFonts w:ascii="Book Antiqua" w:hAnsi="Book Antiqua" w:cs="Times New Roman"/>
          <w:sz w:val="24"/>
          <w:szCs w:val="24"/>
        </w:rPr>
        <w:t xml:space="preserve"> </w:t>
      </w:r>
      <w:bookmarkStart w:id="160" w:name="OLE_LINK16"/>
      <w:bookmarkStart w:id="161" w:name="OLE_LINK17"/>
      <w:r w:rsidR="00923479">
        <w:rPr>
          <w:rFonts w:ascii="Book Antiqua" w:hAnsi="Book Antiqua" w:cs="Times New Roman" w:hint="eastAsia"/>
          <w:sz w:val="24"/>
          <w:szCs w:val="24"/>
        </w:rPr>
        <w:t xml:space="preserve">B: </w:t>
      </w:r>
      <w:r w:rsidR="009E2BF9" w:rsidRPr="009E2BF9">
        <w:rPr>
          <w:rFonts w:ascii="Book Antiqua" w:hAnsi="Book Antiqua" w:cs="Times New Roman"/>
          <w:sz w:val="24"/>
          <w:szCs w:val="24"/>
        </w:rPr>
        <w:t>The same blots were stripped and reprobed with the GAPDH antibody to verify equal protein loading</w:t>
      </w:r>
      <w:bookmarkEnd w:id="160"/>
      <w:bookmarkEnd w:id="161"/>
      <w:r w:rsidR="00923479">
        <w:rPr>
          <w:rFonts w:ascii="Book Antiqua" w:hAnsi="Book Antiqua" w:cs="Times New Roman" w:hint="eastAsia"/>
          <w:sz w:val="24"/>
          <w:szCs w:val="24"/>
        </w:rPr>
        <w:t>;</w:t>
      </w:r>
      <w:r w:rsidR="00923479">
        <w:rPr>
          <w:rFonts w:ascii="Book Antiqua" w:hAnsi="Book Antiqua" w:cs="Times New Roman"/>
          <w:sz w:val="24"/>
          <w:szCs w:val="24"/>
        </w:rPr>
        <w:t xml:space="preserve"> C</w:t>
      </w:r>
      <w:r w:rsidR="00923479">
        <w:rPr>
          <w:rFonts w:ascii="Book Antiqua" w:hAnsi="Book Antiqua" w:cs="Times New Roman" w:hint="eastAsia"/>
          <w:sz w:val="24"/>
          <w:szCs w:val="24"/>
        </w:rPr>
        <w:t>:</w:t>
      </w:r>
      <w:r w:rsidR="009E2BF9" w:rsidRPr="009E2BF9">
        <w:rPr>
          <w:rFonts w:ascii="Book Antiqua" w:hAnsi="Book Antiqua" w:cs="Times New Roman"/>
          <w:sz w:val="24"/>
          <w:szCs w:val="24"/>
        </w:rPr>
        <w:t xml:space="preserve"> TQ suppresses phospho-STAT3 levels in a concentration- and time-dependent manner. </w:t>
      </w:r>
      <w:bookmarkStart w:id="162" w:name="OLE_LINK18"/>
      <w:bookmarkStart w:id="163" w:name="OLE_LINK19"/>
      <w:r w:rsidR="009E2BF9" w:rsidRPr="009E2BF9">
        <w:rPr>
          <w:rFonts w:ascii="Book Antiqua" w:hAnsi="Book Antiqua" w:cs="Times New Roman"/>
          <w:sz w:val="24"/>
          <w:szCs w:val="24"/>
        </w:rPr>
        <w:t>HGC27 cells (1</w:t>
      </w:r>
      <w:r w:rsidR="00923479">
        <w:rPr>
          <w:rFonts w:ascii="Book Antiqua" w:hAnsi="Book Antiqua" w:cs="Times New Roman" w:hint="eastAsia"/>
          <w:sz w:val="24"/>
          <w:szCs w:val="24"/>
        </w:rPr>
        <w:t xml:space="preserve"> </w:t>
      </w:r>
      <w:r w:rsidR="009E2BF9" w:rsidRPr="009E2BF9">
        <w:rPr>
          <w:rFonts w:ascii="Book Antiqua" w:hAnsi="Book Antiqua" w:cs="Times New Roman"/>
          <w:sz w:val="24"/>
          <w:szCs w:val="24"/>
        </w:rPr>
        <w:t>×</w:t>
      </w:r>
      <w:r w:rsidR="00923479">
        <w:rPr>
          <w:rFonts w:ascii="Book Antiqua" w:hAnsi="Book Antiqua" w:cs="Times New Roman" w:hint="eastAsia"/>
          <w:sz w:val="24"/>
          <w:szCs w:val="24"/>
        </w:rPr>
        <w:t xml:space="preserve"> </w:t>
      </w:r>
      <w:r w:rsidR="009E2BF9" w:rsidRPr="009E2BF9">
        <w:rPr>
          <w:rFonts w:ascii="Book Antiqua" w:hAnsi="Book Antiqua" w:cs="Times New Roman"/>
          <w:sz w:val="24"/>
          <w:szCs w:val="24"/>
        </w:rPr>
        <w:t>10</w:t>
      </w:r>
      <w:r w:rsidR="009E2BF9" w:rsidRPr="009E2BF9">
        <w:rPr>
          <w:rFonts w:ascii="Book Antiqua" w:hAnsi="Book Antiqua" w:cs="Times New Roman"/>
          <w:sz w:val="24"/>
          <w:szCs w:val="24"/>
          <w:vertAlign w:val="superscript"/>
        </w:rPr>
        <w:t>6</w:t>
      </w:r>
      <w:r w:rsidR="009E2BF9" w:rsidRPr="009E2BF9">
        <w:rPr>
          <w:rFonts w:ascii="Book Antiqua" w:hAnsi="Book Antiqua" w:cs="Times New Roman"/>
          <w:sz w:val="24"/>
          <w:szCs w:val="24"/>
        </w:rPr>
        <w:t>/m</w:t>
      </w:r>
      <w:r w:rsidR="009E2BF9" w:rsidRPr="00923479">
        <w:rPr>
          <w:rFonts w:ascii="Book Antiqua" w:hAnsi="Book Antiqua" w:cs="Times New Roman"/>
          <w:caps/>
          <w:sz w:val="24"/>
          <w:szCs w:val="24"/>
        </w:rPr>
        <w:t>l</w:t>
      </w:r>
      <w:r w:rsidR="009E2BF9" w:rsidRPr="009E2BF9">
        <w:rPr>
          <w:rFonts w:ascii="Book Antiqua" w:hAnsi="Book Antiqua" w:cs="Times New Roman"/>
          <w:sz w:val="24"/>
          <w:szCs w:val="24"/>
        </w:rPr>
        <w:t xml:space="preserve">) were treated with the </w:t>
      </w:r>
      <w:r w:rsidR="009E2BF9" w:rsidRPr="009E2BF9">
        <w:rPr>
          <w:rFonts w:ascii="Book Antiqua" w:hAnsi="Book Antiqua" w:cs="Times New Roman"/>
          <w:sz w:val="24"/>
          <w:szCs w:val="24"/>
        </w:rPr>
        <w:lastRenderedPageBreak/>
        <w:t>indicated concentrations of TQ for 24 h, after which Western blotting was performed (left). HGC27 cells (1</w:t>
      </w:r>
      <w:r w:rsidR="00CB4F6B">
        <w:rPr>
          <w:rFonts w:ascii="Book Antiqua" w:hAnsi="Book Antiqua" w:cs="Times New Roman" w:hint="eastAsia"/>
          <w:sz w:val="24"/>
          <w:szCs w:val="24"/>
        </w:rPr>
        <w:t xml:space="preserve"> </w:t>
      </w:r>
      <w:r w:rsidR="009E2BF9" w:rsidRPr="009E2BF9">
        <w:rPr>
          <w:rFonts w:ascii="Book Antiqua" w:hAnsi="Book Antiqua" w:cs="Times New Roman"/>
          <w:sz w:val="24"/>
          <w:szCs w:val="24"/>
        </w:rPr>
        <w:t>×</w:t>
      </w:r>
      <w:r w:rsidR="00CB4F6B">
        <w:rPr>
          <w:rFonts w:ascii="Book Antiqua" w:hAnsi="Book Antiqua" w:cs="Times New Roman" w:hint="eastAsia"/>
          <w:sz w:val="24"/>
          <w:szCs w:val="24"/>
        </w:rPr>
        <w:t xml:space="preserve"> </w:t>
      </w:r>
      <w:r w:rsidR="009E2BF9" w:rsidRPr="009E2BF9">
        <w:rPr>
          <w:rFonts w:ascii="Book Antiqua" w:hAnsi="Book Antiqua" w:cs="Times New Roman"/>
          <w:sz w:val="24"/>
          <w:szCs w:val="24"/>
        </w:rPr>
        <w:t>10</w:t>
      </w:r>
      <w:r w:rsidR="009E2BF9" w:rsidRPr="009E2BF9">
        <w:rPr>
          <w:rFonts w:ascii="Book Antiqua" w:hAnsi="Book Antiqua" w:cs="Times New Roman"/>
          <w:sz w:val="24"/>
          <w:szCs w:val="24"/>
          <w:vertAlign w:val="superscript"/>
        </w:rPr>
        <w:t>6</w:t>
      </w:r>
      <w:r w:rsidR="009E2BF9" w:rsidRPr="009E2BF9">
        <w:rPr>
          <w:rFonts w:ascii="Book Antiqua" w:hAnsi="Book Antiqua" w:cs="Times New Roman"/>
          <w:sz w:val="24"/>
          <w:szCs w:val="24"/>
        </w:rPr>
        <w:t>/m</w:t>
      </w:r>
      <w:r w:rsidR="009E2BF9" w:rsidRPr="00CB4F6B">
        <w:rPr>
          <w:rFonts w:ascii="Book Antiqua" w:hAnsi="Book Antiqua" w:cs="Times New Roman"/>
          <w:caps/>
          <w:sz w:val="24"/>
          <w:szCs w:val="24"/>
        </w:rPr>
        <w:t>l</w:t>
      </w:r>
      <w:r w:rsidR="009E2BF9" w:rsidRPr="009E2BF9">
        <w:rPr>
          <w:rFonts w:ascii="Book Antiqua" w:hAnsi="Book Antiqua" w:cs="Times New Roman"/>
          <w:sz w:val="24"/>
          <w:szCs w:val="24"/>
        </w:rPr>
        <w:t>) were treated with the 50 μ</w:t>
      </w:r>
      <w:r w:rsidR="00CB4F6B">
        <w:rPr>
          <w:rFonts w:ascii="Book Antiqua" w:hAnsi="Book Antiqua" w:cs="Times New Roman" w:hint="eastAsia"/>
          <w:sz w:val="24"/>
          <w:szCs w:val="24"/>
        </w:rPr>
        <w:t>mol/L</w:t>
      </w:r>
      <w:r w:rsidR="009E2BF9" w:rsidRPr="009E2BF9">
        <w:rPr>
          <w:rFonts w:ascii="Book Antiqua" w:hAnsi="Book Antiqua" w:cs="Times New Roman"/>
          <w:sz w:val="24"/>
          <w:szCs w:val="24"/>
        </w:rPr>
        <w:t xml:space="preserve"> TQ for the indicated times, after which Western blotting was performed (right). The same blots were stripped and reprobed with the STAT3 antibody to verify equal protein loading</w:t>
      </w:r>
      <w:r w:rsidR="00B07E05">
        <w:rPr>
          <w:rFonts w:ascii="Book Antiqua" w:hAnsi="Book Antiqua" w:cs="Times New Roman" w:hint="eastAsia"/>
          <w:sz w:val="24"/>
          <w:szCs w:val="24"/>
        </w:rPr>
        <w:t>;</w:t>
      </w:r>
      <w:r w:rsidR="009E2BF9" w:rsidRPr="009E2BF9">
        <w:rPr>
          <w:rFonts w:ascii="Book Antiqua" w:hAnsi="Book Antiqua" w:cs="Times New Roman"/>
          <w:sz w:val="24"/>
          <w:szCs w:val="24"/>
        </w:rPr>
        <w:t xml:space="preserve"> </w:t>
      </w:r>
      <w:bookmarkEnd w:id="162"/>
      <w:bookmarkEnd w:id="163"/>
      <w:r w:rsidR="00B07E05">
        <w:rPr>
          <w:rFonts w:ascii="Book Antiqua" w:hAnsi="Book Antiqua" w:cs="Times New Roman"/>
          <w:sz w:val="24"/>
          <w:szCs w:val="24"/>
        </w:rPr>
        <w:t>D</w:t>
      </w:r>
      <w:r w:rsidR="00B07E05">
        <w:rPr>
          <w:rFonts w:ascii="Book Antiqua" w:hAnsi="Book Antiqua" w:cs="Times New Roman" w:hint="eastAsia"/>
          <w:sz w:val="24"/>
          <w:szCs w:val="24"/>
        </w:rPr>
        <w:t>:</w:t>
      </w:r>
      <w:r w:rsidR="009E2BF9" w:rsidRPr="009E2BF9">
        <w:rPr>
          <w:rFonts w:ascii="Book Antiqua" w:hAnsi="Book Antiqua" w:cs="Times New Roman"/>
          <w:sz w:val="24"/>
          <w:szCs w:val="24"/>
        </w:rPr>
        <w:t xml:space="preserve"> TQ </w:t>
      </w:r>
      <w:bookmarkStart w:id="164" w:name="OLE_LINK10"/>
      <w:bookmarkStart w:id="165" w:name="OLE_LINK13"/>
      <w:r w:rsidR="009E2BF9" w:rsidRPr="009E2BF9">
        <w:rPr>
          <w:rFonts w:ascii="Book Antiqua" w:hAnsi="Book Antiqua" w:cs="Times New Roman"/>
          <w:sz w:val="24"/>
          <w:szCs w:val="24"/>
        </w:rPr>
        <w:t>suppresses</w:t>
      </w:r>
      <w:bookmarkEnd w:id="164"/>
      <w:bookmarkEnd w:id="165"/>
      <w:r w:rsidR="009E2BF9" w:rsidRPr="009E2BF9">
        <w:rPr>
          <w:rFonts w:ascii="Book Antiqua" w:hAnsi="Book Antiqua" w:cs="Times New Roman"/>
          <w:sz w:val="24"/>
          <w:szCs w:val="24"/>
        </w:rPr>
        <w:t xml:space="preserve"> STAT3 gene levels in a concentration- and time-dependent manner. HGC27 cells (1</w:t>
      </w:r>
      <w:r w:rsidR="00B07E05">
        <w:rPr>
          <w:rFonts w:ascii="Book Antiqua" w:hAnsi="Book Antiqua" w:cs="Times New Roman" w:hint="eastAsia"/>
          <w:sz w:val="24"/>
          <w:szCs w:val="24"/>
        </w:rPr>
        <w:t xml:space="preserve"> </w:t>
      </w:r>
      <w:r w:rsidR="009E2BF9" w:rsidRPr="009E2BF9">
        <w:rPr>
          <w:rFonts w:ascii="Book Antiqua" w:hAnsi="Book Antiqua" w:cs="Times New Roman"/>
          <w:sz w:val="24"/>
          <w:szCs w:val="24"/>
        </w:rPr>
        <w:t>×</w:t>
      </w:r>
      <w:r w:rsidR="00B07E05">
        <w:rPr>
          <w:rFonts w:ascii="Book Antiqua" w:hAnsi="Book Antiqua" w:cs="Times New Roman" w:hint="eastAsia"/>
          <w:sz w:val="24"/>
          <w:szCs w:val="24"/>
        </w:rPr>
        <w:t xml:space="preserve"> </w:t>
      </w:r>
      <w:r w:rsidR="009E2BF9" w:rsidRPr="009E2BF9">
        <w:rPr>
          <w:rFonts w:ascii="Book Antiqua" w:hAnsi="Book Antiqua" w:cs="Times New Roman"/>
          <w:sz w:val="24"/>
          <w:szCs w:val="24"/>
        </w:rPr>
        <w:t>10</w:t>
      </w:r>
      <w:r w:rsidR="009E2BF9" w:rsidRPr="009E2BF9">
        <w:rPr>
          <w:rFonts w:ascii="Book Antiqua" w:hAnsi="Book Antiqua" w:cs="Times New Roman"/>
          <w:sz w:val="24"/>
          <w:szCs w:val="24"/>
          <w:vertAlign w:val="superscript"/>
        </w:rPr>
        <w:t>6</w:t>
      </w:r>
      <w:r w:rsidR="009E2BF9" w:rsidRPr="009E2BF9">
        <w:rPr>
          <w:rFonts w:ascii="Book Antiqua" w:hAnsi="Book Antiqua" w:cs="Times New Roman"/>
          <w:sz w:val="24"/>
          <w:szCs w:val="24"/>
        </w:rPr>
        <w:t>/m</w:t>
      </w:r>
      <w:r w:rsidR="009E2BF9" w:rsidRPr="00B07E05">
        <w:rPr>
          <w:rFonts w:ascii="Book Antiqua" w:hAnsi="Book Antiqua" w:cs="Times New Roman"/>
          <w:caps/>
          <w:sz w:val="24"/>
          <w:szCs w:val="24"/>
        </w:rPr>
        <w:t>l</w:t>
      </w:r>
      <w:r w:rsidR="009E2BF9" w:rsidRPr="009E2BF9">
        <w:rPr>
          <w:rFonts w:ascii="Book Antiqua" w:hAnsi="Book Antiqua" w:cs="Times New Roman"/>
          <w:sz w:val="24"/>
          <w:szCs w:val="24"/>
        </w:rPr>
        <w:t xml:space="preserve">) were treated with the indicated concentrations of TQ for 24 h, after which </w:t>
      </w:r>
      <w:bookmarkStart w:id="166" w:name="OLE_LINK9"/>
      <w:bookmarkStart w:id="167" w:name="OLE_LINK8"/>
      <w:r w:rsidR="009E2BF9" w:rsidRPr="009E2BF9">
        <w:rPr>
          <w:rFonts w:ascii="Book Antiqua" w:hAnsi="Book Antiqua" w:cs="Times New Roman"/>
          <w:sz w:val="24"/>
          <w:szCs w:val="24"/>
        </w:rPr>
        <w:t>Real-time PCR</w:t>
      </w:r>
      <w:bookmarkEnd w:id="166"/>
      <w:bookmarkEnd w:id="167"/>
      <w:r w:rsidR="009E2BF9" w:rsidRPr="009E2BF9">
        <w:rPr>
          <w:rFonts w:ascii="Book Antiqua" w:hAnsi="Book Antiqua" w:cs="Times New Roman"/>
          <w:sz w:val="24"/>
          <w:szCs w:val="24"/>
        </w:rPr>
        <w:t xml:space="preserve"> was performed (left). HGC27 cells (1</w:t>
      </w:r>
      <w:r w:rsidR="00B07E05">
        <w:rPr>
          <w:rFonts w:ascii="Book Antiqua" w:hAnsi="Book Antiqua" w:cs="Times New Roman" w:hint="eastAsia"/>
          <w:sz w:val="24"/>
          <w:szCs w:val="24"/>
        </w:rPr>
        <w:t xml:space="preserve"> </w:t>
      </w:r>
      <w:r w:rsidR="009E2BF9" w:rsidRPr="009E2BF9">
        <w:rPr>
          <w:rFonts w:ascii="Book Antiqua" w:hAnsi="Book Antiqua" w:cs="Times New Roman"/>
          <w:sz w:val="24"/>
          <w:szCs w:val="24"/>
        </w:rPr>
        <w:t>×</w:t>
      </w:r>
      <w:r w:rsidR="00B07E05">
        <w:rPr>
          <w:rFonts w:ascii="Book Antiqua" w:hAnsi="Book Antiqua" w:cs="Times New Roman" w:hint="eastAsia"/>
          <w:sz w:val="24"/>
          <w:szCs w:val="24"/>
        </w:rPr>
        <w:t xml:space="preserve"> </w:t>
      </w:r>
      <w:r w:rsidR="009E2BF9" w:rsidRPr="009E2BF9">
        <w:rPr>
          <w:rFonts w:ascii="Book Antiqua" w:hAnsi="Book Antiqua" w:cs="Times New Roman"/>
          <w:sz w:val="24"/>
          <w:szCs w:val="24"/>
        </w:rPr>
        <w:t>10</w:t>
      </w:r>
      <w:r w:rsidR="009E2BF9" w:rsidRPr="009E2BF9">
        <w:rPr>
          <w:rFonts w:ascii="Book Antiqua" w:hAnsi="Book Antiqua" w:cs="Times New Roman"/>
          <w:sz w:val="24"/>
          <w:szCs w:val="24"/>
          <w:vertAlign w:val="superscript"/>
        </w:rPr>
        <w:t>6</w:t>
      </w:r>
      <w:r w:rsidR="009E2BF9" w:rsidRPr="009E2BF9">
        <w:rPr>
          <w:rFonts w:ascii="Book Antiqua" w:hAnsi="Book Antiqua" w:cs="Times New Roman"/>
          <w:sz w:val="24"/>
          <w:szCs w:val="24"/>
        </w:rPr>
        <w:t>/m</w:t>
      </w:r>
      <w:r w:rsidR="009E2BF9" w:rsidRPr="00B07E05">
        <w:rPr>
          <w:rFonts w:ascii="Book Antiqua" w:hAnsi="Book Antiqua" w:cs="Times New Roman"/>
          <w:caps/>
          <w:sz w:val="24"/>
          <w:szCs w:val="24"/>
        </w:rPr>
        <w:t>l</w:t>
      </w:r>
      <w:r w:rsidR="009E2BF9" w:rsidRPr="009E2BF9">
        <w:rPr>
          <w:rFonts w:ascii="Book Antiqua" w:hAnsi="Book Antiqua" w:cs="Times New Roman"/>
          <w:sz w:val="24"/>
          <w:szCs w:val="24"/>
        </w:rPr>
        <w:t xml:space="preserve">) were treated with the </w:t>
      </w:r>
      <w:bookmarkStart w:id="168" w:name="OLE_LINK14"/>
      <w:bookmarkStart w:id="169" w:name="OLE_LINK15"/>
      <w:r w:rsidR="009E2BF9" w:rsidRPr="009E2BF9">
        <w:rPr>
          <w:rFonts w:ascii="Book Antiqua" w:hAnsi="Book Antiqua" w:cs="Times New Roman"/>
          <w:sz w:val="24"/>
          <w:szCs w:val="24"/>
        </w:rPr>
        <w:t>50 μ</w:t>
      </w:r>
      <w:bookmarkEnd w:id="168"/>
      <w:bookmarkEnd w:id="169"/>
      <w:r w:rsidR="00B07E05">
        <w:rPr>
          <w:rFonts w:ascii="Book Antiqua" w:hAnsi="Book Antiqua" w:cs="Times New Roman" w:hint="eastAsia"/>
          <w:sz w:val="24"/>
          <w:szCs w:val="24"/>
        </w:rPr>
        <w:t>mol/L</w:t>
      </w:r>
      <w:r w:rsidR="009E2BF9" w:rsidRPr="009E2BF9">
        <w:rPr>
          <w:rFonts w:ascii="Book Antiqua" w:hAnsi="Book Antiqua" w:cs="Times New Roman"/>
          <w:sz w:val="24"/>
          <w:szCs w:val="24"/>
        </w:rPr>
        <w:t xml:space="preserve"> TQ for the indicated times, after which Real-time PCR was performed (right)</w:t>
      </w:r>
      <w:r w:rsidR="00846CDB">
        <w:rPr>
          <w:rFonts w:ascii="Book Antiqua" w:hAnsi="Book Antiqua" w:cs="Times New Roman" w:hint="eastAsia"/>
          <w:sz w:val="24"/>
          <w:szCs w:val="24"/>
        </w:rPr>
        <w:t>;</w:t>
      </w:r>
      <w:r w:rsidR="00846CDB">
        <w:rPr>
          <w:rFonts w:ascii="Book Antiqua" w:hAnsi="Book Antiqua" w:cs="Times New Roman"/>
          <w:sz w:val="24"/>
          <w:szCs w:val="24"/>
        </w:rPr>
        <w:t xml:space="preserve"> E</w:t>
      </w:r>
      <w:r w:rsidR="00846CDB">
        <w:rPr>
          <w:rFonts w:ascii="Book Antiqua" w:hAnsi="Book Antiqua" w:cs="Times New Roman" w:hint="eastAsia"/>
          <w:sz w:val="24"/>
          <w:szCs w:val="24"/>
        </w:rPr>
        <w:t>:</w:t>
      </w:r>
      <w:r w:rsidR="009E2BF9" w:rsidRPr="009E2BF9">
        <w:rPr>
          <w:rFonts w:ascii="Book Antiqua" w:hAnsi="Book Antiqua" w:cs="Times New Roman"/>
          <w:sz w:val="24"/>
          <w:szCs w:val="24"/>
        </w:rPr>
        <w:t xml:space="preserve"> TQ suppresses STAT3 nuclear translocation. HGC27 cells (1</w:t>
      </w:r>
      <w:r w:rsidR="00846CDB">
        <w:rPr>
          <w:rFonts w:ascii="Book Antiqua" w:hAnsi="Book Antiqua" w:cs="Times New Roman" w:hint="eastAsia"/>
          <w:sz w:val="24"/>
          <w:szCs w:val="24"/>
        </w:rPr>
        <w:t xml:space="preserve"> </w:t>
      </w:r>
      <w:r w:rsidR="009E2BF9" w:rsidRPr="009E2BF9">
        <w:rPr>
          <w:rFonts w:ascii="Book Antiqua" w:hAnsi="Book Antiqua" w:cs="Times New Roman"/>
          <w:sz w:val="24"/>
          <w:szCs w:val="24"/>
        </w:rPr>
        <w:t>×</w:t>
      </w:r>
      <w:r w:rsidR="00846CDB">
        <w:rPr>
          <w:rFonts w:ascii="Book Antiqua" w:hAnsi="Book Antiqua" w:cs="Times New Roman" w:hint="eastAsia"/>
          <w:sz w:val="24"/>
          <w:szCs w:val="24"/>
        </w:rPr>
        <w:t xml:space="preserve"> </w:t>
      </w:r>
      <w:r w:rsidR="009E2BF9" w:rsidRPr="009E2BF9">
        <w:rPr>
          <w:rFonts w:ascii="Book Antiqua" w:hAnsi="Book Antiqua" w:cs="Times New Roman"/>
          <w:sz w:val="24"/>
          <w:szCs w:val="24"/>
        </w:rPr>
        <w:t>10</w:t>
      </w:r>
      <w:r w:rsidR="009E2BF9" w:rsidRPr="009E2BF9">
        <w:rPr>
          <w:rFonts w:ascii="Book Antiqua" w:hAnsi="Book Antiqua" w:cs="Times New Roman"/>
          <w:sz w:val="24"/>
          <w:szCs w:val="24"/>
          <w:vertAlign w:val="superscript"/>
        </w:rPr>
        <w:t>6</w:t>
      </w:r>
      <w:r w:rsidR="009E2BF9" w:rsidRPr="009E2BF9">
        <w:rPr>
          <w:rFonts w:ascii="Book Antiqua" w:hAnsi="Book Antiqua" w:cs="Times New Roman"/>
          <w:sz w:val="24"/>
          <w:szCs w:val="24"/>
        </w:rPr>
        <w:t>/m</w:t>
      </w:r>
      <w:r w:rsidR="009E2BF9" w:rsidRPr="00846CDB">
        <w:rPr>
          <w:rFonts w:ascii="Book Antiqua" w:hAnsi="Book Antiqua" w:cs="Times New Roman"/>
          <w:caps/>
          <w:sz w:val="24"/>
          <w:szCs w:val="24"/>
        </w:rPr>
        <w:t>l</w:t>
      </w:r>
      <w:r w:rsidR="009E2BF9" w:rsidRPr="009E2BF9">
        <w:rPr>
          <w:rFonts w:ascii="Book Antiqua" w:hAnsi="Book Antiqua" w:cs="Times New Roman"/>
          <w:sz w:val="24"/>
          <w:szCs w:val="24"/>
        </w:rPr>
        <w:t>) cells were treated with or without 50 μ</w:t>
      </w:r>
      <w:r w:rsidR="00846CDB">
        <w:rPr>
          <w:rFonts w:ascii="Book Antiqua" w:hAnsi="Book Antiqua" w:cs="Times New Roman" w:hint="eastAsia"/>
          <w:sz w:val="24"/>
          <w:szCs w:val="24"/>
        </w:rPr>
        <w:t>mol/L</w:t>
      </w:r>
      <w:r w:rsidR="009E2BF9" w:rsidRPr="009E2BF9">
        <w:rPr>
          <w:rFonts w:ascii="Book Antiqua" w:hAnsi="Book Antiqua" w:cs="Times New Roman"/>
          <w:sz w:val="24"/>
          <w:szCs w:val="24"/>
        </w:rPr>
        <w:t xml:space="preserve"> TQ for 24h, after which nuclear extracts was assessed for the detection nuclear accumulation of STAT3, Lamin-A was used as a nuclear extract marker. </w:t>
      </w:r>
      <w:r w:rsidR="00ED54B7">
        <w:rPr>
          <w:rFonts w:ascii="Book Antiqua" w:hAnsi="Book Antiqua" w:cs="Times New Roman"/>
          <w:sz w:val="24"/>
          <w:szCs w:val="24"/>
        </w:rPr>
        <w:br w:type="page"/>
      </w:r>
    </w:p>
    <w:p w:rsidR="00DF581C" w:rsidRPr="009E2BF9" w:rsidRDefault="00DF581C" w:rsidP="001E38EA">
      <w:pPr>
        <w:adjustRightInd w:val="0"/>
        <w:snapToGrid w:val="0"/>
        <w:spacing w:line="360" w:lineRule="auto"/>
        <w:rPr>
          <w:rFonts w:ascii="Book Antiqua" w:hAnsi="Book Antiqua" w:cs="Times New Roman"/>
          <w:sz w:val="24"/>
          <w:szCs w:val="24"/>
        </w:rPr>
      </w:pPr>
    </w:p>
    <w:p w:rsidR="00DF581C" w:rsidRPr="009E2BF9" w:rsidRDefault="009E2BF9" w:rsidP="001E38EA">
      <w:pPr>
        <w:adjustRightInd w:val="0"/>
        <w:snapToGrid w:val="0"/>
        <w:spacing w:line="360" w:lineRule="auto"/>
        <w:rPr>
          <w:rFonts w:ascii="Book Antiqua" w:hAnsi="Book Antiqua" w:cs="Times New Roman"/>
          <w:sz w:val="24"/>
          <w:szCs w:val="24"/>
        </w:rPr>
      </w:pPr>
      <w:r w:rsidRPr="009E2BF9">
        <w:rPr>
          <w:rFonts w:ascii="Book Antiqua" w:hAnsi="Book Antiqua" w:cs="Times New Roman"/>
          <w:noProof/>
          <w:sz w:val="24"/>
          <w:szCs w:val="24"/>
        </w:rPr>
        <w:drawing>
          <wp:inline distT="0" distB="0" distL="0" distR="0" wp14:anchorId="48B27FB0" wp14:editId="02D953F0">
            <wp:extent cx="2162175" cy="4128770"/>
            <wp:effectExtent l="0" t="0" r="0" b="5080"/>
            <wp:docPr id="2" name="图片 2" descr="C:\Users\Administrator\Desktop\百里醌英文\图2\未标题-2副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百里醌英文\图2\未标题-2副本.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62175" cy="4128899"/>
                    </a:xfrm>
                    <a:prstGeom prst="rect">
                      <a:avLst/>
                    </a:prstGeom>
                    <a:noFill/>
                    <a:ln>
                      <a:noFill/>
                    </a:ln>
                  </pic:spPr>
                </pic:pic>
              </a:graphicData>
            </a:graphic>
          </wp:inline>
        </w:drawing>
      </w:r>
    </w:p>
    <w:p w:rsidR="00CE7BBD" w:rsidRDefault="00D60AB6" w:rsidP="001E38EA">
      <w:pPr>
        <w:adjustRightInd w:val="0"/>
        <w:snapToGrid w:val="0"/>
        <w:spacing w:line="360" w:lineRule="auto"/>
        <w:rPr>
          <w:rFonts w:ascii="Book Antiqua" w:hAnsi="Book Antiqua" w:cs="Times New Roman"/>
          <w:sz w:val="24"/>
          <w:szCs w:val="24"/>
        </w:rPr>
      </w:pPr>
      <w:r>
        <w:rPr>
          <w:rFonts w:ascii="Book Antiqua" w:hAnsi="Book Antiqua" w:cs="Times New Roman"/>
          <w:b/>
          <w:sz w:val="24"/>
          <w:szCs w:val="24"/>
        </w:rPr>
        <w:t>Figure</w:t>
      </w:r>
      <w:r w:rsidR="009E2BF9" w:rsidRPr="009E2BF9">
        <w:rPr>
          <w:rFonts w:ascii="Book Antiqua" w:hAnsi="Book Antiqua" w:cs="Times New Roman"/>
          <w:b/>
          <w:sz w:val="24"/>
          <w:szCs w:val="24"/>
        </w:rPr>
        <w:t xml:space="preserve"> 2 </w:t>
      </w:r>
      <w:r w:rsidR="000D6F4F" w:rsidRPr="000D6F4F">
        <w:rPr>
          <w:rFonts w:ascii="Book Antiqua" w:hAnsi="Book Antiqua" w:cs="Times New Roman"/>
          <w:b/>
          <w:bCs/>
          <w:caps/>
          <w:sz w:val="24"/>
          <w:szCs w:val="24"/>
        </w:rPr>
        <w:t>t</w:t>
      </w:r>
      <w:r w:rsidR="000D6F4F" w:rsidRPr="000D6F4F">
        <w:rPr>
          <w:rFonts w:ascii="Book Antiqua" w:hAnsi="Book Antiqua" w:cs="Times New Roman"/>
          <w:b/>
          <w:bCs/>
          <w:sz w:val="24"/>
          <w:szCs w:val="24"/>
        </w:rPr>
        <w:t xml:space="preserve">hymoquinone </w:t>
      </w:r>
      <w:r w:rsidR="009E2BF9" w:rsidRPr="000D6F4F">
        <w:rPr>
          <w:rFonts w:ascii="Book Antiqua" w:hAnsi="Book Antiqua" w:cs="Times New Roman"/>
          <w:b/>
          <w:sz w:val="24"/>
          <w:szCs w:val="24"/>
        </w:rPr>
        <w:t xml:space="preserve">suppresses phosphor-JAK2 and phospho-Src levels, but not STAT5 levels. </w:t>
      </w:r>
      <w:r w:rsidR="000D6F4F">
        <w:rPr>
          <w:rFonts w:ascii="Book Antiqua" w:hAnsi="Book Antiqua" w:cs="Times New Roman"/>
          <w:sz w:val="24"/>
          <w:szCs w:val="24"/>
        </w:rPr>
        <w:t>A</w:t>
      </w:r>
      <w:r w:rsidR="000D6F4F">
        <w:rPr>
          <w:rFonts w:ascii="Book Antiqua" w:hAnsi="Book Antiqua" w:cs="Times New Roman" w:hint="eastAsia"/>
          <w:sz w:val="24"/>
          <w:szCs w:val="24"/>
        </w:rPr>
        <w:t>:</w:t>
      </w:r>
      <w:r w:rsidR="009E2BF9" w:rsidRPr="009E2BF9">
        <w:rPr>
          <w:rFonts w:ascii="Book Antiqua" w:hAnsi="Book Antiqua" w:cs="Times New Roman"/>
          <w:sz w:val="24"/>
          <w:szCs w:val="24"/>
        </w:rPr>
        <w:t xml:space="preserve"> HGC27 cells (1</w:t>
      </w:r>
      <w:r w:rsidR="000D6F4F">
        <w:rPr>
          <w:rFonts w:ascii="Book Antiqua" w:hAnsi="Book Antiqua" w:cs="Times New Roman" w:hint="eastAsia"/>
          <w:sz w:val="24"/>
          <w:szCs w:val="24"/>
        </w:rPr>
        <w:t xml:space="preserve"> </w:t>
      </w:r>
      <w:r w:rsidR="009E2BF9" w:rsidRPr="009E2BF9">
        <w:rPr>
          <w:rFonts w:ascii="Book Antiqua" w:hAnsi="Book Antiqua" w:cs="Times New Roman"/>
          <w:sz w:val="24"/>
          <w:szCs w:val="24"/>
        </w:rPr>
        <w:t>×</w:t>
      </w:r>
      <w:r w:rsidR="000D6F4F">
        <w:rPr>
          <w:rFonts w:ascii="Book Antiqua" w:hAnsi="Book Antiqua" w:cs="Times New Roman" w:hint="eastAsia"/>
          <w:sz w:val="24"/>
          <w:szCs w:val="24"/>
        </w:rPr>
        <w:t xml:space="preserve"> </w:t>
      </w:r>
      <w:r w:rsidR="009E2BF9" w:rsidRPr="009E2BF9">
        <w:rPr>
          <w:rFonts w:ascii="Book Antiqua" w:hAnsi="Book Antiqua" w:cs="Times New Roman"/>
          <w:sz w:val="24"/>
          <w:szCs w:val="24"/>
        </w:rPr>
        <w:t>10</w:t>
      </w:r>
      <w:r w:rsidR="009E2BF9" w:rsidRPr="009E2BF9">
        <w:rPr>
          <w:rFonts w:ascii="Book Antiqua" w:hAnsi="Book Antiqua" w:cs="Times New Roman"/>
          <w:sz w:val="24"/>
          <w:szCs w:val="24"/>
          <w:vertAlign w:val="superscript"/>
        </w:rPr>
        <w:t>6</w:t>
      </w:r>
      <w:r w:rsidR="009E2BF9" w:rsidRPr="009E2BF9">
        <w:rPr>
          <w:rFonts w:ascii="Book Antiqua" w:hAnsi="Book Antiqua" w:cs="Times New Roman"/>
          <w:sz w:val="24"/>
          <w:szCs w:val="24"/>
        </w:rPr>
        <w:t>/m</w:t>
      </w:r>
      <w:r w:rsidR="009E2BF9" w:rsidRPr="000D6F4F">
        <w:rPr>
          <w:rFonts w:ascii="Book Antiqua" w:hAnsi="Book Antiqua" w:cs="Times New Roman"/>
          <w:caps/>
          <w:sz w:val="24"/>
          <w:szCs w:val="24"/>
        </w:rPr>
        <w:t>l</w:t>
      </w:r>
      <w:r w:rsidR="009E2BF9" w:rsidRPr="009E2BF9">
        <w:rPr>
          <w:rFonts w:ascii="Book Antiqua" w:hAnsi="Book Antiqua" w:cs="Times New Roman"/>
          <w:sz w:val="24"/>
          <w:szCs w:val="24"/>
        </w:rPr>
        <w:t xml:space="preserve">) were treated with the indicated concentrations of </w:t>
      </w:r>
      <w:r w:rsidR="00CE7BBD" w:rsidRPr="00CE7BBD">
        <w:rPr>
          <w:rFonts w:ascii="Book Antiqua" w:hAnsi="Book Antiqua" w:cs="Times New Roman"/>
          <w:bCs/>
          <w:sz w:val="24"/>
          <w:szCs w:val="24"/>
        </w:rPr>
        <w:t>thymoquinone</w:t>
      </w:r>
      <w:r w:rsidR="00CE7BBD" w:rsidRPr="000D6F4F">
        <w:rPr>
          <w:rFonts w:ascii="Book Antiqua" w:hAnsi="Book Antiqua" w:cs="Times New Roman"/>
          <w:b/>
          <w:bCs/>
          <w:sz w:val="24"/>
          <w:szCs w:val="24"/>
        </w:rPr>
        <w:t xml:space="preserve"> </w:t>
      </w:r>
      <w:r w:rsidR="00CE7BBD">
        <w:rPr>
          <w:rFonts w:ascii="Book Antiqua" w:hAnsi="Book Antiqua" w:cs="Times New Roman" w:hint="eastAsia"/>
          <w:b/>
          <w:bCs/>
          <w:sz w:val="24"/>
          <w:szCs w:val="24"/>
        </w:rPr>
        <w:t>(</w:t>
      </w:r>
      <w:r w:rsidR="009E2BF9" w:rsidRPr="009E2BF9">
        <w:rPr>
          <w:rFonts w:ascii="Book Antiqua" w:hAnsi="Book Antiqua" w:cs="Times New Roman"/>
          <w:sz w:val="24"/>
          <w:szCs w:val="24"/>
        </w:rPr>
        <w:t>TQ</w:t>
      </w:r>
      <w:r w:rsidR="00CE7BBD">
        <w:rPr>
          <w:rFonts w:ascii="Book Antiqua" w:hAnsi="Book Antiqua" w:cs="Times New Roman" w:hint="eastAsia"/>
          <w:sz w:val="24"/>
          <w:szCs w:val="24"/>
        </w:rPr>
        <w:t>)</w:t>
      </w:r>
      <w:r w:rsidR="009E2BF9" w:rsidRPr="009E2BF9">
        <w:rPr>
          <w:rFonts w:ascii="Book Antiqua" w:hAnsi="Book Antiqua" w:cs="Times New Roman"/>
          <w:sz w:val="24"/>
          <w:szCs w:val="24"/>
        </w:rPr>
        <w:t xml:space="preserve"> for 24 h, after which Western blotting was performed</w:t>
      </w:r>
      <w:r w:rsidR="000D6F4F">
        <w:rPr>
          <w:rFonts w:ascii="Book Antiqua" w:hAnsi="Book Antiqua" w:cs="Times New Roman" w:hint="eastAsia"/>
          <w:sz w:val="24"/>
          <w:szCs w:val="24"/>
        </w:rPr>
        <w:t>;</w:t>
      </w:r>
      <w:r w:rsidR="000D6F4F">
        <w:rPr>
          <w:rFonts w:ascii="Book Antiqua" w:hAnsi="Book Antiqua" w:cs="Times New Roman"/>
          <w:sz w:val="24"/>
          <w:szCs w:val="24"/>
        </w:rPr>
        <w:t xml:space="preserve"> B</w:t>
      </w:r>
      <w:r w:rsidR="000D6F4F">
        <w:rPr>
          <w:rFonts w:ascii="Book Antiqua" w:hAnsi="Book Antiqua" w:cs="Times New Roman" w:hint="eastAsia"/>
          <w:sz w:val="24"/>
          <w:szCs w:val="24"/>
        </w:rPr>
        <w:t>:</w:t>
      </w:r>
      <w:r w:rsidR="009E2BF9" w:rsidRPr="009E2BF9">
        <w:rPr>
          <w:rFonts w:ascii="Book Antiqua" w:hAnsi="Book Antiqua" w:cs="Times New Roman"/>
          <w:sz w:val="24"/>
          <w:szCs w:val="24"/>
        </w:rPr>
        <w:t xml:space="preserve"> HGC27 cells (1</w:t>
      </w:r>
      <w:r w:rsidR="000D6F4F">
        <w:rPr>
          <w:rFonts w:ascii="Book Antiqua" w:hAnsi="Book Antiqua" w:cs="Times New Roman" w:hint="eastAsia"/>
          <w:sz w:val="24"/>
          <w:szCs w:val="24"/>
        </w:rPr>
        <w:t xml:space="preserve"> </w:t>
      </w:r>
      <w:r w:rsidR="009E2BF9" w:rsidRPr="009E2BF9">
        <w:rPr>
          <w:rFonts w:ascii="Book Antiqua" w:hAnsi="Book Antiqua" w:cs="Times New Roman"/>
          <w:sz w:val="24"/>
          <w:szCs w:val="24"/>
        </w:rPr>
        <w:t>×</w:t>
      </w:r>
      <w:r w:rsidR="000D6F4F">
        <w:rPr>
          <w:rFonts w:ascii="Book Antiqua" w:hAnsi="Book Antiqua" w:cs="Times New Roman" w:hint="eastAsia"/>
          <w:sz w:val="24"/>
          <w:szCs w:val="24"/>
        </w:rPr>
        <w:t xml:space="preserve"> </w:t>
      </w:r>
      <w:r w:rsidR="009E2BF9" w:rsidRPr="009E2BF9">
        <w:rPr>
          <w:rFonts w:ascii="Book Antiqua" w:hAnsi="Book Antiqua" w:cs="Times New Roman"/>
          <w:sz w:val="24"/>
          <w:szCs w:val="24"/>
        </w:rPr>
        <w:t>10</w:t>
      </w:r>
      <w:r w:rsidR="009E2BF9" w:rsidRPr="009E2BF9">
        <w:rPr>
          <w:rFonts w:ascii="Book Antiqua" w:hAnsi="Book Antiqua" w:cs="Times New Roman"/>
          <w:sz w:val="24"/>
          <w:szCs w:val="24"/>
          <w:vertAlign w:val="superscript"/>
        </w:rPr>
        <w:t>6</w:t>
      </w:r>
      <w:r w:rsidR="009E2BF9" w:rsidRPr="009E2BF9">
        <w:rPr>
          <w:rFonts w:ascii="Book Antiqua" w:hAnsi="Book Antiqua" w:cs="Times New Roman"/>
          <w:sz w:val="24"/>
          <w:szCs w:val="24"/>
        </w:rPr>
        <w:t>/m</w:t>
      </w:r>
      <w:r w:rsidR="009E2BF9" w:rsidRPr="000D6F4F">
        <w:rPr>
          <w:rFonts w:ascii="Book Antiqua" w:hAnsi="Book Antiqua" w:cs="Times New Roman"/>
          <w:caps/>
          <w:sz w:val="24"/>
          <w:szCs w:val="24"/>
        </w:rPr>
        <w:t>l</w:t>
      </w:r>
      <w:r w:rsidR="009E2BF9" w:rsidRPr="009E2BF9">
        <w:rPr>
          <w:rFonts w:ascii="Book Antiqua" w:hAnsi="Book Antiqua" w:cs="Times New Roman"/>
          <w:sz w:val="24"/>
          <w:szCs w:val="24"/>
        </w:rPr>
        <w:t>) were treated with the 50 μ</w:t>
      </w:r>
      <w:r w:rsidR="000D6F4F">
        <w:rPr>
          <w:rFonts w:ascii="Book Antiqua" w:hAnsi="Book Antiqua" w:cs="Times New Roman" w:hint="eastAsia"/>
          <w:sz w:val="24"/>
          <w:szCs w:val="24"/>
        </w:rPr>
        <w:t>mol/L</w:t>
      </w:r>
      <w:r w:rsidR="009E2BF9" w:rsidRPr="009E2BF9">
        <w:rPr>
          <w:rFonts w:ascii="Book Antiqua" w:hAnsi="Book Antiqua" w:cs="Times New Roman"/>
          <w:sz w:val="24"/>
          <w:szCs w:val="24"/>
        </w:rPr>
        <w:t xml:space="preserve"> TQ for the indicated times, after which Western blotting was performed. The same blots were stripped and reprobed with the STAT5 antibody to verify equal protein loading</w:t>
      </w:r>
      <w:r w:rsidR="00CE7BBD">
        <w:rPr>
          <w:rFonts w:ascii="Book Antiqua" w:hAnsi="Book Antiqua" w:cs="Times New Roman" w:hint="eastAsia"/>
          <w:sz w:val="24"/>
          <w:szCs w:val="24"/>
        </w:rPr>
        <w:t>;</w:t>
      </w:r>
      <w:r w:rsidR="00CE7BBD">
        <w:rPr>
          <w:rFonts w:ascii="Book Antiqua" w:hAnsi="Book Antiqua" w:cs="Times New Roman"/>
          <w:sz w:val="24"/>
          <w:szCs w:val="24"/>
        </w:rPr>
        <w:t xml:space="preserve"> C</w:t>
      </w:r>
      <w:r w:rsidR="00CE7BBD">
        <w:rPr>
          <w:rFonts w:ascii="Book Antiqua" w:hAnsi="Book Antiqua" w:cs="Times New Roman" w:hint="eastAsia"/>
          <w:sz w:val="24"/>
          <w:szCs w:val="24"/>
        </w:rPr>
        <w:t>:</w:t>
      </w:r>
      <w:r w:rsidR="009E2BF9" w:rsidRPr="009E2BF9">
        <w:rPr>
          <w:rFonts w:ascii="Book Antiqua" w:hAnsi="Book Antiqua" w:cs="Times New Roman"/>
          <w:sz w:val="24"/>
          <w:szCs w:val="24"/>
        </w:rPr>
        <w:t xml:space="preserve"> TQ suppresses phospho-JAK2 levels in a concentration -dependent manner. HGC27 cells (1</w:t>
      </w:r>
      <w:r w:rsidR="00CE7BBD">
        <w:rPr>
          <w:rFonts w:ascii="Book Antiqua" w:hAnsi="Book Antiqua" w:cs="Times New Roman" w:hint="eastAsia"/>
          <w:sz w:val="24"/>
          <w:szCs w:val="24"/>
        </w:rPr>
        <w:t xml:space="preserve"> </w:t>
      </w:r>
      <w:r w:rsidR="009E2BF9" w:rsidRPr="009E2BF9">
        <w:rPr>
          <w:rFonts w:ascii="Book Antiqua" w:hAnsi="Book Antiqua" w:cs="Times New Roman"/>
          <w:sz w:val="24"/>
          <w:szCs w:val="24"/>
        </w:rPr>
        <w:t>×</w:t>
      </w:r>
      <w:r w:rsidR="00CE7BBD">
        <w:rPr>
          <w:rFonts w:ascii="Book Antiqua" w:hAnsi="Book Antiqua" w:cs="Times New Roman" w:hint="eastAsia"/>
          <w:sz w:val="24"/>
          <w:szCs w:val="24"/>
        </w:rPr>
        <w:t xml:space="preserve"> </w:t>
      </w:r>
      <w:r w:rsidR="009E2BF9" w:rsidRPr="009E2BF9">
        <w:rPr>
          <w:rFonts w:ascii="Book Antiqua" w:hAnsi="Book Antiqua" w:cs="Times New Roman"/>
          <w:sz w:val="24"/>
          <w:szCs w:val="24"/>
        </w:rPr>
        <w:t>10</w:t>
      </w:r>
      <w:r w:rsidR="009E2BF9" w:rsidRPr="009E2BF9">
        <w:rPr>
          <w:rFonts w:ascii="Book Antiqua" w:hAnsi="Book Antiqua" w:cs="Times New Roman"/>
          <w:sz w:val="24"/>
          <w:szCs w:val="24"/>
          <w:vertAlign w:val="superscript"/>
        </w:rPr>
        <w:t>6</w:t>
      </w:r>
      <w:r w:rsidR="009E2BF9" w:rsidRPr="009E2BF9">
        <w:rPr>
          <w:rFonts w:ascii="Book Antiqua" w:hAnsi="Book Antiqua" w:cs="Times New Roman"/>
          <w:sz w:val="24"/>
          <w:szCs w:val="24"/>
        </w:rPr>
        <w:t>/m</w:t>
      </w:r>
      <w:r w:rsidR="009E2BF9" w:rsidRPr="00CE7BBD">
        <w:rPr>
          <w:rFonts w:ascii="Book Antiqua" w:hAnsi="Book Antiqua" w:cs="Times New Roman"/>
          <w:caps/>
          <w:sz w:val="24"/>
          <w:szCs w:val="24"/>
        </w:rPr>
        <w:t>l</w:t>
      </w:r>
      <w:r w:rsidR="009E2BF9" w:rsidRPr="009E2BF9">
        <w:rPr>
          <w:rFonts w:ascii="Book Antiqua" w:hAnsi="Book Antiqua" w:cs="Times New Roman"/>
          <w:sz w:val="24"/>
          <w:szCs w:val="24"/>
        </w:rPr>
        <w:t>) were treated with the indicated concentrations of TQ for 24 h, after which Western blotting was performed. The same blots were stripped and reprobed with the JAK2 antibody to verify equal protein loading</w:t>
      </w:r>
      <w:r w:rsidR="00CE7BBD">
        <w:rPr>
          <w:rFonts w:ascii="Book Antiqua" w:hAnsi="Book Antiqua" w:cs="Times New Roman" w:hint="eastAsia"/>
          <w:sz w:val="24"/>
          <w:szCs w:val="24"/>
        </w:rPr>
        <w:t xml:space="preserve">; </w:t>
      </w:r>
      <w:r w:rsidR="00CE7BBD">
        <w:rPr>
          <w:rFonts w:ascii="Book Antiqua" w:hAnsi="Book Antiqua" w:cs="Times New Roman"/>
          <w:sz w:val="24"/>
          <w:szCs w:val="24"/>
        </w:rPr>
        <w:t>D</w:t>
      </w:r>
      <w:r w:rsidR="00CE7BBD">
        <w:rPr>
          <w:rFonts w:ascii="Book Antiqua" w:hAnsi="Book Antiqua" w:cs="Times New Roman" w:hint="eastAsia"/>
          <w:sz w:val="24"/>
          <w:szCs w:val="24"/>
        </w:rPr>
        <w:t xml:space="preserve">: </w:t>
      </w:r>
      <w:r w:rsidR="009E2BF9" w:rsidRPr="009E2BF9">
        <w:rPr>
          <w:rFonts w:ascii="Book Antiqua" w:hAnsi="Book Antiqua" w:cs="Times New Roman"/>
          <w:sz w:val="24"/>
          <w:szCs w:val="24"/>
        </w:rPr>
        <w:t xml:space="preserve">TQ suppresses phospho-Src levels in a concentration -dependent manner. </w:t>
      </w:r>
      <w:bookmarkStart w:id="170" w:name="OLE_LINK25"/>
      <w:bookmarkStart w:id="171" w:name="OLE_LINK24"/>
      <w:r w:rsidR="009E2BF9" w:rsidRPr="009E2BF9">
        <w:rPr>
          <w:rFonts w:ascii="Book Antiqua" w:hAnsi="Book Antiqua" w:cs="Times New Roman"/>
          <w:sz w:val="24"/>
          <w:szCs w:val="24"/>
        </w:rPr>
        <w:t>HGC27 cells (1</w:t>
      </w:r>
      <w:r w:rsidR="00CE7BBD">
        <w:rPr>
          <w:rFonts w:ascii="Book Antiqua" w:hAnsi="Book Antiqua" w:cs="Times New Roman" w:hint="eastAsia"/>
          <w:sz w:val="24"/>
          <w:szCs w:val="24"/>
        </w:rPr>
        <w:t xml:space="preserve"> </w:t>
      </w:r>
      <w:r w:rsidR="009E2BF9" w:rsidRPr="009E2BF9">
        <w:rPr>
          <w:rFonts w:ascii="Book Antiqua" w:hAnsi="Book Antiqua" w:cs="Times New Roman"/>
          <w:sz w:val="24"/>
          <w:szCs w:val="24"/>
        </w:rPr>
        <w:t>×</w:t>
      </w:r>
      <w:r w:rsidR="00CE7BBD">
        <w:rPr>
          <w:rFonts w:ascii="Book Antiqua" w:hAnsi="Book Antiqua" w:cs="Times New Roman" w:hint="eastAsia"/>
          <w:sz w:val="24"/>
          <w:szCs w:val="24"/>
        </w:rPr>
        <w:t xml:space="preserve"> </w:t>
      </w:r>
      <w:r w:rsidR="009E2BF9" w:rsidRPr="009E2BF9">
        <w:rPr>
          <w:rFonts w:ascii="Book Antiqua" w:hAnsi="Book Antiqua" w:cs="Times New Roman"/>
          <w:sz w:val="24"/>
          <w:szCs w:val="24"/>
        </w:rPr>
        <w:t>10</w:t>
      </w:r>
      <w:r w:rsidR="009E2BF9" w:rsidRPr="009E2BF9">
        <w:rPr>
          <w:rFonts w:ascii="Book Antiqua" w:hAnsi="Book Antiqua" w:cs="Times New Roman"/>
          <w:sz w:val="24"/>
          <w:szCs w:val="24"/>
          <w:vertAlign w:val="superscript"/>
        </w:rPr>
        <w:t>6</w:t>
      </w:r>
      <w:r w:rsidR="009E2BF9" w:rsidRPr="009E2BF9">
        <w:rPr>
          <w:rFonts w:ascii="Book Antiqua" w:hAnsi="Book Antiqua" w:cs="Times New Roman"/>
          <w:sz w:val="24"/>
          <w:szCs w:val="24"/>
        </w:rPr>
        <w:t>/m</w:t>
      </w:r>
      <w:r w:rsidR="009E2BF9" w:rsidRPr="00CE7BBD">
        <w:rPr>
          <w:rFonts w:ascii="Book Antiqua" w:hAnsi="Book Antiqua" w:cs="Times New Roman"/>
          <w:caps/>
          <w:sz w:val="24"/>
          <w:szCs w:val="24"/>
        </w:rPr>
        <w:t>l</w:t>
      </w:r>
      <w:r w:rsidR="009E2BF9" w:rsidRPr="009E2BF9">
        <w:rPr>
          <w:rFonts w:ascii="Book Antiqua" w:hAnsi="Book Antiqua" w:cs="Times New Roman"/>
          <w:sz w:val="24"/>
          <w:szCs w:val="24"/>
        </w:rPr>
        <w:t>) were treated with the indicated concentrations of TQ for 24 h, after which Western blotting was performed. The same blots were stripped and reprobed with the Src antibody to verify equal protein loading.</w:t>
      </w:r>
      <w:bookmarkEnd w:id="170"/>
      <w:bookmarkEnd w:id="171"/>
      <w:r w:rsidR="00CE7BBD">
        <w:rPr>
          <w:rFonts w:ascii="Book Antiqua" w:hAnsi="Book Antiqua" w:cs="Times New Roman"/>
          <w:sz w:val="24"/>
          <w:szCs w:val="24"/>
        </w:rPr>
        <w:br w:type="page"/>
      </w:r>
    </w:p>
    <w:p w:rsidR="00DF581C" w:rsidRPr="009E2BF9" w:rsidRDefault="00DF581C" w:rsidP="001E38EA">
      <w:pPr>
        <w:adjustRightInd w:val="0"/>
        <w:snapToGrid w:val="0"/>
        <w:spacing w:line="360" w:lineRule="auto"/>
        <w:rPr>
          <w:rFonts w:ascii="Book Antiqua" w:hAnsi="Book Antiqua" w:cs="Times New Roman"/>
          <w:sz w:val="24"/>
          <w:szCs w:val="24"/>
        </w:rPr>
      </w:pPr>
    </w:p>
    <w:p w:rsidR="00DF581C" w:rsidRPr="009E2BF9" w:rsidRDefault="00AC2403" w:rsidP="001E38EA">
      <w:pPr>
        <w:adjustRightInd w:val="0"/>
        <w:snapToGrid w:val="0"/>
        <w:spacing w:line="360" w:lineRule="auto"/>
        <w:rPr>
          <w:rFonts w:ascii="Book Antiqua" w:hAnsi="Book Antiqua" w:cs="Times New Roman"/>
          <w:sz w:val="24"/>
          <w:szCs w:val="24"/>
        </w:rPr>
      </w:pPr>
      <w:r w:rsidRPr="009E2BF9">
        <w:rPr>
          <w:rFonts w:ascii="Book Antiqua" w:hAnsi="Book Antiqua" w:cs="Times New Roman"/>
          <w:noProof/>
          <w:sz w:val="24"/>
          <w:szCs w:val="24"/>
        </w:rPr>
        <mc:AlternateContent>
          <mc:Choice Requires="wps">
            <w:drawing>
              <wp:anchor distT="0" distB="0" distL="114300" distR="114300" simplePos="0" relativeHeight="251667456" behindDoc="0" locked="0" layoutInCell="1" allowOverlap="1" wp14:anchorId="6675DF39" wp14:editId="53018106">
                <wp:simplePos x="0" y="0"/>
                <wp:positionH relativeFrom="column">
                  <wp:posOffset>2316287</wp:posOffset>
                </wp:positionH>
                <wp:positionV relativeFrom="paragraph">
                  <wp:posOffset>1715770</wp:posOffset>
                </wp:positionV>
                <wp:extent cx="564515" cy="269875"/>
                <wp:effectExtent l="0" t="0" r="26035" b="15875"/>
                <wp:wrapNone/>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9875"/>
                        </a:xfrm>
                        <a:prstGeom prst="rect">
                          <a:avLst/>
                        </a:prstGeom>
                        <a:solidFill>
                          <a:srgbClr val="FFFFFF"/>
                        </a:solidFill>
                        <a:ln w="9525">
                          <a:solidFill>
                            <a:schemeClr val="bg1"/>
                          </a:solidFill>
                          <a:miter lim="800000"/>
                        </a:ln>
                      </wps:spPr>
                      <wps:txbx>
                        <w:txbxContent>
                          <w:p w:rsidR="00A97F9D" w:rsidRPr="00AC2403" w:rsidRDefault="00A97F9D" w:rsidP="00AC2403">
                            <w:pPr>
                              <w:rPr>
                                <w:rFonts w:ascii="Book Antiqua" w:hAnsi="Book Antiqua"/>
                                <w:sz w:val="15"/>
                                <w:szCs w:val="15"/>
                              </w:rPr>
                            </w:pPr>
                            <w:r w:rsidRPr="00EA4DBB">
                              <w:rPr>
                                <w:rFonts w:ascii="Book Antiqua" w:hAnsi="Book Antiqua"/>
                                <w:i/>
                                <w:sz w:val="15"/>
                                <w:szCs w:val="15"/>
                              </w:rPr>
                              <w:t>P</w:t>
                            </w:r>
                            <w:r w:rsidRPr="00AC2403">
                              <w:rPr>
                                <w:rFonts w:ascii="Book Antiqua" w:hAnsi="Book Antiqua"/>
                                <w:sz w:val="15"/>
                                <w:szCs w:val="15"/>
                              </w:rPr>
                              <w:t xml:space="preserve"> &lt; 0.05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75DF39" id="_x0000_t202" coordsize="21600,21600" o:spt="202" path="m,l,21600r21600,l21600,xe">
                <v:stroke joinstyle="miter"/>
                <v:path gradientshapeok="t" o:connecttype="rect"/>
              </v:shapetype>
              <v:shape id="文本框 2" o:spid="_x0000_s1026" type="#_x0000_t202" style="position:absolute;left:0;text-align:left;margin-left:182.4pt;margin-top:135.1pt;width:44.45pt;height:2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" strokecolor="white [3212]">
                <v:textbox>
                  <w:txbxContent>
                    <w:p w:rsidR="00A97F9D" w:rsidRPr="00AC2403" w:rsidRDefault="00A97F9D" w:rsidP="00AC2403">
                      <w:pPr>
                        <w:rPr>
                          <w:rFonts w:ascii="Book Antiqua" w:hAnsi="Book Antiqua"/>
                          <w:sz w:val="15"/>
                          <w:szCs w:val="15"/>
                        </w:rPr>
                      </w:pPr>
                      <w:r w:rsidRPr="00EA4DBB">
                        <w:rPr>
                          <w:rFonts w:ascii="Book Antiqua" w:hAnsi="Book Antiqua"/>
                          <w:i/>
                          <w:sz w:val="15"/>
                          <w:szCs w:val="15"/>
                        </w:rPr>
                        <w:t>P</w:t>
                      </w:r>
                      <w:r w:rsidRPr="00AC2403">
                        <w:rPr>
                          <w:rFonts w:ascii="Book Antiqua" w:hAnsi="Book Antiqua"/>
                          <w:sz w:val="15"/>
                          <w:szCs w:val="15"/>
                        </w:rPr>
                        <w:t xml:space="preserve"> &lt; 0.05</w:t>
                      </w:r>
                    </w:p>
                  </w:txbxContent>
                </v:textbox>
              </v:shape>
            </w:pict>
          </mc:Fallback>
        </mc:AlternateContent>
      </w:r>
      <w:r w:rsidRPr="009E2BF9">
        <w:rPr>
          <w:rFonts w:ascii="Book Antiqua" w:hAnsi="Book Antiqua" w:cs="Times New Roman"/>
          <w:noProof/>
          <w:sz w:val="24"/>
          <w:szCs w:val="24"/>
        </w:rPr>
        <mc:AlternateContent>
          <mc:Choice Requires="wps">
            <w:drawing>
              <wp:anchor distT="0" distB="0" distL="114300" distR="114300" simplePos="0" relativeHeight="251665408" behindDoc="0" locked="0" layoutInCell="1" allowOverlap="1" wp14:anchorId="7BBFA28F" wp14:editId="01CC50EC">
                <wp:simplePos x="0" y="0"/>
                <wp:positionH relativeFrom="column">
                  <wp:posOffset>1863560</wp:posOffset>
                </wp:positionH>
                <wp:positionV relativeFrom="paragraph">
                  <wp:posOffset>1525270</wp:posOffset>
                </wp:positionV>
                <wp:extent cx="564515" cy="269875"/>
                <wp:effectExtent l="0" t="0" r="26035" b="15875"/>
                <wp:wrapNone/>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9875"/>
                        </a:xfrm>
                        <a:prstGeom prst="rect">
                          <a:avLst/>
                        </a:prstGeom>
                        <a:solidFill>
                          <a:srgbClr val="FFFFFF"/>
                        </a:solidFill>
                        <a:ln w="9525">
                          <a:solidFill>
                            <a:schemeClr val="bg1"/>
                          </a:solidFill>
                          <a:miter lim="800000"/>
                        </a:ln>
                      </wps:spPr>
                      <wps:txbx>
                        <w:txbxContent>
                          <w:p w:rsidR="00A97F9D" w:rsidRPr="00AC2403" w:rsidRDefault="00A97F9D" w:rsidP="00AC2403">
                            <w:pPr>
                              <w:rPr>
                                <w:rFonts w:ascii="Book Antiqua" w:hAnsi="Book Antiqua"/>
                                <w:sz w:val="15"/>
                                <w:szCs w:val="15"/>
                              </w:rPr>
                            </w:pPr>
                            <w:r w:rsidRPr="00EA4DBB">
                              <w:rPr>
                                <w:rFonts w:ascii="Book Antiqua" w:hAnsi="Book Antiqua"/>
                                <w:i/>
                                <w:sz w:val="15"/>
                                <w:szCs w:val="15"/>
                              </w:rPr>
                              <w:t>P</w:t>
                            </w:r>
                            <w:r w:rsidRPr="00AC2403">
                              <w:rPr>
                                <w:rFonts w:ascii="Book Antiqua" w:hAnsi="Book Antiqua"/>
                                <w:sz w:val="15"/>
                                <w:szCs w:val="15"/>
                              </w:rPr>
                              <w:t xml:space="preserve"> &lt; 0.05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FA28F" id="_x0000_s1027" type="#_x0000_t202" style="position:absolute;left:0;text-align:left;margin-left:146.75pt;margin-top:120.1pt;width:44.45pt;height:2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" strokecolor="white [3212]">
                <v:textbox>
                  <w:txbxContent>
                    <w:p w:rsidR="00A97F9D" w:rsidRPr="00AC2403" w:rsidRDefault="00A97F9D" w:rsidP="00AC2403">
                      <w:pPr>
                        <w:rPr>
                          <w:rFonts w:ascii="Book Antiqua" w:hAnsi="Book Antiqua"/>
                          <w:sz w:val="15"/>
                          <w:szCs w:val="15"/>
                        </w:rPr>
                      </w:pPr>
                      <w:r w:rsidRPr="00EA4DBB">
                        <w:rPr>
                          <w:rFonts w:ascii="Book Antiqua" w:hAnsi="Book Antiqua"/>
                          <w:i/>
                          <w:sz w:val="15"/>
                          <w:szCs w:val="15"/>
                        </w:rPr>
                        <w:t>P</w:t>
                      </w:r>
                      <w:r w:rsidRPr="00AC2403">
                        <w:rPr>
                          <w:rFonts w:ascii="Book Antiqua" w:hAnsi="Book Antiqua"/>
                          <w:sz w:val="15"/>
                          <w:szCs w:val="15"/>
                        </w:rPr>
                        <w:t xml:space="preserve"> &lt; 0.05</w:t>
                      </w:r>
                    </w:p>
                  </w:txbxContent>
                </v:textbox>
              </v:shape>
            </w:pict>
          </mc:Fallback>
        </mc:AlternateContent>
      </w:r>
      <w:r w:rsidRPr="009E2BF9">
        <w:rPr>
          <w:rFonts w:ascii="Book Antiqua" w:hAnsi="Book Antiqua" w:cs="Times New Roman"/>
          <w:noProof/>
          <w:sz w:val="24"/>
          <w:szCs w:val="24"/>
        </w:rPr>
        <mc:AlternateContent>
          <mc:Choice Requires="wps">
            <w:drawing>
              <wp:anchor distT="0" distB="0" distL="114300" distR="114300" simplePos="0" relativeHeight="251659264" behindDoc="0" locked="0" layoutInCell="1" allowOverlap="1" wp14:anchorId="164922B6" wp14:editId="0EC563B5">
                <wp:simplePos x="0" y="0"/>
                <wp:positionH relativeFrom="column">
                  <wp:posOffset>1409092</wp:posOffset>
                </wp:positionH>
                <wp:positionV relativeFrom="paragraph">
                  <wp:posOffset>975360</wp:posOffset>
                </wp:positionV>
                <wp:extent cx="564542" cy="270344"/>
                <wp:effectExtent l="0" t="0" r="26035" b="1587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2" cy="270344"/>
                        </a:xfrm>
                        <a:prstGeom prst="rect">
                          <a:avLst/>
                        </a:prstGeom>
                        <a:solidFill>
                          <a:srgbClr val="FFFFFF"/>
                        </a:solidFill>
                        <a:ln w="9525">
                          <a:solidFill>
                            <a:schemeClr val="bg1"/>
                          </a:solidFill>
                          <a:miter lim="800000"/>
                        </a:ln>
                      </wps:spPr>
                      <wps:txbx>
                        <w:txbxContent>
                          <w:p w:rsidR="00A97F9D" w:rsidRPr="00AC2403" w:rsidRDefault="00A97F9D">
                            <w:pPr>
                              <w:rPr>
                                <w:rFonts w:ascii="Book Antiqua" w:hAnsi="Book Antiqua"/>
                                <w:sz w:val="15"/>
                                <w:szCs w:val="15"/>
                              </w:rPr>
                            </w:pPr>
                            <w:r w:rsidRPr="00EA4DBB">
                              <w:rPr>
                                <w:rFonts w:ascii="Book Antiqua" w:hAnsi="Book Antiqua"/>
                                <w:i/>
                                <w:sz w:val="15"/>
                                <w:szCs w:val="15"/>
                              </w:rPr>
                              <w:t>P</w:t>
                            </w:r>
                            <w:r w:rsidRPr="00AC2403">
                              <w:rPr>
                                <w:rFonts w:ascii="Book Antiqua" w:hAnsi="Book Antiqua"/>
                                <w:sz w:val="15"/>
                                <w:szCs w:val="15"/>
                              </w:rPr>
                              <w:t xml:space="preserve"> &lt; 0.05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922B6" id="_x0000_s1028" type="#_x0000_t202" style="position:absolute;left:0;text-align:left;margin-left:110.95pt;margin-top:76.8pt;width:44.45pt;height:2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" strokecolor="white [3212]">
                <v:textbox>
                  <w:txbxContent>
                    <w:p w:rsidR="00A97F9D" w:rsidRPr="00AC2403" w:rsidRDefault="00A97F9D">
                      <w:pPr>
                        <w:rPr>
                          <w:rFonts w:ascii="Book Antiqua" w:hAnsi="Book Antiqua"/>
                          <w:sz w:val="15"/>
                          <w:szCs w:val="15"/>
                        </w:rPr>
                      </w:pPr>
                      <w:r w:rsidRPr="00EA4DBB">
                        <w:rPr>
                          <w:rFonts w:ascii="Book Antiqua" w:hAnsi="Book Antiqua"/>
                          <w:i/>
                          <w:sz w:val="15"/>
                          <w:szCs w:val="15"/>
                        </w:rPr>
                        <w:t>P</w:t>
                      </w:r>
                      <w:r w:rsidRPr="00AC2403">
                        <w:rPr>
                          <w:rFonts w:ascii="Book Antiqua" w:hAnsi="Book Antiqua"/>
                          <w:sz w:val="15"/>
                          <w:szCs w:val="15"/>
                        </w:rPr>
                        <w:t xml:space="preserve"> &lt; 0.05</w:t>
                      </w:r>
                    </w:p>
                  </w:txbxContent>
                </v:textbox>
              </v:shape>
            </w:pict>
          </mc:Fallback>
        </mc:AlternateContent>
      </w:r>
      <w:r w:rsidR="009E2BF9" w:rsidRPr="009E2BF9">
        <w:rPr>
          <w:rFonts w:ascii="Book Antiqua" w:hAnsi="Book Antiqua" w:cs="Times New Roman"/>
          <w:sz w:val="24"/>
          <w:szCs w:val="24"/>
        </w:rPr>
        <w:t xml:space="preserve">  </w:t>
      </w:r>
      <w:r w:rsidR="009E2BF9" w:rsidRPr="009E2BF9">
        <w:rPr>
          <w:rFonts w:ascii="Book Antiqua" w:hAnsi="Book Antiqua" w:cs="Times New Roman"/>
          <w:noProof/>
          <w:sz w:val="24"/>
          <w:szCs w:val="24"/>
        </w:rPr>
        <mc:AlternateContent>
          <mc:Choice Requires="wps">
            <w:drawing>
              <wp:anchor distT="0" distB="0" distL="114300" distR="114300" simplePos="0" relativeHeight="251661312" behindDoc="0" locked="0" layoutInCell="1" allowOverlap="1" wp14:anchorId="458EDB17" wp14:editId="1477CE03">
                <wp:simplePos x="0" y="0"/>
                <wp:positionH relativeFrom="column">
                  <wp:posOffset>1971675</wp:posOffset>
                </wp:positionH>
                <wp:positionV relativeFrom="paragraph">
                  <wp:posOffset>1249680</wp:posOffset>
                </wp:positionV>
                <wp:extent cx="247650" cy="190500"/>
                <wp:effectExtent l="0" t="0" r="19050" b="19050"/>
                <wp:wrapNone/>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90500"/>
                        </a:xfrm>
                        <a:prstGeom prst="rect">
                          <a:avLst/>
                        </a:prstGeom>
                        <a:solidFill>
                          <a:srgbClr val="FFFFFF"/>
                        </a:solidFill>
                        <a:ln w="9525">
                          <a:solidFill>
                            <a:sysClr val="window" lastClr="FFFFFF"/>
                          </a:solidFill>
                          <a:miter lim="800000"/>
                        </a:ln>
                      </wps:spPr>
                      <wps:txbx>
                        <w:txbxContent>
                          <w:p w:rsidR="00A97F9D" w:rsidRDefault="00A97F9D">
                            <w:pPr>
                              <w:rPr>
                                <w:sz w:val="24"/>
                                <w:szCs w:val="24"/>
                              </w:rPr>
                            </w:pPr>
                          </w:p>
                        </w:txbxContent>
                      </wps:txbx>
                      <wps:bodyPr rot="0" vert="horz" wrap="square" lIns="91440" tIns="45720" rIns="91440" bIns="45720" anchor="t" anchorCtr="0">
                        <a:noAutofit/>
                      </wps:bodyPr>
                    </wps:wsp>
                  </a:graphicData>
                </a:graphic>
              </wp:anchor>
            </w:drawing>
          </mc:Choice>
          <mc:Fallback>
            <w:pict>
              <v:shape w14:anchorId="458EDB17" id="_x0000_s1029" type="#_x0000_t202" style="position:absolute;left:0;text-align:left;margin-left:155.25pt;margin-top:98.4pt;width:19.5pt;height: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" strokecolor="window">
                <v:textbox>
                  <w:txbxContent>
                    <w:p w:rsidR="00A97F9D" w:rsidRDefault="00A97F9D">
                      <w:pPr>
                        <w:rPr>
                          <w:sz w:val="24"/>
                          <w:szCs w:val="24"/>
                        </w:rPr>
                      </w:pPr>
                    </w:p>
                  </w:txbxContent>
                </v:textbox>
              </v:shape>
            </w:pict>
          </mc:Fallback>
        </mc:AlternateContent>
      </w:r>
      <w:r w:rsidR="009E2BF9" w:rsidRPr="009E2BF9">
        <w:rPr>
          <w:rFonts w:ascii="Book Antiqua" w:hAnsi="Book Antiqua" w:cs="Times New Roman"/>
          <w:noProof/>
          <w:sz w:val="24"/>
          <w:szCs w:val="24"/>
        </w:rPr>
        <mc:AlternateContent>
          <mc:Choice Requires="wps">
            <w:drawing>
              <wp:anchor distT="0" distB="0" distL="114300" distR="114300" simplePos="0" relativeHeight="251663360" behindDoc="0" locked="0" layoutInCell="1" allowOverlap="1" wp14:anchorId="5326F599" wp14:editId="18A8C461">
                <wp:simplePos x="0" y="0"/>
                <wp:positionH relativeFrom="column">
                  <wp:posOffset>2428240</wp:posOffset>
                </wp:positionH>
                <wp:positionV relativeFrom="paragraph">
                  <wp:posOffset>1440180</wp:posOffset>
                </wp:positionV>
                <wp:extent cx="295275" cy="209550"/>
                <wp:effectExtent l="0" t="0" r="28575" b="19050"/>
                <wp:wrapNone/>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5275" cy="209550"/>
                        </a:xfrm>
                        <a:prstGeom prst="rect">
                          <a:avLst/>
                        </a:prstGeom>
                        <a:solidFill>
                          <a:srgbClr val="FFFFFF"/>
                        </a:solidFill>
                        <a:ln w="9525">
                          <a:solidFill>
                            <a:sysClr val="window" lastClr="FFFFFF"/>
                          </a:solidFill>
                          <a:miter lim="800000"/>
                        </a:ln>
                      </wps:spPr>
                      <wps:txbx>
                        <w:txbxContent>
                          <w:p w:rsidR="00A97F9D" w:rsidRDefault="00A97F9D">
                            <w:pPr>
                              <w:rPr>
                                <w:sz w:val="24"/>
                                <w:szCs w:val="24"/>
                              </w:rPr>
                            </w:pPr>
                            <w:r>
                              <w:rPr>
                                <w:rFonts w:hint="eastAsia"/>
                                <w:sz w:val="24"/>
                                <w:szCs w:val="24"/>
                              </w:rPr>
                              <w:t xml:space="preserve">  </w:t>
                            </w:r>
                          </w:p>
                        </w:txbxContent>
                      </wps:txbx>
                      <wps:bodyPr rot="0" vert="horz" wrap="square" lIns="91440" tIns="45720" rIns="91440" bIns="45720" anchor="t" anchorCtr="0">
                        <a:noAutofit/>
                      </wps:bodyPr>
                    </wps:wsp>
                  </a:graphicData>
                </a:graphic>
              </wp:anchor>
            </w:drawing>
          </mc:Choice>
          <mc:Fallback>
            <w:pict>
              <v:shape w14:anchorId="5326F599" id="_x0000_s1030" type="#_x0000_t202" style="position:absolute;left:0;text-align:left;margin-left:191.2pt;margin-top:113.4pt;width:23.25pt;height:16.5pt;flip:x;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" strokecolor="window">
                <v:textbox>
                  <w:txbxContent>
                    <w:p w:rsidR="00A97F9D" w:rsidRDefault="00A97F9D">
                      <w:pPr>
                        <w:rPr>
                          <w:sz w:val="24"/>
                          <w:szCs w:val="24"/>
                        </w:rPr>
                      </w:pPr>
                      <w:r>
                        <w:rPr>
                          <w:rFonts w:hint="eastAsia"/>
                          <w:sz w:val="24"/>
                          <w:szCs w:val="24"/>
                        </w:rPr>
                        <w:t xml:space="preserve">  </w:t>
                      </w:r>
                    </w:p>
                  </w:txbxContent>
                </v:textbox>
              </v:shape>
            </w:pict>
          </mc:Fallback>
        </mc:AlternateContent>
      </w:r>
      <w:r w:rsidR="009E2BF9" w:rsidRPr="009E2BF9">
        <w:rPr>
          <w:rFonts w:ascii="Book Antiqua" w:hAnsi="Book Antiqua" w:cs="Times New Roman"/>
          <w:noProof/>
          <w:sz w:val="24"/>
          <w:szCs w:val="24"/>
        </w:rPr>
        <w:drawing>
          <wp:inline distT="0" distB="0" distL="0" distR="0" wp14:anchorId="1D826FE4" wp14:editId="300B4F94">
            <wp:extent cx="5274310" cy="5661025"/>
            <wp:effectExtent l="0" t="0" r="2540" b="0"/>
            <wp:docPr id="3" name="图片 3" descr="C:\Users\Administrator\Desktop\百里醌英文\图3\未标题-1副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百里醌英文\图3\未标题-1副本.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5661198"/>
                    </a:xfrm>
                    <a:prstGeom prst="rect">
                      <a:avLst/>
                    </a:prstGeom>
                    <a:noFill/>
                    <a:ln>
                      <a:noFill/>
                    </a:ln>
                  </pic:spPr>
                </pic:pic>
              </a:graphicData>
            </a:graphic>
          </wp:inline>
        </w:drawing>
      </w:r>
    </w:p>
    <w:p w:rsidR="00F76EEB" w:rsidRDefault="00D60AB6" w:rsidP="001E38EA">
      <w:pPr>
        <w:adjustRightInd w:val="0"/>
        <w:snapToGrid w:val="0"/>
        <w:spacing w:line="360" w:lineRule="auto"/>
        <w:rPr>
          <w:rFonts w:ascii="Book Antiqua" w:hAnsi="Book Antiqua" w:cs="Times New Roman"/>
          <w:iCs/>
          <w:sz w:val="24"/>
          <w:szCs w:val="24"/>
        </w:rPr>
      </w:pPr>
      <w:r>
        <w:rPr>
          <w:rFonts w:ascii="Book Antiqua" w:hAnsi="Book Antiqua" w:cs="Times New Roman"/>
          <w:b/>
          <w:sz w:val="24"/>
          <w:szCs w:val="24"/>
        </w:rPr>
        <w:t>Figure</w:t>
      </w:r>
      <w:r w:rsidR="009E2BF9" w:rsidRPr="009E2BF9">
        <w:rPr>
          <w:rFonts w:ascii="Book Antiqua" w:hAnsi="Book Antiqua" w:cs="Times New Roman"/>
          <w:b/>
          <w:sz w:val="24"/>
          <w:szCs w:val="24"/>
        </w:rPr>
        <w:t xml:space="preserve"> 3</w:t>
      </w:r>
      <w:r w:rsidR="009E2BF9" w:rsidRPr="009E2BF9">
        <w:rPr>
          <w:rFonts w:ascii="Book Antiqua" w:hAnsi="Book Antiqua" w:cs="Times New Roman"/>
          <w:sz w:val="24"/>
          <w:szCs w:val="24"/>
        </w:rPr>
        <w:t xml:space="preserve"> </w:t>
      </w:r>
      <w:bookmarkStart w:id="172" w:name="OLE_LINK22"/>
      <w:bookmarkStart w:id="173" w:name="OLE_LINK23"/>
      <w:r w:rsidR="007669C4" w:rsidRPr="007669C4">
        <w:rPr>
          <w:rFonts w:ascii="Book Antiqua" w:hAnsi="Book Antiqua" w:cs="Times New Roman"/>
          <w:b/>
          <w:bCs/>
          <w:caps/>
          <w:sz w:val="24"/>
          <w:szCs w:val="24"/>
        </w:rPr>
        <w:t>t</w:t>
      </w:r>
      <w:r w:rsidR="007669C4" w:rsidRPr="007669C4">
        <w:rPr>
          <w:rFonts w:ascii="Book Antiqua" w:hAnsi="Book Antiqua" w:cs="Times New Roman"/>
          <w:b/>
          <w:bCs/>
          <w:sz w:val="24"/>
          <w:szCs w:val="24"/>
        </w:rPr>
        <w:t xml:space="preserve">hymoquinone </w:t>
      </w:r>
      <w:r w:rsidR="009E2BF9" w:rsidRPr="007669C4">
        <w:rPr>
          <w:rFonts w:ascii="Book Antiqua" w:hAnsi="Book Antiqua" w:cs="Times New Roman"/>
          <w:b/>
          <w:iCs/>
          <w:sz w:val="24"/>
          <w:szCs w:val="24"/>
        </w:rPr>
        <w:t>suppresses</w:t>
      </w:r>
      <w:bookmarkEnd w:id="172"/>
      <w:bookmarkEnd w:id="173"/>
      <w:r w:rsidR="009E2BF9" w:rsidRPr="007669C4">
        <w:rPr>
          <w:rFonts w:ascii="Book Antiqua" w:hAnsi="Book Antiqua" w:cs="Times New Roman"/>
          <w:b/>
          <w:iCs/>
          <w:sz w:val="24"/>
          <w:szCs w:val="24"/>
        </w:rPr>
        <w:t xml:space="preserve"> STAT3-dependent reporter gene expression and activates caspase activity.</w:t>
      </w:r>
      <w:r w:rsidR="009E2BF9" w:rsidRPr="009E2BF9">
        <w:rPr>
          <w:rFonts w:ascii="Book Antiqua" w:hAnsi="Book Antiqua" w:cs="Times New Roman"/>
          <w:b/>
          <w:iCs/>
          <w:sz w:val="24"/>
          <w:szCs w:val="24"/>
        </w:rPr>
        <w:t xml:space="preserve"> </w:t>
      </w:r>
      <w:r w:rsidR="00260802">
        <w:rPr>
          <w:rFonts w:ascii="Book Antiqua" w:hAnsi="Book Antiqua" w:cs="Times New Roman"/>
          <w:iCs/>
          <w:sz w:val="24"/>
          <w:szCs w:val="24"/>
        </w:rPr>
        <w:t>A</w:t>
      </w:r>
      <w:r w:rsidR="00260802">
        <w:rPr>
          <w:rFonts w:ascii="Book Antiqua" w:hAnsi="Book Antiqua" w:cs="Times New Roman" w:hint="eastAsia"/>
          <w:iCs/>
          <w:sz w:val="24"/>
          <w:szCs w:val="24"/>
        </w:rPr>
        <w:t>:</w:t>
      </w:r>
      <w:r w:rsidR="009E2BF9" w:rsidRPr="009E2BF9">
        <w:rPr>
          <w:rFonts w:ascii="Book Antiqua" w:hAnsi="Book Antiqua" w:cs="Times New Roman"/>
          <w:iCs/>
          <w:sz w:val="24"/>
          <w:szCs w:val="24"/>
        </w:rPr>
        <w:t xml:space="preserve"> </w:t>
      </w:r>
      <w:r w:rsidR="00A97F9D" w:rsidRPr="00A97F9D">
        <w:rPr>
          <w:rFonts w:ascii="Book Antiqua" w:hAnsi="Book Antiqua" w:cs="Times New Roman"/>
          <w:bCs/>
          <w:caps/>
          <w:sz w:val="24"/>
          <w:szCs w:val="24"/>
        </w:rPr>
        <w:t>t</w:t>
      </w:r>
      <w:r w:rsidR="00A97F9D" w:rsidRPr="00A97F9D">
        <w:rPr>
          <w:rFonts w:ascii="Book Antiqua" w:hAnsi="Book Antiqua" w:cs="Times New Roman"/>
          <w:bCs/>
          <w:sz w:val="24"/>
          <w:szCs w:val="24"/>
        </w:rPr>
        <w:t>hymoquinone</w:t>
      </w:r>
      <w:r w:rsidR="00A97F9D" w:rsidRPr="007669C4">
        <w:rPr>
          <w:rFonts w:ascii="Book Antiqua" w:hAnsi="Book Antiqua" w:cs="Times New Roman"/>
          <w:b/>
          <w:bCs/>
          <w:sz w:val="24"/>
          <w:szCs w:val="24"/>
        </w:rPr>
        <w:t xml:space="preserve"> </w:t>
      </w:r>
      <w:r w:rsidR="00A97F9D">
        <w:rPr>
          <w:rFonts w:ascii="Book Antiqua" w:hAnsi="Book Antiqua" w:cs="Times New Roman" w:hint="eastAsia"/>
          <w:b/>
          <w:bCs/>
          <w:sz w:val="24"/>
          <w:szCs w:val="24"/>
        </w:rPr>
        <w:t>(</w:t>
      </w:r>
      <w:r w:rsidR="009E2BF9" w:rsidRPr="009E2BF9">
        <w:rPr>
          <w:rFonts w:ascii="Book Antiqua" w:hAnsi="Book Antiqua" w:cs="Times New Roman"/>
          <w:iCs/>
          <w:sz w:val="24"/>
          <w:szCs w:val="24"/>
        </w:rPr>
        <w:t>TQ</w:t>
      </w:r>
      <w:r w:rsidR="00A97F9D">
        <w:rPr>
          <w:rFonts w:ascii="Book Antiqua" w:hAnsi="Book Antiqua" w:cs="Times New Roman" w:hint="eastAsia"/>
          <w:iCs/>
          <w:sz w:val="24"/>
          <w:szCs w:val="24"/>
        </w:rPr>
        <w:t>)</w:t>
      </w:r>
      <w:r w:rsidR="009E2BF9" w:rsidRPr="009E2BF9">
        <w:rPr>
          <w:rFonts w:ascii="Book Antiqua" w:hAnsi="Book Antiqua" w:cs="Times New Roman"/>
          <w:iCs/>
          <w:sz w:val="24"/>
          <w:szCs w:val="24"/>
        </w:rPr>
        <w:t xml:space="preserve"> suppresses STAT3 transcriptional activity. HGC27 cells (1</w:t>
      </w:r>
      <w:r w:rsidR="00260802">
        <w:rPr>
          <w:rFonts w:ascii="Book Antiqua" w:hAnsi="Book Antiqua" w:cs="Times New Roman" w:hint="eastAsia"/>
          <w:iCs/>
          <w:sz w:val="24"/>
          <w:szCs w:val="24"/>
        </w:rPr>
        <w:t xml:space="preserve"> </w:t>
      </w:r>
      <w:r w:rsidR="009E2BF9" w:rsidRPr="009E2BF9">
        <w:rPr>
          <w:rFonts w:ascii="Book Antiqua" w:hAnsi="Book Antiqua" w:cs="Times New Roman"/>
          <w:iCs/>
          <w:sz w:val="24"/>
          <w:szCs w:val="24"/>
        </w:rPr>
        <w:t>×</w:t>
      </w:r>
      <w:r w:rsidR="00260802">
        <w:rPr>
          <w:rFonts w:ascii="Book Antiqua" w:hAnsi="Book Antiqua" w:cs="Times New Roman" w:hint="eastAsia"/>
          <w:iCs/>
          <w:sz w:val="24"/>
          <w:szCs w:val="24"/>
        </w:rPr>
        <w:t xml:space="preserve"> </w:t>
      </w:r>
      <w:r w:rsidR="009E2BF9" w:rsidRPr="009E2BF9">
        <w:rPr>
          <w:rFonts w:ascii="Book Antiqua" w:hAnsi="Book Antiqua" w:cs="Times New Roman"/>
          <w:iCs/>
          <w:sz w:val="24"/>
          <w:szCs w:val="24"/>
        </w:rPr>
        <w:t>10</w:t>
      </w:r>
      <w:r w:rsidR="009E2BF9" w:rsidRPr="009E2BF9">
        <w:rPr>
          <w:rFonts w:ascii="Book Antiqua" w:hAnsi="Book Antiqua" w:cs="Times New Roman"/>
          <w:iCs/>
          <w:sz w:val="24"/>
          <w:szCs w:val="24"/>
          <w:vertAlign w:val="superscript"/>
        </w:rPr>
        <w:t>6</w:t>
      </w:r>
      <w:r w:rsidR="009E2BF9" w:rsidRPr="009E2BF9">
        <w:rPr>
          <w:rFonts w:ascii="Book Antiqua" w:hAnsi="Book Antiqua" w:cs="Times New Roman"/>
          <w:iCs/>
          <w:sz w:val="24"/>
          <w:szCs w:val="24"/>
        </w:rPr>
        <w:t>/m</w:t>
      </w:r>
      <w:r w:rsidR="009E2BF9" w:rsidRPr="00260802">
        <w:rPr>
          <w:rFonts w:ascii="Book Antiqua" w:hAnsi="Book Antiqua" w:cs="Times New Roman"/>
          <w:iCs/>
          <w:caps/>
          <w:sz w:val="24"/>
          <w:szCs w:val="24"/>
        </w:rPr>
        <w:t>l</w:t>
      </w:r>
      <w:r w:rsidR="009E2BF9" w:rsidRPr="009E2BF9">
        <w:rPr>
          <w:rFonts w:ascii="Book Antiqua" w:hAnsi="Book Antiqua" w:cs="Times New Roman"/>
          <w:iCs/>
          <w:sz w:val="24"/>
          <w:szCs w:val="24"/>
        </w:rPr>
        <w:t xml:space="preserve">) were transfected with STAT3-luciferase (STAT3-Luc) plasmid, incubated for 24 h and treated with 25, 50 and 75 </w:t>
      </w:r>
      <w:bookmarkStart w:id="174" w:name="OLE_LINK26"/>
      <w:bookmarkStart w:id="175" w:name="OLE_LINK27"/>
      <w:r w:rsidR="009E2BF9" w:rsidRPr="009E2BF9">
        <w:rPr>
          <w:rFonts w:ascii="Book Antiqua" w:hAnsi="Book Antiqua" w:cs="Times New Roman"/>
          <w:iCs/>
          <w:sz w:val="24"/>
          <w:szCs w:val="24"/>
        </w:rPr>
        <w:t>μ</w:t>
      </w:r>
      <w:bookmarkEnd w:id="174"/>
      <w:bookmarkEnd w:id="175"/>
      <w:r w:rsidR="00260802">
        <w:rPr>
          <w:rFonts w:ascii="Book Antiqua" w:hAnsi="Book Antiqua" w:cs="Times New Roman" w:hint="eastAsia"/>
          <w:iCs/>
          <w:sz w:val="24"/>
          <w:szCs w:val="24"/>
        </w:rPr>
        <w:t>mol/L</w:t>
      </w:r>
      <w:r w:rsidR="009E2BF9" w:rsidRPr="009E2BF9">
        <w:rPr>
          <w:rFonts w:ascii="Book Antiqua" w:hAnsi="Book Antiqua" w:cs="Times New Roman"/>
          <w:iCs/>
          <w:sz w:val="24"/>
          <w:szCs w:val="24"/>
        </w:rPr>
        <w:t xml:space="preserve"> TQ for 24 h. Whole-cell extracts were then prepared and analyzed for luciferase activity. The results shown are representative of three independent experiments</w:t>
      </w:r>
      <w:r w:rsidR="00A97F9D">
        <w:rPr>
          <w:rFonts w:ascii="Book Antiqua" w:hAnsi="Book Antiqua" w:cs="Times New Roman" w:hint="eastAsia"/>
          <w:iCs/>
          <w:sz w:val="24"/>
          <w:szCs w:val="24"/>
        </w:rPr>
        <w:t xml:space="preserve">; </w:t>
      </w:r>
      <w:r w:rsidR="009E2BF9" w:rsidRPr="009E2BF9">
        <w:rPr>
          <w:rFonts w:ascii="Book Antiqua" w:hAnsi="Book Antiqua" w:cs="Times New Roman"/>
          <w:iCs/>
          <w:sz w:val="24"/>
          <w:szCs w:val="24"/>
        </w:rPr>
        <w:t>B</w:t>
      </w:r>
      <w:r w:rsidR="00A97F9D">
        <w:rPr>
          <w:rFonts w:ascii="Book Antiqua" w:hAnsi="Book Antiqua" w:cs="Times New Roman" w:hint="eastAsia"/>
          <w:iCs/>
          <w:sz w:val="24"/>
          <w:szCs w:val="24"/>
        </w:rPr>
        <w:t>:</w:t>
      </w:r>
      <w:r w:rsidR="009E2BF9" w:rsidRPr="009E2BF9">
        <w:rPr>
          <w:rFonts w:ascii="Book Antiqua" w:hAnsi="Book Antiqua" w:cs="Times New Roman"/>
          <w:iCs/>
          <w:sz w:val="24"/>
          <w:szCs w:val="24"/>
        </w:rPr>
        <w:t xml:space="preserve"> TQ inhibits the expression of Cyclin D, surviving and VEGF. HGC27 cells (1</w:t>
      </w:r>
      <w:r w:rsidR="00A97F9D">
        <w:rPr>
          <w:rFonts w:ascii="Book Antiqua" w:hAnsi="Book Antiqua" w:cs="Times New Roman" w:hint="eastAsia"/>
          <w:iCs/>
          <w:sz w:val="24"/>
          <w:szCs w:val="24"/>
        </w:rPr>
        <w:t xml:space="preserve"> </w:t>
      </w:r>
      <w:r w:rsidR="009E2BF9" w:rsidRPr="009E2BF9">
        <w:rPr>
          <w:rFonts w:ascii="Book Antiqua" w:hAnsi="Book Antiqua" w:cs="Times New Roman"/>
          <w:iCs/>
          <w:sz w:val="24"/>
          <w:szCs w:val="24"/>
        </w:rPr>
        <w:t>×</w:t>
      </w:r>
      <w:r w:rsidR="00A97F9D">
        <w:rPr>
          <w:rFonts w:ascii="Book Antiqua" w:hAnsi="Book Antiqua" w:cs="Times New Roman" w:hint="eastAsia"/>
          <w:iCs/>
          <w:sz w:val="24"/>
          <w:szCs w:val="24"/>
        </w:rPr>
        <w:t xml:space="preserve"> </w:t>
      </w:r>
      <w:r w:rsidR="009E2BF9" w:rsidRPr="009E2BF9">
        <w:rPr>
          <w:rFonts w:ascii="Book Antiqua" w:hAnsi="Book Antiqua" w:cs="Times New Roman"/>
          <w:iCs/>
          <w:sz w:val="24"/>
          <w:szCs w:val="24"/>
        </w:rPr>
        <w:t>10</w:t>
      </w:r>
      <w:r w:rsidR="009E2BF9" w:rsidRPr="009E2BF9">
        <w:rPr>
          <w:rFonts w:ascii="Book Antiqua" w:hAnsi="Book Antiqua" w:cs="Times New Roman"/>
          <w:iCs/>
          <w:sz w:val="24"/>
          <w:szCs w:val="24"/>
          <w:vertAlign w:val="superscript"/>
        </w:rPr>
        <w:t>6</w:t>
      </w:r>
      <w:r w:rsidR="009E2BF9" w:rsidRPr="009E2BF9">
        <w:rPr>
          <w:rFonts w:ascii="Book Antiqua" w:hAnsi="Book Antiqua" w:cs="Times New Roman"/>
          <w:iCs/>
          <w:sz w:val="24"/>
          <w:szCs w:val="24"/>
        </w:rPr>
        <w:t>/m</w:t>
      </w:r>
      <w:r w:rsidR="009E2BF9" w:rsidRPr="00A97F9D">
        <w:rPr>
          <w:rFonts w:ascii="Book Antiqua" w:hAnsi="Book Antiqua" w:cs="Times New Roman"/>
          <w:iCs/>
          <w:caps/>
          <w:sz w:val="24"/>
          <w:szCs w:val="24"/>
        </w:rPr>
        <w:t>l</w:t>
      </w:r>
      <w:r w:rsidR="009E2BF9" w:rsidRPr="009E2BF9">
        <w:rPr>
          <w:rFonts w:ascii="Book Antiqua" w:hAnsi="Book Antiqua" w:cs="Times New Roman"/>
          <w:iCs/>
          <w:sz w:val="24"/>
          <w:szCs w:val="24"/>
        </w:rPr>
        <w:t xml:space="preserve">) were treated with the indicated concentrations of TQ for 24 h, after which Western </w:t>
      </w:r>
      <w:r w:rsidR="009E2BF9" w:rsidRPr="009E2BF9">
        <w:rPr>
          <w:rFonts w:ascii="Book Antiqua" w:hAnsi="Book Antiqua" w:cs="Times New Roman"/>
          <w:iCs/>
          <w:sz w:val="24"/>
          <w:szCs w:val="24"/>
        </w:rPr>
        <w:lastRenderedPageBreak/>
        <w:t>blotting was performed. The same blots were stripped and reprobed with the GAPDH antibody to verify equal protein loading</w:t>
      </w:r>
      <w:r w:rsidR="00A97F9D">
        <w:rPr>
          <w:rFonts w:ascii="Book Antiqua" w:hAnsi="Book Antiqua" w:cs="Times New Roman" w:hint="eastAsia"/>
          <w:iCs/>
          <w:sz w:val="24"/>
          <w:szCs w:val="24"/>
        </w:rPr>
        <w:t>;</w:t>
      </w:r>
      <w:r w:rsidR="00A97F9D">
        <w:rPr>
          <w:rFonts w:ascii="Book Antiqua" w:hAnsi="Book Antiqua" w:cs="Times New Roman"/>
          <w:iCs/>
          <w:sz w:val="24"/>
          <w:szCs w:val="24"/>
        </w:rPr>
        <w:t xml:space="preserve"> C</w:t>
      </w:r>
      <w:r w:rsidR="00A97F9D">
        <w:rPr>
          <w:rFonts w:ascii="Book Antiqua" w:hAnsi="Book Antiqua" w:cs="Times New Roman" w:hint="eastAsia"/>
          <w:iCs/>
          <w:sz w:val="24"/>
          <w:szCs w:val="24"/>
        </w:rPr>
        <w:t>:</w:t>
      </w:r>
      <w:r w:rsidR="009E2BF9" w:rsidRPr="009E2BF9">
        <w:rPr>
          <w:rFonts w:ascii="Book Antiqua" w:hAnsi="Book Antiqua" w:cs="Times New Roman"/>
          <w:iCs/>
          <w:sz w:val="24"/>
          <w:szCs w:val="24"/>
        </w:rPr>
        <w:t xml:space="preserve"> HGC27 cells (1</w:t>
      </w:r>
      <w:r w:rsidR="00A97F9D">
        <w:rPr>
          <w:rFonts w:ascii="Book Antiqua" w:hAnsi="Book Antiqua" w:cs="Times New Roman" w:hint="eastAsia"/>
          <w:iCs/>
          <w:sz w:val="24"/>
          <w:szCs w:val="24"/>
        </w:rPr>
        <w:t xml:space="preserve"> </w:t>
      </w:r>
      <w:r w:rsidR="009E2BF9" w:rsidRPr="009E2BF9">
        <w:rPr>
          <w:rFonts w:ascii="Book Antiqua" w:hAnsi="Book Antiqua" w:cs="Times New Roman"/>
          <w:iCs/>
          <w:sz w:val="24"/>
          <w:szCs w:val="24"/>
        </w:rPr>
        <w:t>×</w:t>
      </w:r>
      <w:r w:rsidR="00A97F9D">
        <w:rPr>
          <w:rFonts w:ascii="Book Antiqua" w:hAnsi="Book Antiqua" w:cs="Times New Roman" w:hint="eastAsia"/>
          <w:iCs/>
          <w:sz w:val="24"/>
          <w:szCs w:val="24"/>
        </w:rPr>
        <w:t xml:space="preserve"> </w:t>
      </w:r>
      <w:r w:rsidR="009E2BF9" w:rsidRPr="009E2BF9">
        <w:rPr>
          <w:rFonts w:ascii="Book Antiqua" w:hAnsi="Book Antiqua" w:cs="Times New Roman"/>
          <w:iCs/>
          <w:sz w:val="24"/>
          <w:szCs w:val="24"/>
        </w:rPr>
        <w:t>10</w:t>
      </w:r>
      <w:r w:rsidR="009E2BF9" w:rsidRPr="009E2BF9">
        <w:rPr>
          <w:rFonts w:ascii="Book Antiqua" w:hAnsi="Book Antiqua" w:cs="Times New Roman"/>
          <w:iCs/>
          <w:sz w:val="24"/>
          <w:szCs w:val="24"/>
          <w:vertAlign w:val="superscript"/>
        </w:rPr>
        <w:t>6</w:t>
      </w:r>
      <w:r w:rsidR="009E2BF9" w:rsidRPr="009E2BF9">
        <w:rPr>
          <w:rFonts w:ascii="Book Antiqua" w:hAnsi="Book Antiqua" w:cs="Times New Roman"/>
          <w:iCs/>
          <w:sz w:val="24"/>
          <w:szCs w:val="24"/>
        </w:rPr>
        <w:t>/m</w:t>
      </w:r>
      <w:r w:rsidR="009E2BF9" w:rsidRPr="00A97F9D">
        <w:rPr>
          <w:rFonts w:ascii="Book Antiqua" w:hAnsi="Book Antiqua" w:cs="Times New Roman"/>
          <w:iCs/>
          <w:caps/>
          <w:sz w:val="24"/>
          <w:szCs w:val="24"/>
        </w:rPr>
        <w:t>l</w:t>
      </w:r>
      <w:r w:rsidR="009E2BF9" w:rsidRPr="009E2BF9">
        <w:rPr>
          <w:rFonts w:ascii="Book Antiqua" w:hAnsi="Book Antiqua" w:cs="Times New Roman"/>
          <w:iCs/>
          <w:sz w:val="24"/>
          <w:szCs w:val="24"/>
        </w:rPr>
        <w:t>) were treated with the indicated concentrations of TQ for 24 h, and whole-cell extracts were prepared, separated by SDS–PAGE and subjected to Western blot against Bcl-2, Bax, PARP antibody. The same blot was stripped and reprobed with GAPDH antibody to show equal protein loading</w:t>
      </w:r>
      <w:r w:rsidR="00F76EEB">
        <w:rPr>
          <w:rFonts w:ascii="Book Antiqua" w:hAnsi="Book Antiqua" w:cs="Times New Roman" w:hint="eastAsia"/>
          <w:iCs/>
          <w:sz w:val="24"/>
          <w:szCs w:val="24"/>
        </w:rPr>
        <w:t>;</w:t>
      </w:r>
      <w:r w:rsidR="009E2BF9" w:rsidRPr="009E2BF9">
        <w:rPr>
          <w:rFonts w:ascii="Book Antiqua" w:hAnsi="Book Antiqua" w:cs="Times New Roman"/>
          <w:iCs/>
          <w:sz w:val="24"/>
          <w:szCs w:val="24"/>
        </w:rPr>
        <w:t xml:space="preserve"> (</w:t>
      </w:r>
      <w:r w:rsidR="00F76EEB">
        <w:rPr>
          <w:rFonts w:ascii="Book Antiqua" w:hAnsi="Book Antiqua" w:cs="Times New Roman" w:hint="eastAsia"/>
          <w:iCs/>
          <w:sz w:val="24"/>
          <w:szCs w:val="24"/>
        </w:rPr>
        <w:t>D</w:t>
      </w:r>
      <w:r w:rsidR="009E2BF9" w:rsidRPr="009E2BF9">
        <w:rPr>
          <w:rFonts w:ascii="Book Antiqua" w:hAnsi="Book Antiqua" w:cs="Times New Roman"/>
          <w:iCs/>
          <w:sz w:val="24"/>
          <w:szCs w:val="24"/>
        </w:rPr>
        <w:t>) TQ activates caspase activity. HGC27 cells (1</w:t>
      </w:r>
      <w:r w:rsidR="00F76EEB">
        <w:rPr>
          <w:rFonts w:ascii="Book Antiqua" w:hAnsi="Book Antiqua" w:cs="Times New Roman" w:hint="eastAsia"/>
          <w:iCs/>
          <w:sz w:val="24"/>
          <w:szCs w:val="24"/>
        </w:rPr>
        <w:t xml:space="preserve"> </w:t>
      </w:r>
      <w:r w:rsidR="009E2BF9" w:rsidRPr="009E2BF9">
        <w:rPr>
          <w:rFonts w:ascii="Book Antiqua" w:hAnsi="Book Antiqua" w:cs="Times New Roman"/>
          <w:iCs/>
          <w:sz w:val="24"/>
          <w:szCs w:val="24"/>
        </w:rPr>
        <w:t>×</w:t>
      </w:r>
      <w:r w:rsidR="00F76EEB">
        <w:rPr>
          <w:rFonts w:ascii="Book Antiqua" w:hAnsi="Book Antiqua" w:cs="Times New Roman" w:hint="eastAsia"/>
          <w:iCs/>
          <w:sz w:val="24"/>
          <w:szCs w:val="24"/>
        </w:rPr>
        <w:t xml:space="preserve"> </w:t>
      </w:r>
      <w:r w:rsidR="009E2BF9" w:rsidRPr="009E2BF9">
        <w:rPr>
          <w:rFonts w:ascii="Book Antiqua" w:hAnsi="Book Antiqua" w:cs="Times New Roman"/>
          <w:iCs/>
          <w:sz w:val="24"/>
          <w:szCs w:val="24"/>
        </w:rPr>
        <w:t>10</w:t>
      </w:r>
      <w:r w:rsidR="009E2BF9" w:rsidRPr="009E2BF9">
        <w:rPr>
          <w:rFonts w:ascii="Book Antiqua" w:hAnsi="Book Antiqua" w:cs="Times New Roman"/>
          <w:iCs/>
          <w:sz w:val="24"/>
          <w:szCs w:val="24"/>
          <w:vertAlign w:val="superscript"/>
        </w:rPr>
        <w:t>6</w:t>
      </w:r>
      <w:r w:rsidR="009E2BF9" w:rsidRPr="009E2BF9">
        <w:rPr>
          <w:rFonts w:ascii="Book Antiqua" w:hAnsi="Book Antiqua" w:cs="Times New Roman"/>
          <w:iCs/>
          <w:sz w:val="24"/>
          <w:szCs w:val="24"/>
        </w:rPr>
        <w:t>/m</w:t>
      </w:r>
      <w:r w:rsidR="009E2BF9" w:rsidRPr="00F76EEB">
        <w:rPr>
          <w:rFonts w:ascii="Book Antiqua" w:hAnsi="Book Antiqua" w:cs="Times New Roman"/>
          <w:iCs/>
          <w:caps/>
          <w:sz w:val="24"/>
          <w:szCs w:val="24"/>
        </w:rPr>
        <w:t>l</w:t>
      </w:r>
      <w:r w:rsidR="009E2BF9" w:rsidRPr="009E2BF9">
        <w:rPr>
          <w:rFonts w:ascii="Book Antiqua" w:hAnsi="Book Antiqua" w:cs="Times New Roman"/>
          <w:iCs/>
          <w:sz w:val="24"/>
          <w:szCs w:val="24"/>
        </w:rPr>
        <w:t>) were treated with the indicated concentrations of TQ for 24 h, after which Western blotting was performed. The results shown are representative of three independent experiments.</w:t>
      </w:r>
      <w:r w:rsidR="00F76EEB">
        <w:rPr>
          <w:rFonts w:ascii="Book Antiqua" w:hAnsi="Book Antiqua" w:cs="Times New Roman"/>
          <w:iCs/>
          <w:sz w:val="24"/>
          <w:szCs w:val="24"/>
        </w:rPr>
        <w:br w:type="page"/>
      </w:r>
    </w:p>
    <w:p w:rsidR="00DF581C" w:rsidRPr="009E2BF9" w:rsidRDefault="00DF581C" w:rsidP="001E38EA">
      <w:pPr>
        <w:adjustRightInd w:val="0"/>
        <w:snapToGrid w:val="0"/>
        <w:spacing w:line="360" w:lineRule="auto"/>
        <w:rPr>
          <w:rFonts w:ascii="Book Antiqua" w:hAnsi="Book Antiqua" w:cs="Times New Roman"/>
          <w:iCs/>
          <w:sz w:val="24"/>
          <w:szCs w:val="24"/>
        </w:rPr>
      </w:pPr>
    </w:p>
    <w:p w:rsidR="00DF581C" w:rsidRPr="009E2BF9" w:rsidRDefault="009E2BF9" w:rsidP="001E38EA">
      <w:pPr>
        <w:adjustRightInd w:val="0"/>
        <w:snapToGrid w:val="0"/>
        <w:spacing w:line="360" w:lineRule="auto"/>
        <w:rPr>
          <w:rFonts w:ascii="Book Antiqua" w:hAnsi="Book Antiqua" w:cs="Times New Roman"/>
          <w:iCs/>
          <w:sz w:val="24"/>
          <w:szCs w:val="24"/>
        </w:rPr>
      </w:pPr>
      <w:r w:rsidRPr="009E2BF9">
        <w:rPr>
          <w:rFonts w:ascii="Book Antiqua" w:hAnsi="Book Antiqua" w:cs="Times New Roman"/>
          <w:iCs/>
          <w:noProof/>
          <w:sz w:val="24"/>
          <w:szCs w:val="24"/>
        </w:rPr>
        <w:drawing>
          <wp:inline distT="0" distB="0" distL="0" distR="0" wp14:anchorId="3CF89AC3" wp14:editId="2855F4F2">
            <wp:extent cx="3648075" cy="5524500"/>
            <wp:effectExtent l="0" t="0" r="9525" b="0"/>
            <wp:docPr id="7" name="图片 7" descr="C:\Users\Administrator\Desktop\百里醌英文\图4 MTT\未标题-12副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百里醌英文\图4 MTT\未标题-12副本.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648075" cy="5524500"/>
                    </a:xfrm>
                    <a:prstGeom prst="rect">
                      <a:avLst/>
                    </a:prstGeom>
                    <a:noFill/>
                    <a:ln>
                      <a:noFill/>
                    </a:ln>
                  </pic:spPr>
                </pic:pic>
              </a:graphicData>
            </a:graphic>
          </wp:inline>
        </w:drawing>
      </w:r>
    </w:p>
    <w:p w:rsidR="00053DC6" w:rsidRDefault="00D60AB6" w:rsidP="001E38EA">
      <w:pPr>
        <w:adjustRightInd w:val="0"/>
        <w:snapToGrid w:val="0"/>
        <w:spacing w:line="360" w:lineRule="auto"/>
        <w:rPr>
          <w:rFonts w:ascii="Book Antiqua" w:hAnsi="Book Antiqua" w:cs="Times New Roman"/>
          <w:bCs/>
          <w:sz w:val="24"/>
          <w:szCs w:val="24"/>
        </w:rPr>
      </w:pPr>
      <w:r>
        <w:rPr>
          <w:rFonts w:ascii="Book Antiqua" w:hAnsi="Book Antiqua" w:cs="Times New Roman"/>
          <w:b/>
          <w:iCs/>
          <w:sz w:val="24"/>
          <w:szCs w:val="24"/>
        </w:rPr>
        <w:t>Figure</w:t>
      </w:r>
      <w:r w:rsidR="009E2BF9" w:rsidRPr="009E2BF9">
        <w:rPr>
          <w:rFonts w:ascii="Book Antiqua" w:hAnsi="Book Antiqua" w:cs="Times New Roman"/>
          <w:b/>
          <w:iCs/>
          <w:sz w:val="24"/>
          <w:szCs w:val="24"/>
        </w:rPr>
        <w:t xml:space="preserve"> 4 </w:t>
      </w:r>
      <w:bookmarkStart w:id="176" w:name="OLE_LINK29"/>
      <w:bookmarkStart w:id="177" w:name="OLE_LINK28"/>
      <w:r w:rsidR="00F76EEB" w:rsidRPr="00F76EEB">
        <w:rPr>
          <w:rFonts w:ascii="Book Antiqua" w:hAnsi="Book Antiqua" w:cs="Times New Roman"/>
          <w:b/>
          <w:bCs/>
          <w:caps/>
          <w:sz w:val="24"/>
          <w:szCs w:val="24"/>
        </w:rPr>
        <w:t>t</w:t>
      </w:r>
      <w:r w:rsidR="00F76EEB" w:rsidRPr="00F76EEB">
        <w:rPr>
          <w:rFonts w:ascii="Book Antiqua" w:hAnsi="Book Antiqua" w:cs="Times New Roman"/>
          <w:b/>
          <w:bCs/>
          <w:sz w:val="24"/>
          <w:szCs w:val="24"/>
        </w:rPr>
        <w:t xml:space="preserve">hymoquinone </w:t>
      </w:r>
      <w:r w:rsidR="009E2BF9" w:rsidRPr="00F76EEB">
        <w:rPr>
          <w:rFonts w:ascii="Book Antiqua" w:hAnsi="Book Antiqua" w:cs="Times New Roman"/>
          <w:b/>
          <w:iCs/>
          <w:sz w:val="24"/>
          <w:szCs w:val="24"/>
        </w:rPr>
        <w:t xml:space="preserve">inhibits proliferation </w:t>
      </w:r>
      <w:r w:rsidR="009E2BF9" w:rsidRPr="00F76EEB">
        <w:rPr>
          <w:rFonts w:ascii="Book Antiqua" w:hAnsi="Book Antiqua" w:cs="Times New Roman"/>
          <w:b/>
          <w:sz w:val="24"/>
          <w:szCs w:val="24"/>
        </w:rPr>
        <w:t>in gastric cancer cells</w:t>
      </w:r>
      <w:bookmarkEnd w:id="176"/>
      <w:bookmarkEnd w:id="177"/>
      <w:r w:rsidR="009E2BF9" w:rsidRPr="00F76EEB">
        <w:rPr>
          <w:rFonts w:ascii="Book Antiqua" w:hAnsi="Book Antiqua" w:cs="Times New Roman"/>
          <w:b/>
          <w:iCs/>
          <w:sz w:val="24"/>
          <w:szCs w:val="24"/>
        </w:rPr>
        <w:t xml:space="preserve">. </w:t>
      </w:r>
      <w:r w:rsidR="00F76EEB">
        <w:rPr>
          <w:rFonts w:ascii="Book Antiqua" w:hAnsi="Book Antiqua" w:cs="Times New Roman"/>
          <w:iCs/>
          <w:sz w:val="24"/>
          <w:szCs w:val="24"/>
        </w:rPr>
        <w:t>A</w:t>
      </w:r>
      <w:r w:rsidR="00F76EEB">
        <w:rPr>
          <w:rFonts w:ascii="Book Antiqua" w:hAnsi="Book Antiqua" w:cs="Times New Roman" w:hint="eastAsia"/>
          <w:iCs/>
          <w:sz w:val="24"/>
          <w:szCs w:val="24"/>
        </w:rPr>
        <w:t>:</w:t>
      </w:r>
      <w:r w:rsidR="009E2BF9" w:rsidRPr="009E2BF9">
        <w:rPr>
          <w:rFonts w:ascii="Book Antiqua" w:hAnsi="Book Antiqua" w:cs="Times New Roman"/>
          <w:b/>
          <w:iCs/>
          <w:sz w:val="24"/>
          <w:szCs w:val="24"/>
        </w:rPr>
        <w:t xml:space="preserve"> </w:t>
      </w:r>
      <w:r w:rsidR="009E2BF9" w:rsidRPr="009E2BF9">
        <w:rPr>
          <w:rFonts w:ascii="Book Antiqua" w:hAnsi="Book Antiqua" w:cs="Times New Roman"/>
          <w:iCs/>
          <w:sz w:val="24"/>
          <w:szCs w:val="24"/>
        </w:rPr>
        <w:t>Gastric cancer cells were treated with 25 μ</w:t>
      </w:r>
      <w:r w:rsidR="00F76EEB">
        <w:rPr>
          <w:rFonts w:ascii="Book Antiqua" w:hAnsi="Book Antiqua" w:cs="Times New Roman" w:hint="eastAsia"/>
          <w:iCs/>
          <w:sz w:val="24"/>
          <w:szCs w:val="24"/>
        </w:rPr>
        <w:t>mol/L</w:t>
      </w:r>
      <w:r w:rsidR="009E2BF9" w:rsidRPr="009E2BF9">
        <w:rPr>
          <w:rFonts w:ascii="Book Antiqua" w:hAnsi="Book Antiqua" w:cs="Times New Roman"/>
          <w:iCs/>
          <w:sz w:val="24"/>
          <w:szCs w:val="24"/>
        </w:rPr>
        <w:t>, 50 μ</w:t>
      </w:r>
      <w:r w:rsidR="00F76EEB">
        <w:rPr>
          <w:rFonts w:ascii="Book Antiqua" w:hAnsi="Book Antiqua" w:cs="Times New Roman" w:hint="eastAsia"/>
          <w:iCs/>
          <w:sz w:val="24"/>
          <w:szCs w:val="24"/>
        </w:rPr>
        <w:t>mol/L</w:t>
      </w:r>
      <w:r w:rsidR="009E2BF9" w:rsidRPr="009E2BF9">
        <w:rPr>
          <w:rFonts w:ascii="Book Antiqua" w:hAnsi="Book Antiqua" w:cs="Times New Roman"/>
          <w:iCs/>
          <w:sz w:val="24"/>
          <w:szCs w:val="24"/>
        </w:rPr>
        <w:t>, or 100 μ</w:t>
      </w:r>
      <w:r w:rsidR="00F76EEB">
        <w:rPr>
          <w:rFonts w:ascii="Book Antiqua" w:hAnsi="Book Antiqua" w:cs="Times New Roman" w:hint="eastAsia"/>
          <w:iCs/>
          <w:sz w:val="24"/>
          <w:szCs w:val="24"/>
        </w:rPr>
        <w:t>mol/L</w:t>
      </w:r>
      <w:r w:rsidR="009E2BF9" w:rsidRPr="009E2BF9">
        <w:rPr>
          <w:rFonts w:ascii="Book Antiqua" w:hAnsi="Book Antiqua" w:cs="Times New Roman"/>
          <w:iCs/>
          <w:sz w:val="24"/>
          <w:szCs w:val="24"/>
        </w:rPr>
        <w:t xml:space="preserve"> TQ for 24 h, after which MTT assay was performed</w:t>
      </w:r>
      <w:r w:rsidR="00F76EEB">
        <w:rPr>
          <w:rFonts w:ascii="Book Antiqua" w:hAnsi="Book Antiqua" w:cs="Times New Roman" w:hint="eastAsia"/>
          <w:iCs/>
          <w:sz w:val="24"/>
          <w:szCs w:val="24"/>
        </w:rPr>
        <w:t>;</w:t>
      </w:r>
      <w:r w:rsidR="00F76EEB">
        <w:rPr>
          <w:rFonts w:ascii="Book Antiqua" w:hAnsi="Book Antiqua" w:cs="Times New Roman"/>
          <w:iCs/>
          <w:sz w:val="24"/>
          <w:szCs w:val="24"/>
        </w:rPr>
        <w:t xml:space="preserve"> B</w:t>
      </w:r>
      <w:r w:rsidR="00F76EEB">
        <w:rPr>
          <w:rFonts w:ascii="Book Antiqua" w:hAnsi="Book Antiqua" w:cs="Times New Roman" w:hint="eastAsia"/>
          <w:iCs/>
          <w:sz w:val="24"/>
          <w:szCs w:val="24"/>
        </w:rPr>
        <w:t>:</w:t>
      </w:r>
      <w:r w:rsidR="009E2BF9" w:rsidRPr="009E2BF9">
        <w:rPr>
          <w:rFonts w:ascii="Book Antiqua" w:hAnsi="Book Antiqua" w:cs="Times New Roman"/>
          <w:iCs/>
          <w:sz w:val="24"/>
          <w:szCs w:val="24"/>
        </w:rPr>
        <w:t xml:space="preserve"> Cells were treated with 50 μ</w:t>
      </w:r>
      <w:r w:rsidR="00F76EEB">
        <w:rPr>
          <w:rFonts w:ascii="Book Antiqua" w:hAnsi="Book Antiqua" w:cs="Times New Roman" w:hint="eastAsia"/>
          <w:iCs/>
          <w:sz w:val="24"/>
          <w:szCs w:val="24"/>
        </w:rPr>
        <w:t>mol/L</w:t>
      </w:r>
      <w:r w:rsidR="009E2BF9" w:rsidRPr="009E2BF9">
        <w:rPr>
          <w:rFonts w:ascii="Book Antiqua" w:hAnsi="Book Antiqua" w:cs="Times New Roman"/>
          <w:iCs/>
          <w:sz w:val="24"/>
          <w:szCs w:val="24"/>
        </w:rPr>
        <w:t xml:space="preserve"> TQ for 12, 24, or 36 h, after which MTT assay was performed.</w:t>
      </w:r>
      <w:r w:rsidR="00A35218">
        <w:rPr>
          <w:rFonts w:ascii="Book Antiqua" w:hAnsi="Book Antiqua" w:cs="Times New Roman" w:hint="eastAsia"/>
          <w:iCs/>
          <w:sz w:val="24"/>
          <w:szCs w:val="24"/>
        </w:rPr>
        <w:t xml:space="preserve"> </w:t>
      </w:r>
      <w:r w:rsidR="00A35218" w:rsidRPr="009E2BF9">
        <w:rPr>
          <w:rFonts w:ascii="Book Antiqua" w:hAnsi="Book Antiqua" w:cs="Times New Roman"/>
          <w:iCs/>
          <w:sz w:val="24"/>
          <w:szCs w:val="24"/>
        </w:rPr>
        <w:t>TQ</w:t>
      </w:r>
      <w:r w:rsidR="00A35218">
        <w:rPr>
          <w:rFonts w:ascii="Book Antiqua" w:hAnsi="Book Antiqua" w:cs="Times New Roman" w:hint="eastAsia"/>
          <w:iCs/>
          <w:sz w:val="24"/>
          <w:szCs w:val="24"/>
        </w:rPr>
        <w:t xml:space="preserve">: </w:t>
      </w:r>
      <w:r w:rsidR="00A35218" w:rsidRPr="00A35218">
        <w:rPr>
          <w:rFonts w:ascii="Book Antiqua" w:hAnsi="Book Antiqua" w:cs="Times New Roman"/>
          <w:bCs/>
          <w:caps/>
          <w:sz w:val="24"/>
          <w:szCs w:val="24"/>
        </w:rPr>
        <w:t>t</w:t>
      </w:r>
      <w:r w:rsidR="00A35218" w:rsidRPr="00A35218">
        <w:rPr>
          <w:rFonts w:ascii="Book Antiqua" w:hAnsi="Book Antiqua" w:cs="Times New Roman"/>
          <w:bCs/>
          <w:sz w:val="24"/>
          <w:szCs w:val="24"/>
        </w:rPr>
        <w:t>hymoquinone</w:t>
      </w:r>
      <w:r w:rsidR="00A35218">
        <w:rPr>
          <w:rFonts w:ascii="Book Antiqua" w:hAnsi="Book Antiqua" w:cs="Times New Roman" w:hint="eastAsia"/>
          <w:bCs/>
          <w:sz w:val="24"/>
          <w:szCs w:val="24"/>
        </w:rPr>
        <w:t>.</w:t>
      </w:r>
      <w:r w:rsidR="00053DC6">
        <w:rPr>
          <w:rFonts w:ascii="Book Antiqua" w:hAnsi="Book Antiqua" w:cs="Times New Roman"/>
          <w:bCs/>
          <w:sz w:val="24"/>
          <w:szCs w:val="24"/>
        </w:rPr>
        <w:br w:type="page"/>
      </w:r>
    </w:p>
    <w:p w:rsidR="00DF581C" w:rsidRPr="009E2BF9" w:rsidRDefault="00DF581C" w:rsidP="001E38EA">
      <w:pPr>
        <w:adjustRightInd w:val="0"/>
        <w:snapToGrid w:val="0"/>
        <w:spacing w:line="360" w:lineRule="auto"/>
        <w:rPr>
          <w:rFonts w:ascii="Book Antiqua" w:hAnsi="Book Antiqua" w:cs="Times New Roman"/>
          <w:iCs/>
          <w:sz w:val="24"/>
          <w:szCs w:val="24"/>
        </w:rPr>
      </w:pPr>
    </w:p>
    <w:p w:rsidR="00DF581C" w:rsidRPr="009E2BF9" w:rsidRDefault="00053DC6" w:rsidP="001E38EA">
      <w:pPr>
        <w:adjustRightInd w:val="0"/>
        <w:snapToGrid w:val="0"/>
        <w:spacing w:line="360" w:lineRule="auto"/>
        <w:rPr>
          <w:rFonts w:ascii="Book Antiqua" w:hAnsi="Book Antiqua" w:cs="Times New Roman"/>
          <w:iCs/>
          <w:sz w:val="24"/>
          <w:szCs w:val="24"/>
        </w:rPr>
      </w:pPr>
      <w:r>
        <w:rPr>
          <w:rFonts w:ascii="Book Antiqua" w:hAnsi="Book Antiqua" w:cs="Times New Roman"/>
          <w:iCs/>
          <w:noProof/>
          <w:sz w:val="24"/>
          <w:szCs w:val="24"/>
        </w:rPr>
        <mc:AlternateContent>
          <mc:Choice Requires="wps">
            <w:drawing>
              <wp:anchor distT="0" distB="0" distL="114300" distR="114300" simplePos="0" relativeHeight="251674624" behindDoc="0" locked="0" layoutInCell="1" allowOverlap="1" wp14:anchorId="04A2B40C" wp14:editId="70E1D273">
                <wp:simplePos x="0" y="0"/>
                <wp:positionH relativeFrom="column">
                  <wp:posOffset>4845050</wp:posOffset>
                </wp:positionH>
                <wp:positionV relativeFrom="paragraph">
                  <wp:posOffset>3234055</wp:posOffset>
                </wp:positionV>
                <wp:extent cx="285750" cy="301625"/>
                <wp:effectExtent l="0" t="0" r="19050" b="22225"/>
                <wp:wrapNone/>
                <wp:docPr id="14" name="文本框 14"/>
                <wp:cNvGraphicFramePr/>
                <a:graphic xmlns:a="http://schemas.openxmlformats.org/drawingml/2006/main">
                  <a:graphicData uri="http://schemas.microsoft.com/office/word/2010/wordprocessingShape">
                    <wps:wsp>
                      <wps:cNvSpPr txBox="1"/>
                      <wps:spPr>
                        <a:xfrm>
                          <a:off x="0" y="0"/>
                          <a:ext cx="285750" cy="301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DC6" w:rsidRDefault="00053DC6" w:rsidP="00053DC6">
                            <w:r>
                              <w:rPr>
                                <w:rFonts w:hint="eastAsia"/>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A2B40C" id="文本框 14" o:spid="_x0000_s1031" type="#_x0000_t202" style="position:absolute;left:0;text-align:left;margin-left:381.5pt;margin-top:254.65pt;width:22.5pt;height:23.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" fillcolor="white [3201]" strokeweight=".5pt">
                <v:textbox>
                  <w:txbxContent>
                    <w:p w:rsidR="00053DC6" w:rsidRDefault="00053DC6" w:rsidP="00053DC6">
                      <w:r>
                        <w:rPr>
                          <w:rFonts w:hint="eastAsia"/>
                        </w:rPr>
                        <w:t>c</w:t>
                      </w:r>
                    </w:p>
                  </w:txbxContent>
                </v:textbox>
              </v:shape>
            </w:pict>
          </mc:Fallback>
        </mc:AlternateContent>
      </w:r>
      <w:r>
        <w:rPr>
          <w:rFonts w:ascii="Book Antiqua" w:hAnsi="Book Antiqua" w:cs="Times New Roman"/>
          <w:iCs/>
          <w:noProof/>
          <w:sz w:val="24"/>
          <w:szCs w:val="24"/>
        </w:rPr>
        <mc:AlternateContent>
          <mc:Choice Requires="wps">
            <w:drawing>
              <wp:anchor distT="0" distB="0" distL="114300" distR="114300" simplePos="0" relativeHeight="251672576" behindDoc="0" locked="0" layoutInCell="1" allowOverlap="1" wp14:anchorId="2253786B" wp14:editId="773F7743">
                <wp:simplePos x="0" y="0"/>
                <wp:positionH relativeFrom="column">
                  <wp:posOffset>4264660</wp:posOffset>
                </wp:positionH>
                <wp:positionV relativeFrom="paragraph">
                  <wp:posOffset>3472180</wp:posOffset>
                </wp:positionV>
                <wp:extent cx="285750" cy="301625"/>
                <wp:effectExtent l="0" t="0" r="19050" b="22225"/>
                <wp:wrapNone/>
                <wp:docPr id="13" name="文本框 13"/>
                <wp:cNvGraphicFramePr/>
                <a:graphic xmlns:a="http://schemas.openxmlformats.org/drawingml/2006/main">
                  <a:graphicData uri="http://schemas.microsoft.com/office/word/2010/wordprocessingShape">
                    <wps:wsp>
                      <wps:cNvSpPr txBox="1"/>
                      <wps:spPr>
                        <a:xfrm>
                          <a:off x="0" y="0"/>
                          <a:ext cx="285750" cy="301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DC6" w:rsidRDefault="00053DC6" w:rsidP="00053DC6">
                            <w:r>
                              <w:rPr>
                                <w:rFonts w:hint="eastAsia"/>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53786B" id="文本框 13" o:spid="_x0000_s1032" type="#_x0000_t202" style="position:absolute;left:0;text-align:left;margin-left:335.8pt;margin-top:273.4pt;width:22.5pt;height:23.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" fillcolor="white [3201]" strokeweight=".5pt">
                <v:textbox>
                  <w:txbxContent>
                    <w:p w:rsidR="00053DC6" w:rsidRDefault="00053DC6" w:rsidP="00053DC6">
                      <w:r>
                        <w:rPr>
                          <w:rFonts w:hint="eastAsia"/>
                        </w:rPr>
                        <w:t>c</w:t>
                      </w:r>
                    </w:p>
                  </w:txbxContent>
                </v:textbox>
              </v:shape>
            </w:pict>
          </mc:Fallback>
        </mc:AlternateContent>
      </w:r>
      <w:r>
        <w:rPr>
          <w:rFonts w:ascii="Book Antiqua" w:hAnsi="Book Antiqua" w:cs="Times New Roman"/>
          <w:iCs/>
          <w:noProof/>
          <w:sz w:val="24"/>
          <w:szCs w:val="24"/>
        </w:rPr>
        <mc:AlternateContent>
          <mc:Choice Requires="wps">
            <w:drawing>
              <wp:anchor distT="0" distB="0" distL="114300" distR="114300" simplePos="0" relativeHeight="251670528" behindDoc="0" locked="0" layoutInCell="1" allowOverlap="1" wp14:anchorId="58CF2FBD" wp14:editId="1F673CCE">
                <wp:simplePos x="0" y="0"/>
                <wp:positionH relativeFrom="column">
                  <wp:posOffset>2173605</wp:posOffset>
                </wp:positionH>
                <wp:positionV relativeFrom="paragraph">
                  <wp:posOffset>3171190</wp:posOffset>
                </wp:positionV>
                <wp:extent cx="285750" cy="301625"/>
                <wp:effectExtent l="0" t="0" r="19050" b="22225"/>
                <wp:wrapNone/>
                <wp:docPr id="12" name="文本框 12"/>
                <wp:cNvGraphicFramePr/>
                <a:graphic xmlns:a="http://schemas.openxmlformats.org/drawingml/2006/main">
                  <a:graphicData uri="http://schemas.microsoft.com/office/word/2010/wordprocessingShape">
                    <wps:wsp>
                      <wps:cNvSpPr txBox="1"/>
                      <wps:spPr>
                        <a:xfrm>
                          <a:off x="0" y="0"/>
                          <a:ext cx="285750" cy="301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DC6" w:rsidRDefault="00053DC6" w:rsidP="00053DC6">
                            <w:r>
                              <w:rPr>
                                <w:rFonts w:hint="eastAsia"/>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CF2FBD" id="文本框 12" o:spid="_x0000_s1033" type="#_x0000_t202" style="position:absolute;left:0;text-align:left;margin-left:171.15pt;margin-top:249.7pt;width:22.5pt;height:23.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" fillcolor="white [3201]" strokeweight=".5pt">
                <v:textbox>
                  <w:txbxContent>
                    <w:p w:rsidR="00053DC6" w:rsidRDefault="00053DC6" w:rsidP="00053DC6">
                      <w:r>
                        <w:rPr>
                          <w:rFonts w:hint="eastAsia"/>
                        </w:rPr>
                        <w:t>c</w:t>
                      </w:r>
                    </w:p>
                  </w:txbxContent>
                </v:textbox>
              </v:shape>
            </w:pict>
          </mc:Fallback>
        </mc:AlternateContent>
      </w:r>
      <w:r>
        <w:rPr>
          <w:rFonts w:ascii="Book Antiqua" w:hAnsi="Book Antiqua" w:cs="Times New Roman"/>
          <w:iCs/>
          <w:noProof/>
          <w:sz w:val="24"/>
          <w:szCs w:val="24"/>
        </w:rPr>
        <mc:AlternateContent>
          <mc:Choice Requires="wps">
            <w:drawing>
              <wp:anchor distT="0" distB="0" distL="114300" distR="114300" simplePos="0" relativeHeight="251668480" behindDoc="0" locked="0" layoutInCell="1" allowOverlap="1" wp14:anchorId="569467D4" wp14:editId="16600450">
                <wp:simplePos x="0" y="0"/>
                <wp:positionH relativeFrom="column">
                  <wp:posOffset>1632005</wp:posOffset>
                </wp:positionH>
                <wp:positionV relativeFrom="paragraph">
                  <wp:posOffset>3471738</wp:posOffset>
                </wp:positionV>
                <wp:extent cx="286247" cy="301763"/>
                <wp:effectExtent l="0" t="0" r="19050" b="22225"/>
                <wp:wrapNone/>
                <wp:docPr id="11" name="文本框 11"/>
                <wp:cNvGraphicFramePr/>
                <a:graphic xmlns:a="http://schemas.openxmlformats.org/drawingml/2006/main">
                  <a:graphicData uri="http://schemas.microsoft.com/office/word/2010/wordprocessingShape">
                    <wps:wsp>
                      <wps:cNvSpPr txBox="1"/>
                      <wps:spPr>
                        <a:xfrm>
                          <a:off x="0" y="0"/>
                          <a:ext cx="286247" cy="3017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DC6" w:rsidRDefault="00053DC6">
                            <w:r>
                              <w:rPr>
                                <w:rFonts w:hint="eastAsia"/>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9467D4" id="文本框 11" o:spid="_x0000_s1034" type="#_x0000_t202" style="position:absolute;left:0;text-align:left;margin-left:128.5pt;margin-top:273.35pt;width:22.55pt;height:23.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" fillcolor="white [3201]" strokeweight=".5pt">
                <v:textbox>
                  <w:txbxContent>
                    <w:p w:rsidR="00053DC6" w:rsidRDefault="00053DC6">
                      <w:r>
                        <w:rPr>
                          <w:rFonts w:hint="eastAsia"/>
                        </w:rPr>
                        <w:t>c</w:t>
                      </w:r>
                    </w:p>
                  </w:txbxContent>
                </v:textbox>
              </v:shape>
            </w:pict>
          </mc:Fallback>
        </mc:AlternateContent>
      </w:r>
      <w:r w:rsidR="009E2BF9" w:rsidRPr="009E2BF9">
        <w:rPr>
          <w:rFonts w:ascii="Book Antiqua" w:hAnsi="Book Antiqua" w:cs="Times New Roman"/>
          <w:iCs/>
          <w:noProof/>
          <w:sz w:val="24"/>
          <w:szCs w:val="24"/>
        </w:rPr>
        <w:drawing>
          <wp:inline distT="0" distB="0" distL="0" distR="0" wp14:anchorId="7C9231CC" wp14:editId="0F8D5CEB">
            <wp:extent cx="5274310" cy="5143500"/>
            <wp:effectExtent l="0" t="0" r="2540" b="0"/>
            <wp:docPr id="8" name="图片 8" descr="C:\Users\Administrator\Desktop\百里醌英文\图5 凋亡\未标题-1副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百里醌英文\图5 凋亡\未标题-1副本.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5144080"/>
                    </a:xfrm>
                    <a:prstGeom prst="rect">
                      <a:avLst/>
                    </a:prstGeom>
                    <a:noFill/>
                    <a:ln>
                      <a:noFill/>
                    </a:ln>
                  </pic:spPr>
                </pic:pic>
              </a:graphicData>
            </a:graphic>
          </wp:inline>
        </w:drawing>
      </w:r>
    </w:p>
    <w:p w:rsidR="00AC42F7" w:rsidRDefault="00D60AB6" w:rsidP="001E38EA">
      <w:pPr>
        <w:adjustRightInd w:val="0"/>
        <w:snapToGrid w:val="0"/>
        <w:spacing w:line="360" w:lineRule="auto"/>
        <w:rPr>
          <w:rFonts w:ascii="Book Antiqua" w:hAnsi="Book Antiqua" w:cs="Times New Roman"/>
          <w:bCs/>
          <w:sz w:val="24"/>
          <w:szCs w:val="24"/>
        </w:rPr>
      </w:pPr>
      <w:r>
        <w:rPr>
          <w:rFonts w:ascii="Book Antiqua" w:hAnsi="Book Antiqua" w:cs="Times New Roman"/>
          <w:b/>
          <w:iCs/>
          <w:sz w:val="24"/>
          <w:szCs w:val="24"/>
        </w:rPr>
        <w:t>Figure</w:t>
      </w:r>
      <w:r w:rsidR="009E2BF9" w:rsidRPr="009E2BF9">
        <w:rPr>
          <w:rFonts w:ascii="Book Antiqua" w:hAnsi="Book Antiqua" w:cs="Times New Roman"/>
          <w:b/>
          <w:iCs/>
          <w:sz w:val="24"/>
          <w:szCs w:val="24"/>
        </w:rPr>
        <w:t xml:space="preserve"> 5 </w:t>
      </w:r>
      <w:r w:rsidR="00053DC6" w:rsidRPr="00053DC6">
        <w:rPr>
          <w:rFonts w:ascii="Book Antiqua" w:hAnsi="Book Antiqua" w:cs="Times New Roman"/>
          <w:b/>
          <w:bCs/>
          <w:caps/>
          <w:sz w:val="24"/>
          <w:szCs w:val="24"/>
        </w:rPr>
        <w:t>t</w:t>
      </w:r>
      <w:r w:rsidR="00053DC6" w:rsidRPr="00053DC6">
        <w:rPr>
          <w:rFonts w:ascii="Book Antiqua" w:hAnsi="Book Antiqua" w:cs="Times New Roman"/>
          <w:b/>
          <w:bCs/>
          <w:sz w:val="24"/>
          <w:szCs w:val="24"/>
        </w:rPr>
        <w:t xml:space="preserve">hymoquinone </w:t>
      </w:r>
      <w:r w:rsidR="009E2BF9" w:rsidRPr="00053DC6">
        <w:rPr>
          <w:rFonts w:ascii="Book Antiqua" w:hAnsi="Book Antiqua" w:cs="Times New Roman"/>
          <w:b/>
          <w:iCs/>
          <w:sz w:val="24"/>
          <w:szCs w:val="24"/>
        </w:rPr>
        <w:t>induces apoptosis in HGC27 cells.</w:t>
      </w:r>
      <w:r w:rsidR="009E2BF9" w:rsidRPr="009E2BF9">
        <w:rPr>
          <w:rFonts w:ascii="Book Antiqua" w:hAnsi="Book Antiqua" w:cs="Times New Roman"/>
          <w:b/>
          <w:iCs/>
          <w:sz w:val="24"/>
          <w:szCs w:val="24"/>
        </w:rPr>
        <w:t xml:space="preserve"> </w:t>
      </w:r>
      <w:r w:rsidR="00053DC6">
        <w:rPr>
          <w:rFonts w:ascii="Book Antiqua" w:hAnsi="Book Antiqua" w:cs="Times New Roman"/>
          <w:iCs/>
          <w:sz w:val="24"/>
          <w:szCs w:val="24"/>
        </w:rPr>
        <w:t>A</w:t>
      </w:r>
      <w:r w:rsidR="00053DC6">
        <w:rPr>
          <w:rFonts w:ascii="Book Antiqua" w:hAnsi="Book Antiqua" w:cs="Times New Roman" w:hint="eastAsia"/>
          <w:iCs/>
          <w:sz w:val="24"/>
          <w:szCs w:val="24"/>
        </w:rPr>
        <w:t>:</w:t>
      </w:r>
      <w:r w:rsidR="009E2BF9" w:rsidRPr="009E2BF9">
        <w:rPr>
          <w:rFonts w:ascii="Book Antiqua" w:hAnsi="Book Antiqua" w:cs="Times New Roman"/>
          <w:iCs/>
          <w:sz w:val="24"/>
          <w:szCs w:val="24"/>
        </w:rPr>
        <w:t xml:space="preserve"> Detection of apoptosis </w:t>
      </w:r>
      <w:r w:rsidR="009E2BF9" w:rsidRPr="00053DC6">
        <w:rPr>
          <w:rFonts w:ascii="Book Antiqua" w:hAnsi="Book Antiqua" w:cs="Times New Roman"/>
          <w:i/>
          <w:iCs/>
          <w:sz w:val="24"/>
          <w:szCs w:val="24"/>
        </w:rPr>
        <w:t>via</w:t>
      </w:r>
      <w:r w:rsidR="009E2BF9" w:rsidRPr="009E2BF9">
        <w:rPr>
          <w:rFonts w:ascii="Book Antiqua" w:hAnsi="Book Antiqua" w:cs="Times New Roman"/>
          <w:iCs/>
          <w:sz w:val="24"/>
          <w:szCs w:val="24"/>
        </w:rPr>
        <w:t xml:space="preserve"> Annexin V/PI staining (X-axis: annexin V; Y-axis: PI). The proportion of non-apoptotic cells (Q3), early apoptotic cells (Q4), late apoptotic/necrotic cells (Q2) and cell debris or death cell (Q1)</w:t>
      </w:r>
      <w:r w:rsidR="00053DC6">
        <w:rPr>
          <w:rFonts w:ascii="Book Antiqua" w:hAnsi="Book Antiqua" w:cs="Times New Roman" w:hint="eastAsia"/>
          <w:iCs/>
          <w:sz w:val="24"/>
          <w:szCs w:val="24"/>
        </w:rPr>
        <w:t>;</w:t>
      </w:r>
      <w:r w:rsidR="00053DC6">
        <w:rPr>
          <w:rFonts w:ascii="Book Antiqua" w:hAnsi="Book Antiqua" w:cs="Times New Roman"/>
          <w:iCs/>
          <w:sz w:val="24"/>
          <w:szCs w:val="24"/>
        </w:rPr>
        <w:t xml:space="preserve"> B</w:t>
      </w:r>
      <w:r w:rsidR="00053DC6">
        <w:rPr>
          <w:rFonts w:ascii="Book Antiqua" w:hAnsi="Book Antiqua" w:cs="Times New Roman" w:hint="eastAsia"/>
          <w:iCs/>
          <w:sz w:val="24"/>
          <w:szCs w:val="24"/>
        </w:rPr>
        <w:t>:</w:t>
      </w:r>
      <w:r w:rsidR="00053DC6">
        <w:rPr>
          <w:rFonts w:ascii="Book Antiqua" w:hAnsi="Book Antiqua" w:cs="Times New Roman"/>
          <w:iCs/>
          <w:sz w:val="24"/>
          <w:szCs w:val="24"/>
        </w:rPr>
        <w:t xml:space="preserve"> Data shown are mean</w:t>
      </w:r>
      <w:r w:rsidR="009E2BF9" w:rsidRPr="009E2BF9">
        <w:rPr>
          <w:rFonts w:ascii="Book Antiqua" w:hAnsi="Book Antiqua" w:cs="Times New Roman"/>
          <w:iCs/>
          <w:sz w:val="24"/>
          <w:szCs w:val="24"/>
        </w:rPr>
        <w:t xml:space="preserve"> ± SD from three independent experiments</w:t>
      </w:r>
      <w:r w:rsidR="00053DC6">
        <w:rPr>
          <w:rFonts w:ascii="Book Antiqua" w:hAnsi="Book Antiqua" w:cs="Times New Roman" w:hint="eastAsia"/>
          <w:iCs/>
          <w:sz w:val="24"/>
          <w:szCs w:val="24"/>
        </w:rPr>
        <w:t>;</w:t>
      </w:r>
      <w:r w:rsidR="00053DC6">
        <w:rPr>
          <w:rFonts w:ascii="Book Antiqua" w:hAnsi="Book Antiqua" w:cs="Times New Roman"/>
          <w:iCs/>
          <w:sz w:val="24"/>
          <w:szCs w:val="24"/>
        </w:rPr>
        <w:t xml:space="preserve"> C</w:t>
      </w:r>
      <w:r w:rsidR="00053DC6">
        <w:rPr>
          <w:rFonts w:ascii="Book Antiqua" w:hAnsi="Book Antiqua" w:cs="Times New Roman" w:hint="eastAsia"/>
          <w:iCs/>
          <w:sz w:val="24"/>
          <w:szCs w:val="24"/>
        </w:rPr>
        <w:t>:</w:t>
      </w:r>
      <w:r w:rsidR="009E2BF9" w:rsidRPr="009E2BF9">
        <w:rPr>
          <w:rFonts w:ascii="Book Antiqua" w:hAnsi="Book Antiqua" w:cs="Times New Roman"/>
          <w:iCs/>
          <w:sz w:val="24"/>
          <w:szCs w:val="24"/>
        </w:rPr>
        <w:t xml:space="preserve"> Apoptosis was assessed using Hoechst 33258, and apoptotic features were assessed by observing chromatin condensation and fragment staining (original magnification, ×</w:t>
      </w:r>
      <w:r w:rsidR="00053DC6">
        <w:rPr>
          <w:rFonts w:ascii="Book Antiqua" w:hAnsi="Book Antiqua" w:cs="Times New Roman" w:hint="eastAsia"/>
          <w:iCs/>
          <w:sz w:val="24"/>
          <w:szCs w:val="24"/>
        </w:rPr>
        <w:t xml:space="preserve"> </w:t>
      </w:r>
      <w:r w:rsidR="009E2BF9" w:rsidRPr="009E2BF9">
        <w:rPr>
          <w:rFonts w:ascii="Book Antiqua" w:hAnsi="Book Antiqua" w:cs="Times New Roman"/>
          <w:iCs/>
          <w:sz w:val="24"/>
          <w:szCs w:val="24"/>
        </w:rPr>
        <w:t>200)</w:t>
      </w:r>
      <w:r w:rsidR="00053DC6">
        <w:rPr>
          <w:rFonts w:ascii="Book Antiqua" w:hAnsi="Book Antiqua" w:cs="Times New Roman" w:hint="eastAsia"/>
          <w:iCs/>
          <w:sz w:val="24"/>
          <w:szCs w:val="24"/>
        </w:rPr>
        <w:t>;</w:t>
      </w:r>
      <w:r w:rsidR="00053DC6">
        <w:rPr>
          <w:rFonts w:ascii="Book Antiqua" w:hAnsi="Book Antiqua" w:cs="Times New Roman"/>
          <w:iCs/>
          <w:sz w:val="24"/>
          <w:szCs w:val="24"/>
        </w:rPr>
        <w:t xml:space="preserve"> D</w:t>
      </w:r>
      <w:r w:rsidR="00053DC6">
        <w:rPr>
          <w:rFonts w:ascii="Book Antiqua" w:hAnsi="Book Antiqua" w:cs="Times New Roman" w:hint="eastAsia"/>
          <w:iCs/>
          <w:sz w:val="24"/>
          <w:szCs w:val="24"/>
        </w:rPr>
        <w:t>:</w:t>
      </w:r>
      <w:r w:rsidR="009E2BF9" w:rsidRPr="009E2BF9">
        <w:rPr>
          <w:rFonts w:ascii="Book Antiqua" w:hAnsi="Book Antiqua" w:cs="Times New Roman"/>
          <w:iCs/>
          <w:sz w:val="24"/>
          <w:szCs w:val="24"/>
        </w:rPr>
        <w:t xml:space="preserve"> Quantitative analysis of apoptotic cells is represented as the mean </w:t>
      </w:r>
      <w:bookmarkStart w:id="178" w:name="OLE_LINK33"/>
      <w:bookmarkStart w:id="179" w:name="OLE_LINK32"/>
      <w:r w:rsidR="009E2BF9" w:rsidRPr="009E2BF9">
        <w:rPr>
          <w:rFonts w:ascii="Book Antiqua" w:hAnsi="Book Antiqua" w:cs="Times New Roman"/>
          <w:iCs/>
          <w:sz w:val="24"/>
          <w:szCs w:val="24"/>
        </w:rPr>
        <w:t>±</w:t>
      </w:r>
      <w:bookmarkEnd w:id="178"/>
      <w:bookmarkEnd w:id="179"/>
      <w:r w:rsidR="009E2BF9" w:rsidRPr="009E2BF9">
        <w:rPr>
          <w:rFonts w:ascii="Book Antiqua" w:hAnsi="Book Antiqua" w:cs="Times New Roman"/>
          <w:iCs/>
          <w:sz w:val="24"/>
          <w:szCs w:val="24"/>
        </w:rPr>
        <w:t xml:space="preserve"> SD from three independent experiments. </w:t>
      </w:r>
      <w:r w:rsidR="00DF0220" w:rsidRPr="00DF0220">
        <w:rPr>
          <w:rFonts w:ascii="Book Antiqua" w:hAnsi="Book Antiqua" w:cs="Times New Roman" w:hint="eastAsia"/>
          <w:iCs/>
          <w:sz w:val="24"/>
          <w:szCs w:val="24"/>
          <w:vertAlign w:val="superscript"/>
        </w:rPr>
        <w:t>c</w:t>
      </w:r>
      <w:r w:rsidR="009E2BF9" w:rsidRPr="00DF0220">
        <w:rPr>
          <w:rFonts w:ascii="Book Antiqua" w:hAnsi="Book Antiqua" w:cs="Times New Roman"/>
          <w:i/>
          <w:iCs/>
          <w:sz w:val="24"/>
          <w:szCs w:val="24"/>
        </w:rPr>
        <w:t>P</w:t>
      </w:r>
      <w:r w:rsidR="00DF0220">
        <w:rPr>
          <w:rFonts w:ascii="Book Antiqua" w:hAnsi="Book Antiqua" w:cs="Times New Roman" w:hint="eastAsia"/>
          <w:iCs/>
          <w:sz w:val="24"/>
          <w:szCs w:val="24"/>
        </w:rPr>
        <w:t xml:space="preserve"> </w:t>
      </w:r>
      <w:r w:rsidR="009E2BF9" w:rsidRPr="009E2BF9">
        <w:rPr>
          <w:rFonts w:ascii="Book Antiqua" w:hAnsi="Book Antiqua" w:cs="Times New Roman"/>
          <w:iCs/>
          <w:sz w:val="24"/>
          <w:szCs w:val="24"/>
        </w:rPr>
        <w:t>&lt;</w:t>
      </w:r>
      <w:r w:rsidR="00DF0220">
        <w:rPr>
          <w:rFonts w:ascii="Book Antiqua" w:hAnsi="Book Antiqua" w:cs="Times New Roman" w:hint="eastAsia"/>
          <w:iCs/>
          <w:sz w:val="24"/>
          <w:szCs w:val="24"/>
        </w:rPr>
        <w:t xml:space="preserve"> </w:t>
      </w:r>
      <w:r w:rsidR="009E2BF9" w:rsidRPr="009E2BF9">
        <w:rPr>
          <w:rFonts w:ascii="Book Antiqua" w:hAnsi="Book Antiqua" w:cs="Times New Roman"/>
          <w:iCs/>
          <w:sz w:val="24"/>
          <w:szCs w:val="24"/>
        </w:rPr>
        <w:t xml:space="preserve">0.05, </w:t>
      </w:r>
      <w:r w:rsidR="00DF0220" w:rsidRPr="00DF0220">
        <w:rPr>
          <w:rFonts w:ascii="Book Antiqua" w:hAnsi="Book Antiqua" w:cs="Times New Roman" w:hint="eastAsia"/>
          <w:i/>
          <w:iCs/>
          <w:sz w:val="24"/>
          <w:szCs w:val="24"/>
        </w:rPr>
        <w:t>vs</w:t>
      </w:r>
      <w:r w:rsidR="009E2BF9" w:rsidRPr="009E2BF9">
        <w:rPr>
          <w:rFonts w:ascii="Book Antiqua" w:hAnsi="Book Antiqua" w:cs="Times New Roman"/>
          <w:iCs/>
          <w:sz w:val="24"/>
          <w:szCs w:val="24"/>
        </w:rPr>
        <w:t xml:space="preserve"> control and 25 </w:t>
      </w:r>
      <w:bookmarkStart w:id="180" w:name="OLE_LINK30"/>
      <w:bookmarkStart w:id="181" w:name="OLE_LINK31"/>
      <w:r w:rsidR="009E2BF9" w:rsidRPr="009E2BF9">
        <w:rPr>
          <w:rFonts w:ascii="Book Antiqua" w:hAnsi="Book Antiqua" w:cs="Times New Roman"/>
          <w:iCs/>
          <w:sz w:val="24"/>
          <w:szCs w:val="24"/>
        </w:rPr>
        <w:t>μ</w:t>
      </w:r>
      <w:r w:rsidR="00DF0220">
        <w:rPr>
          <w:rFonts w:ascii="Book Antiqua" w:hAnsi="Book Antiqua" w:cs="Times New Roman" w:hint="eastAsia"/>
          <w:iCs/>
          <w:sz w:val="24"/>
          <w:szCs w:val="24"/>
        </w:rPr>
        <w:t>mol/L</w:t>
      </w:r>
      <w:r w:rsidR="009E2BF9" w:rsidRPr="009E2BF9">
        <w:rPr>
          <w:rFonts w:ascii="Book Antiqua" w:hAnsi="Book Antiqua" w:cs="Times New Roman"/>
          <w:iCs/>
          <w:sz w:val="24"/>
          <w:szCs w:val="24"/>
        </w:rPr>
        <w:t xml:space="preserve"> TQ</w:t>
      </w:r>
      <w:bookmarkEnd w:id="180"/>
      <w:bookmarkEnd w:id="181"/>
      <w:r w:rsidR="009E2BF9" w:rsidRPr="009E2BF9">
        <w:rPr>
          <w:rFonts w:ascii="Book Antiqua" w:hAnsi="Book Antiqua" w:cs="Times New Roman"/>
          <w:iCs/>
          <w:sz w:val="24"/>
          <w:szCs w:val="24"/>
        </w:rPr>
        <w:t>.</w:t>
      </w:r>
      <w:r w:rsidR="00C65827">
        <w:rPr>
          <w:rFonts w:ascii="Book Antiqua" w:hAnsi="Book Antiqua" w:cs="Times New Roman" w:hint="eastAsia"/>
          <w:iCs/>
          <w:sz w:val="24"/>
          <w:szCs w:val="24"/>
        </w:rPr>
        <w:t xml:space="preserve"> </w:t>
      </w:r>
      <w:r w:rsidR="00C65827" w:rsidRPr="009E2BF9">
        <w:rPr>
          <w:rFonts w:ascii="Book Antiqua" w:hAnsi="Book Antiqua" w:cs="Times New Roman"/>
          <w:iCs/>
          <w:sz w:val="24"/>
          <w:szCs w:val="24"/>
        </w:rPr>
        <w:t>TQ</w:t>
      </w:r>
      <w:r w:rsidR="00C65827">
        <w:rPr>
          <w:rFonts w:ascii="Book Antiqua" w:hAnsi="Book Antiqua" w:cs="Times New Roman" w:hint="eastAsia"/>
          <w:iCs/>
          <w:sz w:val="24"/>
          <w:szCs w:val="24"/>
        </w:rPr>
        <w:t xml:space="preserve">: </w:t>
      </w:r>
      <w:r w:rsidR="00C65827" w:rsidRPr="00A35218">
        <w:rPr>
          <w:rFonts w:ascii="Book Antiqua" w:hAnsi="Book Antiqua" w:cs="Times New Roman"/>
          <w:bCs/>
          <w:caps/>
          <w:sz w:val="24"/>
          <w:szCs w:val="24"/>
        </w:rPr>
        <w:t>t</w:t>
      </w:r>
      <w:r w:rsidR="00C65827" w:rsidRPr="00A35218">
        <w:rPr>
          <w:rFonts w:ascii="Book Antiqua" w:hAnsi="Book Antiqua" w:cs="Times New Roman"/>
          <w:bCs/>
          <w:sz w:val="24"/>
          <w:szCs w:val="24"/>
        </w:rPr>
        <w:t>hymoquinone</w:t>
      </w:r>
      <w:r w:rsidR="00C65827">
        <w:rPr>
          <w:rFonts w:ascii="Book Antiqua" w:hAnsi="Book Antiqua" w:cs="Times New Roman" w:hint="eastAsia"/>
          <w:bCs/>
          <w:sz w:val="24"/>
          <w:szCs w:val="24"/>
        </w:rPr>
        <w:t>.</w:t>
      </w:r>
      <w:r w:rsidR="00AC42F7">
        <w:rPr>
          <w:rFonts w:ascii="Book Antiqua" w:hAnsi="Book Antiqua" w:cs="Times New Roman"/>
          <w:bCs/>
          <w:sz w:val="24"/>
          <w:szCs w:val="24"/>
        </w:rPr>
        <w:br w:type="page"/>
      </w:r>
    </w:p>
    <w:p w:rsidR="00DF581C" w:rsidRPr="009E2BF9" w:rsidRDefault="00DF581C" w:rsidP="001E38EA">
      <w:pPr>
        <w:adjustRightInd w:val="0"/>
        <w:snapToGrid w:val="0"/>
        <w:spacing w:line="360" w:lineRule="auto"/>
        <w:rPr>
          <w:rFonts w:ascii="Book Antiqua" w:hAnsi="Book Antiqua" w:cs="Times New Roman"/>
          <w:iCs/>
          <w:sz w:val="24"/>
          <w:szCs w:val="24"/>
        </w:rPr>
      </w:pPr>
    </w:p>
    <w:p w:rsidR="00DF581C" w:rsidRPr="009E2BF9" w:rsidRDefault="00E66232" w:rsidP="001E38EA">
      <w:pPr>
        <w:adjustRightInd w:val="0"/>
        <w:snapToGrid w:val="0"/>
        <w:spacing w:line="360" w:lineRule="auto"/>
        <w:rPr>
          <w:rFonts w:ascii="Book Antiqua" w:hAnsi="Book Antiqua" w:cs="Times New Roman"/>
          <w:b/>
          <w:iCs/>
          <w:sz w:val="24"/>
          <w:szCs w:val="24"/>
        </w:rPr>
      </w:pPr>
      <w:r>
        <w:rPr>
          <w:rFonts w:ascii="Book Antiqua" w:hAnsi="Book Antiqua" w:cs="Times New Roman"/>
          <w:iCs/>
          <w:noProof/>
          <w:sz w:val="24"/>
          <w:szCs w:val="24"/>
        </w:rPr>
        <mc:AlternateContent>
          <mc:Choice Requires="wps">
            <w:drawing>
              <wp:anchor distT="0" distB="0" distL="114300" distR="114300" simplePos="0" relativeHeight="251680768" behindDoc="0" locked="0" layoutInCell="1" allowOverlap="1" wp14:anchorId="46B446F6" wp14:editId="0D132CB4">
                <wp:simplePos x="0" y="0"/>
                <wp:positionH relativeFrom="column">
                  <wp:posOffset>4638675</wp:posOffset>
                </wp:positionH>
                <wp:positionV relativeFrom="paragraph">
                  <wp:posOffset>1191895</wp:posOffset>
                </wp:positionV>
                <wp:extent cx="564515" cy="301625"/>
                <wp:effectExtent l="0" t="0" r="26035" b="22225"/>
                <wp:wrapNone/>
                <wp:docPr id="17" name="文本框 17"/>
                <wp:cNvGraphicFramePr/>
                <a:graphic xmlns:a="http://schemas.openxmlformats.org/drawingml/2006/main">
                  <a:graphicData uri="http://schemas.microsoft.com/office/word/2010/wordprocessingShape">
                    <wps:wsp>
                      <wps:cNvSpPr txBox="1"/>
                      <wps:spPr>
                        <a:xfrm>
                          <a:off x="0" y="0"/>
                          <a:ext cx="564515" cy="301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6232" w:rsidRPr="00AC42F7" w:rsidRDefault="00E66232" w:rsidP="00E66232">
                            <w:pPr>
                              <w:rPr>
                                <w:rFonts w:ascii="Book Antiqua" w:hAnsi="Book Antiqua"/>
                                <w:sz w:val="15"/>
                                <w:szCs w:val="15"/>
                              </w:rPr>
                            </w:pPr>
                            <w:r w:rsidRPr="00AC42F7">
                              <w:rPr>
                                <w:rFonts w:ascii="Book Antiqua" w:hAnsi="Book Antiqua"/>
                                <w:i/>
                                <w:sz w:val="15"/>
                                <w:szCs w:val="15"/>
                              </w:rPr>
                              <w:t>P</w:t>
                            </w:r>
                            <w:r w:rsidRPr="00AC42F7">
                              <w:rPr>
                                <w:rFonts w:ascii="Book Antiqua" w:hAnsi="Book Antiqua"/>
                                <w:sz w:val="15"/>
                                <w:szCs w:val="15"/>
                              </w:rPr>
                              <w:t xml:space="preserve"> &lt; 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446F6" id="文本框 17" o:spid="_x0000_s1035" type="#_x0000_t202" style="position:absolute;left:0;text-align:left;margin-left:365.25pt;margin-top:93.85pt;width:44.45pt;height:2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" fillcolor="white [3201]" strokeweight=".5pt">
                <v:textbox>
                  <w:txbxContent>
                    <w:p w:rsidR="00E66232" w:rsidRPr="00AC42F7" w:rsidRDefault="00E66232" w:rsidP="00E66232">
                      <w:pPr>
                        <w:rPr>
                          <w:rFonts w:ascii="Book Antiqua" w:hAnsi="Book Antiqua"/>
                          <w:sz w:val="15"/>
                          <w:szCs w:val="15"/>
                        </w:rPr>
                      </w:pPr>
                      <w:r w:rsidRPr="00AC42F7">
                        <w:rPr>
                          <w:rFonts w:ascii="Book Antiqua" w:hAnsi="Book Antiqua"/>
                          <w:i/>
                          <w:sz w:val="15"/>
                          <w:szCs w:val="15"/>
                        </w:rPr>
                        <w:t>P</w:t>
                      </w:r>
                      <w:r w:rsidRPr="00AC42F7">
                        <w:rPr>
                          <w:rFonts w:ascii="Book Antiqua" w:hAnsi="Book Antiqua"/>
                          <w:sz w:val="15"/>
                          <w:szCs w:val="15"/>
                        </w:rPr>
                        <w:t xml:space="preserve"> &lt; 0.05</w:t>
                      </w:r>
                    </w:p>
                  </w:txbxContent>
                </v:textbox>
              </v:shape>
            </w:pict>
          </mc:Fallback>
        </mc:AlternateContent>
      </w:r>
      <w:r>
        <w:rPr>
          <w:rFonts w:ascii="Book Antiqua" w:hAnsi="Book Antiqua" w:cs="Times New Roman"/>
          <w:iCs/>
          <w:noProof/>
          <w:sz w:val="24"/>
          <w:szCs w:val="24"/>
        </w:rPr>
        <mc:AlternateContent>
          <mc:Choice Requires="wps">
            <w:drawing>
              <wp:anchor distT="0" distB="0" distL="114300" distR="114300" simplePos="0" relativeHeight="251678720" behindDoc="0" locked="0" layoutInCell="1" allowOverlap="1" wp14:anchorId="7376B275" wp14:editId="2BA92E49">
                <wp:simplePos x="0" y="0"/>
                <wp:positionH relativeFrom="column">
                  <wp:posOffset>4152900</wp:posOffset>
                </wp:positionH>
                <wp:positionV relativeFrom="paragraph">
                  <wp:posOffset>1039495</wp:posOffset>
                </wp:positionV>
                <wp:extent cx="564515" cy="301625"/>
                <wp:effectExtent l="0" t="0" r="26035" b="22225"/>
                <wp:wrapNone/>
                <wp:docPr id="16" name="文本框 16"/>
                <wp:cNvGraphicFramePr/>
                <a:graphic xmlns:a="http://schemas.openxmlformats.org/drawingml/2006/main">
                  <a:graphicData uri="http://schemas.microsoft.com/office/word/2010/wordprocessingShape">
                    <wps:wsp>
                      <wps:cNvSpPr txBox="1"/>
                      <wps:spPr>
                        <a:xfrm>
                          <a:off x="0" y="0"/>
                          <a:ext cx="564515" cy="301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6232" w:rsidRPr="00AC42F7" w:rsidRDefault="00E66232" w:rsidP="00E66232">
                            <w:pPr>
                              <w:rPr>
                                <w:rFonts w:ascii="Book Antiqua" w:hAnsi="Book Antiqua"/>
                                <w:sz w:val="15"/>
                                <w:szCs w:val="15"/>
                              </w:rPr>
                            </w:pPr>
                            <w:r w:rsidRPr="00AC42F7">
                              <w:rPr>
                                <w:rFonts w:ascii="Book Antiqua" w:hAnsi="Book Antiqua"/>
                                <w:i/>
                                <w:sz w:val="15"/>
                                <w:szCs w:val="15"/>
                              </w:rPr>
                              <w:t>P</w:t>
                            </w:r>
                            <w:r w:rsidRPr="00AC42F7">
                              <w:rPr>
                                <w:rFonts w:ascii="Book Antiqua" w:hAnsi="Book Antiqua"/>
                                <w:sz w:val="15"/>
                                <w:szCs w:val="15"/>
                              </w:rPr>
                              <w:t xml:space="preserve"> &lt; 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6B275" id="文本框 16" o:spid="_x0000_s1036" type="#_x0000_t202" style="position:absolute;left:0;text-align:left;margin-left:327pt;margin-top:81.85pt;width:44.45pt;height:2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" fillcolor="white [3201]" strokeweight=".5pt">
                <v:textbox>
                  <w:txbxContent>
                    <w:p w:rsidR="00E66232" w:rsidRPr="00AC42F7" w:rsidRDefault="00E66232" w:rsidP="00E66232">
                      <w:pPr>
                        <w:rPr>
                          <w:rFonts w:ascii="Book Antiqua" w:hAnsi="Book Antiqua"/>
                          <w:sz w:val="15"/>
                          <w:szCs w:val="15"/>
                        </w:rPr>
                      </w:pPr>
                      <w:r w:rsidRPr="00AC42F7">
                        <w:rPr>
                          <w:rFonts w:ascii="Book Antiqua" w:hAnsi="Book Antiqua"/>
                          <w:i/>
                          <w:sz w:val="15"/>
                          <w:szCs w:val="15"/>
                        </w:rPr>
                        <w:t>P</w:t>
                      </w:r>
                      <w:r w:rsidRPr="00AC42F7">
                        <w:rPr>
                          <w:rFonts w:ascii="Book Antiqua" w:hAnsi="Book Antiqua"/>
                          <w:sz w:val="15"/>
                          <w:szCs w:val="15"/>
                        </w:rPr>
                        <w:t xml:space="preserve"> &lt; 0.05</w:t>
                      </w:r>
                    </w:p>
                  </w:txbxContent>
                </v:textbox>
              </v:shape>
            </w:pict>
          </mc:Fallback>
        </mc:AlternateContent>
      </w:r>
      <w:r w:rsidR="00AC42F7">
        <w:rPr>
          <w:rFonts w:ascii="Book Antiqua" w:hAnsi="Book Antiqua" w:cs="Times New Roman"/>
          <w:iCs/>
          <w:noProof/>
          <w:sz w:val="24"/>
          <w:szCs w:val="24"/>
        </w:rPr>
        <mc:AlternateContent>
          <mc:Choice Requires="wps">
            <w:drawing>
              <wp:anchor distT="0" distB="0" distL="114300" distR="114300" simplePos="0" relativeHeight="251676672" behindDoc="0" locked="0" layoutInCell="1" allowOverlap="1" wp14:anchorId="1461830F" wp14:editId="7BED966F">
                <wp:simplePos x="0" y="0"/>
                <wp:positionH relativeFrom="column">
                  <wp:posOffset>3651637</wp:posOffset>
                </wp:positionH>
                <wp:positionV relativeFrom="paragraph">
                  <wp:posOffset>816003</wp:posOffset>
                </wp:positionV>
                <wp:extent cx="564542" cy="301763"/>
                <wp:effectExtent l="0" t="0" r="26035" b="22225"/>
                <wp:wrapNone/>
                <wp:docPr id="15" name="文本框 15"/>
                <wp:cNvGraphicFramePr/>
                <a:graphic xmlns:a="http://schemas.openxmlformats.org/drawingml/2006/main">
                  <a:graphicData uri="http://schemas.microsoft.com/office/word/2010/wordprocessingShape">
                    <wps:wsp>
                      <wps:cNvSpPr txBox="1"/>
                      <wps:spPr>
                        <a:xfrm>
                          <a:off x="0" y="0"/>
                          <a:ext cx="564542" cy="3017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42F7" w:rsidRPr="00AC42F7" w:rsidRDefault="00AC42F7" w:rsidP="00AC42F7">
                            <w:pPr>
                              <w:rPr>
                                <w:rFonts w:ascii="Book Antiqua" w:hAnsi="Book Antiqua"/>
                                <w:sz w:val="15"/>
                                <w:szCs w:val="15"/>
                              </w:rPr>
                            </w:pPr>
                            <w:r w:rsidRPr="00AC42F7">
                              <w:rPr>
                                <w:rFonts w:ascii="Book Antiqua" w:hAnsi="Book Antiqua"/>
                                <w:i/>
                                <w:sz w:val="15"/>
                                <w:szCs w:val="15"/>
                              </w:rPr>
                              <w:t>P</w:t>
                            </w:r>
                            <w:r w:rsidRPr="00AC42F7">
                              <w:rPr>
                                <w:rFonts w:ascii="Book Antiqua" w:hAnsi="Book Antiqua"/>
                                <w:sz w:val="15"/>
                                <w:szCs w:val="15"/>
                              </w:rPr>
                              <w:t xml:space="preserve"> &lt; 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1830F" id="文本框 15" o:spid="_x0000_s1037" type="#_x0000_t202" style="position:absolute;left:0;text-align:left;margin-left:287.55pt;margin-top:64.25pt;width:44.45pt;height:2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" fillcolor="white [3201]" strokeweight=".5pt">
                <v:textbox>
                  <w:txbxContent>
                    <w:p w:rsidR="00AC42F7" w:rsidRPr="00AC42F7" w:rsidRDefault="00AC42F7" w:rsidP="00AC42F7">
                      <w:pPr>
                        <w:rPr>
                          <w:rFonts w:ascii="Book Antiqua" w:hAnsi="Book Antiqua"/>
                          <w:sz w:val="15"/>
                          <w:szCs w:val="15"/>
                        </w:rPr>
                      </w:pPr>
                      <w:r w:rsidRPr="00AC42F7">
                        <w:rPr>
                          <w:rFonts w:ascii="Book Antiqua" w:hAnsi="Book Antiqua"/>
                          <w:i/>
                          <w:sz w:val="15"/>
                          <w:szCs w:val="15"/>
                        </w:rPr>
                        <w:t>P</w:t>
                      </w:r>
                      <w:r w:rsidRPr="00AC42F7">
                        <w:rPr>
                          <w:rFonts w:ascii="Book Antiqua" w:hAnsi="Book Antiqua"/>
                          <w:sz w:val="15"/>
                          <w:szCs w:val="15"/>
                        </w:rPr>
                        <w:t xml:space="preserve"> &lt; 0.05</w:t>
                      </w:r>
                    </w:p>
                  </w:txbxContent>
                </v:textbox>
              </v:shape>
            </w:pict>
          </mc:Fallback>
        </mc:AlternateContent>
      </w:r>
      <w:r w:rsidR="009E2BF9" w:rsidRPr="009E2BF9">
        <w:rPr>
          <w:rFonts w:ascii="Book Antiqua" w:hAnsi="Book Antiqua" w:cs="Times New Roman"/>
          <w:b/>
          <w:iCs/>
          <w:noProof/>
          <w:sz w:val="24"/>
          <w:szCs w:val="24"/>
        </w:rPr>
        <w:drawing>
          <wp:inline distT="0" distB="0" distL="0" distR="0" wp14:anchorId="64B1252C" wp14:editId="7AEBE4C5">
            <wp:extent cx="5274310" cy="4744085"/>
            <wp:effectExtent l="0" t="0" r="2540" b="0"/>
            <wp:docPr id="9" name="图片 9" descr="C:\Users\Administrator\Desktop\百里醌英文\图6\未标题-3副本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百里醌英文\图6\未标题-3副本 (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4744088"/>
                    </a:xfrm>
                    <a:prstGeom prst="rect">
                      <a:avLst/>
                    </a:prstGeom>
                    <a:noFill/>
                    <a:ln>
                      <a:noFill/>
                    </a:ln>
                  </pic:spPr>
                </pic:pic>
              </a:graphicData>
            </a:graphic>
          </wp:inline>
        </w:drawing>
      </w:r>
    </w:p>
    <w:p w:rsidR="00DF581C" w:rsidRPr="009E2BF9" w:rsidRDefault="00D60AB6" w:rsidP="001E38EA">
      <w:pPr>
        <w:adjustRightInd w:val="0"/>
        <w:snapToGrid w:val="0"/>
        <w:spacing w:line="360" w:lineRule="auto"/>
        <w:rPr>
          <w:rFonts w:ascii="Book Antiqua" w:hAnsi="Book Antiqua" w:cs="Times New Roman"/>
          <w:iCs/>
          <w:sz w:val="24"/>
          <w:szCs w:val="24"/>
        </w:rPr>
      </w:pPr>
      <w:r>
        <w:rPr>
          <w:rFonts w:ascii="Book Antiqua" w:hAnsi="Book Antiqua" w:cs="Times New Roman"/>
          <w:b/>
          <w:iCs/>
          <w:sz w:val="24"/>
          <w:szCs w:val="24"/>
        </w:rPr>
        <w:t>Figure</w:t>
      </w:r>
      <w:r w:rsidR="009E2BF9" w:rsidRPr="009E2BF9">
        <w:rPr>
          <w:rFonts w:ascii="Book Antiqua" w:hAnsi="Book Antiqua" w:cs="Times New Roman"/>
          <w:b/>
          <w:iCs/>
          <w:sz w:val="24"/>
          <w:szCs w:val="24"/>
        </w:rPr>
        <w:t xml:space="preserve"> 6 </w:t>
      </w:r>
      <w:r w:rsidR="00AC42F7" w:rsidRPr="00AC42F7">
        <w:rPr>
          <w:rFonts w:ascii="Book Antiqua" w:hAnsi="Book Antiqua" w:cs="Times New Roman"/>
          <w:b/>
          <w:bCs/>
          <w:caps/>
          <w:sz w:val="24"/>
          <w:szCs w:val="24"/>
        </w:rPr>
        <w:t>t</w:t>
      </w:r>
      <w:r w:rsidR="00AC42F7" w:rsidRPr="00AC42F7">
        <w:rPr>
          <w:rFonts w:ascii="Book Antiqua" w:hAnsi="Book Antiqua" w:cs="Times New Roman"/>
          <w:b/>
          <w:bCs/>
          <w:sz w:val="24"/>
          <w:szCs w:val="24"/>
        </w:rPr>
        <w:t>hymoquinone</w:t>
      </w:r>
      <w:r w:rsidR="00AC42F7" w:rsidRPr="00AC42F7">
        <w:rPr>
          <w:rFonts w:ascii="Book Antiqua" w:hAnsi="Book Antiqua" w:cs="Times New Roman"/>
          <w:b/>
          <w:iCs/>
          <w:sz w:val="24"/>
          <w:szCs w:val="24"/>
        </w:rPr>
        <w:t xml:space="preserve"> </w:t>
      </w:r>
      <w:r w:rsidR="009E2BF9" w:rsidRPr="00AC42F7">
        <w:rPr>
          <w:rFonts w:ascii="Book Antiqua" w:hAnsi="Book Antiqua" w:cs="Times New Roman"/>
          <w:b/>
          <w:iCs/>
          <w:sz w:val="24"/>
          <w:szCs w:val="24"/>
        </w:rPr>
        <w:t xml:space="preserve">inhibits tumor growth in a gastric mouse xenograft model. </w:t>
      </w:r>
      <w:r w:rsidR="00AC42F7">
        <w:rPr>
          <w:rFonts w:ascii="Book Antiqua" w:hAnsi="Book Antiqua" w:cs="Times New Roman"/>
          <w:iCs/>
          <w:sz w:val="24"/>
          <w:szCs w:val="24"/>
        </w:rPr>
        <w:t>A</w:t>
      </w:r>
      <w:r w:rsidR="00AC42F7">
        <w:rPr>
          <w:rFonts w:ascii="Book Antiqua" w:hAnsi="Book Antiqua" w:cs="Times New Roman" w:hint="eastAsia"/>
          <w:iCs/>
          <w:sz w:val="24"/>
          <w:szCs w:val="24"/>
        </w:rPr>
        <w:t>:</w:t>
      </w:r>
      <w:r w:rsidR="009E2BF9" w:rsidRPr="009E2BF9">
        <w:rPr>
          <w:rFonts w:ascii="Book Antiqua" w:hAnsi="Book Antiqua" w:cs="Times New Roman"/>
          <w:iCs/>
          <w:sz w:val="24"/>
          <w:szCs w:val="24"/>
        </w:rPr>
        <w:t xml:space="preserve"> Tumor volumes of the xenograft tumors derived from 0, 25, 50 or 75</w:t>
      </w:r>
      <w:r w:rsidR="00AC42F7">
        <w:rPr>
          <w:rFonts w:ascii="Book Antiqua" w:hAnsi="Book Antiqua" w:cs="Times New Roman" w:hint="eastAsia"/>
          <w:iCs/>
          <w:sz w:val="24"/>
          <w:szCs w:val="24"/>
        </w:rPr>
        <w:t xml:space="preserve"> </w:t>
      </w:r>
      <w:r w:rsidR="009E2BF9" w:rsidRPr="009E2BF9">
        <w:rPr>
          <w:rFonts w:ascii="Book Antiqua" w:hAnsi="Book Antiqua" w:cs="Times New Roman"/>
          <w:iCs/>
          <w:sz w:val="24"/>
          <w:szCs w:val="24"/>
        </w:rPr>
        <w:t>μ</w:t>
      </w:r>
      <w:r w:rsidR="00AC42F7">
        <w:rPr>
          <w:rFonts w:ascii="Book Antiqua" w:hAnsi="Book Antiqua" w:cs="Times New Roman" w:hint="eastAsia"/>
          <w:iCs/>
          <w:sz w:val="24"/>
          <w:szCs w:val="24"/>
        </w:rPr>
        <w:t>mol/L</w:t>
      </w:r>
      <w:r w:rsidR="009E2BF9" w:rsidRPr="009E2BF9">
        <w:rPr>
          <w:rFonts w:ascii="Book Antiqua" w:hAnsi="Book Antiqua" w:cs="Times New Roman"/>
          <w:iCs/>
          <w:sz w:val="24"/>
          <w:szCs w:val="24"/>
        </w:rPr>
        <w:t xml:space="preserve"> TQ group. Each time point represents the mean tumor volume for each group</w:t>
      </w:r>
      <w:r w:rsidR="00AC42F7">
        <w:rPr>
          <w:rFonts w:ascii="Book Antiqua" w:hAnsi="Book Antiqua" w:cs="Times New Roman" w:hint="eastAsia"/>
          <w:iCs/>
          <w:sz w:val="24"/>
          <w:szCs w:val="24"/>
        </w:rPr>
        <w:t>;</w:t>
      </w:r>
      <w:r w:rsidR="00AC42F7">
        <w:rPr>
          <w:rFonts w:ascii="Book Antiqua" w:hAnsi="Book Antiqua" w:cs="Times New Roman"/>
          <w:iCs/>
          <w:sz w:val="24"/>
          <w:szCs w:val="24"/>
        </w:rPr>
        <w:t xml:space="preserve"> B</w:t>
      </w:r>
      <w:r w:rsidR="00AC42F7">
        <w:rPr>
          <w:rFonts w:ascii="Book Antiqua" w:hAnsi="Book Antiqua" w:cs="Times New Roman" w:hint="eastAsia"/>
          <w:iCs/>
          <w:sz w:val="24"/>
          <w:szCs w:val="24"/>
        </w:rPr>
        <w:t>:</w:t>
      </w:r>
      <w:r w:rsidR="009E2BF9" w:rsidRPr="009E2BF9">
        <w:rPr>
          <w:rFonts w:ascii="Book Antiqua" w:hAnsi="Book Antiqua" w:cs="Times New Roman"/>
          <w:iCs/>
          <w:sz w:val="24"/>
          <w:szCs w:val="24"/>
        </w:rPr>
        <w:t xml:space="preserve"> Tumor weight was obtained at the end of the experiment. Error bars represent the s</w:t>
      </w:r>
      <w:r w:rsidR="00EF60D5">
        <w:rPr>
          <w:rFonts w:ascii="Book Antiqua" w:hAnsi="Book Antiqua" w:cs="Times New Roman"/>
          <w:iCs/>
          <w:sz w:val="24"/>
          <w:szCs w:val="24"/>
        </w:rPr>
        <w:t>tandard error of the mean ± SD</w:t>
      </w:r>
      <w:r w:rsidR="00EF60D5">
        <w:rPr>
          <w:rFonts w:ascii="Book Antiqua" w:hAnsi="Book Antiqua" w:cs="Times New Roman" w:hint="eastAsia"/>
          <w:iCs/>
          <w:sz w:val="24"/>
          <w:szCs w:val="24"/>
        </w:rPr>
        <w:t xml:space="preserve">; </w:t>
      </w:r>
      <w:r w:rsidR="00EF60D5">
        <w:rPr>
          <w:rFonts w:ascii="Book Antiqua" w:hAnsi="Book Antiqua" w:cs="Times New Roman"/>
          <w:iCs/>
          <w:sz w:val="24"/>
          <w:szCs w:val="24"/>
        </w:rPr>
        <w:t>C</w:t>
      </w:r>
      <w:r w:rsidR="00EF60D5">
        <w:rPr>
          <w:rFonts w:ascii="Book Antiqua" w:hAnsi="Book Antiqua" w:cs="Times New Roman" w:hint="eastAsia"/>
          <w:iCs/>
          <w:sz w:val="24"/>
          <w:szCs w:val="24"/>
        </w:rPr>
        <w:t>:</w:t>
      </w:r>
      <w:r w:rsidR="009E2BF9" w:rsidRPr="009E2BF9">
        <w:rPr>
          <w:rFonts w:ascii="Book Antiqua" w:hAnsi="Book Antiqua" w:cs="Times New Roman"/>
          <w:iCs/>
          <w:sz w:val="24"/>
          <w:szCs w:val="24"/>
        </w:rPr>
        <w:t xml:space="preserve"> Detection of apoptotic cells in tumor tissue by TUNEL assay. Control: equal-volume physiologic saline; Treatment group: different doses of TQ: 10 mg/kg TQ; 20 mg/kg TQ; 30 mg/kg TQ; all therapies </w:t>
      </w:r>
      <w:bookmarkStart w:id="182" w:name="OLE_LINK7"/>
      <w:bookmarkStart w:id="183" w:name="OLE_LINK6"/>
      <w:r w:rsidR="009E2BF9" w:rsidRPr="009E2BF9">
        <w:rPr>
          <w:rFonts w:ascii="Book Antiqua" w:hAnsi="Book Antiqua" w:cs="Times New Roman"/>
          <w:iCs/>
          <w:sz w:val="24"/>
          <w:szCs w:val="24"/>
        </w:rPr>
        <w:t>were administered three times per week via intraperitoneal injection</w:t>
      </w:r>
      <w:bookmarkEnd w:id="182"/>
      <w:bookmarkEnd w:id="183"/>
      <w:r w:rsidR="009E2BF9" w:rsidRPr="009E2BF9">
        <w:rPr>
          <w:rFonts w:ascii="Book Antiqua" w:hAnsi="Book Antiqua" w:cs="Times New Roman"/>
          <w:iCs/>
          <w:sz w:val="24"/>
          <w:szCs w:val="24"/>
        </w:rPr>
        <w:t>. The brown color indicating apoptotic signals is shown by the arrows. Scale bar represents 50 m</w:t>
      </w:r>
      <w:r w:rsidR="00D60979">
        <w:rPr>
          <w:rFonts w:ascii="Book Antiqua" w:hAnsi="Book Antiqua" w:cs="Times New Roman" w:hint="eastAsia"/>
          <w:iCs/>
          <w:sz w:val="24"/>
          <w:szCs w:val="24"/>
        </w:rPr>
        <w:t>L</w:t>
      </w:r>
      <w:r w:rsidR="009E2BF9" w:rsidRPr="009E2BF9">
        <w:rPr>
          <w:rFonts w:ascii="Book Antiqua" w:hAnsi="Book Antiqua" w:cs="Times New Roman"/>
          <w:iCs/>
          <w:sz w:val="24"/>
          <w:szCs w:val="24"/>
        </w:rPr>
        <w:t>. Original magnification: 400</w:t>
      </w:r>
      <w:r w:rsidR="00EF60D5">
        <w:rPr>
          <w:rFonts w:ascii="Book Antiqua" w:hAnsi="Book Antiqua" w:cs="Times New Roman" w:hint="eastAsia"/>
          <w:iCs/>
          <w:sz w:val="24"/>
          <w:szCs w:val="24"/>
        </w:rPr>
        <w:t xml:space="preserve"> </w:t>
      </w:r>
      <w:r w:rsidR="009E2BF9" w:rsidRPr="009E2BF9">
        <w:rPr>
          <w:rFonts w:ascii="Book Antiqua" w:hAnsi="Book Antiqua" w:cs="Times New Roman"/>
          <w:iCs/>
          <w:sz w:val="24"/>
          <w:szCs w:val="24"/>
        </w:rPr>
        <w:t>×</w:t>
      </w:r>
      <w:r w:rsidR="00EF60D5">
        <w:rPr>
          <w:rFonts w:ascii="Book Antiqua" w:hAnsi="Book Antiqua" w:cs="Times New Roman" w:hint="eastAsia"/>
          <w:iCs/>
          <w:sz w:val="24"/>
          <w:szCs w:val="24"/>
        </w:rPr>
        <w:t>;</w:t>
      </w:r>
      <w:r w:rsidR="00EF60D5">
        <w:rPr>
          <w:rFonts w:ascii="Book Antiqua" w:hAnsi="Book Antiqua" w:cs="Times New Roman"/>
          <w:iCs/>
          <w:sz w:val="24"/>
          <w:szCs w:val="24"/>
        </w:rPr>
        <w:t xml:space="preserve"> D</w:t>
      </w:r>
      <w:r w:rsidR="00EF60D5">
        <w:rPr>
          <w:rFonts w:ascii="Book Antiqua" w:hAnsi="Book Antiqua" w:cs="Times New Roman" w:hint="eastAsia"/>
          <w:iCs/>
          <w:sz w:val="24"/>
          <w:szCs w:val="24"/>
        </w:rPr>
        <w:t>:</w:t>
      </w:r>
      <w:r w:rsidR="009E2BF9" w:rsidRPr="009E2BF9">
        <w:rPr>
          <w:rFonts w:ascii="Book Antiqua" w:hAnsi="Book Antiqua" w:cs="Times New Roman"/>
          <w:iCs/>
          <w:sz w:val="24"/>
          <w:szCs w:val="24"/>
        </w:rPr>
        <w:t xml:space="preserve"> Photographs of tumors from control and TQ treatment groups. From left to right: control group, 10 mg/kg TQ; 20 mg/kg TQ; 30 mg/kg TQ group</w:t>
      </w:r>
      <w:r w:rsidR="00EF60D5">
        <w:rPr>
          <w:rFonts w:ascii="Book Antiqua" w:hAnsi="Book Antiqua" w:cs="Times New Roman" w:hint="eastAsia"/>
          <w:iCs/>
          <w:sz w:val="24"/>
          <w:szCs w:val="24"/>
        </w:rPr>
        <w:t>;</w:t>
      </w:r>
      <w:r w:rsidR="00EF60D5">
        <w:rPr>
          <w:rFonts w:ascii="Book Antiqua" w:hAnsi="Book Antiqua" w:cs="Times New Roman"/>
          <w:iCs/>
          <w:sz w:val="24"/>
          <w:szCs w:val="24"/>
        </w:rPr>
        <w:t xml:space="preserve"> E</w:t>
      </w:r>
      <w:r w:rsidR="00EF60D5">
        <w:rPr>
          <w:rFonts w:ascii="Book Antiqua" w:hAnsi="Book Antiqua" w:cs="Times New Roman" w:hint="eastAsia"/>
          <w:iCs/>
          <w:sz w:val="24"/>
          <w:szCs w:val="24"/>
        </w:rPr>
        <w:t>:</w:t>
      </w:r>
      <w:r w:rsidR="009E2BF9" w:rsidRPr="009E2BF9">
        <w:rPr>
          <w:rFonts w:ascii="Book Antiqua" w:hAnsi="Book Antiqua" w:cs="Times New Roman"/>
          <w:iCs/>
          <w:sz w:val="24"/>
          <w:szCs w:val="24"/>
        </w:rPr>
        <w:t xml:space="preserve"> TQ suppresses phosphor-STAT3 </w:t>
      </w:r>
      <w:r w:rsidR="009E2BF9" w:rsidRPr="009E2BF9">
        <w:rPr>
          <w:rFonts w:ascii="Book Antiqua" w:hAnsi="Book Antiqua" w:cs="Times New Roman"/>
          <w:i/>
          <w:iCs/>
          <w:sz w:val="24"/>
          <w:szCs w:val="24"/>
        </w:rPr>
        <w:t>in vivo</w:t>
      </w:r>
      <w:r w:rsidR="009E2BF9" w:rsidRPr="009E2BF9">
        <w:rPr>
          <w:rFonts w:ascii="Book Antiqua" w:hAnsi="Book Antiqua" w:cs="Times New Roman"/>
          <w:iCs/>
          <w:sz w:val="24"/>
          <w:szCs w:val="24"/>
        </w:rPr>
        <w:t xml:space="preserve">. The tumor tissue extracts were </w:t>
      </w:r>
      <w:r w:rsidR="009E2BF9" w:rsidRPr="009E2BF9">
        <w:rPr>
          <w:rFonts w:ascii="Book Antiqua" w:hAnsi="Book Antiqua" w:cs="Times New Roman"/>
          <w:iCs/>
          <w:sz w:val="24"/>
          <w:szCs w:val="24"/>
        </w:rPr>
        <w:lastRenderedPageBreak/>
        <w:t>prepared, after which Western blotting was performed. The same blots were stripped and reprobed with the GAPDH antibody to verify equal protein loading.</w:t>
      </w:r>
      <w:r w:rsidR="00AC42F7">
        <w:rPr>
          <w:rFonts w:ascii="Book Antiqua" w:hAnsi="Book Antiqua" w:cs="Times New Roman" w:hint="eastAsia"/>
          <w:iCs/>
          <w:sz w:val="24"/>
          <w:szCs w:val="24"/>
        </w:rPr>
        <w:t xml:space="preserve"> </w:t>
      </w:r>
      <w:r w:rsidR="00AC42F7" w:rsidRPr="009E2BF9">
        <w:rPr>
          <w:rFonts w:ascii="Book Antiqua" w:hAnsi="Book Antiqua" w:cs="Times New Roman"/>
          <w:iCs/>
          <w:sz w:val="24"/>
          <w:szCs w:val="24"/>
        </w:rPr>
        <w:t>TQ</w:t>
      </w:r>
      <w:r w:rsidR="00AC42F7">
        <w:rPr>
          <w:rFonts w:ascii="Book Antiqua" w:hAnsi="Book Antiqua" w:cs="Times New Roman" w:hint="eastAsia"/>
          <w:iCs/>
          <w:sz w:val="24"/>
          <w:szCs w:val="24"/>
        </w:rPr>
        <w:t xml:space="preserve">: </w:t>
      </w:r>
      <w:r w:rsidR="00AC42F7" w:rsidRPr="00A35218">
        <w:rPr>
          <w:rFonts w:ascii="Book Antiqua" w:hAnsi="Book Antiqua" w:cs="Times New Roman"/>
          <w:bCs/>
          <w:caps/>
          <w:sz w:val="24"/>
          <w:szCs w:val="24"/>
        </w:rPr>
        <w:t>t</w:t>
      </w:r>
      <w:r w:rsidR="00AC42F7" w:rsidRPr="00A35218">
        <w:rPr>
          <w:rFonts w:ascii="Book Antiqua" w:hAnsi="Book Antiqua" w:cs="Times New Roman"/>
          <w:bCs/>
          <w:sz w:val="24"/>
          <w:szCs w:val="24"/>
        </w:rPr>
        <w:t>hymoquinone</w:t>
      </w:r>
      <w:r w:rsidR="00AC42F7">
        <w:rPr>
          <w:rFonts w:ascii="Book Antiqua" w:hAnsi="Book Antiqua" w:cs="Times New Roman" w:hint="eastAsia"/>
          <w:bCs/>
          <w:sz w:val="24"/>
          <w:szCs w:val="24"/>
        </w:rPr>
        <w:t>.</w:t>
      </w:r>
    </w:p>
    <w:sectPr w:rsidR="00DF581C" w:rsidRPr="009E2BF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138" w:rsidRDefault="00ED1138" w:rsidP="007821FF">
      <w:r>
        <w:separator/>
      </w:r>
    </w:p>
  </w:endnote>
  <w:endnote w:type="continuationSeparator" w:id="0">
    <w:p w:rsidR="00ED1138" w:rsidRDefault="00ED1138" w:rsidP="00782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vTimes">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138" w:rsidRDefault="00ED1138" w:rsidP="007821FF">
      <w:r>
        <w:separator/>
      </w:r>
    </w:p>
  </w:footnote>
  <w:footnote w:type="continuationSeparator" w:id="0">
    <w:p w:rsidR="00ED1138" w:rsidRDefault="00ED1138" w:rsidP="007821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FE098A"/>
    <w:multiLevelType w:val="multilevel"/>
    <w:tmpl w:val="39FE098A"/>
    <w:lvl w:ilvl="0">
      <w:start w:val="1"/>
      <w:numFmt w:val="decimal"/>
      <w:lvlText w:val="[%1]"/>
      <w:lvlJc w:val="left"/>
      <w:pPr>
        <w:ind w:left="420" w:hanging="420"/>
      </w:pPr>
      <w:rPr>
        <w:rFonts w:hint="eastAsia"/>
        <w:sz w:val="21"/>
        <w:szCs w:val="21"/>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FE2"/>
    <w:rsid w:val="00010B2B"/>
    <w:rsid w:val="00016916"/>
    <w:rsid w:val="00041FBF"/>
    <w:rsid w:val="000463D4"/>
    <w:rsid w:val="00051E74"/>
    <w:rsid w:val="00053DC6"/>
    <w:rsid w:val="00057CE8"/>
    <w:rsid w:val="00067BA6"/>
    <w:rsid w:val="000A6619"/>
    <w:rsid w:val="000D6F4F"/>
    <w:rsid w:val="000F4707"/>
    <w:rsid w:val="0010285E"/>
    <w:rsid w:val="00115E3F"/>
    <w:rsid w:val="001267AD"/>
    <w:rsid w:val="0014292A"/>
    <w:rsid w:val="001743DC"/>
    <w:rsid w:val="001B073E"/>
    <w:rsid w:val="001B4FE2"/>
    <w:rsid w:val="001B5AD5"/>
    <w:rsid w:val="001C2C37"/>
    <w:rsid w:val="001D5700"/>
    <w:rsid w:val="001E38EA"/>
    <w:rsid w:val="00203D5C"/>
    <w:rsid w:val="00260802"/>
    <w:rsid w:val="002652D9"/>
    <w:rsid w:val="00275B34"/>
    <w:rsid w:val="002C104B"/>
    <w:rsid w:val="002F6482"/>
    <w:rsid w:val="00304081"/>
    <w:rsid w:val="00305EC5"/>
    <w:rsid w:val="00307C19"/>
    <w:rsid w:val="003269A4"/>
    <w:rsid w:val="003345F9"/>
    <w:rsid w:val="00361C93"/>
    <w:rsid w:val="003A122F"/>
    <w:rsid w:val="003C1D40"/>
    <w:rsid w:val="003C339F"/>
    <w:rsid w:val="003C6D01"/>
    <w:rsid w:val="0040682E"/>
    <w:rsid w:val="0041743D"/>
    <w:rsid w:val="0042767C"/>
    <w:rsid w:val="0045732B"/>
    <w:rsid w:val="00495E92"/>
    <w:rsid w:val="004A5A5C"/>
    <w:rsid w:val="004C1CC8"/>
    <w:rsid w:val="004D2528"/>
    <w:rsid w:val="004E3FDB"/>
    <w:rsid w:val="0050052E"/>
    <w:rsid w:val="005314FA"/>
    <w:rsid w:val="00554AD6"/>
    <w:rsid w:val="00590666"/>
    <w:rsid w:val="005956E6"/>
    <w:rsid w:val="005B61AD"/>
    <w:rsid w:val="005C729E"/>
    <w:rsid w:val="005E5227"/>
    <w:rsid w:val="005E7B02"/>
    <w:rsid w:val="00635FF9"/>
    <w:rsid w:val="006A0E90"/>
    <w:rsid w:val="006A4309"/>
    <w:rsid w:val="006F0BF1"/>
    <w:rsid w:val="00710FE8"/>
    <w:rsid w:val="00711DD2"/>
    <w:rsid w:val="007669C4"/>
    <w:rsid w:val="007821FF"/>
    <w:rsid w:val="00796C37"/>
    <w:rsid w:val="0080418D"/>
    <w:rsid w:val="00846CDB"/>
    <w:rsid w:val="00860498"/>
    <w:rsid w:val="008A0A2B"/>
    <w:rsid w:val="008A401A"/>
    <w:rsid w:val="008A62C2"/>
    <w:rsid w:val="008E721C"/>
    <w:rsid w:val="00923479"/>
    <w:rsid w:val="00930EB4"/>
    <w:rsid w:val="009413C9"/>
    <w:rsid w:val="009E2BF9"/>
    <w:rsid w:val="009F5513"/>
    <w:rsid w:val="00A10E5E"/>
    <w:rsid w:val="00A25CD3"/>
    <w:rsid w:val="00A324CB"/>
    <w:rsid w:val="00A35218"/>
    <w:rsid w:val="00A4278C"/>
    <w:rsid w:val="00A57A4E"/>
    <w:rsid w:val="00A77BC2"/>
    <w:rsid w:val="00A86D76"/>
    <w:rsid w:val="00A97F9D"/>
    <w:rsid w:val="00AC2403"/>
    <w:rsid w:val="00AC42F7"/>
    <w:rsid w:val="00AC585F"/>
    <w:rsid w:val="00AD7E7A"/>
    <w:rsid w:val="00AE40B6"/>
    <w:rsid w:val="00B07E05"/>
    <w:rsid w:val="00B15786"/>
    <w:rsid w:val="00B27929"/>
    <w:rsid w:val="00B544D5"/>
    <w:rsid w:val="00B737B3"/>
    <w:rsid w:val="00BB717E"/>
    <w:rsid w:val="00BE0353"/>
    <w:rsid w:val="00C212AD"/>
    <w:rsid w:val="00C46463"/>
    <w:rsid w:val="00C65827"/>
    <w:rsid w:val="00C730BE"/>
    <w:rsid w:val="00CB4F6B"/>
    <w:rsid w:val="00CC4A19"/>
    <w:rsid w:val="00CE0F21"/>
    <w:rsid w:val="00CE7BBD"/>
    <w:rsid w:val="00CF174E"/>
    <w:rsid w:val="00CF1DB3"/>
    <w:rsid w:val="00D050FA"/>
    <w:rsid w:val="00D07383"/>
    <w:rsid w:val="00D117B8"/>
    <w:rsid w:val="00D1203E"/>
    <w:rsid w:val="00D24BC7"/>
    <w:rsid w:val="00D32934"/>
    <w:rsid w:val="00D33ACC"/>
    <w:rsid w:val="00D4001D"/>
    <w:rsid w:val="00D4452F"/>
    <w:rsid w:val="00D60979"/>
    <w:rsid w:val="00D60AB6"/>
    <w:rsid w:val="00D85E33"/>
    <w:rsid w:val="00D920E7"/>
    <w:rsid w:val="00DB7CA5"/>
    <w:rsid w:val="00DD7130"/>
    <w:rsid w:val="00DE6504"/>
    <w:rsid w:val="00DF0220"/>
    <w:rsid w:val="00DF581C"/>
    <w:rsid w:val="00DF5F07"/>
    <w:rsid w:val="00E17601"/>
    <w:rsid w:val="00E54836"/>
    <w:rsid w:val="00E615D4"/>
    <w:rsid w:val="00E66232"/>
    <w:rsid w:val="00E84635"/>
    <w:rsid w:val="00E86FD9"/>
    <w:rsid w:val="00E969F4"/>
    <w:rsid w:val="00EA4DBB"/>
    <w:rsid w:val="00ED1138"/>
    <w:rsid w:val="00ED130E"/>
    <w:rsid w:val="00ED54B7"/>
    <w:rsid w:val="00EF60D5"/>
    <w:rsid w:val="00EF643F"/>
    <w:rsid w:val="00F3017D"/>
    <w:rsid w:val="00F544D7"/>
    <w:rsid w:val="00F76EEB"/>
    <w:rsid w:val="00FB7D3B"/>
    <w:rsid w:val="00FD1582"/>
    <w:rsid w:val="00FD35B7"/>
    <w:rsid w:val="00FE67BF"/>
    <w:rsid w:val="00FE7FCD"/>
    <w:rsid w:val="00FF23C3"/>
    <w:rsid w:val="01444A9C"/>
    <w:rsid w:val="01D84982"/>
    <w:rsid w:val="02047050"/>
    <w:rsid w:val="021F0032"/>
    <w:rsid w:val="04191D45"/>
    <w:rsid w:val="0470617B"/>
    <w:rsid w:val="047F01BC"/>
    <w:rsid w:val="084C3B6B"/>
    <w:rsid w:val="0B096642"/>
    <w:rsid w:val="0C015252"/>
    <w:rsid w:val="0C13579C"/>
    <w:rsid w:val="0D8B2E00"/>
    <w:rsid w:val="104C1E5D"/>
    <w:rsid w:val="10E9155D"/>
    <w:rsid w:val="1214305D"/>
    <w:rsid w:val="12385DF6"/>
    <w:rsid w:val="12674F3D"/>
    <w:rsid w:val="12DC63AA"/>
    <w:rsid w:val="131B3852"/>
    <w:rsid w:val="146841EE"/>
    <w:rsid w:val="14EA1792"/>
    <w:rsid w:val="14EC42EA"/>
    <w:rsid w:val="161B0C12"/>
    <w:rsid w:val="176F1A7B"/>
    <w:rsid w:val="17A4430B"/>
    <w:rsid w:val="1A13203E"/>
    <w:rsid w:val="1B347C84"/>
    <w:rsid w:val="1B854A09"/>
    <w:rsid w:val="1BF845D5"/>
    <w:rsid w:val="1C3C0626"/>
    <w:rsid w:val="1CE84D69"/>
    <w:rsid w:val="1D541B8D"/>
    <w:rsid w:val="1ECB7395"/>
    <w:rsid w:val="1EEB1CF8"/>
    <w:rsid w:val="1F0939BA"/>
    <w:rsid w:val="203F10D2"/>
    <w:rsid w:val="20AF6EF3"/>
    <w:rsid w:val="2111213A"/>
    <w:rsid w:val="21F3784E"/>
    <w:rsid w:val="23532C7E"/>
    <w:rsid w:val="2A041F9E"/>
    <w:rsid w:val="2AA23DAB"/>
    <w:rsid w:val="2B725E85"/>
    <w:rsid w:val="2B795DA1"/>
    <w:rsid w:val="2D6A2C67"/>
    <w:rsid w:val="2ECD0907"/>
    <w:rsid w:val="302125C0"/>
    <w:rsid w:val="315507C4"/>
    <w:rsid w:val="321364DC"/>
    <w:rsid w:val="33392A7E"/>
    <w:rsid w:val="33487DE3"/>
    <w:rsid w:val="35DF423C"/>
    <w:rsid w:val="39172B93"/>
    <w:rsid w:val="39AA29E2"/>
    <w:rsid w:val="3A7151F3"/>
    <w:rsid w:val="3D26254E"/>
    <w:rsid w:val="3F695308"/>
    <w:rsid w:val="41624F88"/>
    <w:rsid w:val="42500781"/>
    <w:rsid w:val="449051A0"/>
    <w:rsid w:val="48DA12B4"/>
    <w:rsid w:val="4B262880"/>
    <w:rsid w:val="4CAF3F40"/>
    <w:rsid w:val="4D053146"/>
    <w:rsid w:val="4D0A0A34"/>
    <w:rsid w:val="4E8C4F2B"/>
    <w:rsid w:val="4EBF3EB5"/>
    <w:rsid w:val="4F9F6DB9"/>
    <w:rsid w:val="5006330C"/>
    <w:rsid w:val="50470D40"/>
    <w:rsid w:val="51D24217"/>
    <w:rsid w:val="52815BAC"/>
    <w:rsid w:val="55E23441"/>
    <w:rsid w:val="57035C58"/>
    <w:rsid w:val="570A0ECB"/>
    <w:rsid w:val="571E3D89"/>
    <w:rsid w:val="580A7348"/>
    <w:rsid w:val="5DC21054"/>
    <w:rsid w:val="5EC33B2A"/>
    <w:rsid w:val="5FFD0F89"/>
    <w:rsid w:val="61713526"/>
    <w:rsid w:val="6224644B"/>
    <w:rsid w:val="66814FB5"/>
    <w:rsid w:val="66AA0B06"/>
    <w:rsid w:val="672643C9"/>
    <w:rsid w:val="6A1A45CD"/>
    <w:rsid w:val="6AFE2662"/>
    <w:rsid w:val="6B2C617C"/>
    <w:rsid w:val="6BC831AE"/>
    <w:rsid w:val="6DD85D2E"/>
    <w:rsid w:val="6EFD62D0"/>
    <w:rsid w:val="6F817BF8"/>
    <w:rsid w:val="72E066BD"/>
    <w:rsid w:val="73EE7424"/>
    <w:rsid w:val="74ED35C3"/>
    <w:rsid w:val="75E67F85"/>
    <w:rsid w:val="77B707AE"/>
    <w:rsid w:val="79B60018"/>
    <w:rsid w:val="7CCC13E7"/>
    <w:rsid w:val="7D860512"/>
    <w:rsid w:val="7E1C4210"/>
    <w:rsid w:val="7EAD73AA"/>
    <w:rsid w:val="7FC930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11400915-669D-47C7-B961-CA403892D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uiPriority w:val="99"/>
    <w:unhideWhenUsed/>
    <w:qFormat/>
    <w:pPr>
      <w:jc w:val="left"/>
    </w:pPr>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character" w:styleId="CommentReference">
    <w:name w:val="annotation reference"/>
    <w:basedOn w:val="DefaultParagraphFont"/>
    <w:uiPriority w:val="99"/>
    <w:unhideWhenUsed/>
    <w:qFormat/>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1">
    <w:name w:val="列出段落1"/>
    <w:basedOn w:val="Normal"/>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6071</Words>
  <Characters>34608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Ghost Win7 SP1装机版 V201303</Company>
  <LinksUpToDate>false</LinksUpToDate>
  <CharactersWithSpaces>40598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LS Ma</cp:lastModifiedBy>
  <cp:revision>2</cp:revision>
  <cp:lastPrinted>2015-04-03T10:15:00Z</cp:lastPrinted>
  <dcterms:created xsi:type="dcterms:W3CDTF">2016-03-18T03:12:00Z</dcterms:created>
  <dcterms:modified xsi:type="dcterms:W3CDTF">2016-03-18T03:12:00Z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2052-10.1.0.5554</vt:lpwstr>
  </property>
</Properties>
</file>