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7D" w:rsidRPr="00E76B5D" w:rsidRDefault="00D20D7D" w:rsidP="00C46723">
      <w:pPr>
        <w:spacing w:line="360" w:lineRule="auto"/>
        <w:rPr>
          <w:rFonts w:ascii="Book Antiqua" w:hAnsi="Book Antiqua" w:cs="Tahoma"/>
          <w:b/>
          <w:sz w:val="24"/>
        </w:rPr>
      </w:pPr>
      <w:bookmarkStart w:id="0" w:name="OLE_LINK81"/>
      <w:bookmarkStart w:id="1" w:name="OLE_LINK82"/>
      <w:r w:rsidRPr="00E76B5D">
        <w:rPr>
          <w:rFonts w:ascii="Book Antiqua" w:hAnsi="Book Antiqua" w:cs="Tahoma"/>
          <w:b/>
          <w:sz w:val="24"/>
        </w:rPr>
        <w:t>Name of journal: World Journal of Gastroenterology</w:t>
      </w:r>
    </w:p>
    <w:p w:rsidR="00D20D7D" w:rsidRPr="00E76B5D" w:rsidRDefault="00D20D7D" w:rsidP="00C46723">
      <w:pPr>
        <w:spacing w:line="360" w:lineRule="auto"/>
        <w:rPr>
          <w:rFonts w:ascii="Book Antiqua" w:hAnsi="Book Antiqua" w:cs="Tahoma"/>
          <w:b/>
          <w:sz w:val="24"/>
        </w:rPr>
      </w:pPr>
      <w:r w:rsidRPr="00E76B5D">
        <w:rPr>
          <w:rFonts w:ascii="Book Antiqua" w:hAnsi="Book Antiqua" w:cs="Tahoma"/>
          <w:b/>
          <w:sz w:val="24"/>
        </w:rPr>
        <w:t>ESPS Manuscript NO: 2429</w:t>
      </w:r>
    </w:p>
    <w:p w:rsidR="00D20D7D" w:rsidRPr="00E76B5D" w:rsidRDefault="00D20D7D" w:rsidP="00C46723">
      <w:pPr>
        <w:spacing w:line="360" w:lineRule="auto"/>
        <w:rPr>
          <w:rFonts w:ascii="Book Antiqua" w:hAnsi="Book Antiqua" w:cs="Tahoma"/>
          <w:b/>
          <w:sz w:val="24"/>
        </w:rPr>
      </w:pPr>
      <w:r w:rsidRPr="00E76B5D">
        <w:rPr>
          <w:rFonts w:ascii="Book Antiqua" w:hAnsi="Book Antiqua" w:cs="Tahoma"/>
          <w:b/>
          <w:sz w:val="24"/>
        </w:rPr>
        <w:t xml:space="preserve">Columns: </w:t>
      </w:r>
      <w:r w:rsidRPr="00E76B5D">
        <w:rPr>
          <w:rFonts w:ascii="Book Antiqua" w:hAnsi="Book Antiqua" w:cs="Arial"/>
          <w:b/>
          <w:bCs/>
          <w:sz w:val="24"/>
        </w:rPr>
        <w:t>REVIEW</w:t>
      </w: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bookmarkStart w:id="2" w:name="OLE_LINK79"/>
      <w:bookmarkStart w:id="3" w:name="OLE_LINK80"/>
      <w:r w:rsidRPr="00E76B5D">
        <w:rPr>
          <w:rFonts w:ascii="Book Antiqua" w:hAnsi="Book Antiqua"/>
          <w:b/>
          <w:sz w:val="24"/>
        </w:rPr>
        <w:t xml:space="preserve">Sofosbuvir and ABT-450: Terminator of </w:t>
      </w:r>
      <w:r w:rsidR="00DD4021" w:rsidRPr="00E76B5D">
        <w:rPr>
          <w:rFonts w:ascii="Book Antiqua" w:hAnsi="Book Antiqua"/>
          <w:b/>
          <w:sz w:val="24"/>
        </w:rPr>
        <w:t>hepatitis C virus</w:t>
      </w:r>
      <w:r w:rsidRPr="00E76B5D">
        <w:rPr>
          <w:rFonts w:ascii="Book Antiqua" w:hAnsi="Book Antiqua"/>
          <w:b/>
          <w:sz w:val="24"/>
        </w:rPr>
        <w:t>?</w:t>
      </w:r>
    </w:p>
    <w:bookmarkEnd w:id="2"/>
    <w:bookmarkEnd w:id="3"/>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sz w:val="24"/>
        </w:rPr>
        <w:t>Zeng QL</w:t>
      </w:r>
      <w:r w:rsidRPr="00E76B5D">
        <w:rPr>
          <w:rFonts w:ascii="Book Antiqua" w:hAnsi="Book Antiqua" w:cs="Tahoma"/>
          <w:i/>
          <w:kern w:val="0"/>
          <w:sz w:val="24"/>
        </w:rPr>
        <w:t xml:space="preserve"> et al</w:t>
      </w:r>
      <w:r w:rsidRPr="00E76B5D">
        <w:rPr>
          <w:rFonts w:ascii="Book Antiqua" w:hAnsi="Book Antiqua" w:cs="Tahoma"/>
          <w:kern w:val="0"/>
          <w:sz w:val="24"/>
        </w:rPr>
        <w:t xml:space="preserve">. </w:t>
      </w:r>
      <w:r w:rsidRPr="00E76B5D">
        <w:rPr>
          <w:rFonts w:ascii="Book Antiqua" w:hAnsi="Book Antiqua"/>
          <w:sz w:val="24"/>
        </w:rPr>
        <w:t>Sofosbuvir and ABT-450: Terminator of HCV?</w:t>
      </w: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sz w:val="24"/>
        </w:rPr>
      </w:pPr>
      <w:bookmarkStart w:id="4" w:name="OLE_LINK21"/>
      <w:bookmarkStart w:id="5" w:name="OLE_LINK22"/>
      <w:r w:rsidRPr="00E76B5D">
        <w:rPr>
          <w:rFonts w:ascii="Book Antiqua" w:hAnsi="Book Antiqua"/>
          <w:sz w:val="24"/>
        </w:rPr>
        <w:t>Qing-Lei Zeng, Ji-Yuan Zhang, Zheng Zhang, Li-Feng Wang, Fu-Sheng Wang</w:t>
      </w:r>
    </w:p>
    <w:bookmarkEnd w:id="4"/>
    <w:bookmarkEnd w:id="5"/>
    <w:p w:rsidR="00D20D7D" w:rsidRPr="00E76B5D" w:rsidRDefault="00E55AD2" w:rsidP="00C46723">
      <w:pPr>
        <w:widowControl/>
        <w:spacing w:line="360" w:lineRule="auto"/>
        <w:rPr>
          <w:rFonts w:ascii="Book Antiqua" w:hAnsi="Book Antiqua"/>
          <w:sz w:val="24"/>
          <w:vertAlign w:val="superscript"/>
        </w:rPr>
      </w:pPr>
      <w:r>
        <w:rPr>
          <w:rFonts w:ascii="Book Antiqua" w:hAnsi="Book Antiqua"/>
          <w:noProof/>
          <w:sz w:val="24"/>
          <w:vertAlign w:val="superscript"/>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198755</wp:posOffset>
                </wp:positionV>
                <wp:extent cx="5393690" cy="0"/>
                <wp:effectExtent l="24765" t="27305" r="2032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5.65pt" to="415.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wCFAIAACk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Pg0XUxnCxCNDr6EFEOisc5/4rpDwSixBM4RmJy2zgcipBhCwj1Kb4SU&#10;UWypUF/i6TxL05jhtBQseEOcs4d9JS06EZiXeRq+WBZ4HsOsPioW0VpO2PpmeyLk1YbbpQp4UAvw&#10;uVnXgfixSBfr+Xqej/LJbD3K07oefdxU+Wi2yT481dO6qursZ6CW5UUrGOMqsBuGM8v/TvzbM7mO&#10;1X08731I3qLHhgHZ4R9JRzGDftdJ2Gt22dlBZJjHGHx7O2HgH/dgP77w1S8AAAD//wMAUEsDBBQA&#10;BgAIAAAAIQAXwXuV3gAAAAkBAAAPAAAAZHJzL2Rvd25yZXYueG1sTI/LTsMwEEX3SPyDNUhsUOsE&#10;S1UIcSrEY9MFEikf4MSTOCIeB9tt07/HiAVdzszRnXOr7WIndkQfRkcS8nUGDKlzeqRBwuf+bVUA&#10;C1GRVpMjlHDGANv6+qpSpXYn+sBjEweWQiiUSoKJcS45D51Bq8LazUjp1jtvVUyjH7j26pTC7cTv&#10;s2zDrRopfTBqxmeD3VdzsBK+d8q1r2Ynzi+9eN/7BvsHfyfl7c3y9Ags4hL/YfjVT+pQJ6fWHUgH&#10;NklY5cUmoRJELoAloBBZ6tL+LXhd8csG9Q8AAAD//wMAUEsBAi0AFAAGAAgAAAAhALaDOJL+AAAA&#10;4QEAABMAAAAAAAAAAAAAAAAAAAAAAFtDb250ZW50X1R5cGVzXS54bWxQSwECLQAUAAYACAAAACEA&#10;OP0h/9YAAACUAQAACwAAAAAAAAAAAAAAAAAvAQAAX3JlbHMvLnJlbHNQSwECLQAUAAYACAAAACEA&#10;JZ5MAhQCAAApBAAADgAAAAAAAAAAAAAAAAAuAgAAZHJzL2Uyb0RvYy54bWxQSwECLQAUAAYACAAA&#10;ACEAF8F7ld4AAAAJAQAADwAAAAAAAAAAAAAAAABuBAAAZHJzL2Rvd25yZXYueG1sUEsFBgAAAAAE&#10;AAQA8wAAAHkFAAAAAA==&#10;" strokecolor="gray" strokeweight="3pt"/>
            </w:pict>
          </mc:Fallback>
        </mc:AlternateContent>
      </w:r>
    </w:p>
    <w:p w:rsidR="00D20D7D" w:rsidRDefault="00D20D7D" w:rsidP="00C46723">
      <w:pPr>
        <w:widowControl/>
        <w:spacing w:line="360" w:lineRule="auto"/>
        <w:rPr>
          <w:rFonts w:ascii="Book Antiqua" w:hAnsi="Book Antiqua"/>
          <w:sz w:val="24"/>
        </w:rPr>
      </w:pPr>
      <w:r w:rsidRPr="00E76B5D">
        <w:rPr>
          <w:rFonts w:ascii="Book Antiqua" w:hAnsi="Book Antiqua"/>
          <w:b/>
          <w:sz w:val="24"/>
        </w:rPr>
        <w:t xml:space="preserve">Qing-Lei Zeng, Fu-Sheng Wang, </w:t>
      </w:r>
      <w:r w:rsidRPr="00E76B5D">
        <w:rPr>
          <w:rFonts w:ascii="Book Antiqua" w:hAnsi="Book Antiqua"/>
          <w:sz w:val="24"/>
        </w:rPr>
        <w:t xml:space="preserve">The Institute of Translational Hepatology, Beijing 302 Hospital, Peking University, Beijing 100039, China </w:t>
      </w:r>
    </w:p>
    <w:p w:rsidR="0087631D" w:rsidRPr="00E76B5D" w:rsidRDefault="0087631D" w:rsidP="00C46723">
      <w:pPr>
        <w:widowControl/>
        <w:spacing w:line="360" w:lineRule="auto"/>
        <w:rPr>
          <w:rFonts w:ascii="Book Antiqua" w:hAnsi="Book Antiqua"/>
          <w:sz w:val="24"/>
        </w:rPr>
      </w:pPr>
    </w:p>
    <w:p w:rsidR="00D20D7D" w:rsidRPr="00E76B5D" w:rsidRDefault="00D20D7D" w:rsidP="00C46723">
      <w:pPr>
        <w:widowControl/>
        <w:spacing w:line="360" w:lineRule="auto"/>
        <w:rPr>
          <w:rFonts w:ascii="Book Antiqua" w:hAnsi="Book Antiqua"/>
          <w:sz w:val="24"/>
        </w:rPr>
      </w:pPr>
      <w:r w:rsidRPr="00E76B5D">
        <w:rPr>
          <w:rFonts w:ascii="Book Antiqua" w:hAnsi="Book Antiqua"/>
          <w:b/>
          <w:sz w:val="24"/>
        </w:rPr>
        <w:t xml:space="preserve">Ji-Yuan Zhang, Zheng Zhang, Li-Feng Wang, </w:t>
      </w:r>
      <w:r w:rsidRPr="00E76B5D">
        <w:rPr>
          <w:rFonts w:ascii="Book Antiqua" w:hAnsi="Book Antiqua"/>
          <w:sz w:val="24"/>
        </w:rPr>
        <w:t>Research Center for Biological Therapy, Beijing 302 Hospital, Beijing 100039, China</w:t>
      </w:r>
    </w:p>
    <w:p w:rsidR="00D20D7D" w:rsidRPr="00E76B5D" w:rsidRDefault="00D20D7D" w:rsidP="00C46723">
      <w:pPr>
        <w:widowControl/>
        <w:spacing w:line="360" w:lineRule="auto"/>
        <w:rPr>
          <w:rFonts w:ascii="Book Antiqua" w:hAnsi="Book Antiqua"/>
          <w:b/>
          <w:sz w:val="24"/>
        </w:rPr>
      </w:pPr>
    </w:p>
    <w:p w:rsidR="00D20D7D" w:rsidRPr="00E76B5D" w:rsidRDefault="00D20D7D" w:rsidP="00C46723">
      <w:pPr>
        <w:spacing w:line="360" w:lineRule="auto"/>
        <w:rPr>
          <w:rFonts w:ascii="Book Antiqua" w:hAnsi="Book Antiqua"/>
          <w:sz w:val="24"/>
        </w:rPr>
      </w:pPr>
      <w:r w:rsidRPr="00E76B5D">
        <w:rPr>
          <w:rFonts w:ascii="Book Antiqua" w:hAnsi="Book Antiqua"/>
          <w:b/>
          <w:sz w:val="24"/>
        </w:rPr>
        <w:t>Author contributions:</w:t>
      </w:r>
      <w:r w:rsidRPr="00E76B5D">
        <w:rPr>
          <w:rFonts w:ascii="Book Antiqua" w:hAnsi="Book Antiqua"/>
          <w:sz w:val="24"/>
        </w:rPr>
        <w:t xml:space="preserve"> Zeng QL and Zhang JY contributed equally to this work. Zeng QL and Zhang JY contributed to the study idea, study design, literature search, manuscript writing and final revision of the article; Zhang Z and Wang LF contributed to the manuscript writing and the final revision of the article; Wang FS contributed to the study design, manuscript writing and the final revision of the article.</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kern w:val="0"/>
          <w:sz w:val="24"/>
        </w:rPr>
      </w:pPr>
      <w:r w:rsidRPr="00E76B5D">
        <w:rPr>
          <w:rFonts w:ascii="Book Antiqua" w:hAnsi="Book Antiqua"/>
          <w:b/>
          <w:sz w:val="24"/>
        </w:rPr>
        <w:t xml:space="preserve">Supported by </w:t>
      </w:r>
      <w:r w:rsidR="00C46723" w:rsidRPr="00E76B5D">
        <w:rPr>
          <w:rFonts w:ascii="Book Antiqua" w:hAnsi="Book Antiqua"/>
          <w:sz w:val="24"/>
        </w:rPr>
        <w:t>G</w:t>
      </w:r>
      <w:r w:rsidRPr="00E76B5D">
        <w:rPr>
          <w:rFonts w:ascii="Book Antiqua" w:hAnsi="Book Antiqua"/>
          <w:sz w:val="24"/>
        </w:rPr>
        <w:t xml:space="preserve">rants from the </w:t>
      </w:r>
      <w:r w:rsidRPr="00E76B5D">
        <w:rPr>
          <w:rFonts w:ascii="Book Antiqua" w:hAnsi="Book Antiqua"/>
          <w:kern w:val="0"/>
          <w:sz w:val="24"/>
        </w:rPr>
        <w:t>National Key Basic Research Program of China</w:t>
      </w:r>
      <w:r w:rsidRPr="00E76B5D">
        <w:rPr>
          <w:rFonts w:ascii="Book Antiqua" w:hAnsi="Book Antiqua"/>
          <w:sz w:val="24"/>
        </w:rPr>
        <w:t xml:space="preserve">, </w:t>
      </w:r>
      <w:r w:rsidRPr="00E76B5D">
        <w:rPr>
          <w:rFonts w:ascii="Book Antiqua" w:hAnsi="Book Antiqua"/>
          <w:kern w:val="0"/>
          <w:sz w:val="24"/>
        </w:rPr>
        <w:t>No. 2009CB522507</w:t>
      </w:r>
      <w:r w:rsidR="00C46723" w:rsidRPr="00E76B5D">
        <w:rPr>
          <w:rFonts w:ascii="Book Antiqua" w:hAnsi="Book Antiqua"/>
          <w:kern w:val="0"/>
          <w:sz w:val="24"/>
        </w:rPr>
        <w:t>,</w:t>
      </w:r>
      <w:r w:rsidRPr="00E76B5D">
        <w:rPr>
          <w:rFonts w:ascii="Book Antiqua" w:hAnsi="Book Antiqua"/>
          <w:kern w:val="0"/>
          <w:sz w:val="24"/>
        </w:rPr>
        <w:t xml:space="preserve"> No. 2012CB519005; and Beijing Nova Program of China, No. Z12110702512071</w:t>
      </w: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sz w:val="24"/>
        </w:rPr>
      </w:pPr>
      <w:bookmarkStart w:id="6" w:name="OLE_LINK73"/>
      <w:bookmarkStart w:id="7" w:name="OLE_LINK74"/>
      <w:r w:rsidRPr="00E76B5D">
        <w:rPr>
          <w:rFonts w:ascii="Book Antiqua" w:hAnsi="Book Antiqua"/>
          <w:b/>
          <w:sz w:val="24"/>
        </w:rPr>
        <w:t xml:space="preserve">Correspondence to: Fu-Sheng Wang, MD, PhD, </w:t>
      </w:r>
      <w:r w:rsidRPr="00E76B5D">
        <w:rPr>
          <w:rFonts w:ascii="Book Antiqua" w:hAnsi="Book Antiqua"/>
          <w:sz w:val="24"/>
        </w:rPr>
        <w:t xml:space="preserve">The Institute of Translational Hepatology, </w:t>
      </w:r>
      <w:bookmarkStart w:id="8" w:name="OLE_LINK1886"/>
      <w:bookmarkStart w:id="9" w:name="OLE_LINK1887"/>
      <w:r w:rsidRPr="00E76B5D">
        <w:rPr>
          <w:rFonts w:ascii="Book Antiqua" w:hAnsi="Book Antiqua"/>
          <w:sz w:val="24"/>
        </w:rPr>
        <w:t xml:space="preserve">Beijing 302 Hospital, </w:t>
      </w:r>
      <w:bookmarkEnd w:id="8"/>
      <w:bookmarkEnd w:id="9"/>
      <w:r w:rsidR="0087631D">
        <w:rPr>
          <w:rFonts w:ascii="Book Antiqua" w:hAnsi="Book Antiqua" w:hint="eastAsia"/>
          <w:sz w:val="24"/>
        </w:rPr>
        <w:t>1</w:t>
      </w:r>
      <w:r w:rsidR="0087631D">
        <w:rPr>
          <w:rFonts w:ascii="Book Antiqua" w:hAnsi="Book Antiqua"/>
          <w:sz w:val="24"/>
        </w:rPr>
        <w:t>00 Xisi</w:t>
      </w:r>
      <w:r w:rsidR="0087631D" w:rsidRPr="0087631D">
        <w:rPr>
          <w:rFonts w:ascii="Book Antiqua" w:hAnsi="Book Antiqua"/>
          <w:sz w:val="24"/>
        </w:rPr>
        <w:t>huan Middle Road</w:t>
      </w:r>
      <w:r w:rsidR="0087631D">
        <w:rPr>
          <w:rFonts w:ascii="Book Antiqua" w:hAnsi="Book Antiqua" w:hint="eastAsia"/>
          <w:sz w:val="24"/>
        </w:rPr>
        <w:t xml:space="preserve">, </w:t>
      </w:r>
      <w:r w:rsidRPr="00E76B5D">
        <w:rPr>
          <w:rFonts w:ascii="Book Antiqua" w:hAnsi="Book Antiqua"/>
          <w:sz w:val="24"/>
        </w:rPr>
        <w:t xml:space="preserve">Peking University, Beijing 100039, China. </w:t>
      </w:r>
      <w:hyperlink r:id="rId8" w:history="1">
        <w:r w:rsidRPr="00E76B5D">
          <w:rPr>
            <w:rStyle w:val="a7"/>
            <w:rFonts w:ascii="Book Antiqua" w:hAnsi="Book Antiqua"/>
            <w:sz w:val="24"/>
            <w:u w:val="none"/>
          </w:rPr>
          <w:t>fswang302@163.com</w:t>
        </w:r>
      </w:hyperlink>
    </w:p>
    <w:p w:rsidR="00D20D7D" w:rsidRPr="00E76B5D" w:rsidRDefault="00D20D7D" w:rsidP="00C46723">
      <w:pPr>
        <w:spacing w:line="360" w:lineRule="auto"/>
        <w:rPr>
          <w:rFonts w:ascii="Book Antiqua" w:hAnsi="Book Antiqua"/>
          <w:sz w:val="24"/>
        </w:rPr>
      </w:pPr>
      <w:r w:rsidRPr="00E76B5D">
        <w:rPr>
          <w:rFonts w:ascii="Book Antiqua" w:hAnsi="Book Antiqua"/>
          <w:b/>
          <w:sz w:val="24"/>
        </w:rPr>
        <w:lastRenderedPageBreak/>
        <w:t>Telephone:</w:t>
      </w:r>
      <w:r w:rsidRPr="00E76B5D">
        <w:rPr>
          <w:rFonts w:ascii="Book Antiqua" w:hAnsi="Book Antiqua"/>
          <w:sz w:val="24"/>
        </w:rPr>
        <w:t xml:space="preserve"> +86-10-6693 3332.          </w:t>
      </w:r>
      <w:r w:rsidRPr="00E76B5D">
        <w:rPr>
          <w:rFonts w:ascii="Book Antiqua" w:hAnsi="Book Antiqua"/>
          <w:b/>
          <w:sz w:val="24"/>
        </w:rPr>
        <w:t xml:space="preserve">Fax: </w:t>
      </w:r>
      <w:r w:rsidRPr="00E76B5D">
        <w:rPr>
          <w:rFonts w:ascii="Book Antiqua" w:hAnsi="Book Antiqua"/>
          <w:sz w:val="24"/>
        </w:rPr>
        <w:t>+86-10-6693 3332.</w:t>
      </w:r>
      <w:bookmarkEnd w:id="6"/>
      <w:bookmarkEnd w:id="7"/>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Received:</w:t>
      </w:r>
      <w:r w:rsidR="00B33E72">
        <w:rPr>
          <w:rFonts w:ascii="Book Antiqua" w:hAnsi="Book Antiqua" w:hint="eastAsia"/>
          <w:b/>
          <w:sz w:val="24"/>
        </w:rPr>
        <w:t xml:space="preserve"> </w:t>
      </w:r>
      <w:r w:rsidR="00B33E72" w:rsidRPr="00421E83">
        <w:rPr>
          <w:rFonts w:ascii="Book Antiqua" w:hAnsi="Book Antiqua"/>
          <w:sz w:val="24"/>
        </w:rPr>
        <w:t>February</w:t>
      </w:r>
      <w:r w:rsidR="00B33E72">
        <w:rPr>
          <w:rFonts w:ascii="Book Antiqua" w:hAnsi="Book Antiqua" w:hint="eastAsia"/>
          <w:sz w:val="24"/>
        </w:rPr>
        <w:t xml:space="preserve"> 20, 2013</w:t>
      </w:r>
      <w:r w:rsidR="004D6BE2">
        <w:rPr>
          <w:rFonts w:ascii="Book Antiqua" w:hAnsi="Book Antiqua" w:hint="eastAsia"/>
          <w:sz w:val="24"/>
        </w:rPr>
        <w:t xml:space="preserve">          </w:t>
      </w:r>
      <w:r w:rsidR="00F6387B">
        <w:rPr>
          <w:rFonts w:ascii="Book Antiqua" w:hAnsi="Book Antiqua" w:hint="eastAsia"/>
          <w:b/>
          <w:sz w:val="24"/>
        </w:rPr>
        <w:t xml:space="preserve">   </w:t>
      </w:r>
      <w:r w:rsidRPr="00E76B5D">
        <w:rPr>
          <w:rFonts w:ascii="Book Antiqua" w:hAnsi="Book Antiqua"/>
          <w:b/>
          <w:sz w:val="24"/>
        </w:rPr>
        <w:t xml:space="preserve">Revised: </w:t>
      </w:r>
      <w:bookmarkStart w:id="10" w:name="OLE_LINK83"/>
      <w:r w:rsidR="004D6BE2" w:rsidRPr="00421E83">
        <w:rPr>
          <w:rFonts w:ascii="Book Antiqua" w:hAnsi="Book Antiqua"/>
          <w:sz w:val="24"/>
        </w:rPr>
        <w:t>March</w:t>
      </w:r>
      <w:bookmarkEnd w:id="10"/>
      <w:r w:rsidR="004D6BE2">
        <w:rPr>
          <w:rFonts w:ascii="Book Antiqua" w:hAnsi="Book Antiqua" w:hint="eastAsia"/>
          <w:sz w:val="24"/>
        </w:rPr>
        <w:t xml:space="preserve"> 31, 2013</w:t>
      </w:r>
      <w:r w:rsidRPr="00E76B5D">
        <w:rPr>
          <w:rFonts w:ascii="Book Antiqua" w:hAnsi="Book Antiqua"/>
          <w:b/>
          <w:sz w:val="24"/>
        </w:rPr>
        <w:t xml:space="preserve">  </w:t>
      </w:r>
    </w:p>
    <w:p w:rsidR="001C4AD4" w:rsidRPr="00D307D8" w:rsidRDefault="00D20D7D" w:rsidP="001C4AD4">
      <w:pPr>
        <w:rPr>
          <w:rFonts w:ascii="Book Antiqua" w:hAnsi="Book Antiqua"/>
          <w:sz w:val="24"/>
        </w:rPr>
      </w:pPr>
      <w:r w:rsidRPr="00E76B5D">
        <w:rPr>
          <w:rFonts w:ascii="Book Antiqua" w:hAnsi="Book Antiqua"/>
          <w:b/>
          <w:sz w:val="24"/>
        </w:rPr>
        <w:t>Accepted:</w:t>
      </w:r>
      <w:r w:rsidR="001C4AD4" w:rsidRPr="001C4AD4">
        <w:rPr>
          <w:rFonts w:ascii="Book Antiqua" w:hAnsi="Book Antiqua"/>
          <w:sz w:val="24"/>
        </w:rPr>
        <w:t xml:space="preserve"> </w:t>
      </w:r>
      <w:r w:rsidR="001C4AD4" w:rsidRPr="00D307D8">
        <w:rPr>
          <w:rFonts w:ascii="Book Antiqua" w:hAnsi="Book Antiqua"/>
          <w:sz w:val="24"/>
        </w:rPr>
        <w:t>April 17, 2013</w:t>
      </w:r>
    </w:p>
    <w:p w:rsidR="00D20D7D" w:rsidRPr="00E76B5D" w:rsidRDefault="00D20D7D" w:rsidP="00C46723">
      <w:pPr>
        <w:spacing w:line="360" w:lineRule="auto"/>
        <w:rPr>
          <w:rFonts w:ascii="Book Antiqua" w:hAnsi="Book Antiqua"/>
          <w:b/>
          <w:sz w:val="24"/>
        </w:rPr>
      </w:pPr>
      <w:bookmarkStart w:id="11" w:name="_GoBack"/>
      <w:bookmarkEnd w:id="11"/>
      <w:r w:rsidRPr="00E76B5D">
        <w:rPr>
          <w:rFonts w:ascii="Book Antiqua" w:hAnsi="Book Antiqua"/>
          <w:b/>
          <w:sz w:val="24"/>
        </w:rPr>
        <w:t xml:space="preserve">   </w:t>
      </w: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Published online:</w:t>
      </w:r>
    </w:p>
    <w:p w:rsidR="00C46723" w:rsidRDefault="00C46723" w:rsidP="00C46723">
      <w:pPr>
        <w:spacing w:line="360" w:lineRule="auto"/>
        <w:rPr>
          <w:rFonts w:ascii="Book Antiqua" w:hAnsi="Book Antiqua"/>
          <w:b/>
          <w:sz w:val="24"/>
        </w:rPr>
      </w:pPr>
    </w:p>
    <w:p w:rsidR="0087631D" w:rsidRPr="00E76B5D" w:rsidRDefault="0087631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Abstract</w:t>
      </w:r>
    </w:p>
    <w:p w:rsidR="00D20D7D" w:rsidRPr="00E76B5D" w:rsidRDefault="00D20D7D" w:rsidP="00C46723">
      <w:pPr>
        <w:spacing w:line="360" w:lineRule="auto"/>
        <w:rPr>
          <w:rFonts w:ascii="Book Antiqua" w:hAnsi="Book Antiqua"/>
          <w:sz w:val="24"/>
        </w:rPr>
      </w:pPr>
      <w:r w:rsidRPr="00E76B5D">
        <w:rPr>
          <w:rFonts w:ascii="Book Antiqua" w:hAnsi="Book Antiqua"/>
          <w:sz w:val="24"/>
        </w:rPr>
        <w:t>Combination therapy with peginterferon (pegIFN)-</w:t>
      </w:r>
      <w:r w:rsidRPr="00E76B5D">
        <w:rPr>
          <w:rFonts w:ascii="Book Antiqua" w:hAnsi="Book Antiqua" w:cs="Arial"/>
          <w:sz w:val="24"/>
        </w:rPr>
        <w:t>α</w:t>
      </w:r>
      <w:r w:rsidRPr="00E76B5D">
        <w:rPr>
          <w:rFonts w:ascii="Book Antiqua" w:hAnsi="Book Antiqua"/>
          <w:sz w:val="24"/>
        </w:rPr>
        <w:t xml:space="preserve"> and </w:t>
      </w:r>
      <w:bookmarkStart w:id="12" w:name="OLE_LINK31"/>
      <w:bookmarkStart w:id="13" w:name="OLE_LINK32"/>
      <w:r w:rsidRPr="00E76B5D">
        <w:rPr>
          <w:rFonts w:ascii="Book Antiqua" w:hAnsi="Book Antiqua"/>
          <w:sz w:val="24"/>
        </w:rPr>
        <w:t>r</w:t>
      </w:r>
      <w:bookmarkStart w:id="14" w:name="OLE_LINK105"/>
      <w:bookmarkStart w:id="15" w:name="OLE_LINK106"/>
      <w:r w:rsidRPr="00E76B5D">
        <w:rPr>
          <w:rFonts w:ascii="Book Antiqua" w:hAnsi="Book Antiqua"/>
          <w:sz w:val="24"/>
        </w:rPr>
        <w:t>ibavirin (RBV)</w:t>
      </w:r>
      <w:bookmarkEnd w:id="12"/>
      <w:bookmarkEnd w:id="13"/>
      <w:bookmarkEnd w:id="14"/>
      <w:bookmarkEnd w:id="15"/>
      <w:r w:rsidRPr="00E76B5D">
        <w:rPr>
          <w:rFonts w:ascii="Book Antiqua" w:hAnsi="Book Antiqua"/>
          <w:sz w:val="24"/>
        </w:rPr>
        <w:t xml:space="preserve"> has been the standard of care (SOC) for chronic hepatitis C. Unfortunately, not all patients can achieve a sustained virologic response (SVR) with this regimen. SVR rates are approximately 80% in patients with hepatitis C virus (HCV) genotype 2, 3, 5, and 6 and 40</w:t>
      </w:r>
      <w:r w:rsidR="00152DA8" w:rsidRPr="00E76B5D">
        <w:rPr>
          <w:rFonts w:ascii="Book Antiqua" w:hAnsi="Book Antiqua"/>
          <w:sz w:val="24"/>
        </w:rPr>
        <w:t>%</w:t>
      </w:r>
      <w:r w:rsidRPr="00E76B5D">
        <w:rPr>
          <w:rFonts w:ascii="Book Antiqua" w:hAnsi="Book Antiqua"/>
          <w:sz w:val="24"/>
        </w:rPr>
        <w:t xml:space="preserve">-50% in patients with genotype 1 and 4. Therefore, strategies to improve SVR rates have been an important issue for clinical physicians. Several direct acting antiviral agents (DAAs) have significantly higher SVR rates when combined with pegIFN-α and RBV than pegIFN-α and RBV alone. Treatments containing DAAs have several advantages over the previous SOC, including higher specificity and efficacy, shorter treatment durations, fewer side effects, and oral administration. Based on these advantages, treatment with </w:t>
      </w:r>
      <w:bookmarkStart w:id="16" w:name="OLE_LINK29"/>
      <w:bookmarkStart w:id="17" w:name="OLE_LINK30"/>
      <w:r w:rsidRPr="00E76B5D">
        <w:rPr>
          <w:rFonts w:ascii="Book Antiqua" w:hAnsi="Book Antiqua"/>
          <w:sz w:val="24"/>
        </w:rPr>
        <w:t>pegIFN-α</w:t>
      </w:r>
      <w:bookmarkEnd w:id="16"/>
      <w:bookmarkEnd w:id="17"/>
      <w:r w:rsidRPr="00E76B5D">
        <w:rPr>
          <w:rFonts w:ascii="Book Antiqua" w:hAnsi="Book Antiqua"/>
          <w:sz w:val="24"/>
        </w:rPr>
        <w:t xml:space="preserve"> and RBV plus telaprevir or boceprevir has become the current SOC for patients with genotype 1 HCV infection. However, many patients are either not eligible for therapy or decline treatment due to coexisting </w:t>
      </w:r>
      <w:bookmarkStart w:id="18" w:name="OLE_LINK27"/>
      <w:bookmarkStart w:id="19" w:name="OLE_LINK28"/>
      <w:r w:rsidRPr="00E76B5D">
        <w:rPr>
          <w:rFonts w:ascii="Book Antiqua" w:hAnsi="Book Antiqua"/>
          <w:sz w:val="24"/>
        </w:rPr>
        <w:t>relative</w:t>
      </w:r>
      <w:bookmarkEnd w:id="18"/>
      <w:bookmarkEnd w:id="19"/>
      <w:r w:rsidRPr="00E76B5D">
        <w:rPr>
          <w:rFonts w:ascii="Book Antiqua" w:hAnsi="Book Antiqua"/>
          <w:sz w:val="24"/>
        </w:rPr>
        <w:t xml:space="preserve"> or absolute contraindications as well as an inability to tolerate the hematological side effects and adverse events caused by the new SOC. These factors have contributed to the advent of pegIFN-α-free regimens. The newest therapeutic regimens containing sofosbuvir and ABT-450 have shown promising results. In this review, we summarize the development of anti-HCV agents and the clinical efficacy of sofosbuvir and ABT-450-based therapies as well as the potential for future HCV studies.</w:t>
      </w:r>
    </w:p>
    <w:p w:rsidR="00AC20E1" w:rsidRPr="00E76B5D" w:rsidRDefault="00AC20E1"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r w:rsidRPr="00E76B5D">
        <w:rPr>
          <w:rFonts w:ascii="Book Antiqua" w:hAnsi="Book Antiqua"/>
          <w:sz w:val="24"/>
        </w:rPr>
        <w:t xml:space="preserve">© 2013 Baishideng. All rights reserved. </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r w:rsidRPr="00E76B5D">
        <w:rPr>
          <w:rFonts w:ascii="Book Antiqua" w:hAnsi="Book Antiqua"/>
          <w:b/>
          <w:sz w:val="24"/>
        </w:rPr>
        <w:t>Key words:</w:t>
      </w:r>
      <w:r w:rsidRPr="00E76B5D">
        <w:rPr>
          <w:rFonts w:ascii="Book Antiqua" w:hAnsi="Book Antiqua"/>
          <w:sz w:val="24"/>
        </w:rPr>
        <w:t xml:space="preserve"> Sofosbuvir; ABT-450; Hepatitis C virus; Antiviral therapy; Sustained virologic response</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r w:rsidRPr="00E76B5D">
        <w:rPr>
          <w:rFonts w:ascii="Book Antiqua" w:eastAsia="Arial Unicode MS" w:hAnsi="Book Antiqua" w:cs="Arial Unicode MS"/>
          <w:b/>
          <w:sz w:val="24"/>
        </w:rPr>
        <w:t>Core tip:</w:t>
      </w:r>
      <w:r w:rsidRPr="00E76B5D">
        <w:rPr>
          <w:rFonts w:ascii="Book Antiqua" w:eastAsia="Arial Unicode MS" w:hAnsi="Book Antiqua" w:cs="Arial Unicode MS"/>
          <w:sz w:val="24"/>
        </w:rPr>
        <w:t xml:space="preserve"> We are entering an era in which the development of antiviral agents and successful treatment of chronic hepatitis C is rapidly escalating. In this review, we have summarized the history of anti-</w:t>
      </w:r>
      <w:r w:rsidR="00AC20E1" w:rsidRPr="00E76B5D">
        <w:rPr>
          <w:rFonts w:ascii="Book Antiqua" w:hAnsi="Book Antiqua"/>
          <w:sz w:val="24"/>
        </w:rPr>
        <w:t>hepatitis C virus (HCV)</w:t>
      </w:r>
      <w:r w:rsidRPr="00E76B5D">
        <w:rPr>
          <w:rFonts w:ascii="Book Antiqua" w:eastAsia="Arial Unicode MS" w:hAnsi="Book Antiqua" w:cs="Arial Unicode MS"/>
          <w:sz w:val="24"/>
        </w:rPr>
        <w:t xml:space="preserve"> agents from </w:t>
      </w:r>
      <w:r w:rsidR="00851B7C" w:rsidRPr="00E76B5D">
        <w:rPr>
          <w:rFonts w:ascii="Book Antiqua" w:eastAsia="Arial Unicode MS" w:hAnsi="Book Antiqua" w:cs="Arial Unicode MS"/>
          <w:sz w:val="24"/>
        </w:rPr>
        <w:t>interferon-α</w:t>
      </w:r>
      <w:r w:rsidR="00851B7C" w:rsidRPr="00E76B5D">
        <w:rPr>
          <w:rFonts w:ascii="Book Antiqua" w:eastAsia="Arial Unicode MS" w:hAnsi="Book Antiqua" w:cs="Arial Unicode MS" w:hint="eastAsia"/>
          <w:sz w:val="24"/>
        </w:rPr>
        <w:t xml:space="preserve"> (</w:t>
      </w:r>
      <w:r w:rsidRPr="00E76B5D">
        <w:rPr>
          <w:rFonts w:ascii="Book Antiqua" w:eastAsia="Arial Unicode MS" w:hAnsi="Book Antiqua" w:cs="Arial Unicode MS"/>
          <w:sz w:val="24"/>
        </w:rPr>
        <w:t>IFN-</w:t>
      </w:r>
      <w:r w:rsidRPr="00E76B5D">
        <w:rPr>
          <w:rFonts w:ascii="Book Antiqua" w:eastAsia="Arial Unicode MS" w:hAnsi="Book Antiqua" w:cs="Arial"/>
          <w:sz w:val="24"/>
        </w:rPr>
        <w:t>α</w:t>
      </w:r>
      <w:r w:rsidR="00851B7C" w:rsidRPr="00E76B5D">
        <w:rPr>
          <w:rFonts w:ascii="Book Antiqua" w:eastAsia="Arial Unicode MS" w:hAnsi="Book Antiqua" w:cs="Arial" w:hint="eastAsia"/>
          <w:sz w:val="24"/>
        </w:rPr>
        <w:t>)</w:t>
      </w:r>
      <w:r w:rsidRPr="00E76B5D">
        <w:rPr>
          <w:rFonts w:ascii="Book Antiqua" w:eastAsia="Arial Unicode MS" w:hAnsi="Book Antiqua" w:cs="Arial Unicode MS"/>
          <w:sz w:val="24"/>
        </w:rPr>
        <w:t xml:space="preserve"> to the latest sofosbuvir- and ABT-450-based therapies. Although a new generation of direct acting anti-HCV agents has largely improved the </w:t>
      </w:r>
      <w:r w:rsidR="0000029C" w:rsidRPr="00E76B5D">
        <w:rPr>
          <w:rFonts w:ascii="Book Antiqua" w:hAnsi="Book Antiqua"/>
          <w:sz w:val="24"/>
        </w:rPr>
        <w:t>sustained virologic response</w:t>
      </w:r>
      <w:r w:rsidRPr="00E76B5D">
        <w:rPr>
          <w:rFonts w:ascii="Book Antiqua" w:eastAsia="Arial Unicode MS" w:hAnsi="Book Antiqua" w:cs="Arial Unicode MS"/>
          <w:sz w:val="24"/>
        </w:rPr>
        <w:t xml:space="preserve"> rates of patients, many unmet needs and questions remain, such as IFN-free regimens for difficult to treat patients, avoidance of cross-resistance, the role of IL-28B status as well as the management of some advanced and co-infected patients.</w:t>
      </w:r>
    </w:p>
    <w:p w:rsidR="00D20D7D" w:rsidRPr="00E76B5D" w:rsidRDefault="00D20D7D" w:rsidP="00C46723">
      <w:pPr>
        <w:spacing w:line="360" w:lineRule="auto"/>
        <w:rPr>
          <w:rFonts w:ascii="Book Antiqua" w:hAnsi="Book Antiqua"/>
          <w:sz w:val="24"/>
        </w:rPr>
      </w:pPr>
    </w:p>
    <w:p w:rsidR="0004503A" w:rsidRDefault="00D20D7D" w:rsidP="00C46723">
      <w:pPr>
        <w:spacing w:line="360" w:lineRule="auto"/>
        <w:rPr>
          <w:rFonts w:ascii="Book Antiqua" w:hAnsi="Book Antiqua"/>
          <w:i/>
          <w:sz w:val="24"/>
        </w:rPr>
      </w:pPr>
      <w:r w:rsidRPr="00E76B5D">
        <w:rPr>
          <w:rFonts w:ascii="Book Antiqua" w:hAnsi="Book Antiqua"/>
          <w:sz w:val="24"/>
        </w:rPr>
        <w:t>Zeng</w:t>
      </w:r>
      <w:r w:rsidR="0004503A">
        <w:rPr>
          <w:rFonts w:ascii="Book Antiqua" w:hAnsi="Book Antiqua" w:hint="eastAsia"/>
          <w:sz w:val="24"/>
        </w:rPr>
        <w:t xml:space="preserve"> QL</w:t>
      </w:r>
      <w:r w:rsidRPr="00E76B5D">
        <w:rPr>
          <w:rFonts w:ascii="Book Antiqua" w:hAnsi="Book Antiqua"/>
          <w:sz w:val="24"/>
        </w:rPr>
        <w:t>, Zhang</w:t>
      </w:r>
      <w:r w:rsidR="0004503A">
        <w:rPr>
          <w:rFonts w:ascii="Book Antiqua" w:hAnsi="Book Antiqua" w:hint="eastAsia"/>
          <w:sz w:val="24"/>
        </w:rPr>
        <w:t xml:space="preserve"> JY</w:t>
      </w:r>
      <w:r w:rsidRPr="00E76B5D">
        <w:rPr>
          <w:rFonts w:ascii="Book Antiqua" w:hAnsi="Book Antiqua"/>
          <w:sz w:val="24"/>
        </w:rPr>
        <w:t>, Zhang</w:t>
      </w:r>
      <w:r w:rsidR="0004503A">
        <w:rPr>
          <w:rFonts w:ascii="Book Antiqua" w:hAnsi="Book Antiqua" w:hint="eastAsia"/>
          <w:sz w:val="24"/>
        </w:rPr>
        <w:t xml:space="preserve"> Z</w:t>
      </w:r>
      <w:r w:rsidRPr="00E76B5D">
        <w:rPr>
          <w:rFonts w:ascii="Book Antiqua" w:hAnsi="Book Antiqua"/>
          <w:sz w:val="24"/>
        </w:rPr>
        <w:t>, Wang</w:t>
      </w:r>
      <w:r w:rsidR="0004503A">
        <w:rPr>
          <w:rFonts w:ascii="Book Antiqua" w:hAnsi="Book Antiqua" w:hint="eastAsia"/>
          <w:sz w:val="24"/>
        </w:rPr>
        <w:t xml:space="preserve"> LF</w:t>
      </w:r>
      <w:r w:rsidRPr="00E76B5D">
        <w:rPr>
          <w:rFonts w:ascii="Book Antiqua" w:hAnsi="Book Antiqua"/>
          <w:sz w:val="24"/>
        </w:rPr>
        <w:t>, Wang</w:t>
      </w:r>
      <w:r w:rsidR="0004503A">
        <w:rPr>
          <w:rFonts w:ascii="Book Antiqua" w:hAnsi="Book Antiqua" w:hint="eastAsia"/>
          <w:sz w:val="24"/>
        </w:rPr>
        <w:t xml:space="preserve"> FS</w:t>
      </w:r>
      <w:r w:rsidRPr="00E76B5D">
        <w:rPr>
          <w:rFonts w:ascii="Book Antiqua" w:hAnsi="Book Antiqua"/>
          <w:sz w:val="24"/>
        </w:rPr>
        <w:t xml:space="preserve">. Sofosbuvir and ABT-450: Terminator of HCV? </w:t>
      </w:r>
    </w:p>
    <w:p w:rsidR="00B25903" w:rsidRPr="00B25903" w:rsidRDefault="00D20D7D" w:rsidP="00C46723">
      <w:pPr>
        <w:spacing w:line="360" w:lineRule="auto"/>
        <w:rPr>
          <w:rFonts w:ascii="Book Antiqua" w:hAnsi="Book Antiqua"/>
          <w:sz w:val="24"/>
        </w:rPr>
      </w:pPr>
      <w:r w:rsidRPr="00B25903">
        <w:rPr>
          <w:rFonts w:ascii="Book Antiqua" w:hAnsi="Book Antiqua"/>
          <w:sz w:val="24"/>
        </w:rPr>
        <w:t xml:space="preserve">Available from:      </w:t>
      </w:r>
    </w:p>
    <w:p w:rsidR="00D20D7D" w:rsidRPr="00B25903" w:rsidRDefault="00D20D7D" w:rsidP="00C46723">
      <w:pPr>
        <w:spacing w:line="360" w:lineRule="auto"/>
        <w:rPr>
          <w:rFonts w:ascii="Book Antiqua" w:hAnsi="Book Antiqua"/>
          <w:sz w:val="24"/>
        </w:rPr>
      </w:pPr>
      <w:r w:rsidRPr="00B25903">
        <w:rPr>
          <w:rFonts w:ascii="Book Antiqua" w:hAnsi="Book Antiqua"/>
          <w:sz w:val="24"/>
        </w:rPr>
        <w:t xml:space="preserve">DOI: </w:t>
      </w:r>
    </w:p>
    <w:p w:rsidR="00D20D7D" w:rsidRPr="00B25903"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INTRODUCTION</w:t>
      </w:r>
    </w:p>
    <w:p w:rsidR="00D20D7D" w:rsidRPr="00E76B5D" w:rsidRDefault="00D20D7D" w:rsidP="00C46723">
      <w:pPr>
        <w:spacing w:line="360" w:lineRule="auto"/>
        <w:rPr>
          <w:rFonts w:ascii="Book Antiqua" w:hAnsi="Book Antiqua"/>
          <w:sz w:val="24"/>
        </w:rPr>
      </w:pPr>
      <w:r w:rsidRPr="00E76B5D">
        <w:rPr>
          <w:rFonts w:ascii="Book Antiqua" w:hAnsi="Book Antiqua"/>
          <w:sz w:val="24"/>
        </w:rPr>
        <w:t>Chronic hepatitis C virus (HCV) infection is currently a major global health problem that affects 160 million people worldwide and is one of the main causes of chronic liver cirrhosis and hepatocellular carcinoma</w:t>
      </w:r>
      <w:r w:rsidR="008146A7">
        <w:rPr>
          <w:rFonts w:ascii="Book Antiqua" w:hAnsi="Book Antiqua"/>
          <w:sz w:val="24"/>
          <w:vertAlign w:val="superscript"/>
        </w:rPr>
        <w:t>[1,</w:t>
      </w:r>
      <w:r w:rsidRPr="00E76B5D">
        <w:rPr>
          <w:rFonts w:ascii="Book Antiqua" w:hAnsi="Book Antiqua"/>
          <w:sz w:val="24"/>
          <w:vertAlign w:val="superscript"/>
        </w:rPr>
        <w:t>2]</w:t>
      </w:r>
      <w:r w:rsidRPr="00E76B5D">
        <w:rPr>
          <w:rFonts w:ascii="Book Antiqua" w:hAnsi="Book Antiqua"/>
          <w:sz w:val="24"/>
        </w:rPr>
        <w:t xml:space="preserve">. Compared with the former standard of care (SOC), the current SOC, consisting of peginterferon (pegIFN)-α and ribavirin (RBV) plus telaprevir or boceprevir, achieves higher rates of sustained virologic response (SVR), which is defined as undetectable HCV RNA in the serum for 24 </w:t>
      </w:r>
      <w:r w:rsidR="00A32A58">
        <w:rPr>
          <w:rFonts w:ascii="Book Antiqua" w:hAnsi="Book Antiqua"/>
          <w:sz w:val="24"/>
        </w:rPr>
        <w:t>wk</w:t>
      </w:r>
      <w:r w:rsidRPr="00E76B5D">
        <w:rPr>
          <w:rFonts w:ascii="Book Antiqua" w:hAnsi="Book Antiqua"/>
          <w:sz w:val="24"/>
        </w:rPr>
        <w:t xml:space="preserve"> after the end of treatment. SVR is associated with a better outcome for chronic hepatitis C (CHC) patients</w:t>
      </w:r>
      <w:r w:rsidR="008146A7">
        <w:rPr>
          <w:rFonts w:ascii="Book Antiqua" w:hAnsi="Book Antiqua"/>
          <w:sz w:val="24"/>
          <w:vertAlign w:val="superscript"/>
        </w:rPr>
        <w:t>[3,</w:t>
      </w:r>
      <w:r w:rsidRPr="00E76B5D">
        <w:rPr>
          <w:rFonts w:ascii="Book Antiqua" w:hAnsi="Book Antiqua"/>
          <w:sz w:val="24"/>
          <w:vertAlign w:val="superscript"/>
        </w:rPr>
        <w:t>4]</w:t>
      </w:r>
      <w:r w:rsidRPr="00E76B5D">
        <w:rPr>
          <w:rFonts w:ascii="Book Antiqua" w:hAnsi="Book Antiqua"/>
          <w:sz w:val="24"/>
        </w:rPr>
        <w:t>. However, not all patients can achieve SVR</w:t>
      </w:r>
      <w:r w:rsidR="008146A7">
        <w:rPr>
          <w:rFonts w:ascii="Book Antiqua" w:hAnsi="Book Antiqua"/>
          <w:sz w:val="24"/>
          <w:vertAlign w:val="superscript"/>
        </w:rPr>
        <w:t>[5,</w:t>
      </w:r>
      <w:r w:rsidRPr="00E76B5D">
        <w:rPr>
          <w:rFonts w:ascii="Book Antiqua" w:hAnsi="Book Antiqua"/>
          <w:sz w:val="24"/>
          <w:vertAlign w:val="superscript"/>
        </w:rPr>
        <w:t>6]</w:t>
      </w:r>
      <w:r w:rsidRPr="00E76B5D">
        <w:rPr>
          <w:rFonts w:ascii="Book Antiqua" w:hAnsi="Book Antiqua"/>
          <w:sz w:val="24"/>
        </w:rPr>
        <w:t>. In addition, triple therapy has many side effects and contraindications that result in a number of eligible patients refusing therapy</w:t>
      </w:r>
      <w:r w:rsidR="008146A7">
        <w:rPr>
          <w:rFonts w:ascii="Book Antiqua" w:hAnsi="Book Antiqua"/>
          <w:sz w:val="24"/>
          <w:vertAlign w:val="superscript"/>
        </w:rPr>
        <w:t>[7,</w:t>
      </w:r>
      <w:r w:rsidRPr="00E76B5D">
        <w:rPr>
          <w:rFonts w:ascii="Book Antiqua" w:hAnsi="Book Antiqua"/>
          <w:sz w:val="24"/>
          <w:vertAlign w:val="superscript"/>
        </w:rPr>
        <w:t>8]</w:t>
      </w:r>
      <w:r w:rsidRPr="00E76B5D">
        <w:rPr>
          <w:rFonts w:ascii="Book Antiqua" w:hAnsi="Book Antiqua"/>
          <w:sz w:val="24"/>
        </w:rPr>
        <w:t>.</w:t>
      </w:r>
    </w:p>
    <w:p w:rsidR="00D20D7D" w:rsidRPr="00E76B5D" w:rsidRDefault="00D20D7D" w:rsidP="00C46723">
      <w:pPr>
        <w:spacing w:line="360" w:lineRule="auto"/>
        <w:ind w:firstLineChars="150" w:firstLine="360"/>
        <w:rPr>
          <w:rFonts w:ascii="Book Antiqua" w:hAnsi="Book Antiqua"/>
          <w:sz w:val="24"/>
        </w:rPr>
      </w:pPr>
      <w:r w:rsidRPr="00E76B5D">
        <w:rPr>
          <w:rFonts w:ascii="Book Antiqua" w:hAnsi="Book Antiqua"/>
          <w:sz w:val="24"/>
        </w:rPr>
        <w:t xml:space="preserve">Based on these complications, pegIFN-α-free regimens could be an alternative for some patients. Several pegIFN-α-free regimens containing sofosbuvir and ABT-450 have shown high SVR rates with only 12 </w:t>
      </w:r>
      <w:r w:rsidR="00A32A58">
        <w:rPr>
          <w:rFonts w:ascii="Book Antiqua" w:hAnsi="Book Antiqua"/>
          <w:sz w:val="24"/>
        </w:rPr>
        <w:t>wk</w:t>
      </w:r>
      <w:r w:rsidRPr="00E76B5D">
        <w:rPr>
          <w:rFonts w:ascii="Book Antiqua" w:hAnsi="Book Antiqua"/>
          <w:sz w:val="24"/>
        </w:rPr>
        <w:t xml:space="preserve"> of treatment and mild adverse events. These regimens have the potential to be the newest SOC for CHC in the near future. Here, we summarize the clinical development history of anti-HCV agents as well as recent studies of the efficacy and adverse event profile of sofosbuvir and ABT-450 regimens. We also discuss the future focus for HCV studies. </w:t>
      </w:r>
    </w:p>
    <w:bookmarkEnd w:id="0"/>
    <w:bookmarkEnd w:id="1"/>
    <w:p w:rsidR="00D20D7D" w:rsidRPr="00E76B5D" w:rsidRDefault="00D20D7D" w:rsidP="00C46723">
      <w:pPr>
        <w:spacing w:line="360" w:lineRule="auto"/>
        <w:ind w:firstLineChars="150" w:firstLine="360"/>
        <w:rPr>
          <w:rFonts w:ascii="Book Antiqua" w:hAnsi="Book Antiqua"/>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BRIEF DEVELOPMENT HISTORY OF ANTI-HCV AGENTS</w:t>
      </w: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t>Interferon era</w:t>
      </w:r>
      <w:r w:rsidR="003D6512" w:rsidRPr="00E76B5D">
        <w:rPr>
          <w:rFonts w:ascii="Book Antiqua" w:hAnsi="Book Antiqua"/>
          <w:b/>
          <w:i/>
          <w:sz w:val="24"/>
        </w:rPr>
        <w:t xml:space="preserve"> </w:t>
      </w:r>
    </w:p>
    <w:p w:rsidR="00D20D7D" w:rsidRDefault="00D20D7D" w:rsidP="00C46723">
      <w:pPr>
        <w:spacing w:line="360" w:lineRule="auto"/>
        <w:rPr>
          <w:rFonts w:ascii="Book Antiqua" w:hAnsi="Book Antiqua"/>
          <w:sz w:val="24"/>
        </w:rPr>
      </w:pPr>
      <w:r w:rsidRPr="00E76B5D">
        <w:rPr>
          <w:rFonts w:ascii="Book Antiqua" w:hAnsi="Book Antiqua"/>
          <w:sz w:val="24"/>
        </w:rPr>
        <w:t>Anti-HCV therapy is the backbone for the treatment of CHC. Since the late 1980s, interferon-</w:t>
      </w:r>
      <w:r w:rsidRPr="00E76B5D">
        <w:rPr>
          <w:rFonts w:ascii="Book Antiqua" w:hAnsi="Book Antiqua" w:cs="Arial"/>
          <w:sz w:val="24"/>
        </w:rPr>
        <w:t>α</w:t>
      </w:r>
      <w:r w:rsidRPr="00E76B5D">
        <w:rPr>
          <w:rFonts w:ascii="Book Antiqua" w:hAnsi="Book Antiqua"/>
          <w:sz w:val="24"/>
        </w:rPr>
        <w:t xml:space="preserve"> has gradually become the core of antiviral treatment</w:t>
      </w:r>
      <w:r w:rsidRPr="00E76B5D">
        <w:rPr>
          <w:rFonts w:ascii="Book Antiqua" w:hAnsi="Book Antiqua"/>
          <w:sz w:val="24"/>
          <w:vertAlign w:val="superscript"/>
        </w:rPr>
        <w:t>[9-13]</w:t>
      </w:r>
      <w:r w:rsidRPr="00E76B5D">
        <w:rPr>
          <w:rFonts w:ascii="Book Antiqua" w:hAnsi="Book Antiqua"/>
          <w:sz w:val="24"/>
        </w:rPr>
        <w:t>. However, interferon-</w:t>
      </w:r>
      <w:r w:rsidRPr="00E76B5D">
        <w:rPr>
          <w:rFonts w:ascii="Book Antiqua" w:hAnsi="Book Antiqua" w:cs="Arial"/>
          <w:sz w:val="24"/>
        </w:rPr>
        <w:t>α monotherapy achieved suboptimal efficacy until combined with RBV</w:t>
      </w:r>
      <w:r w:rsidRPr="00E76B5D">
        <w:rPr>
          <w:rFonts w:ascii="Book Antiqua" w:hAnsi="Book Antiqua"/>
          <w:sz w:val="24"/>
          <w:vertAlign w:val="superscript"/>
        </w:rPr>
        <w:t>[14-22]</w:t>
      </w:r>
      <w:r w:rsidRPr="00E76B5D">
        <w:rPr>
          <w:rFonts w:ascii="Book Antiqua" w:hAnsi="Book Antiqua"/>
          <w:sz w:val="24"/>
        </w:rPr>
        <w:t xml:space="preserve"> (Figure 1). PegIFN-α has a higher plasma concentration and half-life than interferon, which results in an improved SVR rate as well as improved patient compliance as the pegylated form can be </w:t>
      </w:r>
      <w:r w:rsidRPr="00E76B5D">
        <w:rPr>
          <w:rFonts w:ascii="Book Antiqua" w:hAnsi="Book Antiqua"/>
          <w:sz w:val="24"/>
        </w:rPr>
        <w:lastRenderedPageBreak/>
        <w:t>injected once weekly</w:t>
      </w:r>
      <w:r w:rsidRPr="00E76B5D">
        <w:rPr>
          <w:rFonts w:ascii="Book Antiqua" w:hAnsi="Book Antiqua"/>
          <w:sz w:val="24"/>
          <w:vertAlign w:val="superscript"/>
        </w:rPr>
        <w:t>[23-25]</w:t>
      </w:r>
      <w:r w:rsidRPr="00E76B5D">
        <w:rPr>
          <w:rFonts w:ascii="Book Antiqua" w:hAnsi="Book Antiqua"/>
          <w:sz w:val="24"/>
        </w:rPr>
        <w:t>. Higher SVR rates were achieved with combination therapy of pegIFN plus RBV than with pegIFN monotherapy, which has become the SOC during the past decade</w:t>
      </w:r>
      <w:r w:rsidR="008146A7">
        <w:rPr>
          <w:rFonts w:ascii="Book Antiqua" w:hAnsi="Book Antiqua"/>
          <w:sz w:val="24"/>
          <w:vertAlign w:val="superscript"/>
        </w:rPr>
        <w:t>[26,</w:t>
      </w:r>
      <w:r w:rsidRPr="00E76B5D">
        <w:rPr>
          <w:rFonts w:ascii="Book Antiqua" w:hAnsi="Book Antiqua"/>
          <w:sz w:val="24"/>
          <w:vertAlign w:val="superscript"/>
        </w:rPr>
        <w:t>27]</w:t>
      </w:r>
      <w:r w:rsidRPr="00E76B5D">
        <w:rPr>
          <w:rFonts w:ascii="Book Antiqua" w:hAnsi="Book Antiqua"/>
          <w:sz w:val="24"/>
        </w:rPr>
        <w:t>. Meanwhile, the true meaning of SVR was unclear until a large cohort study demonstrated that patients who achieved SVR could be considered cured</w:t>
      </w:r>
      <w:r w:rsidRPr="00E76B5D">
        <w:rPr>
          <w:rFonts w:ascii="Book Antiqua" w:hAnsi="Book Antiqua"/>
          <w:sz w:val="24"/>
          <w:vertAlign w:val="superscript"/>
        </w:rPr>
        <w:t>[28]</w:t>
      </w:r>
      <w:r w:rsidRPr="00E76B5D">
        <w:rPr>
          <w:rFonts w:ascii="Book Antiqua" w:hAnsi="Book Antiqua"/>
          <w:sz w:val="24"/>
        </w:rPr>
        <w:t xml:space="preserve">. Unfortunately, not all patients, especially those infected with genotype 1 and 4 HCV could achieve SVR with the SOC. Furthermore, side effects, long-term treatment, contraindications and poor compliance all spurred the development of new agents with shorter treatment durations, fewer contraindications, oral administration, higher specificity, and fewer side effects. </w:t>
      </w:r>
    </w:p>
    <w:p w:rsidR="0000029C" w:rsidRPr="00E76B5D" w:rsidRDefault="0000029C"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t xml:space="preserve">The era of direct acting antiviral agents </w:t>
      </w:r>
    </w:p>
    <w:p w:rsidR="00D20D7D" w:rsidRPr="00E76B5D" w:rsidRDefault="00D20D7D" w:rsidP="00C46723">
      <w:pPr>
        <w:spacing w:line="360" w:lineRule="auto"/>
        <w:rPr>
          <w:rFonts w:ascii="Book Antiqua" w:hAnsi="Book Antiqua"/>
          <w:sz w:val="24"/>
        </w:rPr>
      </w:pPr>
      <w:r w:rsidRPr="00E76B5D">
        <w:rPr>
          <w:rFonts w:ascii="Book Antiqua" w:hAnsi="Book Antiqua"/>
          <w:sz w:val="24"/>
        </w:rPr>
        <w:t>HCV is classified in the genus hepacivirus of the family flaviviridae. Once the virus is released into the cell, the viral polyprotein is translated and cleaved by host proteases and the viral NS3-4A protease into ten mature proteins. Next, viral RNA is replicated into progeny RNA by the viral NS5B polymerase. Another viral protein, HCV NS5A, is indispensable for viral replication and assembly and could be a nonenzymatic target for therapeutics. With the structures of NS3/4A protease and NS5B polymerase solved and the rapid development of different cell culture models and biotechnology</w:t>
      </w:r>
      <w:r w:rsidRPr="00E76B5D">
        <w:rPr>
          <w:rFonts w:ascii="Book Antiqua" w:hAnsi="Book Antiqua"/>
          <w:sz w:val="24"/>
          <w:vertAlign w:val="superscript"/>
        </w:rPr>
        <w:t>[29]</w:t>
      </w:r>
      <w:r w:rsidRPr="00E76B5D">
        <w:rPr>
          <w:rFonts w:ascii="Book Antiqua" w:hAnsi="Book Antiqua"/>
          <w:sz w:val="24"/>
        </w:rPr>
        <w:t xml:space="preserve">, HCV research has been flourishing both on the bench and in industry. In particular, intensive efforts have focused on developing </w:t>
      </w:r>
      <w:r w:rsidR="0000029C" w:rsidRPr="0000029C">
        <w:rPr>
          <w:rFonts w:ascii="Book Antiqua" w:hAnsi="Book Antiqua"/>
          <w:sz w:val="24"/>
        </w:rPr>
        <w:t>direct acting antiviral agents (DAAs)</w:t>
      </w:r>
      <w:r w:rsidRPr="00E76B5D">
        <w:rPr>
          <w:rFonts w:ascii="Book Antiqua" w:hAnsi="Book Antiqua"/>
          <w:sz w:val="24"/>
        </w:rPr>
        <w:t xml:space="preserve"> that can block the activity of viral enzymes. </w:t>
      </w:r>
    </w:p>
    <w:p w:rsidR="00D20D7D" w:rsidRPr="00E76B5D" w:rsidRDefault="00D20D7D" w:rsidP="00C46723">
      <w:pPr>
        <w:spacing w:line="360" w:lineRule="auto"/>
        <w:ind w:firstLineChars="145" w:firstLine="348"/>
        <w:rPr>
          <w:rFonts w:ascii="Book Antiqua" w:hAnsi="Book Antiqua"/>
          <w:sz w:val="24"/>
        </w:rPr>
      </w:pPr>
      <w:r w:rsidRPr="00E76B5D">
        <w:rPr>
          <w:rFonts w:ascii="Book Antiqua" w:hAnsi="Book Antiqua"/>
          <w:sz w:val="24"/>
        </w:rPr>
        <w:t>The serine protease inhibitors telaprevir and boceprevir, approved by the US FDA in 2011, were the first and currently only DAA to make it to the clinic. Telaprevir is a linear peptidomimetic HCV NS3/4A serine protease inhibitor, and boceprevir is a protease inhibitor that binds to the HCV NS3 active site. Treatment regimens consisting of telaprevir or boceprevir plus pegIFN-α and RBV had significantly higher SVR rates in genotype 1 patients and became the SOC thereafter</w:t>
      </w:r>
      <w:r w:rsidRPr="00E76B5D">
        <w:rPr>
          <w:rFonts w:ascii="Book Antiqua" w:hAnsi="Book Antiqua"/>
          <w:sz w:val="24"/>
          <w:vertAlign w:val="superscript"/>
        </w:rPr>
        <w:t>[30-34]</w:t>
      </w:r>
      <w:r w:rsidRPr="00E76B5D">
        <w:rPr>
          <w:rFonts w:ascii="Book Antiqua" w:hAnsi="Book Antiqua"/>
          <w:sz w:val="24"/>
        </w:rPr>
        <w:t xml:space="preserve">. However, this new SOC has more adverse events and a </w:t>
      </w:r>
      <w:r w:rsidRPr="00E76B5D">
        <w:rPr>
          <w:rFonts w:ascii="Book Antiqua" w:hAnsi="Book Antiqua"/>
          <w:sz w:val="24"/>
        </w:rPr>
        <w:lastRenderedPageBreak/>
        <w:t>similar treatment duration when compared with the former SOC</w:t>
      </w:r>
      <w:r w:rsidRPr="00E76B5D">
        <w:rPr>
          <w:rFonts w:ascii="Book Antiqua" w:hAnsi="Book Antiqua"/>
          <w:sz w:val="24"/>
          <w:vertAlign w:val="superscript"/>
        </w:rPr>
        <w:t>[35]</w:t>
      </w:r>
      <w:r w:rsidRPr="00E76B5D">
        <w:rPr>
          <w:rFonts w:ascii="Book Antiqua" w:hAnsi="Book Antiqua"/>
          <w:sz w:val="24"/>
        </w:rPr>
        <w:t xml:space="preserve">, and monotherapy with telaprevir or boceprevir was shown to be impractical due to the rapid selection of resistant variants. In 2012, preliminary clinical data showed that combination therapy with the NS5A replication complex inhibitor daclatasvir and the NS3 protease inhibitor asunaprevir could also achieve high efficacy rates after 24 </w:t>
      </w:r>
      <w:r w:rsidR="00A32A58">
        <w:rPr>
          <w:rFonts w:ascii="Book Antiqua" w:hAnsi="Book Antiqua"/>
          <w:sz w:val="24"/>
        </w:rPr>
        <w:t>wk</w:t>
      </w:r>
      <w:r w:rsidRPr="00E76B5D">
        <w:rPr>
          <w:rFonts w:ascii="Book Antiqua" w:hAnsi="Book Antiqua"/>
          <w:sz w:val="24"/>
        </w:rPr>
        <w:t xml:space="preserve"> of treatment</w:t>
      </w:r>
      <w:r w:rsidRPr="00E76B5D">
        <w:rPr>
          <w:rFonts w:ascii="Book Antiqua" w:hAnsi="Book Antiqua"/>
          <w:sz w:val="24"/>
          <w:vertAlign w:val="superscript"/>
        </w:rPr>
        <w:t>[36]</w:t>
      </w:r>
      <w:r w:rsidRPr="00E76B5D">
        <w:rPr>
          <w:rFonts w:ascii="Book Antiqua" w:hAnsi="Book Antiqua"/>
          <w:sz w:val="24"/>
        </w:rPr>
        <w:t xml:space="preserve">, especially in prior null responders. These results showed the potential of a pegIFN-free regimen for 24 </w:t>
      </w:r>
      <w:r w:rsidR="00A32A58">
        <w:rPr>
          <w:rFonts w:ascii="Book Antiqua" w:hAnsi="Book Antiqua"/>
          <w:sz w:val="24"/>
        </w:rPr>
        <w:t>wk</w:t>
      </w:r>
      <w:r w:rsidRPr="00E76B5D">
        <w:rPr>
          <w:rFonts w:ascii="Book Antiqua" w:hAnsi="Book Antiqua"/>
          <w:sz w:val="24"/>
        </w:rPr>
        <w:t xml:space="preserve"> treatment duration. However, some patients in this study experienced viral breakthrough due to resistant variants, which ultimately resulted in treatment failure. </w:t>
      </w:r>
    </w:p>
    <w:p w:rsidR="00D20D7D" w:rsidRPr="00E76B5D" w:rsidRDefault="00D20D7D" w:rsidP="00C46723">
      <w:pPr>
        <w:spacing w:line="360" w:lineRule="auto"/>
        <w:ind w:firstLineChars="150" w:firstLine="360"/>
        <w:rPr>
          <w:rFonts w:ascii="Book Antiqua" w:hAnsi="Book Antiqua"/>
          <w:sz w:val="24"/>
        </w:rPr>
      </w:pPr>
      <w:r w:rsidRPr="00E76B5D">
        <w:rPr>
          <w:rFonts w:ascii="Book Antiqua" w:hAnsi="Book Antiqua"/>
          <w:sz w:val="24"/>
        </w:rPr>
        <w:t xml:space="preserve">In January 2013, Gane and Poordad published clinical data on the efficacy of sofosbuvir- (also known as GS-7977) and ABT-450-based oral treatment regimens for 12 </w:t>
      </w:r>
      <w:r w:rsidR="00A32A58">
        <w:rPr>
          <w:rFonts w:ascii="Book Antiqua" w:hAnsi="Book Antiqua"/>
          <w:sz w:val="24"/>
        </w:rPr>
        <w:t>wk</w:t>
      </w:r>
      <w:r w:rsidRPr="00E76B5D">
        <w:rPr>
          <w:rFonts w:ascii="Book Antiqua" w:hAnsi="Book Antiqua"/>
          <w:sz w:val="24"/>
        </w:rPr>
        <w:t xml:space="preserve"> treatment duration. The results showed that 100% of genotype 2/3 patients and 93</w:t>
      </w:r>
      <w:r w:rsidR="008146A7" w:rsidRPr="00E76B5D">
        <w:rPr>
          <w:rFonts w:ascii="Book Antiqua" w:hAnsi="Book Antiqua"/>
          <w:sz w:val="24"/>
        </w:rPr>
        <w:t xml:space="preserve">% </w:t>
      </w:r>
      <w:r w:rsidRPr="00E76B5D">
        <w:rPr>
          <w:rFonts w:ascii="Book Antiqua" w:hAnsi="Book Antiqua"/>
          <w:sz w:val="24"/>
        </w:rPr>
        <w:t>-95</w:t>
      </w:r>
      <w:bookmarkStart w:id="20" w:name="OLE_LINK1888"/>
      <w:bookmarkStart w:id="21" w:name="OLE_LINK1889"/>
      <w:r w:rsidRPr="00E76B5D">
        <w:rPr>
          <w:rFonts w:ascii="Book Antiqua" w:hAnsi="Book Antiqua"/>
          <w:sz w:val="24"/>
        </w:rPr>
        <w:t xml:space="preserve">% </w:t>
      </w:r>
      <w:bookmarkEnd w:id="20"/>
      <w:bookmarkEnd w:id="21"/>
      <w:r w:rsidRPr="00E76B5D">
        <w:rPr>
          <w:rFonts w:ascii="Book Antiqua" w:hAnsi="Book Antiqua"/>
          <w:sz w:val="24"/>
        </w:rPr>
        <w:t>of genotype 1 patients achieved SVR</w:t>
      </w:r>
      <w:r w:rsidR="008146A7">
        <w:rPr>
          <w:rFonts w:ascii="Book Antiqua" w:hAnsi="Book Antiqua"/>
          <w:sz w:val="24"/>
          <w:vertAlign w:val="superscript"/>
        </w:rPr>
        <w:t>[37,</w:t>
      </w:r>
      <w:r w:rsidRPr="00E76B5D">
        <w:rPr>
          <w:rFonts w:ascii="Book Antiqua" w:hAnsi="Book Antiqua"/>
          <w:sz w:val="24"/>
          <w:vertAlign w:val="superscript"/>
        </w:rPr>
        <w:t>38]</w:t>
      </w:r>
      <w:r w:rsidRPr="00E76B5D">
        <w:rPr>
          <w:rFonts w:ascii="Book Antiqua" w:hAnsi="Book Antiqua"/>
          <w:sz w:val="24"/>
        </w:rPr>
        <w:t xml:space="preserve">. The sofosbuvir and ABT-450 studies were open-label clinical studies that assessed various combination and dosages of agents in previously treated and previously untreated patients. Sofosbuvir exhibits a higher barrier to resistance than ABT-450 because its target, the NS5B polymerase is highly conserved, and viral fitness is crippled if variants occur in the polymerase active site. Sofosbuvir also exhibits pan-genotypic antiviral activity compared to genotype-specific agents, such as ABT-450, asunaprevir, telaprevir and boceprevir. Although some mild adverse events were observed, these studies validated the feasibility of achieving extremely high SVR rates with a pegIFN-free regimen and a short treatment duration of 12 </w:t>
      </w:r>
      <w:r w:rsidR="00A32A58">
        <w:rPr>
          <w:rFonts w:ascii="Book Antiqua" w:hAnsi="Book Antiqua"/>
          <w:sz w:val="24"/>
        </w:rPr>
        <w:t>wk</w:t>
      </w:r>
      <w:r w:rsidRPr="00E76B5D">
        <w:rPr>
          <w:rFonts w:ascii="Book Antiqua" w:hAnsi="Book Antiqua"/>
          <w:sz w:val="24"/>
        </w:rPr>
        <w:t xml:space="preserve">. </w:t>
      </w:r>
    </w:p>
    <w:p w:rsidR="00A32A58" w:rsidRDefault="00A32A58" w:rsidP="00C46723">
      <w:pPr>
        <w:spacing w:line="360" w:lineRule="auto"/>
        <w:rPr>
          <w:rFonts w:ascii="Book Antiqua" w:hAnsi="Book Antiqua"/>
          <w:b/>
          <w:i/>
          <w:sz w:val="24"/>
        </w:rPr>
      </w:pP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t>General characteristics of representative DAAs</w:t>
      </w:r>
    </w:p>
    <w:p w:rsidR="00D20D7D" w:rsidRPr="00E76B5D" w:rsidRDefault="00D20D7D" w:rsidP="00C46723">
      <w:pPr>
        <w:spacing w:line="360" w:lineRule="auto"/>
        <w:rPr>
          <w:rFonts w:ascii="Book Antiqua" w:hAnsi="Book Antiqua"/>
          <w:sz w:val="24"/>
        </w:rPr>
      </w:pPr>
      <w:r w:rsidRPr="00E76B5D">
        <w:rPr>
          <w:rFonts w:ascii="Book Antiqua" w:hAnsi="Book Antiqua"/>
          <w:sz w:val="24"/>
        </w:rPr>
        <w:t xml:space="preserve">We summarize representative DAAs from 2011 to January 2013 in Table 1. There have been several treatment evolutions during this timeframe. First, most of these agents were designed for genotype 1 patients, with genotypes 2 and 3 only being considered recently. Second, the treatment period has </w:t>
      </w:r>
      <w:r w:rsidRPr="00E76B5D">
        <w:rPr>
          <w:rFonts w:ascii="Book Antiqua" w:hAnsi="Book Antiqua"/>
          <w:sz w:val="24"/>
        </w:rPr>
        <w:lastRenderedPageBreak/>
        <w:t xml:space="preserve">gradually decreased to 12 </w:t>
      </w:r>
      <w:r w:rsidR="00A32A58">
        <w:rPr>
          <w:rFonts w:ascii="Book Antiqua" w:hAnsi="Book Antiqua"/>
          <w:sz w:val="24"/>
        </w:rPr>
        <w:t>wk</w:t>
      </w:r>
      <w:r w:rsidRPr="00E76B5D">
        <w:rPr>
          <w:rFonts w:ascii="Book Antiqua" w:hAnsi="Book Antiqua"/>
          <w:sz w:val="24"/>
        </w:rPr>
        <w:t xml:space="preserve">. Third, dosing frequency has generally improved from three times daily to once daily, which will undoubtedly contribute to better patient compliance. Fourth, combination therapy has gradually shifted away from </w:t>
      </w:r>
      <w:bookmarkStart w:id="22" w:name="OLE_LINK39"/>
      <w:bookmarkStart w:id="23" w:name="OLE_LINK40"/>
      <w:r w:rsidRPr="00E76B5D">
        <w:rPr>
          <w:rFonts w:ascii="Book Antiqua" w:hAnsi="Book Antiqua"/>
          <w:sz w:val="24"/>
        </w:rPr>
        <w:t>exclusive combin</w:t>
      </w:r>
      <w:bookmarkEnd w:id="22"/>
      <w:bookmarkEnd w:id="23"/>
      <w:r w:rsidRPr="00E76B5D">
        <w:rPr>
          <w:rFonts w:ascii="Book Antiqua" w:hAnsi="Book Antiqua"/>
          <w:sz w:val="24"/>
        </w:rPr>
        <w:t xml:space="preserve">ations with pegIFN-α to trials with and without pegIFN-α to finally pegIFN-α-free regimens. Finally, we found that at least two representative agents were developed from bench to bedside every year. Compared with other DAAs, the sofosbuvir and ABT-450 regimens not only achieve extremely high SVR rates with 12 </w:t>
      </w:r>
      <w:r w:rsidR="00A32A58">
        <w:rPr>
          <w:rFonts w:ascii="Book Antiqua" w:hAnsi="Book Antiqua"/>
          <w:sz w:val="24"/>
        </w:rPr>
        <w:t>wk</w:t>
      </w:r>
      <w:r w:rsidRPr="00E76B5D">
        <w:rPr>
          <w:rFonts w:ascii="Book Antiqua" w:hAnsi="Book Antiqua"/>
          <w:sz w:val="24"/>
        </w:rPr>
        <w:t xml:space="preserve"> of treatment in treatment-naive patients but are also efficacious in genotype 2 and 3 patients without the need for pegIFN-α.</w:t>
      </w:r>
    </w:p>
    <w:p w:rsidR="00D20D7D" w:rsidRPr="00E76B5D" w:rsidRDefault="00D20D7D" w:rsidP="00C46723">
      <w:pPr>
        <w:spacing w:line="360" w:lineRule="auto"/>
        <w:ind w:firstLineChars="150" w:firstLine="360"/>
        <w:rPr>
          <w:rFonts w:ascii="Book Antiqua" w:hAnsi="Book Antiqua"/>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THE CLINICAL EFFICACY OF SOFOSBUVIR AND ABT-450</w:t>
      </w:r>
    </w:p>
    <w:p w:rsidR="00D20D7D" w:rsidRPr="00E76B5D" w:rsidRDefault="00D20D7D" w:rsidP="00C46723">
      <w:pPr>
        <w:spacing w:line="360" w:lineRule="auto"/>
        <w:rPr>
          <w:rFonts w:ascii="Book Antiqua" w:hAnsi="Book Antiqua"/>
          <w:sz w:val="24"/>
        </w:rPr>
      </w:pPr>
      <w:r w:rsidRPr="00E76B5D">
        <w:rPr>
          <w:rFonts w:ascii="Book Antiqua" w:hAnsi="Book Antiqua"/>
          <w:sz w:val="24"/>
        </w:rPr>
        <w:t>Sofosbuvir is a direct acting nucleotide polymerase inhibitor</w:t>
      </w:r>
      <w:r w:rsidRPr="00E76B5D">
        <w:rPr>
          <w:rFonts w:ascii="Book Antiqua" w:hAnsi="Book Antiqua"/>
          <w:sz w:val="24"/>
          <w:vertAlign w:val="superscript"/>
        </w:rPr>
        <w:t>[39]</w:t>
      </w:r>
      <w:r w:rsidRPr="00E76B5D">
        <w:rPr>
          <w:rFonts w:ascii="Book Antiqua" w:hAnsi="Book Antiqua"/>
          <w:sz w:val="24"/>
        </w:rPr>
        <w:t xml:space="preserve">, and </w:t>
      </w:r>
      <w:bookmarkStart w:id="24" w:name="OLE_LINK57"/>
      <w:bookmarkStart w:id="25" w:name="OLE_LINK58"/>
      <w:r w:rsidRPr="00E76B5D">
        <w:rPr>
          <w:rFonts w:ascii="Book Antiqua" w:hAnsi="Book Antiqua"/>
          <w:sz w:val="24"/>
        </w:rPr>
        <w:t xml:space="preserve">ABT-450 </w:t>
      </w:r>
      <w:bookmarkEnd w:id="24"/>
      <w:bookmarkEnd w:id="25"/>
      <w:r w:rsidRPr="00E76B5D">
        <w:rPr>
          <w:rFonts w:ascii="Book Antiqua" w:hAnsi="Book Antiqua"/>
          <w:sz w:val="24"/>
        </w:rPr>
        <w:t xml:space="preserve">is a potent </w:t>
      </w:r>
      <w:bookmarkStart w:id="26" w:name="OLE_LINK59"/>
      <w:bookmarkStart w:id="27" w:name="OLE_LINK60"/>
      <w:r w:rsidRPr="00E76B5D">
        <w:rPr>
          <w:rFonts w:ascii="Book Antiqua" w:hAnsi="Book Antiqua"/>
          <w:sz w:val="24"/>
        </w:rPr>
        <w:t>macrocyclic HCV NS3 protease inhibitor</w:t>
      </w:r>
      <w:bookmarkEnd w:id="26"/>
      <w:bookmarkEnd w:id="27"/>
      <w:r w:rsidRPr="00E76B5D">
        <w:rPr>
          <w:rFonts w:ascii="Book Antiqua" w:hAnsi="Book Antiqua"/>
          <w:sz w:val="24"/>
        </w:rPr>
        <w:t>. Both have been developed as oral therapies for the treatment of chronic HCV infection. Phosphorylated nucleotide analogues, such as sofosbuvir, are converted within the host hepatocyte to the active nucleoside triphosphate, which competes with natural nucleotides, thereby terminating RNA replication in the nascent viral genome. Sofosbuvir acts as a nonobligate chain terminator, targeting the highly conserved active site of the HCV-specific NS5B polymerase</w:t>
      </w:r>
      <w:r w:rsidRPr="00E76B5D">
        <w:rPr>
          <w:rFonts w:ascii="Book Antiqua" w:hAnsi="Book Antiqua"/>
          <w:sz w:val="24"/>
          <w:vertAlign w:val="superscript"/>
        </w:rPr>
        <w:t>[38]</w:t>
      </w:r>
      <w:r w:rsidRPr="00E76B5D">
        <w:rPr>
          <w:rFonts w:ascii="Book Antiqua" w:hAnsi="Book Antiqua"/>
          <w:sz w:val="24"/>
        </w:rPr>
        <w:t xml:space="preserve">. The mechanism of action of </w:t>
      </w:r>
      <w:bookmarkStart w:id="28" w:name="OLE_LINK61"/>
      <w:bookmarkStart w:id="29" w:name="OLE_LINK62"/>
      <w:r w:rsidRPr="00E76B5D">
        <w:rPr>
          <w:rFonts w:ascii="Book Antiqua" w:hAnsi="Book Antiqua"/>
          <w:sz w:val="24"/>
        </w:rPr>
        <w:t>NS3 protease inhibitor</w:t>
      </w:r>
      <w:bookmarkEnd w:id="28"/>
      <w:bookmarkEnd w:id="29"/>
      <w:r w:rsidRPr="00E76B5D">
        <w:rPr>
          <w:rFonts w:ascii="Book Antiqua" w:hAnsi="Book Antiqua"/>
          <w:sz w:val="24"/>
        </w:rPr>
        <w:t>s has been thoroughly reviewed elsewhere</w:t>
      </w:r>
      <w:r w:rsidRPr="00E76B5D">
        <w:rPr>
          <w:rFonts w:ascii="Book Antiqua" w:hAnsi="Book Antiqua"/>
          <w:sz w:val="24"/>
          <w:vertAlign w:val="superscript"/>
        </w:rPr>
        <w:t>[35]</w:t>
      </w:r>
      <w:r w:rsidRPr="00E76B5D">
        <w:rPr>
          <w:rFonts w:ascii="Book Antiqua" w:hAnsi="Book Antiqua"/>
          <w:sz w:val="24"/>
        </w:rPr>
        <w:t>. As a potent inhibitor of CYP3A4 (the primary enzyme involved in first-pass metabolism of most protease inhibitors), ritonavir can increase the plasma concentration and half-life of ABT-450, decrease the emergence of resistance mutations in the</w:t>
      </w:r>
      <w:r w:rsidRPr="008146A7">
        <w:rPr>
          <w:rFonts w:ascii="Book Antiqua" w:hAnsi="Book Antiqua"/>
          <w:i/>
          <w:sz w:val="24"/>
        </w:rPr>
        <w:t xml:space="preserve"> NS3</w:t>
      </w:r>
      <w:r w:rsidRPr="00E76B5D">
        <w:rPr>
          <w:rFonts w:ascii="Book Antiqua" w:hAnsi="Book Antiqua"/>
          <w:sz w:val="24"/>
        </w:rPr>
        <w:t xml:space="preserve"> gene, and permit once-daily dosing of ABT-450</w:t>
      </w:r>
      <w:r w:rsidR="008146A7">
        <w:rPr>
          <w:rFonts w:ascii="Book Antiqua" w:hAnsi="Book Antiqua"/>
          <w:sz w:val="24"/>
          <w:vertAlign w:val="superscript"/>
        </w:rPr>
        <w:t>[38,40,</w:t>
      </w:r>
      <w:r w:rsidRPr="00E76B5D">
        <w:rPr>
          <w:rFonts w:ascii="Book Antiqua" w:hAnsi="Book Antiqua"/>
          <w:sz w:val="24"/>
          <w:vertAlign w:val="superscript"/>
        </w:rPr>
        <w:t>41]</w:t>
      </w:r>
      <w:r w:rsidRPr="00E76B5D">
        <w:rPr>
          <w:rFonts w:ascii="Book Antiqua" w:hAnsi="Book Antiqua"/>
          <w:sz w:val="24"/>
        </w:rPr>
        <w:t xml:space="preserve">. </w:t>
      </w:r>
    </w:p>
    <w:p w:rsidR="002D6B98" w:rsidRDefault="002D6B98" w:rsidP="00C46723">
      <w:pPr>
        <w:spacing w:line="360" w:lineRule="auto"/>
        <w:rPr>
          <w:rFonts w:ascii="Book Antiqua" w:hAnsi="Book Antiqua"/>
          <w:b/>
          <w:i/>
          <w:sz w:val="24"/>
        </w:rPr>
      </w:pP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t>Clinical efficacy of sofosbuvir-</w:t>
      </w:r>
      <w:bookmarkStart w:id="30" w:name="OLE_LINK41"/>
      <w:bookmarkStart w:id="31" w:name="OLE_LINK42"/>
      <w:r w:rsidRPr="00E76B5D">
        <w:rPr>
          <w:rFonts w:ascii="Book Antiqua" w:hAnsi="Book Antiqua"/>
          <w:b/>
          <w:i/>
          <w:sz w:val="24"/>
        </w:rPr>
        <w:t>based therapy</w:t>
      </w:r>
      <w:bookmarkEnd w:id="30"/>
      <w:bookmarkEnd w:id="31"/>
    </w:p>
    <w:p w:rsidR="00D20D7D" w:rsidRPr="00E76B5D" w:rsidRDefault="00D20D7D" w:rsidP="00C46723">
      <w:pPr>
        <w:spacing w:line="360" w:lineRule="auto"/>
        <w:rPr>
          <w:rFonts w:ascii="Book Antiqua" w:hAnsi="Book Antiqua"/>
          <w:sz w:val="24"/>
        </w:rPr>
      </w:pPr>
      <w:r w:rsidRPr="00E76B5D">
        <w:rPr>
          <w:rFonts w:ascii="Book Antiqua" w:hAnsi="Book Antiqua"/>
          <w:sz w:val="24"/>
        </w:rPr>
        <w:t>Gane and colleagues published an open-label clinical trial of 95 previously untreated HCV genotype 1/2/3 patients and genotype 1 null responders</w:t>
      </w:r>
      <w:r w:rsidRPr="00E76B5D">
        <w:rPr>
          <w:rFonts w:ascii="Book Antiqua" w:hAnsi="Book Antiqua"/>
          <w:sz w:val="24"/>
          <w:vertAlign w:val="superscript"/>
        </w:rPr>
        <w:t>[37]</w:t>
      </w:r>
      <w:r w:rsidRPr="00E76B5D">
        <w:rPr>
          <w:rFonts w:ascii="Book Antiqua" w:hAnsi="Book Antiqua"/>
          <w:sz w:val="24"/>
        </w:rPr>
        <w:t xml:space="preserve"> </w:t>
      </w:r>
      <w:r w:rsidRPr="00E76B5D">
        <w:rPr>
          <w:rFonts w:ascii="Book Antiqua" w:hAnsi="Book Antiqua"/>
          <w:sz w:val="24"/>
        </w:rPr>
        <w:lastRenderedPageBreak/>
        <w:t xml:space="preserve">(Table 2). The patients were divided into 8 groups: sofosbuvir monotherapy and sofosbuvir plus RBV therapy with or without pegIFN-α for 8 or 12 </w:t>
      </w:r>
      <w:r w:rsidR="00A32A58">
        <w:rPr>
          <w:rFonts w:ascii="Book Antiqua" w:hAnsi="Book Antiqua"/>
          <w:sz w:val="24"/>
        </w:rPr>
        <w:t>wk</w:t>
      </w:r>
      <w:r w:rsidRPr="00E76B5D">
        <w:rPr>
          <w:rFonts w:ascii="Book Antiqua" w:hAnsi="Book Antiqua"/>
          <w:sz w:val="24"/>
        </w:rPr>
        <w:t xml:space="preserve">. The results showed that 100% of previously untreated genotype 2/3 patients achieved SVR based on sofosbuvir plus RBV. For previously untreated genotype 1 patients, the SVR rate was 84%. Unfortunately, the SVR rate was only 10% for genotype 1 patients who had no response to previous therapy. These results indicate that genotype 2/3 untreated patients can be completely cured with 12 </w:t>
      </w:r>
      <w:r w:rsidR="00A32A58">
        <w:rPr>
          <w:rFonts w:ascii="Book Antiqua" w:hAnsi="Book Antiqua"/>
          <w:sz w:val="24"/>
        </w:rPr>
        <w:t>wk</w:t>
      </w:r>
      <w:r w:rsidRPr="00E76B5D">
        <w:rPr>
          <w:rFonts w:ascii="Book Antiqua" w:hAnsi="Book Antiqua"/>
          <w:sz w:val="24"/>
        </w:rPr>
        <w:t xml:space="preserve"> of sofosbuvir plus RBV therapy alone.</w:t>
      </w:r>
    </w:p>
    <w:p w:rsidR="008B071B" w:rsidRDefault="008B071B" w:rsidP="00C46723">
      <w:pPr>
        <w:spacing w:line="360" w:lineRule="auto"/>
        <w:rPr>
          <w:rFonts w:ascii="Book Antiqua" w:hAnsi="Book Antiqua"/>
          <w:b/>
          <w:i/>
          <w:sz w:val="24"/>
        </w:rPr>
      </w:pP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t xml:space="preserve">Clinical efficacy of </w:t>
      </w:r>
      <w:bookmarkStart w:id="32" w:name="OLE_LINK13"/>
      <w:bookmarkStart w:id="33" w:name="OLE_LINK14"/>
      <w:r w:rsidRPr="00E76B5D">
        <w:rPr>
          <w:rFonts w:ascii="Book Antiqua" w:hAnsi="Book Antiqua"/>
          <w:sz w:val="24"/>
        </w:rPr>
        <w:t>ABT-450-</w:t>
      </w:r>
      <w:bookmarkEnd w:id="32"/>
      <w:bookmarkEnd w:id="33"/>
      <w:r w:rsidRPr="00E76B5D">
        <w:rPr>
          <w:rFonts w:ascii="Book Antiqua" w:hAnsi="Book Antiqua"/>
          <w:b/>
          <w:i/>
          <w:sz w:val="24"/>
        </w:rPr>
        <w:t>based therapy</w:t>
      </w:r>
    </w:p>
    <w:p w:rsidR="00D20D7D" w:rsidRPr="00E76B5D" w:rsidRDefault="00D20D7D" w:rsidP="00C46723">
      <w:pPr>
        <w:spacing w:line="360" w:lineRule="auto"/>
        <w:rPr>
          <w:rFonts w:ascii="Book Antiqua" w:hAnsi="Book Antiqua"/>
          <w:sz w:val="24"/>
        </w:rPr>
      </w:pPr>
      <w:r w:rsidRPr="00E76B5D">
        <w:rPr>
          <w:rFonts w:ascii="Book Antiqua" w:hAnsi="Book Antiqua"/>
          <w:sz w:val="24"/>
        </w:rPr>
        <w:t>Poordad and colleagues published an open-label, phase 2a clinical trial of 50 genotype 1 patients, including untreated patients and patients with no or partial response to prior therapy</w:t>
      </w:r>
      <w:r w:rsidRPr="00E76B5D">
        <w:rPr>
          <w:rFonts w:ascii="Book Antiqua" w:hAnsi="Book Antiqua"/>
          <w:sz w:val="24"/>
          <w:vertAlign w:val="superscript"/>
        </w:rPr>
        <w:t>[38]</w:t>
      </w:r>
      <w:r w:rsidRPr="00E76B5D">
        <w:rPr>
          <w:rFonts w:ascii="Book Antiqua" w:hAnsi="Book Antiqua"/>
          <w:sz w:val="24"/>
        </w:rPr>
        <w:t xml:space="preserve"> (Table 3). The patients were divided into 3 groups. Patients received a combination of ABT-333 (a nonnucleoside NS5B polymerase inhibitor), RBV and ritonavir plus two different dosages of ABT-450 for 12 </w:t>
      </w:r>
      <w:r w:rsidR="00A32A58">
        <w:rPr>
          <w:rFonts w:ascii="Book Antiqua" w:hAnsi="Book Antiqua"/>
          <w:sz w:val="24"/>
        </w:rPr>
        <w:t>wk</w:t>
      </w:r>
      <w:r w:rsidRPr="00E76B5D">
        <w:rPr>
          <w:rFonts w:ascii="Book Antiqua" w:hAnsi="Book Antiqua"/>
          <w:sz w:val="24"/>
        </w:rPr>
        <w:t>. The results showed that 93% and 95% of previously untreated genotype 1 patients achieved SVR. Furthermore, 47% prior null and partial responders achieved SVR. These results indicate that almost all untreated patients with genotype 1 can achieve SVR with ABT-450-based regimens, and null and partial responders can achieve higher SVR rates than previously possible.</w:t>
      </w: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 xml:space="preserve">ADVERSE EVENTS OF </w:t>
      </w:r>
      <w:bookmarkStart w:id="34" w:name="OLE_LINK53"/>
      <w:bookmarkStart w:id="35" w:name="OLE_LINK54"/>
      <w:r w:rsidRPr="00E76B5D">
        <w:rPr>
          <w:rFonts w:ascii="Book Antiqua" w:hAnsi="Book Antiqua"/>
          <w:b/>
          <w:sz w:val="24"/>
        </w:rPr>
        <w:t>SOFOSBUVIR AND</w:t>
      </w:r>
      <w:bookmarkStart w:id="36" w:name="OLE_LINK49"/>
      <w:bookmarkStart w:id="37" w:name="OLE_LINK50"/>
      <w:r w:rsidRPr="00E76B5D">
        <w:rPr>
          <w:rFonts w:ascii="Book Antiqua" w:hAnsi="Book Antiqua"/>
          <w:b/>
          <w:sz w:val="24"/>
        </w:rPr>
        <w:t xml:space="preserve"> ABT-450</w:t>
      </w:r>
      <w:bookmarkEnd w:id="34"/>
      <w:bookmarkEnd w:id="35"/>
      <w:bookmarkEnd w:id="36"/>
      <w:bookmarkEnd w:id="37"/>
      <w:r w:rsidRPr="00E76B5D">
        <w:rPr>
          <w:rFonts w:ascii="Book Antiqua" w:hAnsi="Book Antiqua"/>
          <w:b/>
          <w:sz w:val="24"/>
        </w:rPr>
        <w:t xml:space="preserve"> REGIMENS</w:t>
      </w:r>
    </w:p>
    <w:p w:rsidR="00D20D7D" w:rsidRPr="00E76B5D" w:rsidRDefault="00D20D7D" w:rsidP="00C46723">
      <w:pPr>
        <w:spacing w:line="360" w:lineRule="auto"/>
        <w:rPr>
          <w:rFonts w:ascii="Book Antiqua" w:hAnsi="Book Antiqua"/>
          <w:sz w:val="24"/>
        </w:rPr>
      </w:pPr>
      <w:r w:rsidRPr="00E76B5D">
        <w:rPr>
          <w:rFonts w:ascii="Book Antiqua" w:hAnsi="Book Antiqua"/>
          <w:sz w:val="24"/>
        </w:rPr>
        <w:t>Both sofosbuvir and ABT-450 regimens have various adverse events (Table 4). The most frequent adverse events observed with sofosbuvir-based therapies were headache, fatigue, insomnia, nausea, rash, and anemia</w:t>
      </w:r>
      <w:r w:rsidR="008146A7">
        <w:rPr>
          <w:rFonts w:ascii="Book Antiqua" w:hAnsi="Book Antiqua"/>
          <w:sz w:val="24"/>
          <w:vertAlign w:val="superscript"/>
        </w:rPr>
        <w:t>[37,</w:t>
      </w:r>
      <w:r w:rsidRPr="00E76B5D">
        <w:rPr>
          <w:rFonts w:ascii="Book Antiqua" w:hAnsi="Book Antiqua"/>
          <w:sz w:val="24"/>
          <w:vertAlign w:val="superscript"/>
        </w:rPr>
        <w:t>42]</w:t>
      </w:r>
      <w:r w:rsidRPr="00E76B5D">
        <w:rPr>
          <w:rFonts w:ascii="Book Antiqua" w:hAnsi="Book Antiqua"/>
          <w:sz w:val="24"/>
        </w:rPr>
        <w:t xml:space="preserve">. For ABT-450-based therapies, the most frequent adverse events were fatigue, nausea, headache, dizziness, insomnia, pruritus, rash, and vomiting. Some laboratory abnormalities were also observed during the treatment period, including anemia for sofosbuvir-based treatment and hyperbilirubinemia for </w:t>
      </w:r>
      <w:r w:rsidRPr="00E76B5D">
        <w:rPr>
          <w:rFonts w:ascii="Book Antiqua" w:hAnsi="Book Antiqua"/>
          <w:sz w:val="24"/>
        </w:rPr>
        <w:lastRenderedPageBreak/>
        <w:t>ABT-450-based therapy. Some laboratory abnormalities were more common among patients receiving pegIFNα-2a. Most adverse events and abnormalities were mild, and none led to treatment interruption.</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IL-28B POLYMORPHISM IN THE SOFOSBUVIR AND ABT-450 ERA</w:t>
      </w:r>
    </w:p>
    <w:p w:rsidR="00D20D7D" w:rsidRPr="00E76B5D" w:rsidRDefault="00D20D7D" w:rsidP="00C46723">
      <w:pPr>
        <w:spacing w:line="360" w:lineRule="auto"/>
        <w:rPr>
          <w:rFonts w:ascii="Book Antiqua" w:hAnsi="Book Antiqua"/>
          <w:sz w:val="24"/>
        </w:rPr>
      </w:pPr>
      <w:r w:rsidRPr="00E76B5D">
        <w:rPr>
          <w:rFonts w:ascii="Book Antiqua" w:hAnsi="Book Antiqua"/>
          <w:sz w:val="24"/>
        </w:rPr>
        <w:t xml:space="preserve">Genome-wide association studies have demonstrated that single nucleotide </w:t>
      </w:r>
      <w:bookmarkStart w:id="38" w:name="OLE_LINK75"/>
      <w:bookmarkStart w:id="39" w:name="OLE_LINK76"/>
      <w:r w:rsidRPr="00E76B5D">
        <w:rPr>
          <w:rFonts w:ascii="Book Antiqua" w:hAnsi="Book Antiqua"/>
          <w:sz w:val="24"/>
        </w:rPr>
        <w:t>polymorphisms</w:t>
      </w:r>
      <w:bookmarkEnd w:id="38"/>
      <w:bookmarkEnd w:id="39"/>
      <w:r w:rsidRPr="00E76B5D">
        <w:rPr>
          <w:rFonts w:ascii="Book Antiqua" w:hAnsi="Book Antiqua"/>
          <w:sz w:val="24"/>
        </w:rPr>
        <w:t xml:space="preserve"> near the IL-28B gene that encodes IFN-λ3 are closely associated with spontaneous and treatment-induced HCV clearance</w:t>
      </w:r>
      <w:r w:rsidRPr="00E76B5D">
        <w:rPr>
          <w:rFonts w:ascii="Book Antiqua" w:hAnsi="Book Antiqua"/>
          <w:sz w:val="24"/>
          <w:vertAlign w:val="superscript"/>
        </w:rPr>
        <w:t>[43-46]</w:t>
      </w:r>
      <w:r w:rsidRPr="00E76B5D">
        <w:rPr>
          <w:rFonts w:ascii="Book Antiqua" w:hAnsi="Book Antiqua"/>
          <w:sz w:val="24"/>
        </w:rPr>
        <w:t xml:space="preserve">. The rs12979860 CC genotype is associated with a two-fold greater SVR rate than the TT genotype in European-American individuals. Similar ratios have been observed in both African-American and Hispanic populations of genotype 1 chronic hepatitis C patients. The presence of the C-allele is always accompanied by higher SVR rates, indicating that this allele may favor the clearance of HCV. In studies of sofosbuvir and ABT-450, five groups achieved SVR rates of 100%, independent of IL-28B status (Table 5). Therefore, lower SVR rates may not be primarily due to IL-28B genotypes. Instead, these patients may have acquired resistant variants during treatment. However, it should be noted that the sample size of these studies too small to reach a definitive conclusion on the role of IL-28B. Whether IL-28B genotype will be a predictive marker for treatment response with the new drug regimens requires further investigation with large sample sizes. </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b/>
          <w:sz w:val="24"/>
        </w:rPr>
      </w:pPr>
      <w:bookmarkStart w:id="40" w:name="OLE_LINK95"/>
      <w:r w:rsidRPr="00E76B5D">
        <w:rPr>
          <w:rFonts w:ascii="Book Antiqua" w:hAnsi="Book Antiqua"/>
          <w:b/>
          <w:sz w:val="24"/>
        </w:rPr>
        <w:t xml:space="preserve">PERSPECTIVES </w:t>
      </w:r>
    </w:p>
    <w:p w:rsidR="00D20D7D" w:rsidRPr="00E76B5D" w:rsidRDefault="00D20D7D" w:rsidP="00C46723">
      <w:pPr>
        <w:spacing w:line="360" w:lineRule="auto"/>
        <w:rPr>
          <w:rFonts w:ascii="Book Antiqua" w:hAnsi="Book Antiqua"/>
          <w:b/>
          <w:i/>
          <w:sz w:val="24"/>
        </w:rPr>
      </w:pPr>
      <w:bookmarkStart w:id="41" w:name="OLE_LINK25"/>
      <w:bookmarkStart w:id="42" w:name="OLE_LINK26"/>
      <w:bookmarkEnd w:id="40"/>
      <w:r w:rsidRPr="00E76B5D">
        <w:rPr>
          <w:rFonts w:ascii="Book Antiqua" w:hAnsi="Book Antiqua"/>
          <w:b/>
          <w:i/>
          <w:sz w:val="24"/>
        </w:rPr>
        <w:t>Genotype 1 patients with no or partial response to prior therapy</w:t>
      </w:r>
      <w:bookmarkEnd w:id="41"/>
      <w:bookmarkEnd w:id="42"/>
      <w:r w:rsidRPr="00E76B5D">
        <w:rPr>
          <w:rFonts w:ascii="Book Antiqua" w:hAnsi="Book Antiqua"/>
          <w:b/>
          <w:i/>
          <w:sz w:val="24"/>
        </w:rPr>
        <w:t xml:space="preserve"> will be the focus of future studies</w:t>
      </w:r>
    </w:p>
    <w:p w:rsidR="00D20D7D" w:rsidRPr="00E76B5D" w:rsidRDefault="00D20D7D" w:rsidP="00C46723">
      <w:pPr>
        <w:spacing w:line="360" w:lineRule="auto"/>
        <w:rPr>
          <w:rFonts w:ascii="Book Antiqua" w:hAnsi="Book Antiqua"/>
          <w:sz w:val="24"/>
        </w:rPr>
      </w:pPr>
      <w:r w:rsidRPr="00E76B5D">
        <w:rPr>
          <w:rFonts w:ascii="Book Antiqua" w:hAnsi="Book Antiqua"/>
          <w:sz w:val="24"/>
        </w:rPr>
        <w:t>Currently, the highest SVR rate observed in genotype 1 patients who have no response to prior therapy is 90%, which was achieved with daclatasvir and asunaprevir-based therapy (</w:t>
      </w:r>
      <w:bookmarkStart w:id="43" w:name="OLE_LINK33"/>
      <w:bookmarkStart w:id="44" w:name="OLE_LINK34"/>
      <w:r w:rsidRPr="00E76B5D">
        <w:rPr>
          <w:rFonts w:ascii="Book Antiqua" w:hAnsi="Book Antiqua"/>
          <w:sz w:val="24"/>
        </w:rPr>
        <w:t>Table 6</w:t>
      </w:r>
      <w:bookmarkEnd w:id="43"/>
      <w:bookmarkEnd w:id="44"/>
      <w:r w:rsidRPr="00E76B5D">
        <w:rPr>
          <w:rFonts w:ascii="Book Antiqua" w:hAnsi="Book Antiqua"/>
          <w:sz w:val="24"/>
        </w:rPr>
        <w:t xml:space="preserve">). SVR rates in this patient population treated with telaprevir and boceprevir regimens were only 33% and 52%, respectively, which was significantly inferior to the rates in treatment-naive </w:t>
      </w:r>
      <w:r w:rsidRPr="00E76B5D">
        <w:rPr>
          <w:rFonts w:ascii="Book Antiqua" w:hAnsi="Book Antiqua"/>
          <w:sz w:val="24"/>
        </w:rPr>
        <w:lastRenderedPageBreak/>
        <w:t xml:space="preserve">patients. Sofosbuvir plus RBV has achieved an excellent SVR rate in untreated genotype 1 patients compared with genotype 1 patients who had no response to previous treatment. While the </w:t>
      </w:r>
      <w:bookmarkStart w:id="45" w:name="OLE_LINK47"/>
      <w:bookmarkStart w:id="46" w:name="OLE_LINK48"/>
      <w:r w:rsidRPr="00E76B5D">
        <w:rPr>
          <w:rFonts w:ascii="Book Antiqua" w:hAnsi="Book Antiqua"/>
          <w:sz w:val="24"/>
        </w:rPr>
        <w:t>ABT-450</w:t>
      </w:r>
      <w:bookmarkEnd w:id="45"/>
      <w:bookmarkEnd w:id="46"/>
      <w:r w:rsidRPr="00E76B5D">
        <w:rPr>
          <w:rFonts w:ascii="Book Antiqua" w:hAnsi="Book Antiqua"/>
          <w:sz w:val="24"/>
        </w:rPr>
        <w:t xml:space="preserve"> regimen achieved high efficacy in genotype 1 patients with no or partial response to prior treatment, the SVR rate was still less than 50%. All of the above-mentioned results suggest that genotype 1 patients with no or partial response should be the focus of further investigation.</w:t>
      </w:r>
      <w:r w:rsidRPr="00E76B5D">
        <w:rPr>
          <w:rFonts w:ascii="Book Antiqua" w:hAnsi="Book Antiqua"/>
          <w:b/>
          <w:i/>
          <w:sz w:val="24"/>
        </w:rPr>
        <w:t xml:space="preserve"> </w:t>
      </w:r>
      <w:r w:rsidRPr="00E76B5D">
        <w:rPr>
          <w:rFonts w:ascii="Book Antiqua" w:hAnsi="Book Antiqua"/>
          <w:sz w:val="24"/>
        </w:rPr>
        <w:t>Furthermore, genotype 1a patients have more opportunities to develop resistance to the DAAs combination from Poordad’s study</w:t>
      </w:r>
      <w:r w:rsidRPr="00E76B5D">
        <w:rPr>
          <w:rFonts w:ascii="Book Antiqua" w:hAnsi="Book Antiqua"/>
          <w:sz w:val="24"/>
          <w:vertAlign w:val="superscript"/>
        </w:rPr>
        <w:t>[38]</w:t>
      </w:r>
      <w:r w:rsidRPr="00E76B5D">
        <w:rPr>
          <w:rFonts w:ascii="Book Antiqua" w:hAnsi="Book Antiqua"/>
          <w:sz w:val="24"/>
        </w:rPr>
        <w:t xml:space="preserve">. </w:t>
      </w:r>
      <w:bookmarkStart w:id="47" w:name="OLE_LINK71"/>
      <w:bookmarkStart w:id="48" w:name="OLE_LINK72"/>
      <w:r w:rsidRPr="00E76B5D">
        <w:rPr>
          <w:rFonts w:ascii="Book Antiqua" w:hAnsi="Book Antiqua"/>
          <w:sz w:val="24"/>
        </w:rPr>
        <w:t>Genotype 1a account</w:t>
      </w:r>
      <w:bookmarkEnd w:id="47"/>
      <w:bookmarkEnd w:id="48"/>
      <w:r w:rsidRPr="00E76B5D">
        <w:rPr>
          <w:rFonts w:ascii="Book Antiqua" w:hAnsi="Book Antiqua"/>
          <w:sz w:val="24"/>
        </w:rPr>
        <w:t>s for 89%, 8 out of 9 patients with virologic failure in group 3 who have been analyzed for the presence of resistance-associated variants. The genetic barrier to resistance of protease inhibitors is relatively lower for subtype 1a because this subtype only requires one nucleotide substitution to generate resistance, whereas the 1b virus requires two. Accordingly, genotype 1a patients may be more difficult to treat in new DAAs era.</w:t>
      </w:r>
    </w:p>
    <w:p w:rsidR="00103BFA" w:rsidRDefault="00103BFA" w:rsidP="00C46723">
      <w:pPr>
        <w:spacing w:line="360" w:lineRule="auto"/>
        <w:rPr>
          <w:rFonts w:ascii="Book Antiqua" w:hAnsi="Book Antiqua"/>
          <w:b/>
          <w:i/>
          <w:sz w:val="24"/>
        </w:rPr>
      </w:pP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t xml:space="preserve">DAA combinations with less </w:t>
      </w:r>
      <w:bookmarkStart w:id="49" w:name="OLE_LINK66"/>
      <w:r w:rsidRPr="00E76B5D">
        <w:rPr>
          <w:rFonts w:ascii="Book Antiqua" w:hAnsi="Book Antiqua"/>
          <w:b/>
          <w:i/>
          <w:sz w:val="24"/>
        </w:rPr>
        <w:t>cross-resistance</w:t>
      </w:r>
      <w:bookmarkEnd w:id="49"/>
      <w:r w:rsidRPr="00E76B5D">
        <w:rPr>
          <w:rFonts w:ascii="Book Antiqua" w:hAnsi="Book Antiqua"/>
          <w:b/>
          <w:i/>
          <w:sz w:val="24"/>
        </w:rPr>
        <w:t xml:space="preserve"> may be the solution for genotype 1 patients with no or partial response to prior therapy</w:t>
      </w:r>
    </w:p>
    <w:p w:rsidR="00D20D7D" w:rsidRPr="00E76B5D" w:rsidRDefault="00D20D7D" w:rsidP="00C46723">
      <w:pPr>
        <w:spacing w:line="360" w:lineRule="auto"/>
        <w:rPr>
          <w:rFonts w:ascii="Book Antiqua" w:hAnsi="Book Antiqua"/>
          <w:sz w:val="24"/>
        </w:rPr>
      </w:pPr>
      <w:r w:rsidRPr="00E76B5D">
        <w:rPr>
          <w:rFonts w:ascii="Book Antiqua" w:hAnsi="Book Antiqua"/>
          <w:sz w:val="24"/>
        </w:rPr>
        <w:t xml:space="preserve">Although it has not been investigated in a head-to-head study, genotype 1 patients with no or partial response to prior therapy have different SVR rates (10% </w:t>
      </w:r>
      <w:r w:rsidR="00BE5BA6" w:rsidRPr="00BE5BA6">
        <w:rPr>
          <w:rFonts w:ascii="Book Antiqua" w:hAnsi="Book Antiqua"/>
          <w:i/>
          <w:sz w:val="24"/>
        </w:rPr>
        <w:t>vs</w:t>
      </w:r>
      <w:r w:rsidRPr="00E76B5D">
        <w:rPr>
          <w:rFonts w:ascii="Book Antiqua" w:hAnsi="Book Antiqua"/>
          <w:sz w:val="24"/>
        </w:rPr>
        <w:t xml:space="preserve"> 90%) with different DAA combinations (Table 6)</w:t>
      </w:r>
      <w:r w:rsidR="008146A7">
        <w:rPr>
          <w:rFonts w:ascii="Book Antiqua" w:hAnsi="Book Antiqua"/>
          <w:sz w:val="24"/>
          <w:vertAlign w:val="superscript"/>
        </w:rPr>
        <w:t>[37,</w:t>
      </w:r>
      <w:r w:rsidRPr="00E76B5D">
        <w:rPr>
          <w:rFonts w:ascii="Book Antiqua" w:hAnsi="Book Antiqua"/>
          <w:sz w:val="24"/>
          <w:vertAlign w:val="superscript"/>
        </w:rPr>
        <w:t>38]</w:t>
      </w:r>
      <w:r w:rsidRPr="00E76B5D">
        <w:rPr>
          <w:rFonts w:ascii="Book Antiqua" w:hAnsi="Book Antiqua"/>
          <w:sz w:val="24"/>
        </w:rPr>
        <w:t>, indicating that different DAA combinations might be important to successfully treating these types of patients. Various combinations of DAAs are now under investigation</w:t>
      </w:r>
      <w:r w:rsidR="008146A7">
        <w:rPr>
          <w:rFonts w:ascii="Book Antiqua" w:hAnsi="Book Antiqua"/>
          <w:sz w:val="24"/>
          <w:vertAlign w:val="superscript"/>
        </w:rPr>
        <w:t>[47,</w:t>
      </w:r>
      <w:r w:rsidRPr="00E76B5D">
        <w:rPr>
          <w:rFonts w:ascii="Book Antiqua" w:hAnsi="Book Antiqua"/>
          <w:sz w:val="24"/>
          <w:vertAlign w:val="superscript"/>
        </w:rPr>
        <w:t>48]</w:t>
      </w:r>
      <w:r w:rsidRPr="00E76B5D">
        <w:rPr>
          <w:rFonts w:ascii="Book Antiqua" w:hAnsi="Book Antiqua"/>
          <w:sz w:val="24"/>
        </w:rPr>
        <w:t>. However, why a particular combination may lead to an improved SVR rate in these patients remains unclear. It is possible that adding another DAA could complement the mechanisms of action of other agents in the regimen as well as decrease the appearance of cross-resistant variants. As Table 6 shows, 90% of genotype 1 patients with no response to prior therapy can achieve SVR</w:t>
      </w:r>
      <w:r w:rsidRPr="00E76B5D">
        <w:rPr>
          <w:rFonts w:ascii="Book Antiqua" w:hAnsi="Book Antiqua"/>
          <w:sz w:val="24"/>
          <w:vertAlign w:val="superscript"/>
        </w:rPr>
        <w:t>[33]</w:t>
      </w:r>
      <w:r w:rsidRPr="00E76B5D">
        <w:rPr>
          <w:rFonts w:ascii="Book Antiqua" w:hAnsi="Book Antiqua"/>
          <w:sz w:val="24"/>
        </w:rPr>
        <w:t>, suggesting that a potent DAA combined with pegIFN-</w:t>
      </w:r>
      <w:r w:rsidRPr="00E76B5D">
        <w:rPr>
          <w:rFonts w:ascii="Book Antiqua" w:hAnsi="Book Antiqua" w:cs="Arial"/>
          <w:sz w:val="24"/>
        </w:rPr>
        <w:t>α</w:t>
      </w:r>
      <w:r w:rsidRPr="00E76B5D">
        <w:rPr>
          <w:rFonts w:ascii="Book Antiqua" w:hAnsi="Book Antiqua"/>
          <w:sz w:val="24"/>
        </w:rPr>
        <w:t xml:space="preserve"> and RBV may be one choice for those patients who can endure </w:t>
      </w:r>
      <w:r w:rsidRPr="00E76B5D">
        <w:rPr>
          <w:rFonts w:ascii="Book Antiqua" w:hAnsi="Book Antiqua"/>
          <w:sz w:val="24"/>
        </w:rPr>
        <w:lastRenderedPageBreak/>
        <w:t xml:space="preserve">the adverse events and long period of treatment. </w:t>
      </w:r>
    </w:p>
    <w:p w:rsidR="00943182" w:rsidRDefault="00943182" w:rsidP="00C46723">
      <w:pPr>
        <w:spacing w:line="360" w:lineRule="auto"/>
        <w:rPr>
          <w:rFonts w:ascii="Book Antiqua" w:hAnsi="Book Antiqua"/>
          <w:b/>
          <w:i/>
          <w:sz w:val="24"/>
        </w:rPr>
      </w:pPr>
    </w:p>
    <w:p w:rsidR="00D20D7D" w:rsidRPr="00E76B5D" w:rsidRDefault="00D20D7D" w:rsidP="00C46723">
      <w:pPr>
        <w:spacing w:line="360" w:lineRule="auto"/>
        <w:rPr>
          <w:rFonts w:ascii="Book Antiqua" w:hAnsi="Book Antiqua"/>
          <w:sz w:val="24"/>
        </w:rPr>
      </w:pPr>
      <w:r w:rsidRPr="00E76B5D">
        <w:rPr>
          <w:rFonts w:ascii="Book Antiqua" w:hAnsi="Book Antiqua"/>
          <w:b/>
          <w:i/>
          <w:sz w:val="24"/>
        </w:rPr>
        <w:t>Combinations with less cross-resistance are the goal for the future</w:t>
      </w:r>
    </w:p>
    <w:p w:rsidR="00D20D7D" w:rsidRPr="00E76B5D" w:rsidRDefault="00D20D7D" w:rsidP="00C46723">
      <w:pPr>
        <w:spacing w:line="360" w:lineRule="auto"/>
        <w:rPr>
          <w:rFonts w:ascii="Book Antiqua" w:hAnsi="Book Antiqua"/>
          <w:sz w:val="24"/>
        </w:rPr>
      </w:pPr>
      <w:r w:rsidRPr="00E76B5D">
        <w:rPr>
          <w:rFonts w:ascii="Book Antiqua" w:hAnsi="Book Antiqua"/>
          <w:sz w:val="24"/>
        </w:rPr>
        <w:t>Various DAA combinations have now been investigated, such as asunaprevir plus daclatasvir; sofosbuvir plus RBV; sofosbuvir plus daclatasvir; faldaprevir plus BI207127; ABT-450/ritonavir plus ABT-333; ABT-450, ritonavir plus ABT-072; miracitabine, danoprevir plus ritonavir; and alisporivir plus RBV</w:t>
      </w:r>
      <w:r w:rsidRPr="00E76B5D">
        <w:rPr>
          <w:rFonts w:ascii="Book Antiqua" w:hAnsi="Book Antiqua"/>
          <w:sz w:val="24"/>
          <w:vertAlign w:val="superscript"/>
        </w:rPr>
        <w:t>[47]</w:t>
      </w:r>
      <w:r w:rsidRPr="00E76B5D">
        <w:rPr>
          <w:rFonts w:ascii="Book Antiqua" w:hAnsi="Book Antiqua"/>
          <w:sz w:val="24"/>
        </w:rPr>
        <w:t>. DAA combinations not only have the potential to increase antiviral efficacy but also to reduce the risk of viral breakthrough. When combining DAAs, it is important to consider combinations that have a low propensity for cross-resistance. The genetic barriers to resistance of DAAs appear to be an important factor during the development of resistance. When two agents with a low genetic barrier to resistance are combined, breakthrough occurs more quickly</w:t>
      </w:r>
      <w:r w:rsidRPr="00E76B5D">
        <w:rPr>
          <w:rFonts w:ascii="Book Antiqua" w:hAnsi="Book Antiqua"/>
          <w:sz w:val="24"/>
          <w:vertAlign w:val="superscript"/>
        </w:rPr>
        <w:t>[49]</w:t>
      </w:r>
      <w:r w:rsidRPr="00E76B5D">
        <w:rPr>
          <w:rFonts w:ascii="Book Antiqua" w:hAnsi="Book Antiqua"/>
          <w:sz w:val="24"/>
        </w:rPr>
        <w:t>. Adding on pegIFN-</w:t>
      </w:r>
      <w:r w:rsidRPr="00E76B5D">
        <w:rPr>
          <w:rFonts w:ascii="Book Antiqua" w:hAnsi="Book Antiqua" w:cs="Arial"/>
          <w:sz w:val="24"/>
        </w:rPr>
        <w:t>α</w:t>
      </w:r>
      <w:r w:rsidRPr="00E76B5D">
        <w:rPr>
          <w:rFonts w:ascii="Book Antiqua" w:hAnsi="Book Antiqua"/>
          <w:sz w:val="24"/>
        </w:rPr>
        <w:t xml:space="preserve"> or RBV</w:t>
      </w:r>
      <w:r w:rsidRPr="00E76B5D">
        <w:rPr>
          <w:rFonts w:ascii="Book Antiqua" w:hAnsi="Book Antiqua"/>
          <w:sz w:val="24"/>
          <w:vertAlign w:val="superscript"/>
        </w:rPr>
        <w:t>[36]</w:t>
      </w:r>
      <w:r w:rsidRPr="00E76B5D">
        <w:rPr>
          <w:rFonts w:ascii="Book Antiqua" w:hAnsi="Book Antiqua"/>
          <w:sz w:val="24"/>
        </w:rPr>
        <w:t xml:space="preserve"> as well as nucleoside analogues with a higher genetic barrier might be better tactics for overcoming resistance</w:t>
      </w:r>
      <w:r w:rsidR="008146A7">
        <w:rPr>
          <w:rFonts w:ascii="Book Antiqua" w:hAnsi="Book Antiqua"/>
          <w:sz w:val="24"/>
          <w:vertAlign w:val="superscript"/>
        </w:rPr>
        <w:t>[37,</w:t>
      </w:r>
      <w:r w:rsidRPr="00E76B5D">
        <w:rPr>
          <w:rFonts w:ascii="Book Antiqua" w:hAnsi="Book Antiqua"/>
          <w:sz w:val="24"/>
          <w:vertAlign w:val="superscript"/>
        </w:rPr>
        <w:t>50]</w:t>
      </w:r>
      <w:r w:rsidRPr="00E76B5D">
        <w:rPr>
          <w:rFonts w:ascii="Book Antiqua" w:hAnsi="Book Antiqua"/>
          <w:sz w:val="24"/>
        </w:rPr>
        <w:t xml:space="preserve">. For example, 90% of difficult-to-treat patients can achieve SVR with a combination of daclatasvir, asunaprevir, pegIFN-α2a and RBV for 24 </w:t>
      </w:r>
      <w:r w:rsidR="00A32A58">
        <w:rPr>
          <w:rFonts w:ascii="Book Antiqua" w:hAnsi="Book Antiqua"/>
          <w:sz w:val="24"/>
        </w:rPr>
        <w:t>wk</w:t>
      </w:r>
      <w:r w:rsidRPr="00E76B5D">
        <w:rPr>
          <w:rFonts w:ascii="Book Antiqua" w:hAnsi="Book Antiqua"/>
          <w:sz w:val="24"/>
        </w:rPr>
        <w:t xml:space="preserve"> of treatment</w:t>
      </w:r>
      <w:r w:rsidRPr="00E76B5D">
        <w:rPr>
          <w:rFonts w:ascii="Book Antiqua" w:hAnsi="Book Antiqua"/>
          <w:sz w:val="24"/>
          <w:vertAlign w:val="superscript"/>
        </w:rPr>
        <w:t>[36]</w:t>
      </w:r>
      <w:r w:rsidRPr="00E76B5D">
        <w:rPr>
          <w:rFonts w:ascii="Book Antiqua" w:hAnsi="Book Antiqua"/>
          <w:sz w:val="24"/>
        </w:rPr>
        <w:t>. Furthermore, 84</w:t>
      </w:r>
      <w:r w:rsidR="00545AD4" w:rsidRPr="00E76B5D">
        <w:rPr>
          <w:rFonts w:ascii="Book Antiqua" w:hAnsi="Book Antiqua"/>
          <w:sz w:val="24"/>
        </w:rPr>
        <w:t>%</w:t>
      </w:r>
      <w:r w:rsidRPr="00E76B5D">
        <w:rPr>
          <w:rFonts w:ascii="Book Antiqua" w:hAnsi="Book Antiqua"/>
          <w:sz w:val="24"/>
        </w:rPr>
        <w:t xml:space="preserve">-100% of patients can achieve SVR with a combination of sofosbuvir plus RBV for 12 </w:t>
      </w:r>
      <w:r w:rsidR="00A32A58">
        <w:rPr>
          <w:rFonts w:ascii="Book Antiqua" w:hAnsi="Book Antiqua"/>
          <w:sz w:val="24"/>
        </w:rPr>
        <w:t>wk</w:t>
      </w:r>
      <w:r w:rsidRPr="00E76B5D">
        <w:rPr>
          <w:rFonts w:ascii="Book Antiqua" w:hAnsi="Book Antiqua"/>
          <w:sz w:val="24"/>
        </w:rPr>
        <w:t xml:space="preserve"> of therapy</w:t>
      </w:r>
      <w:r w:rsidRPr="00E76B5D">
        <w:rPr>
          <w:rFonts w:ascii="Book Antiqua" w:hAnsi="Book Antiqua"/>
          <w:sz w:val="24"/>
          <w:vertAlign w:val="superscript"/>
        </w:rPr>
        <w:t>[37]</w:t>
      </w:r>
      <w:r w:rsidRPr="00E76B5D">
        <w:rPr>
          <w:rFonts w:ascii="Book Antiqua" w:hAnsi="Book Antiqua"/>
          <w:sz w:val="24"/>
        </w:rPr>
        <w:t xml:space="preserve">. </w:t>
      </w:r>
    </w:p>
    <w:p w:rsidR="00D006E1" w:rsidRDefault="00D006E1" w:rsidP="00C46723">
      <w:pPr>
        <w:spacing w:line="360" w:lineRule="auto"/>
        <w:rPr>
          <w:rFonts w:ascii="Book Antiqua" w:hAnsi="Book Antiqua"/>
          <w:b/>
          <w:i/>
          <w:sz w:val="24"/>
        </w:rPr>
      </w:pP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t>PegIFN-α: to be with or not to be with</w:t>
      </w:r>
    </w:p>
    <w:p w:rsidR="00D20D7D" w:rsidRPr="00E76B5D" w:rsidRDefault="00D20D7D" w:rsidP="00C46723">
      <w:pPr>
        <w:spacing w:line="360" w:lineRule="auto"/>
        <w:rPr>
          <w:rFonts w:ascii="Book Antiqua" w:hAnsi="Book Antiqua"/>
          <w:sz w:val="24"/>
        </w:rPr>
      </w:pPr>
      <w:r w:rsidRPr="00E76B5D">
        <w:rPr>
          <w:rFonts w:ascii="Book Antiqua" w:hAnsi="Book Antiqua"/>
          <w:sz w:val="24"/>
        </w:rPr>
        <w:t>Whether or not to include pegIFN-</w:t>
      </w:r>
      <w:r w:rsidRPr="00E76B5D">
        <w:rPr>
          <w:rFonts w:ascii="Book Antiqua" w:hAnsi="Book Antiqua" w:cs="Arial"/>
          <w:sz w:val="24"/>
        </w:rPr>
        <w:t>α</w:t>
      </w:r>
      <w:r w:rsidRPr="00E76B5D">
        <w:rPr>
          <w:rFonts w:ascii="Book Antiqua" w:hAnsi="Book Antiqua"/>
          <w:sz w:val="24"/>
        </w:rPr>
        <w:t xml:space="preserve"> is a key issue in the DAA era. Several years ago, many hepatologists believed that HCV treatment would be IFN free. Now, however, the ability to do away with IFN is not so clear, especially in some difficult-to-treat patients. Although not compared in a head-to-head study, the SVR rate was relatively lower in refractory patients treated with a pegIFN-free regimen, as shown in Table 6. This information indicates that IFN-free regimens may be available for easy-to-treat patients in the near future, whereas IFN might be necessary for difficult-to-treat patients. </w:t>
      </w:r>
    </w:p>
    <w:p w:rsidR="008443BF" w:rsidRDefault="008443BF" w:rsidP="00C46723">
      <w:pPr>
        <w:spacing w:line="360" w:lineRule="auto"/>
        <w:rPr>
          <w:rFonts w:ascii="Book Antiqua" w:hAnsi="Book Antiqua"/>
          <w:b/>
          <w:i/>
          <w:sz w:val="24"/>
        </w:rPr>
      </w:pP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lastRenderedPageBreak/>
        <w:t>The role of IL-28B in reducing treatment duration</w:t>
      </w:r>
    </w:p>
    <w:p w:rsidR="00D20D7D" w:rsidRPr="00E76B5D" w:rsidRDefault="00D20D7D" w:rsidP="00C46723">
      <w:pPr>
        <w:spacing w:line="360" w:lineRule="auto"/>
        <w:rPr>
          <w:rFonts w:ascii="Book Antiqua" w:hAnsi="Book Antiqua"/>
          <w:sz w:val="24"/>
        </w:rPr>
      </w:pPr>
      <w:r w:rsidRPr="00E76B5D">
        <w:rPr>
          <w:rFonts w:ascii="Book Antiqua" w:hAnsi="Book Antiqua"/>
          <w:sz w:val="24"/>
        </w:rPr>
        <w:t>In Table 2</w:t>
      </w:r>
      <w:r w:rsidR="0095288E" w:rsidRPr="00E76B5D">
        <w:rPr>
          <w:rFonts w:ascii="Book Antiqua" w:hAnsi="Book Antiqua"/>
          <w:sz w:val="24"/>
        </w:rPr>
        <w:t xml:space="preserve"> and Table 5</w:t>
      </w:r>
      <w:r w:rsidRPr="00E76B5D">
        <w:rPr>
          <w:rFonts w:ascii="Book Antiqua" w:hAnsi="Book Antiqua"/>
          <w:sz w:val="24"/>
        </w:rPr>
        <w:t xml:space="preserve">, groups 4 and 6 differ with respect to treatment duration (12 </w:t>
      </w:r>
      <w:r w:rsidR="00A32A58">
        <w:rPr>
          <w:rFonts w:ascii="Book Antiqua" w:hAnsi="Book Antiqua"/>
          <w:sz w:val="24"/>
        </w:rPr>
        <w:t>wk</w:t>
      </w:r>
      <w:r w:rsidRPr="00E76B5D">
        <w:rPr>
          <w:rFonts w:ascii="Book Antiqua" w:hAnsi="Book Antiqua"/>
          <w:sz w:val="24"/>
        </w:rPr>
        <w:t xml:space="preserve"> and 8 </w:t>
      </w:r>
      <w:r w:rsidR="00A32A58">
        <w:rPr>
          <w:rFonts w:ascii="Book Antiqua" w:hAnsi="Book Antiqua"/>
          <w:sz w:val="24"/>
        </w:rPr>
        <w:t>wk</w:t>
      </w:r>
      <w:r w:rsidRPr="00E76B5D">
        <w:rPr>
          <w:rFonts w:ascii="Book Antiqua" w:hAnsi="Book Antiqua"/>
          <w:sz w:val="24"/>
        </w:rPr>
        <w:t>, respectively). In group 4, 81% (9/11) of patients were genotype CC or CT. In group 6, 90% (9/10) of patients were genotype CC or CT. It will be interesting to investigate whether IL-28B polymorphisms could predict treatment duration in the DAA era, especially in patients with the potential to reduce the treatment course.</w:t>
      </w:r>
    </w:p>
    <w:p w:rsidR="008443BF" w:rsidRDefault="008443BF" w:rsidP="00C46723">
      <w:pPr>
        <w:spacing w:line="360" w:lineRule="auto"/>
        <w:rPr>
          <w:rFonts w:ascii="Book Antiqua" w:hAnsi="Book Antiqua"/>
          <w:b/>
          <w:i/>
          <w:sz w:val="24"/>
        </w:rPr>
      </w:pPr>
    </w:p>
    <w:p w:rsidR="00D20D7D" w:rsidRPr="00E76B5D" w:rsidRDefault="00D20D7D" w:rsidP="00C46723">
      <w:pPr>
        <w:spacing w:line="360" w:lineRule="auto"/>
        <w:rPr>
          <w:rFonts w:ascii="Book Antiqua" w:hAnsi="Book Antiqua"/>
          <w:b/>
          <w:i/>
          <w:sz w:val="24"/>
        </w:rPr>
      </w:pPr>
      <w:r w:rsidRPr="00E76B5D">
        <w:rPr>
          <w:rFonts w:ascii="Book Antiqua" w:hAnsi="Book Antiqua"/>
          <w:b/>
          <w:i/>
          <w:sz w:val="24"/>
        </w:rPr>
        <w:t>Other aspects</w:t>
      </w:r>
    </w:p>
    <w:p w:rsidR="00D20D7D" w:rsidRPr="00E76B5D" w:rsidRDefault="00D20D7D" w:rsidP="00C46723">
      <w:pPr>
        <w:spacing w:line="360" w:lineRule="auto"/>
        <w:rPr>
          <w:rFonts w:ascii="Book Antiqua" w:hAnsi="Book Antiqua"/>
          <w:sz w:val="24"/>
        </w:rPr>
      </w:pPr>
      <w:r w:rsidRPr="00E76B5D">
        <w:rPr>
          <w:rFonts w:ascii="Book Antiqua" w:hAnsi="Book Antiqua"/>
          <w:sz w:val="24"/>
        </w:rPr>
        <w:t>In addition to above-mentioned situations, results from group 5 patients who received sofosbuvir monotherapy suggested the crucial role of RBV in maintaining an antiviral response (Table 2). However, the exact mechanism by which RBV contributes to SVR in the DAA era remains uncertain. Another area of important research in the future will likely be treatment of patients with c</w:t>
      </w:r>
      <w:r w:rsidR="002F50C1" w:rsidRPr="00E76B5D">
        <w:rPr>
          <w:rFonts w:ascii="Book Antiqua" w:hAnsi="Book Antiqua"/>
          <w:sz w:val="24"/>
        </w:rPr>
        <w:t>irrhosis, and hepatitis B virus</w:t>
      </w:r>
      <w:r w:rsidRPr="00E76B5D">
        <w:rPr>
          <w:rFonts w:ascii="Book Antiqua" w:hAnsi="Book Antiqua"/>
          <w:sz w:val="24"/>
        </w:rPr>
        <w:t xml:space="preserve"> a</w:t>
      </w:r>
      <w:r w:rsidR="002F50C1" w:rsidRPr="00E76B5D">
        <w:rPr>
          <w:rFonts w:ascii="Book Antiqua" w:hAnsi="Book Antiqua"/>
          <w:sz w:val="24"/>
        </w:rPr>
        <w:t xml:space="preserve">nd human immunodeficiency virus </w:t>
      </w:r>
      <w:r w:rsidRPr="00E76B5D">
        <w:rPr>
          <w:rFonts w:ascii="Book Antiqua" w:hAnsi="Book Antiqua"/>
          <w:sz w:val="24"/>
        </w:rPr>
        <w:t xml:space="preserve">co-infected patients. Although the sofosbuvir- and ABT-450-based therapies were well tolerated, the safety profile of other combination treatments remains to be seen. </w:t>
      </w:r>
    </w:p>
    <w:p w:rsidR="008443BF" w:rsidRDefault="008443BF" w:rsidP="00C46723">
      <w:pPr>
        <w:spacing w:line="360" w:lineRule="auto"/>
        <w:rPr>
          <w:rFonts w:ascii="Book Antiqua" w:hAnsi="Book Antiqua"/>
          <w:b/>
          <w:i/>
          <w:sz w:val="24"/>
        </w:rPr>
      </w:pPr>
    </w:p>
    <w:p w:rsidR="00BE5BA6" w:rsidRPr="00BE5BA6" w:rsidRDefault="00BE5BA6" w:rsidP="00C46723">
      <w:pPr>
        <w:spacing w:line="360" w:lineRule="auto"/>
        <w:rPr>
          <w:rFonts w:ascii="Book Antiqua" w:hAnsi="Book Antiqua"/>
          <w:b/>
          <w:sz w:val="24"/>
        </w:rPr>
      </w:pPr>
      <w:r w:rsidRPr="00BE5BA6">
        <w:rPr>
          <w:rFonts w:ascii="Book Antiqua" w:hAnsi="Book Antiqua"/>
          <w:b/>
          <w:sz w:val="24"/>
        </w:rPr>
        <w:t>CONCLUSION</w:t>
      </w:r>
    </w:p>
    <w:p w:rsidR="00D20D7D" w:rsidRPr="00E76B5D" w:rsidRDefault="00D20D7D" w:rsidP="00C46723">
      <w:pPr>
        <w:spacing w:line="360" w:lineRule="auto"/>
        <w:rPr>
          <w:rFonts w:ascii="Book Antiqua" w:hAnsi="Book Antiqua"/>
          <w:sz w:val="24"/>
        </w:rPr>
      </w:pPr>
      <w:r w:rsidRPr="00E76B5D">
        <w:rPr>
          <w:rFonts w:ascii="Book Antiqua" w:hAnsi="Book Antiqua"/>
          <w:sz w:val="24"/>
        </w:rPr>
        <w:t>A series of clinical trials have demonstrated that we are currently experiencing a “watershed moment” for the treatment of hepatitis C</w:t>
      </w:r>
      <w:r w:rsidR="00BE5BA6">
        <w:rPr>
          <w:rFonts w:ascii="Book Antiqua" w:hAnsi="Book Antiqua"/>
          <w:sz w:val="24"/>
          <w:vertAlign w:val="superscript"/>
        </w:rPr>
        <w:t>[51,</w:t>
      </w:r>
      <w:r w:rsidRPr="00E76B5D">
        <w:rPr>
          <w:rFonts w:ascii="Book Antiqua" w:hAnsi="Book Antiqua"/>
          <w:sz w:val="24"/>
          <w:vertAlign w:val="superscript"/>
        </w:rPr>
        <w:t>52]</w:t>
      </w:r>
      <w:r w:rsidRPr="00E76B5D">
        <w:rPr>
          <w:rFonts w:ascii="Book Antiqua" w:hAnsi="Book Antiqua"/>
          <w:sz w:val="24"/>
        </w:rPr>
        <w:t>. Despite some unresolved questions, the recent achievements demonstrating DAAs as potent new HCV clearing agents with improved SVR rates appear to be encouraging, and it may be possible to cure nearly all HCV-infected patients in the near future.</w:t>
      </w:r>
      <w:r w:rsidRPr="00E76B5D">
        <w:rPr>
          <w:rFonts w:ascii="Book Antiqua" w:hAnsi="Book Antiqua"/>
          <w:b/>
          <w:sz w:val="24"/>
        </w:rPr>
        <w:t xml:space="preserve"> </w:t>
      </w:r>
      <w:r w:rsidRPr="00E76B5D">
        <w:rPr>
          <w:rFonts w:ascii="Book Antiqua" w:hAnsi="Book Antiqua"/>
          <w:sz w:val="24"/>
        </w:rPr>
        <w:t xml:space="preserve">The progress of new anti-HCV agents might indicate that agents with specificity, sensitivity and a high barrier to resistance are the mainstay for conquering pathogen-related disease. Future studies may focus on the improvement of SVR rates in genotype 1 patients who have no or partial response to prior therapy as well as special patient </w:t>
      </w:r>
      <w:r w:rsidRPr="00E76B5D">
        <w:rPr>
          <w:rFonts w:ascii="Book Antiqua" w:hAnsi="Book Antiqua"/>
          <w:sz w:val="24"/>
        </w:rPr>
        <w:lastRenderedPageBreak/>
        <w:t xml:space="preserve">populations, such as those with cirrhosis or co-infected patients. Furthermore, determining an optimal combination therapy with little cross-resistance and few adverse events as well as better understanding the status of IL-28B polymorphism and the potential mechanism of how RBV may synergize with DAAs are also areas of future study. </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REFERENCES</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Shepard CW</w:t>
      </w:r>
      <w:r w:rsidRPr="00345FBD">
        <w:rPr>
          <w:rFonts w:ascii="Book Antiqua" w:hAnsi="Book Antiqua" w:cs="宋体"/>
          <w:color w:val="000000"/>
          <w:kern w:val="0"/>
          <w:sz w:val="24"/>
        </w:rPr>
        <w:t>, Finelli L, Alter MJ. Global epidemiology of hepatitis C virus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Lancet Infect Dis</w:t>
      </w:r>
      <w:r w:rsidRPr="00BC1624">
        <w:rPr>
          <w:rFonts w:ascii="Book Antiqua" w:hAnsi="Book Antiqua" w:cs="宋体"/>
          <w:color w:val="000000"/>
          <w:kern w:val="0"/>
          <w:sz w:val="24"/>
        </w:rPr>
        <w:t> </w:t>
      </w:r>
      <w:r w:rsidRPr="00345FBD">
        <w:rPr>
          <w:rFonts w:ascii="Book Antiqua" w:hAnsi="Book Antiqua" w:cs="宋体"/>
          <w:color w:val="000000"/>
          <w:kern w:val="0"/>
          <w:sz w:val="24"/>
        </w:rPr>
        <w:t>2005;</w:t>
      </w:r>
      <w:r w:rsidRPr="00BC1624">
        <w:rPr>
          <w:rFonts w:ascii="Book Antiqua" w:hAnsi="Book Antiqua" w:cs="宋体"/>
          <w:color w:val="000000"/>
          <w:kern w:val="0"/>
          <w:sz w:val="24"/>
        </w:rPr>
        <w:t> </w:t>
      </w:r>
      <w:r w:rsidRPr="00345FBD">
        <w:rPr>
          <w:rFonts w:ascii="Book Antiqua" w:hAnsi="Book Antiqua" w:cs="宋体"/>
          <w:b/>
          <w:bCs/>
          <w:color w:val="000000"/>
          <w:kern w:val="0"/>
          <w:sz w:val="24"/>
        </w:rPr>
        <w:t>5</w:t>
      </w:r>
      <w:r w:rsidRPr="00345FBD">
        <w:rPr>
          <w:rFonts w:ascii="Book Antiqua" w:hAnsi="Book Antiqua" w:cs="宋体"/>
          <w:color w:val="000000"/>
          <w:kern w:val="0"/>
          <w:sz w:val="24"/>
        </w:rPr>
        <w:t>: 558-567 [PMID: 16122679 DOI: 10.1016/S1473-3099(05)70216-4]</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Lavanchy D</w:t>
      </w:r>
      <w:r w:rsidRPr="00345FBD">
        <w:rPr>
          <w:rFonts w:ascii="Book Antiqua" w:hAnsi="Book Antiqua" w:cs="宋体"/>
          <w:color w:val="000000"/>
          <w:kern w:val="0"/>
          <w:sz w:val="24"/>
        </w:rPr>
        <w:t>. Evolving epidemiology of hepatitis C virus.</w:t>
      </w:r>
      <w:r w:rsidRPr="00BC1624">
        <w:rPr>
          <w:rFonts w:ascii="Book Antiqua" w:hAnsi="Book Antiqua" w:cs="宋体"/>
          <w:color w:val="000000"/>
          <w:kern w:val="0"/>
          <w:sz w:val="24"/>
        </w:rPr>
        <w:t> </w:t>
      </w:r>
      <w:r w:rsidRPr="00345FBD">
        <w:rPr>
          <w:rFonts w:ascii="Book Antiqua" w:hAnsi="Book Antiqua" w:cs="宋体"/>
          <w:i/>
          <w:iCs/>
          <w:color w:val="000000"/>
          <w:kern w:val="0"/>
          <w:sz w:val="24"/>
        </w:rPr>
        <w:t>Clin Microbiol Infect</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17</w:t>
      </w:r>
      <w:r w:rsidRPr="00345FBD">
        <w:rPr>
          <w:rFonts w:ascii="Book Antiqua" w:hAnsi="Book Antiqua" w:cs="宋体"/>
          <w:color w:val="000000"/>
          <w:kern w:val="0"/>
          <w:sz w:val="24"/>
        </w:rPr>
        <w:t>: 107-115 [PMID: 21091831 DOI: 10.1111/j.1469-0691.2010.03432.x]</w:t>
      </w:r>
    </w:p>
    <w:p w:rsidR="00003C51" w:rsidRPr="00345FBD" w:rsidRDefault="00003C51" w:rsidP="00003C51">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3 </w:t>
      </w:r>
      <w:r w:rsidRPr="00345FBD">
        <w:rPr>
          <w:rFonts w:ascii="Book Antiqua" w:hAnsi="Book Antiqua" w:cs="宋体"/>
          <w:color w:val="000000"/>
          <w:kern w:val="0"/>
          <w:sz w:val="24"/>
        </w:rPr>
        <w:t>EASL Clinical Practice Guidelines: management of hepatitis C virus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J Hepatol</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55</w:t>
      </w:r>
      <w:r w:rsidRPr="00345FBD">
        <w:rPr>
          <w:rFonts w:ascii="Book Antiqua" w:hAnsi="Book Antiqua" w:cs="宋体"/>
          <w:color w:val="000000"/>
          <w:kern w:val="0"/>
          <w:sz w:val="24"/>
        </w:rPr>
        <w:t>: 245-264 [PMID: 21371579 DOI: 10.1016/j.jhep.2011.02.023]</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4</w:t>
      </w:r>
      <w:r w:rsidRPr="00BC1624">
        <w:rPr>
          <w:rFonts w:ascii="Book Antiqua" w:hAnsi="Book Antiqua" w:cs="宋体"/>
          <w:color w:val="000000"/>
          <w:kern w:val="0"/>
          <w:sz w:val="24"/>
        </w:rPr>
        <w:t> </w:t>
      </w:r>
      <w:r w:rsidRPr="00345FBD">
        <w:rPr>
          <w:rFonts w:ascii="Book Antiqua" w:hAnsi="Book Antiqua" w:cs="宋体"/>
          <w:b/>
          <w:bCs/>
          <w:color w:val="000000"/>
          <w:kern w:val="0"/>
          <w:sz w:val="24"/>
        </w:rPr>
        <w:t>McHutchison JG</w:t>
      </w:r>
      <w:r w:rsidRPr="00345FBD">
        <w:rPr>
          <w:rFonts w:ascii="Book Antiqua" w:hAnsi="Book Antiqua" w:cs="宋体"/>
          <w:color w:val="000000"/>
          <w:kern w:val="0"/>
          <w:sz w:val="24"/>
        </w:rPr>
        <w:t>, Lawitz EJ, Shiffman ML, Muir AJ, Galler GW, McCone J, Nyberg LM, Lee WM, Ghalib RH, Schiff ER, Galati JS, Bacon BR, Davis MN, Mukhopadhyay P, Koury K, Noviello S, Pedicone LD, Brass CA, Albrecht JK, Sulkowski MS. Peginterferon alfa-2b or alfa-2a with ribavirin for treatment of hepatitis C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2009;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361</w:t>
      </w:r>
      <w:r w:rsidRPr="00345FBD">
        <w:rPr>
          <w:rFonts w:ascii="Book Antiqua" w:hAnsi="Book Antiqua" w:cs="宋体"/>
          <w:color w:val="000000"/>
          <w:kern w:val="0"/>
          <w:sz w:val="24"/>
        </w:rPr>
        <w:t>: 580-593 [PMID: 19625712 DOI: 10.1056/NEJMoa0808010]</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5</w:t>
      </w:r>
      <w:r w:rsidRPr="00BC1624">
        <w:rPr>
          <w:rFonts w:ascii="Book Antiqua" w:hAnsi="Book Antiqua" w:cs="宋体"/>
          <w:color w:val="000000"/>
          <w:kern w:val="0"/>
          <w:sz w:val="24"/>
        </w:rPr>
        <w:t> </w:t>
      </w:r>
      <w:r w:rsidRPr="00345FBD">
        <w:rPr>
          <w:rFonts w:ascii="Book Antiqua" w:hAnsi="Book Antiqua" w:cs="宋体"/>
          <w:b/>
          <w:bCs/>
          <w:color w:val="000000"/>
          <w:kern w:val="0"/>
          <w:sz w:val="24"/>
        </w:rPr>
        <w:t>Davis GL</w:t>
      </w:r>
      <w:r w:rsidRPr="00345FBD">
        <w:rPr>
          <w:rFonts w:ascii="Book Antiqua" w:hAnsi="Book Antiqua" w:cs="宋体"/>
          <w:color w:val="000000"/>
          <w:kern w:val="0"/>
          <w:sz w:val="24"/>
        </w:rPr>
        <w:t>, Wong JB, McHutchison JG, Manns MP, Harvey J, Albrecht J. Early virologic response to treatment with peginterferon alfa-2b plus ribavirin in patients with chronic hepatitis C.</w:t>
      </w:r>
      <w:r w:rsidRPr="00BC1624">
        <w:rPr>
          <w:rFonts w:ascii="Book Antiqua" w:hAnsi="Book Antiqua" w:cs="宋体"/>
          <w:color w:val="000000"/>
          <w:kern w:val="0"/>
          <w:sz w:val="24"/>
        </w:rPr>
        <w:t> </w:t>
      </w:r>
      <w:r w:rsidRPr="00345FBD">
        <w:rPr>
          <w:rFonts w:ascii="Book Antiqua" w:hAnsi="Book Antiqua" w:cs="宋体"/>
          <w:i/>
          <w:iCs/>
          <w:color w:val="000000"/>
          <w:kern w:val="0"/>
          <w:sz w:val="24"/>
        </w:rPr>
        <w:t>Hepatology</w:t>
      </w:r>
      <w:r w:rsidRPr="00BC1624">
        <w:rPr>
          <w:rFonts w:ascii="Book Antiqua" w:hAnsi="Book Antiqua" w:cs="宋体"/>
          <w:color w:val="000000"/>
          <w:kern w:val="0"/>
          <w:sz w:val="24"/>
        </w:rPr>
        <w:t> </w:t>
      </w:r>
      <w:r w:rsidRPr="00345FBD">
        <w:rPr>
          <w:rFonts w:ascii="Book Antiqua" w:hAnsi="Book Antiqua" w:cs="宋体"/>
          <w:color w:val="000000"/>
          <w:kern w:val="0"/>
          <w:sz w:val="24"/>
        </w:rPr>
        <w:t>2003;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38</w:t>
      </w:r>
      <w:r w:rsidRPr="00345FBD">
        <w:rPr>
          <w:rFonts w:ascii="Book Antiqua" w:hAnsi="Book Antiqua" w:cs="宋体"/>
          <w:color w:val="000000"/>
          <w:kern w:val="0"/>
          <w:sz w:val="24"/>
        </w:rPr>
        <w:t>: 645-652 [PMID: 12939591 DOI: 10.1053/jhep.2003.50364]</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6</w:t>
      </w:r>
      <w:r w:rsidRPr="00BC1624">
        <w:rPr>
          <w:rFonts w:ascii="Book Antiqua" w:hAnsi="Book Antiqua" w:cs="宋体"/>
          <w:color w:val="000000"/>
          <w:kern w:val="0"/>
          <w:sz w:val="24"/>
        </w:rPr>
        <w:t> </w:t>
      </w:r>
      <w:r w:rsidRPr="00345FBD">
        <w:rPr>
          <w:rFonts w:ascii="Book Antiqua" w:hAnsi="Book Antiqua" w:cs="宋体"/>
          <w:b/>
          <w:bCs/>
          <w:color w:val="000000"/>
          <w:kern w:val="0"/>
          <w:sz w:val="24"/>
        </w:rPr>
        <w:t>Zeuzem S</w:t>
      </w:r>
      <w:r w:rsidRPr="00345FBD">
        <w:rPr>
          <w:rFonts w:ascii="Book Antiqua" w:hAnsi="Book Antiqua" w:cs="宋体"/>
          <w:color w:val="000000"/>
          <w:kern w:val="0"/>
          <w:sz w:val="24"/>
        </w:rPr>
        <w:t xml:space="preserve">, Buti M, Ferenci P, Sperl J, Horsmans Y, Cianciara J, Ibranyi E, Weiland O, Noviello S, Brass C, Albrecht J. Efficacy of 24 weeks treatment with peginterferon alfa-2b plus ribavirin in patients with chronic hepatitis C </w:t>
      </w:r>
      <w:r w:rsidRPr="00345FBD">
        <w:rPr>
          <w:rFonts w:ascii="Book Antiqua" w:hAnsi="Book Antiqua" w:cs="宋体"/>
          <w:color w:val="000000"/>
          <w:kern w:val="0"/>
          <w:sz w:val="24"/>
        </w:rPr>
        <w:lastRenderedPageBreak/>
        <w:t>infected with genotype 1 and low pretreatment viremia.</w:t>
      </w:r>
      <w:r w:rsidRPr="00BC1624">
        <w:rPr>
          <w:rFonts w:ascii="Book Antiqua" w:hAnsi="Book Antiqua" w:cs="宋体"/>
          <w:color w:val="000000"/>
          <w:kern w:val="0"/>
          <w:sz w:val="24"/>
        </w:rPr>
        <w:t> </w:t>
      </w:r>
      <w:r w:rsidRPr="00345FBD">
        <w:rPr>
          <w:rFonts w:ascii="Book Antiqua" w:hAnsi="Book Antiqua" w:cs="宋体"/>
          <w:i/>
          <w:iCs/>
          <w:color w:val="000000"/>
          <w:kern w:val="0"/>
          <w:sz w:val="24"/>
        </w:rPr>
        <w:t>J Hepatol</w:t>
      </w:r>
      <w:r w:rsidRPr="00BC1624">
        <w:rPr>
          <w:rFonts w:ascii="Book Antiqua" w:hAnsi="Book Antiqua" w:cs="宋体"/>
          <w:color w:val="000000"/>
          <w:kern w:val="0"/>
          <w:sz w:val="24"/>
        </w:rPr>
        <w:t> </w:t>
      </w:r>
      <w:r w:rsidRPr="00345FBD">
        <w:rPr>
          <w:rFonts w:ascii="Book Antiqua" w:hAnsi="Book Antiqua" w:cs="宋体"/>
          <w:color w:val="000000"/>
          <w:kern w:val="0"/>
          <w:sz w:val="24"/>
        </w:rPr>
        <w:t>2006;</w:t>
      </w:r>
      <w:r w:rsidRPr="00BC1624">
        <w:rPr>
          <w:rFonts w:ascii="Book Antiqua" w:hAnsi="Book Antiqua" w:cs="宋体"/>
          <w:color w:val="000000"/>
          <w:kern w:val="0"/>
          <w:sz w:val="24"/>
        </w:rPr>
        <w:t> </w:t>
      </w:r>
      <w:r w:rsidRPr="00345FBD">
        <w:rPr>
          <w:rFonts w:ascii="Book Antiqua" w:hAnsi="Book Antiqua" w:cs="宋体"/>
          <w:b/>
          <w:bCs/>
          <w:color w:val="000000"/>
          <w:kern w:val="0"/>
          <w:sz w:val="24"/>
        </w:rPr>
        <w:t>44</w:t>
      </w:r>
      <w:r w:rsidRPr="00345FBD">
        <w:rPr>
          <w:rFonts w:ascii="Book Antiqua" w:hAnsi="Book Antiqua" w:cs="宋体"/>
          <w:color w:val="000000"/>
          <w:kern w:val="0"/>
          <w:sz w:val="24"/>
        </w:rPr>
        <w:t>: 97-103 [PMID: 16290907 DOI: 10.1016/j.jhep.2005.10.003]</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7</w:t>
      </w:r>
      <w:r w:rsidRPr="00BC1624">
        <w:rPr>
          <w:rFonts w:ascii="Book Antiqua" w:hAnsi="Book Antiqua" w:cs="宋体"/>
          <w:color w:val="000000"/>
          <w:kern w:val="0"/>
          <w:sz w:val="24"/>
        </w:rPr>
        <w:t> </w:t>
      </w:r>
      <w:r w:rsidRPr="00345FBD">
        <w:rPr>
          <w:rFonts w:ascii="Book Antiqua" w:hAnsi="Book Antiqua" w:cs="宋体"/>
          <w:b/>
          <w:bCs/>
          <w:color w:val="000000"/>
          <w:kern w:val="0"/>
          <w:sz w:val="24"/>
        </w:rPr>
        <w:t>Chopra A</w:t>
      </w:r>
      <w:r w:rsidRPr="00345FBD">
        <w:rPr>
          <w:rFonts w:ascii="Book Antiqua" w:hAnsi="Book Antiqua" w:cs="宋体"/>
          <w:color w:val="000000"/>
          <w:kern w:val="0"/>
          <w:sz w:val="24"/>
        </w:rPr>
        <w:t>, Klein PL, Drinnan T, Lee SS. How to optimize HCV therapy in genotype 1 patients: management of side-effects.</w:t>
      </w:r>
      <w:r w:rsidRPr="00BC1624">
        <w:rPr>
          <w:rFonts w:ascii="Book Antiqua" w:hAnsi="Book Antiqua" w:cs="宋体"/>
          <w:color w:val="000000"/>
          <w:kern w:val="0"/>
          <w:sz w:val="24"/>
        </w:rPr>
        <w:t> </w:t>
      </w:r>
      <w:r w:rsidRPr="00345FBD">
        <w:rPr>
          <w:rFonts w:ascii="Book Antiqua" w:hAnsi="Book Antiqua" w:cs="宋体"/>
          <w:i/>
          <w:iCs/>
          <w:color w:val="000000"/>
          <w:kern w:val="0"/>
          <w:sz w:val="24"/>
        </w:rPr>
        <w:t>Liver Int</w:t>
      </w:r>
      <w:r w:rsidRPr="00BC1624">
        <w:rPr>
          <w:rFonts w:ascii="Book Antiqua" w:hAnsi="Book Antiqua" w:cs="宋体"/>
          <w:color w:val="000000"/>
          <w:kern w:val="0"/>
          <w:sz w:val="24"/>
        </w:rPr>
        <w:t> </w:t>
      </w:r>
      <w:r w:rsidRPr="00345FBD">
        <w:rPr>
          <w:rFonts w:ascii="Book Antiqua" w:hAnsi="Book Antiqua" w:cs="宋体"/>
          <w:color w:val="000000"/>
          <w:kern w:val="0"/>
          <w:sz w:val="24"/>
        </w:rPr>
        <w:t>2013;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 xml:space="preserve">33 </w:t>
      </w:r>
      <w:r w:rsidRPr="00345FBD">
        <w:rPr>
          <w:rFonts w:ascii="Book Antiqua" w:hAnsi="Book Antiqua" w:cs="宋体"/>
          <w:bCs/>
          <w:color w:val="000000"/>
          <w:kern w:val="0"/>
          <w:sz w:val="24"/>
        </w:rPr>
        <w:t>Suppl 1</w:t>
      </w:r>
      <w:r w:rsidRPr="00345FBD">
        <w:rPr>
          <w:rFonts w:ascii="Book Antiqua" w:hAnsi="Book Antiqua" w:cs="宋体"/>
          <w:color w:val="000000"/>
          <w:kern w:val="0"/>
          <w:sz w:val="24"/>
        </w:rPr>
        <w:t>: 30-34 [PMID: 23286843 DOI: 10.1111/liv.12080]</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Maasoumy B</w:t>
      </w:r>
      <w:r w:rsidRPr="00345FBD">
        <w:rPr>
          <w:rFonts w:ascii="Book Antiqua" w:hAnsi="Book Antiqua" w:cs="宋体"/>
          <w:color w:val="000000"/>
          <w:kern w:val="0"/>
          <w:sz w:val="24"/>
        </w:rPr>
        <w:t>, Manns MP. Optimal treatment with boceprevir for chronic HCV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Liver Int</w:t>
      </w:r>
      <w:r w:rsidRPr="00BC1624">
        <w:rPr>
          <w:rFonts w:ascii="Book Antiqua" w:hAnsi="Book Antiqua" w:cs="宋体"/>
          <w:color w:val="000000"/>
          <w:kern w:val="0"/>
          <w:sz w:val="24"/>
        </w:rPr>
        <w:t> </w:t>
      </w:r>
      <w:r w:rsidRPr="00345FBD">
        <w:rPr>
          <w:rFonts w:ascii="Book Antiqua" w:hAnsi="Book Antiqua" w:cs="宋体"/>
          <w:color w:val="000000"/>
          <w:kern w:val="0"/>
          <w:sz w:val="24"/>
        </w:rPr>
        <w:t>2013;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 xml:space="preserve">33 </w:t>
      </w:r>
      <w:r w:rsidRPr="00345FBD">
        <w:rPr>
          <w:rFonts w:ascii="Book Antiqua" w:hAnsi="Book Antiqua" w:cs="宋体"/>
          <w:bCs/>
          <w:color w:val="000000"/>
          <w:kern w:val="0"/>
          <w:sz w:val="24"/>
        </w:rPr>
        <w:t>Suppl 1</w:t>
      </w:r>
      <w:r w:rsidRPr="00345FBD">
        <w:rPr>
          <w:rFonts w:ascii="Book Antiqua" w:hAnsi="Book Antiqua" w:cs="宋体"/>
          <w:color w:val="000000"/>
          <w:kern w:val="0"/>
          <w:sz w:val="24"/>
        </w:rPr>
        <w:t>: 14-22 [PMID: 23286841 DOI: 10.1111/liv.12070]</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Hoofnagle JH</w:t>
      </w:r>
      <w:r w:rsidRPr="00345FBD">
        <w:rPr>
          <w:rFonts w:ascii="Book Antiqua" w:hAnsi="Book Antiqua" w:cs="宋体"/>
          <w:color w:val="000000"/>
          <w:kern w:val="0"/>
          <w:sz w:val="24"/>
        </w:rPr>
        <w:t>, Mullen KD, Jones DB, Rustgi V, Di Bisceglie A, Peters M, Waggoner JG, Park Y, Jones EA. Treatment of chronic non-A,non-B hepatitis with recombinant human alpha interferon. A preliminary report.</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1986;</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315</w:t>
      </w:r>
      <w:r w:rsidRPr="00345FBD">
        <w:rPr>
          <w:rFonts w:ascii="Book Antiqua" w:hAnsi="Book Antiqua" w:cs="宋体"/>
          <w:color w:val="000000"/>
          <w:kern w:val="0"/>
          <w:sz w:val="24"/>
        </w:rPr>
        <w:t>: 1575-1578 [PMID: 3097544 DOI: 10.1056/NEJM198612183152503]</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Di Bisceglie AM</w:t>
      </w:r>
      <w:r w:rsidRPr="00345FBD">
        <w:rPr>
          <w:rFonts w:ascii="Book Antiqua" w:hAnsi="Book Antiqua" w:cs="宋体"/>
          <w:color w:val="000000"/>
          <w:kern w:val="0"/>
          <w:sz w:val="24"/>
        </w:rPr>
        <w:t>, Martin P, Kassianides C, Lisker-Melman M, Murray L, Waggoner J, Goodman Z, Banks SM, Hoofnagle JH. Recombinant interferon alfa therapy for chronic hepatitis C. A randomized, double-blind, placebo-controlled trial.</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1989;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321</w:t>
      </w:r>
      <w:r w:rsidRPr="00345FBD">
        <w:rPr>
          <w:rFonts w:ascii="Book Antiqua" w:hAnsi="Book Antiqua" w:cs="宋体"/>
          <w:color w:val="000000"/>
          <w:kern w:val="0"/>
          <w:sz w:val="24"/>
        </w:rPr>
        <w:t>: 1506-1510 [PMID: 2509917 DOI: 10.1056/NEJM198911303212204]</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Davis GL</w:t>
      </w:r>
      <w:r w:rsidRPr="00345FBD">
        <w:rPr>
          <w:rFonts w:ascii="Book Antiqua" w:hAnsi="Book Antiqua" w:cs="宋体"/>
          <w:color w:val="000000"/>
          <w:kern w:val="0"/>
          <w:sz w:val="24"/>
        </w:rPr>
        <w:t>, Balart LA, Schiff ER, Lindsay K, Bodenheimer HC, Perrillo RP, Carey W, Jacobson IM, Payne J, Dienstag JL. Treatment of chronic hepatitis C with recombinant interferon alfa. A multicenter randomized, controlled trial. Hepatitis Interventional Therapy Group.</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1989;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321</w:t>
      </w:r>
      <w:r w:rsidRPr="00345FBD">
        <w:rPr>
          <w:rFonts w:ascii="Book Antiqua" w:hAnsi="Book Antiqua" w:cs="宋体"/>
          <w:color w:val="000000"/>
          <w:kern w:val="0"/>
          <w:sz w:val="24"/>
        </w:rPr>
        <w:t>: 1501-1506 [PMID: 2509916 DOI: 10.1056/NEJM198911303212203]</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Thomson BJ</w:t>
      </w:r>
      <w:r w:rsidRPr="00345FBD">
        <w:rPr>
          <w:rFonts w:ascii="Book Antiqua" w:hAnsi="Book Antiqua" w:cs="宋体"/>
          <w:color w:val="000000"/>
          <w:kern w:val="0"/>
          <w:sz w:val="24"/>
        </w:rPr>
        <w:t>, Doran M, Lever AM, Webster AD. Alpha-interferon therapy for non-A, non-B hepatitis transmitted by gammaglobulin replacement therapy.</w:t>
      </w:r>
      <w:r w:rsidRPr="00BC1624">
        <w:rPr>
          <w:rFonts w:ascii="Book Antiqua" w:hAnsi="Book Antiqua" w:cs="宋体"/>
          <w:color w:val="000000"/>
          <w:kern w:val="0"/>
          <w:sz w:val="24"/>
        </w:rPr>
        <w:t> </w:t>
      </w:r>
      <w:r w:rsidRPr="00345FBD">
        <w:rPr>
          <w:rFonts w:ascii="Book Antiqua" w:hAnsi="Book Antiqua" w:cs="宋体"/>
          <w:i/>
          <w:iCs/>
          <w:color w:val="000000"/>
          <w:kern w:val="0"/>
          <w:sz w:val="24"/>
        </w:rPr>
        <w:t>Lancet</w:t>
      </w:r>
      <w:r w:rsidRPr="00BC1624">
        <w:rPr>
          <w:rFonts w:ascii="Book Antiqua" w:hAnsi="Book Antiqua" w:cs="宋体"/>
          <w:color w:val="000000"/>
          <w:kern w:val="0"/>
          <w:sz w:val="24"/>
        </w:rPr>
        <w:t> </w:t>
      </w:r>
      <w:r w:rsidRPr="00345FBD">
        <w:rPr>
          <w:rFonts w:ascii="Book Antiqua" w:hAnsi="Book Antiqua" w:cs="宋体"/>
          <w:color w:val="000000"/>
          <w:kern w:val="0"/>
          <w:sz w:val="24"/>
        </w:rPr>
        <w:t>1987;</w:t>
      </w:r>
      <w:r w:rsidRPr="00BC1624">
        <w:rPr>
          <w:rFonts w:ascii="Book Antiqua" w:hAnsi="Book Antiqua" w:cs="宋体"/>
          <w:color w:val="000000"/>
          <w:kern w:val="0"/>
          <w:sz w:val="24"/>
        </w:rPr>
        <w:t> </w:t>
      </w:r>
      <w:r w:rsidRPr="00345FBD">
        <w:rPr>
          <w:rFonts w:ascii="Book Antiqua" w:hAnsi="Book Antiqua" w:cs="宋体"/>
          <w:b/>
          <w:bCs/>
          <w:color w:val="000000"/>
          <w:kern w:val="0"/>
          <w:sz w:val="24"/>
        </w:rPr>
        <w:t>1</w:t>
      </w:r>
      <w:r w:rsidRPr="00345FBD">
        <w:rPr>
          <w:rFonts w:ascii="Book Antiqua" w:hAnsi="Book Antiqua" w:cs="宋体"/>
          <w:color w:val="000000"/>
          <w:kern w:val="0"/>
          <w:sz w:val="24"/>
        </w:rPr>
        <w:t>: 539-541 [PMID: 2434816]</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Marcellin P</w:t>
      </w:r>
      <w:r w:rsidRPr="00345FBD">
        <w:rPr>
          <w:rFonts w:ascii="Book Antiqua" w:hAnsi="Book Antiqua" w:cs="宋体"/>
          <w:color w:val="000000"/>
          <w:kern w:val="0"/>
          <w:sz w:val="24"/>
        </w:rPr>
        <w:t xml:space="preserve">, Boyer N, Giostra E, Degott C, Courouce AM, Degos F, Coppere H, Cales P, Couzigou P, Benhamou JP. Recombinant human alpha-interferon in patients with chronic non-A, non-B hepatitis: a multicenter </w:t>
      </w:r>
      <w:r w:rsidRPr="00345FBD">
        <w:rPr>
          <w:rFonts w:ascii="Book Antiqua" w:hAnsi="Book Antiqua" w:cs="宋体"/>
          <w:color w:val="000000"/>
          <w:kern w:val="0"/>
          <w:sz w:val="24"/>
        </w:rPr>
        <w:lastRenderedPageBreak/>
        <w:t>randomized controlled trial from France.</w:t>
      </w:r>
      <w:r w:rsidRPr="00BC1624">
        <w:rPr>
          <w:rFonts w:ascii="Book Antiqua" w:hAnsi="Book Antiqua" w:cs="宋体"/>
          <w:color w:val="000000"/>
          <w:kern w:val="0"/>
          <w:sz w:val="24"/>
        </w:rPr>
        <w:t> </w:t>
      </w:r>
      <w:r w:rsidRPr="00345FBD">
        <w:rPr>
          <w:rFonts w:ascii="Book Antiqua" w:hAnsi="Book Antiqua" w:cs="宋体"/>
          <w:i/>
          <w:iCs/>
          <w:color w:val="000000"/>
          <w:kern w:val="0"/>
          <w:sz w:val="24"/>
        </w:rPr>
        <w:t>Hepatology</w:t>
      </w:r>
      <w:r w:rsidRPr="00BC1624">
        <w:rPr>
          <w:rFonts w:ascii="Book Antiqua" w:hAnsi="Book Antiqua" w:cs="宋体"/>
          <w:color w:val="000000"/>
          <w:kern w:val="0"/>
          <w:sz w:val="24"/>
        </w:rPr>
        <w:t> </w:t>
      </w:r>
      <w:r w:rsidRPr="00345FBD">
        <w:rPr>
          <w:rFonts w:ascii="Book Antiqua" w:hAnsi="Book Antiqua" w:cs="宋体"/>
          <w:color w:val="000000"/>
          <w:kern w:val="0"/>
          <w:sz w:val="24"/>
        </w:rPr>
        <w:t>1991;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13</w:t>
      </w:r>
      <w:r w:rsidRPr="00345FBD">
        <w:rPr>
          <w:rFonts w:ascii="Book Antiqua" w:hAnsi="Book Antiqua" w:cs="宋体"/>
          <w:color w:val="000000"/>
          <w:kern w:val="0"/>
          <w:sz w:val="24"/>
        </w:rPr>
        <w:t>: 393-397 [PMID: 1900254]</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14</w:t>
      </w:r>
      <w:r w:rsidRPr="00BC1624">
        <w:rPr>
          <w:rFonts w:ascii="Book Antiqua" w:hAnsi="Book Antiqua" w:cs="宋体"/>
          <w:color w:val="000000"/>
          <w:kern w:val="0"/>
          <w:sz w:val="24"/>
        </w:rPr>
        <w:t> </w:t>
      </w:r>
      <w:r w:rsidRPr="00345FBD">
        <w:rPr>
          <w:rFonts w:ascii="Book Antiqua" w:hAnsi="Book Antiqua" w:cs="宋体"/>
          <w:b/>
          <w:bCs/>
          <w:color w:val="000000"/>
          <w:kern w:val="0"/>
          <w:sz w:val="24"/>
        </w:rPr>
        <w:t>McHutchison JG</w:t>
      </w:r>
      <w:r w:rsidRPr="00345FBD">
        <w:rPr>
          <w:rFonts w:ascii="Book Antiqua" w:hAnsi="Book Antiqua" w:cs="宋体"/>
          <w:color w:val="000000"/>
          <w:kern w:val="0"/>
          <w:sz w:val="24"/>
        </w:rPr>
        <w:t>, Gordon SC, Schiff ER, Shiffman ML, Lee WM, Rustgi VK, Goodman ZD, Ling MH, Cort S, Albrecht JK. Interferon alfa-2b alone or in combination with ribavirin as initial treatment for chronic hepatitis C. Hepatitis Interventional Therapy Group.</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1998;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339</w:t>
      </w:r>
      <w:r w:rsidRPr="00345FBD">
        <w:rPr>
          <w:rFonts w:ascii="Book Antiqua" w:hAnsi="Book Antiqua" w:cs="宋体"/>
          <w:color w:val="000000"/>
          <w:kern w:val="0"/>
          <w:sz w:val="24"/>
        </w:rPr>
        <w:t>: 1485-1492 [PMID: 9819446 DOI: 10.1056/NEJM199811193392101]</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15</w:t>
      </w:r>
      <w:r w:rsidRPr="00BC1624">
        <w:rPr>
          <w:rFonts w:ascii="Book Antiqua" w:hAnsi="Book Antiqua" w:cs="宋体"/>
          <w:color w:val="000000"/>
          <w:kern w:val="0"/>
          <w:sz w:val="24"/>
        </w:rPr>
        <w:t> </w:t>
      </w:r>
      <w:r w:rsidRPr="00345FBD">
        <w:rPr>
          <w:rFonts w:ascii="Book Antiqua" w:hAnsi="Book Antiqua" w:cs="宋体"/>
          <w:b/>
          <w:bCs/>
          <w:color w:val="000000"/>
          <w:kern w:val="0"/>
          <w:sz w:val="24"/>
        </w:rPr>
        <w:t>Davis GL</w:t>
      </w:r>
      <w:r w:rsidRPr="00345FBD">
        <w:rPr>
          <w:rFonts w:ascii="Book Antiqua" w:hAnsi="Book Antiqua" w:cs="宋体"/>
          <w:color w:val="000000"/>
          <w:kern w:val="0"/>
          <w:sz w:val="24"/>
        </w:rPr>
        <w:t>, Esteban-Mur R, Rustgi V, Hoefs J, Gordon SC, Trepo C, Shiffman ML, Zeuzem S, Craxi A, Ling MH, Albrecht J. Interferon alfa-2b alone or in combination with ribavirin for the treatment of relapse of chronic hepatitis C. International Hepatitis Interventional Therapy Group.</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1998;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339</w:t>
      </w:r>
      <w:r w:rsidRPr="00345FBD">
        <w:rPr>
          <w:rFonts w:ascii="Book Antiqua" w:hAnsi="Book Antiqua" w:cs="宋体"/>
          <w:color w:val="000000"/>
          <w:kern w:val="0"/>
          <w:sz w:val="24"/>
        </w:rPr>
        <w:t>: 1493-1499 [PMID: 9819447 DOI: 10.1056/NEJM199811193392102]</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16</w:t>
      </w:r>
      <w:r w:rsidRPr="00BC1624">
        <w:rPr>
          <w:rFonts w:ascii="Book Antiqua" w:hAnsi="Book Antiqua" w:cs="宋体"/>
          <w:color w:val="000000"/>
          <w:kern w:val="0"/>
          <w:sz w:val="24"/>
        </w:rPr>
        <w:t> </w:t>
      </w:r>
      <w:r w:rsidRPr="00345FBD">
        <w:rPr>
          <w:rFonts w:ascii="Book Antiqua" w:hAnsi="Book Antiqua" w:cs="宋体"/>
          <w:b/>
          <w:bCs/>
          <w:color w:val="000000"/>
          <w:kern w:val="0"/>
          <w:sz w:val="24"/>
        </w:rPr>
        <w:t>Liang TJ</w:t>
      </w:r>
      <w:r w:rsidRPr="00345FBD">
        <w:rPr>
          <w:rFonts w:ascii="Book Antiqua" w:hAnsi="Book Antiqua" w:cs="宋体"/>
          <w:color w:val="000000"/>
          <w:kern w:val="0"/>
          <w:sz w:val="24"/>
        </w:rPr>
        <w:t>. Combination therapy for hepatitis C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1998;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339</w:t>
      </w:r>
      <w:r w:rsidRPr="00345FBD">
        <w:rPr>
          <w:rFonts w:ascii="Book Antiqua" w:hAnsi="Book Antiqua" w:cs="宋体"/>
          <w:color w:val="000000"/>
          <w:kern w:val="0"/>
          <w:sz w:val="24"/>
        </w:rPr>
        <w:t>: 1549-1550 [PMID: 9819457 DOI: 10.1056/NEJM199811193392112]</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17</w:t>
      </w:r>
      <w:r w:rsidRPr="00BC1624">
        <w:rPr>
          <w:rFonts w:ascii="Book Antiqua" w:hAnsi="Book Antiqua" w:cs="宋体"/>
          <w:color w:val="000000"/>
          <w:kern w:val="0"/>
          <w:sz w:val="24"/>
        </w:rPr>
        <w:t> </w:t>
      </w:r>
      <w:r w:rsidRPr="00345FBD">
        <w:rPr>
          <w:rFonts w:ascii="Book Antiqua" w:hAnsi="Book Antiqua" w:cs="宋体"/>
          <w:b/>
          <w:bCs/>
          <w:color w:val="000000"/>
          <w:kern w:val="0"/>
          <w:sz w:val="24"/>
        </w:rPr>
        <w:t>Braconier JH</w:t>
      </w:r>
      <w:r w:rsidRPr="00345FBD">
        <w:rPr>
          <w:rFonts w:ascii="Book Antiqua" w:hAnsi="Book Antiqua" w:cs="宋体"/>
          <w:color w:val="000000"/>
          <w:kern w:val="0"/>
          <w:sz w:val="24"/>
        </w:rPr>
        <w:t>, Paulsen O, Engman K, Widell A. Combined alpha-interferon and ribavirin treatment in chronic hepatitis C: a pilot study.</w:t>
      </w:r>
      <w:r w:rsidRPr="00BC1624">
        <w:rPr>
          <w:rFonts w:ascii="Book Antiqua" w:hAnsi="Book Antiqua" w:cs="宋体"/>
          <w:color w:val="000000"/>
          <w:kern w:val="0"/>
          <w:sz w:val="24"/>
        </w:rPr>
        <w:t> </w:t>
      </w:r>
      <w:r w:rsidRPr="00345FBD">
        <w:rPr>
          <w:rFonts w:ascii="Book Antiqua" w:hAnsi="Book Antiqua" w:cs="宋体"/>
          <w:i/>
          <w:iCs/>
          <w:color w:val="000000"/>
          <w:kern w:val="0"/>
          <w:sz w:val="24"/>
        </w:rPr>
        <w:t>Scand J Infect Dis</w:t>
      </w:r>
      <w:r w:rsidRPr="00BC1624">
        <w:rPr>
          <w:rFonts w:ascii="Book Antiqua" w:hAnsi="Book Antiqua" w:cs="宋体"/>
          <w:color w:val="000000"/>
          <w:kern w:val="0"/>
          <w:sz w:val="24"/>
        </w:rPr>
        <w:t> </w:t>
      </w:r>
      <w:r w:rsidRPr="00345FBD">
        <w:rPr>
          <w:rFonts w:ascii="Book Antiqua" w:hAnsi="Book Antiqua" w:cs="宋体"/>
          <w:color w:val="000000"/>
          <w:kern w:val="0"/>
          <w:sz w:val="24"/>
        </w:rPr>
        <w:t>1995;</w:t>
      </w:r>
      <w:r w:rsidRPr="00BC1624">
        <w:rPr>
          <w:rFonts w:ascii="Book Antiqua" w:hAnsi="Book Antiqua" w:cs="宋体"/>
          <w:color w:val="000000"/>
          <w:kern w:val="0"/>
          <w:sz w:val="24"/>
        </w:rPr>
        <w:t> </w:t>
      </w:r>
      <w:r w:rsidRPr="00345FBD">
        <w:rPr>
          <w:rFonts w:ascii="Book Antiqua" w:hAnsi="Book Antiqua" w:cs="宋体"/>
          <w:b/>
          <w:bCs/>
          <w:color w:val="000000"/>
          <w:kern w:val="0"/>
          <w:sz w:val="24"/>
        </w:rPr>
        <w:t>27</w:t>
      </w:r>
      <w:r w:rsidRPr="00345FBD">
        <w:rPr>
          <w:rFonts w:ascii="Book Antiqua" w:hAnsi="Book Antiqua" w:cs="宋体"/>
          <w:color w:val="000000"/>
          <w:kern w:val="0"/>
          <w:sz w:val="24"/>
        </w:rPr>
        <w:t>: 325-329 [PMID: 8658064]</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Chemello L</w:t>
      </w:r>
      <w:r w:rsidRPr="00345FBD">
        <w:rPr>
          <w:rFonts w:ascii="Book Antiqua" w:hAnsi="Book Antiqua" w:cs="宋体"/>
          <w:color w:val="000000"/>
          <w:kern w:val="0"/>
          <w:sz w:val="24"/>
        </w:rPr>
        <w:t>, Cavalletto L, Bernardinello E, Guido M, Pontisso P, Alberti A. The effect of interferon alfa and ribavirin combination therapy in naive patients with chronic hepatitis C.</w:t>
      </w:r>
      <w:r w:rsidRPr="00BC1624">
        <w:rPr>
          <w:rFonts w:ascii="Book Antiqua" w:hAnsi="Book Antiqua" w:cs="宋体"/>
          <w:color w:val="000000"/>
          <w:kern w:val="0"/>
          <w:sz w:val="24"/>
        </w:rPr>
        <w:t> </w:t>
      </w:r>
      <w:r w:rsidRPr="00345FBD">
        <w:rPr>
          <w:rFonts w:ascii="Book Antiqua" w:hAnsi="Book Antiqua" w:cs="宋体"/>
          <w:i/>
          <w:iCs/>
          <w:color w:val="000000"/>
          <w:kern w:val="0"/>
          <w:sz w:val="24"/>
        </w:rPr>
        <w:t>J Hepatol</w:t>
      </w:r>
      <w:r w:rsidRPr="00BC1624">
        <w:rPr>
          <w:rFonts w:ascii="Book Antiqua" w:hAnsi="Book Antiqua" w:cs="宋体"/>
          <w:color w:val="000000"/>
          <w:kern w:val="0"/>
          <w:sz w:val="24"/>
        </w:rPr>
        <w:t> </w:t>
      </w:r>
      <w:r w:rsidRPr="00345FBD">
        <w:rPr>
          <w:rFonts w:ascii="Book Antiqua" w:hAnsi="Book Antiqua" w:cs="宋体"/>
          <w:color w:val="000000"/>
          <w:kern w:val="0"/>
          <w:sz w:val="24"/>
        </w:rPr>
        <w:t>1995;</w:t>
      </w:r>
      <w:r w:rsidRPr="00BC1624">
        <w:rPr>
          <w:rFonts w:ascii="Book Antiqua" w:hAnsi="Book Antiqua" w:cs="宋体"/>
          <w:color w:val="000000"/>
          <w:kern w:val="0"/>
          <w:sz w:val="24"/>
        </w:rPr>
        <w:t> </w:t>
      </w:r>
      <w:r w:rsidRPr="00345FBD">
        <w:rPr>
          <w:rFonts w:ascii="Book Antiqua" w:hAnsi="Book Antiqua" w:cs="宋体"/>
          <w:b/>
          <w:bCs/>
          <w:color w:val="000000"/>
          <w:kern w:val="0"/>
          <w:sz w:val="24"/>
        </w:rPr>
        <w:t xml:space="preserve">23 </w:t>
      </w:r>
      <w:r w:rsidRPr="00345FBD">
        <w:rPr>
          <w:rFonts w:ascii="Book Antiqua" w:hAnsi="Book Antiqua" w:cs="宋体"/>
          <w:bCs/>
          <w:color w:val="000000"/>
          <w:kern w:val="0"/>
          <w:sz w:val="24"/>
        </w:rPr>
        <w:t>Suppl 2</w:t>
      </w:r>
      <w:r w:rsidRPr="00345FBD">
        <w:rPr>
          <w:rFonts w:ascii="Book Antiqua" w:hAnsi="Book Antiqua" w:cs="宋体"/>
          <w:color w:val="000000"/>
          <w:kern w:val="0"/>
          <w:sz w:val="24"/>
        </w:rPr>
        <w:t>: 8-12 [PMID: 8720287]</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19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Scotto G</w:t>
      </w:r>
      <w:r w:rsidRPr="00345FBD">
        <w:rPr>
          <w:rFonts w:ascii="Book Antiqua" w:hAnsi="Book Antiqua" w:cs="宋体"/>
          <w:color w:val="000000"/>
          <w:kern w:val="0"/>
          <w:sz w:val="24"/>
        </w:rPr>
        <w:t>, Fazio V, Tantimonaco G. Pilot study of a short course of ribavirin and alpha interferon in the treatment of chronic active hepatitis C not responding to alpha-interferon alone.</w:t>
      </w:r>
      <w:r w:rsidRPr="00BC1624">
        <w:rPr>
          <w:rFonts w:ascii="Book Antiqua" w:hAnsi="Book Antiqua" w:cs="宋体"/>
          <w:color w:val="000000"/>
          <w:kern w:val="0"/>
          <w:sz w:val="24"/>
        </w:rPr>
        <w:t> </w:t>
      </w:r>
      <w:r w:rsidRPr="00345FBD">
        <w:rPr>
          <w:rFonts w:ascii="Book Antiqua" w:hAnsi="Book Antiqua" w:cs="宋体"/>
          <w:i/>
          <w:iCs/>
          <w:color w:val="000000"/>
          <w:kern w:val="0"/>
          <w:sz w:val="24"/>
        </w:rPr>
        <w:t>Ital J Gastroenterol</w:t>
      </w:r>
      <w:r w:rsidRPr="00BC1624">
        <w:rPr>
          <w:rFonts w:ascii="Book Antiqua" w:hAnsi="Book Antiqua" w:cs="宋体"/>
          <w:color w:val="000000"/>
          <w:kern w:val="0"/>
          <w:sz w:val="24"/>
        </w:rPr>
        <w:t> </w:t>
      </w:r>
      <w:r w:rsidRPr="00345FBD">
        <w:rPr>
          <w:rFonts w:ascii="Book Antiqua" w:hAnsi="Book Antiqua" w:cs="宋体"/>
          <w:color w:val="000000"/>
          <w:kern w:val="0"/>
          <w:sz w:val="24"/>
        </w:rPr>
        <w:t>1996;</w:t>
      </w:r>
      <w:r w:rsidRPr="00BC1624">
        <w:rPr>
          <w:rFonts w:ascii="Book Antiqua" w:hAnsi="Book Antiqua" w:cs="宋体"/>
          <w:color w:val="000000"/>
          <w:kern w:val="0"/>
          <w:sz w:val="24"/>
        </w:rPr>
        <w:t> </w:t>
      </w:r>
      <w:r w:rsidRPr="00345FBD">
        <w:rPr>
          <w:rFonts w:ascii="Book Antiqua" w:hAnsi="Book Antiqua" w:cs="宋体"/>
          <w:b/>
          <w:bCs/>
          <w:color w:val="000000"/>
          <w:kern w:val="0"/>
          <w:sz w:val="24"/>
        </w:rPr>
        <w:t>28</w:t>
      </w:r>
      <w:r w:rsidRPr="00345FBD">
        <w:rPr>
          <w:rFonts w:ascii="Book Antiqua" w:hAnsi="Book Antiqua" w:cs="宋体"/>
          <w:color w:val="000000"/>
          <w:kern w:val="0"/>
          <w:sz w:val="24"/>
        </w:rPr>
        <w:t>: 505-511 [PMID: 9131395]</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Bellobuono A</w:t>
      </w:r>
      <w:r w:rsidRPr="00345FBD">
        <w:rPr>
          <w:rFonts w:ascii="Book Antiqua" w:hAnsi="Book Antiqua" w:cs="宋体"/>
          <w:color w:val="000000"/>
          <w:kern w:val="0"/>
          <w:sz w:val="24"/>
        </w:rPr>
        <w:t xml:space="preserve">, Mondazzi L, Tempini S, Silini E, Vicari F, Idéo G. Ribavirin and interferon-alpha combination therapy </w:t>
      </w:r>
      <w:r w:rsidR="00BE5BA6" w:rsidRPr="00BE5BA6">
        <w:rPr>
          <w:rFonts w:ascii="Book Antiqua" w:hAnsi="Book Antiqua" w:cs="宋体"/>
          <w:i/>
          <w:color w:val="000000"/>
          <w:kern w:val="0"/>
          <w:sz w:val="24"/>
        </w:rPr>
        <w:t>vs</w:t>
      </w:r>
      <w:r w:rsidRPr="00345FBD">
        <w:rPr>
          <w:rFonts w:ascii="Book Antiqua" w:hAnsi="Book Antiqua" w:cs="宋体"/>
          <w:color w:val="000000"/>
          <w:kern w:val="0"/>
          <w:sz w:val="24"/>
        </w:rPr>
        <w:t xml:space="preserve"> interferon-alpha alone in the </w:t>
      </w:r>
      <w:r w:rsidRPr="00345FBD">
        <w:rPr>
          <w:rFonts w:ascii="Book Antiqua" w:hAnsi="Book Antiqua" w:cs="宋体"/>
          <w:color w:val="000000"/>
          <w:kern w:val="0"/>
          <w:sz w:val="24"/>
        </w:rPr>
        <w:lastRenderedPageBreak/>
        <w:t>retreatment of chronic hepatitis C: a randomized clinical trial.</w:t>
      </w:r>
      <w:r w:rsidRPr="00BC1624">
        <w:rPr>
          <w:rFonts w:ascii="Book Antiqua" w:hAnsi="Book Antiqua" w:cs="宋体"/>
          <w:color w:val="000000"/>
          <w:kern w:val="0"/>
          <w:sz w:val="24"/>
        </w:rPr>
        <w:t> </w:t>
      </w:r>
      <w:r w:rsidRPr="00345FBD">
        <w:rPr>
          <w:rFonts w:ascii="Book Antiqua" w:hAnsi="Book Antiqua" w:cs="宋体"/>
          <w:i/>
          <w:iCs/>
          <w:color w:val="000000"/>
          <w:kern w:val="0"/>
          <w:sz w:val="24"/>
        </w:rPr>
        <w:t>J Viral Hepat</w:t>
      </w:r>
      <w:r w:rsidRPr="00BC1624">
        <w:rPr>
          <w:rFonts w:ascii="Book Antiqua" w:hAnsi="Book Antiqua" w:cs="宋体"/>
          <w:color w:val="000000"/>
          <w:kern w:val="0"/>
          <w:sz w:val="24"/>
        </w:rPr>
        <w:t> </w:t>
      </w:r>
      <w:r w:rsidRPr="00345FBD">
        <w:rPr>
          <w:rFonts w:ascii="Book Antiqua" w:hAnsi="Book Antiqua" w:cs="宋体"/>
          <w:color w:val="000000"/>
          <w:kern w:val="0"/>
          <w:sz w:val="24"/>
        </w:rPr>
        <w:t>1997;</w:t>
      </w:r>
      <w:r w:rsidRPr="00BC1624">
        <w:rPr>
          <w:rFonts w:ascii="Book Antiqua" w:hAnsi="Book Antiqua" w:cs="宋体"/>
          <w:color w:val="000000"/>
          <w:kern w:val="0"/>
          <w:sz w:val="24"/>
        </w:rPr>
        <w:t> </w:t>
      </w:r>
      <w:r w:rsidRPr="00345FBD">
        <w:rPr>
          <w:rFonts w:ascii="Book Antiqua" w:hAnsi="Book Antiqua" w:cs="宋体"/>
          <w:b/>
          <w:bCs/>
          <w:color w:val="000000"/>
          <w:kern w:val="0"/>
          <w:sz w:val="24"/>
        </w:rPr>
        <w:t>4</w:t>
      </w:r>
      <w:r w:rsidRPr="00345FBD">
        <w:rPr>
          <w:rFonts w:ascii="Book Antiqua" w:hAnsi="Book Antiqua" w:cs="宋体"/>
          <w:color w:val="000000"/>
          <w:kern w:val="0"/>
          <w:sz w:val="24"/>
        </w:rPr>
        <w:t>: 185-191 [PMID: 9181527]</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Reichard O</w:t>
      </w:r>
      <w:r w:rsidRPr="00345FBD">
        <w:rPr>
          <w:rFonts w:ascii="Book Antiqua" w:hAnsi="Book Antiqua" w:cs="宋体"/>
          <w:color w:val="000000"/>
          <w:kern w:val="0"/>
          <w:sz w:val="24"/>
        </w:rPr>
        <w:t>, Schvarcz R, Weiland O. Therapy of hepatitis C: alpha interferon and ribavirin.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Hepatology</w:t>
      </w:r>
      <w:r w:rsidRPr="00BC1624">
        <w:rPr>
          <w:rFonts w:ascii="Book Antiqua" w:hAnsi="Book Antiqua" w:cs="宋体"/>
          <w:color w:val="000000"/>
          <w:kern w:val="0"/>
          <w:sz w:val="24"/>
        </w:rPr>
        <w:t> </w:t>
      </w:r>
      <w:r w:rsidRPr="00345FBD">
        <w:rPr>
          <w:rFonts w:ascii="Book Antiqua" w:hAnsi="Book Antiqua" w:cs="宋体"/>
          <w:color w:val="000000"/>
          <w:kern w:val="0"/>
          <w:sz w:val="24"/>
        </w:rPr>
        <w:t>1997;</w:t>
      </w:r>
      <w:r w:rsidRPr="00BC1624">
        <w:rPr>
          <w:rFonts w:ascii="Book Antiqua" w:hAnsi="Book Antiqua" w:cs="宋体"/>
          <w:color w:val="000000"/>
          <w:kern w:val="0"/>
          <w:sz w:val="24"/>
        </w:rPr>
        <w:t> </w:t>
      </w:r>
      <w:r w:rsidRPr="00345FBD">
        <w:rPr>
          <w:rFonts w:ascii="Book Antiqua" w:hAnsi="Book Antiqua" w:cs="宋体"/>
          <w:b/>
          <w:bCs/>
          <w:color w:val="000000"/>
          <w:kern w:val="0"/>
          <w:sz w:val="24"/>
        </w:rPr>
        <w:t>26</w:t>
      </w:r>
      <w:r w:rsidRPr="00345FBD">
        <w:rPr>
          <w:rFonts w:ascii="Book Antiqua" w:hAnsi="Book Antiqua" w:cs="宋体"/>
          <w:color w:val="000000"/>
          <w:kern w:val="0"/>
          <w:sz w:val="24"/>
        </w:rPr>
        <w:t>: 108S-111S [PMID: 9305674 DOI: 10.1002/hep.510260719]</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Reichard O</w:t>
      </w:r>
      <w:r w:rsidRPr="00345FBD">
        <w:rPr>
          <w:rFonts w:ascii="Book Antiqua" w:hAnsi="Book Antiqua" w:cs="宋体"/>
          <w:color w:val="000000"/>
          <w:kern w:val="0"/>
          <w:sz w:val="24"/>
        </w:rPr>
        <w:t>, Norkrans G, Frydén A, Braconier JH, Sönnerborg A, Weiland O. Randomised, double-blind, placebo-controlled trial of interferon alpha-2b with and without ribavirin for chronic hepatitis C. The Swedish Study Group.</w:t>
      </w:r>
      <w:r w:rsidRPr="00BC1624">
        <w:rPr>
          <w:rFonts w:ascii="Book Antiqua" w:hAnsi="Book Antiqua" w:cs="宋体"/>
          <w:color w:val="000000"/>
          <w:kern w:val="0"/>
          <w:sz w:val="24"/>
        </w:rPr>
        <w:t> </w:t>
      </w:r>
      <w:r w:rsidRPr="00345FBD">
        <w:rPr>
          <w:rFonts w:ascii="Book Antiqua" w:hAnsi="Book Antiqua" w:cs="宋体"/>
          <w:i/>
          <w:iCs/>
          <w:color w:val="000000"/>
          <w:kern w:val="0"/>
          <w:sz w:val="24"/>
        </w:rPr>
        <w:t>Lancet</w:t>
      </w:r>
      <w:r w:rsidRPr="00BC1624">
        <w:rPr>
          <w:rFonts w:ascii="Book Antiqua" w:hAnsi="Book Antiqua" w:cs="宋体"/>
          <w:color w:val="000000"/>
          <w:kern w:val="0"/>
          <w:sz w:val="24"/>
        </w:rPr>
        <w:t> </w:t>
      </w:r>
      <w:r w:rsidRPr="00345FBD">
        <w:rPr>
          <w:rFonts w:ascii="Book Antiqua" w:hAnsi="Book Antiqua" w:cs="宋体"/>
          <w:color w:val="000000"/>
          <w:kern w:val="0"/>
          <w:sz w:val="24"/>
        </w:rPr>
        <w:t>1998;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351</w:t>
      </w:r>
      <w:r w:rsidRPr="00345FBD">
        <w:rPr>
          <w:rFonts w:ascii="Book Antiqua" w:hAnsi="Book Antiqua" w:cs="宋体"/>
          <w:color w:val="000000"/>
          <w:kern w:val="0"/>
          <w:sz w:val="24"/>
        </w:rPr>
        <w:t>: 83-87 [PMID: 9439491]</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Heathcote EJ</w:t>
      </w:r>
      <w:r w:rsidRPr="00345FBD">
        <w:rPr>
          <w:rFonts w:ascii="Book Antiqua" w:hAnsi="Book Antiqua" w:cs="宋体"/>
          <w:color w:val="000000"/>
          <w:kern w:val="0"/>
          <w:sz w:val="24"/>
        </w:rPr>
        <w:t>, Shiffman ML, Cooksley WG, Dusheiko GM, Lee SS, Balart L, Reindollar R, Reddy RK, Wright TL, Lin A, Hoffman J, De Pamphilis J. Peginterferon alfa-2a in patients with chronic hepatitis C and cirrhosis.</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2000;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343</w:t>
      </w:r>
      <w:r w:rsidRPr="00345FBD">
        <w:rPr>
          <w:rFonts w:ascii="Book Antiqua" w:hAnsi="Book Antiqua" w:cs="宋体"/>
          <w:color w:val="000000"/>
          <w:kern w:val="0"/>
          <w:sz w:val="24"/>
        </w:rPr>
        <w:t>: 1673-1680 [PMID: 11106716 DOI: 10.1056/NEJM200012073432302]</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24</w:t>
      </w:r>
      <w:r w:rsidRPr="00BC1624">
        <w:rPr>
          <w:rFonts w:ascii="Book Antiqua" w:hAnsi="Book Antiqua" w:cs="宋体"/>
          <w:color w:val="000000"/>
          <w:kern w:val="0"/>
          <w:sz w:val="24"/>
        </w:rPr>
        <w:t> </w:t>
      </w:r>
      <w:r w:rsidRPr="00345FBD">
        <w:rPr>
          <w:rFonts w:ascii="Book Antiqua" w:hAnsi="Book Antiqua" w:cs="宋体"/>
          <w:b/>
          <w:bCs/>
          <w:color w:val="000000"/>
          <w:kern w:val="0"/>
          <w:sz w:val="24"/>
        </w:rPr>
        <w:t>Zeuzem S</w:t>
      </w:r>
      <w:r w:rsidRPr="00345FBD">
        <w:rPr>
          <w:rFonts w:ascii="Book Antiqua" w:hAnsi="Book Antiqua" w:cs="宋体"/>
          <w:color w:val="000000"/>
          <w:kern w:val="0"/>
          <w:sz w:val="24"/>
        </w:rPr>
        <w:t>, Feinman SV, Rasenack J, Heathcote EJ, Lai MY, Gane E, O'Grady J, Reichen J, Diago M, Lin A, Hoffman J, Brunda MJ. Peginterferon alfa-2a in patients with chronic hepatitis C.</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2000;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343</w:t>
      </w:r>
      <w:r w:rsidRPr="00345FBD">
        <w:rPr>
          <w:rFonts w:ascii="Book Antiqua" w:hAnsi="Book Antiqua" w:cs="宋体"/>
          <w:color w:val="000000"/>
          <w:kern w:val="0"/>
          <w:sz w:val="24"/>
        </w:rPr>
        <w:t>: 1666-1672 [PMID: 11106715 DOI: 10.1056/NEJM200012073432301]</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25</w:t>
      </w:r>
      <w:r w:rsidRPr="00BC1624">
        <w:rPr>
          <w:rFonts w:ascii="Book Antiqua" w:hAnsi="Book Antiqua" w:cs="宋体"/>
          <w:color w:val="000000"/>
          <w:kern w:val="0"/>
          <w:sz w:val="24"/>
        </w:rPr>
        <w:t> </w:t>
      </w:r>
      <w:r w:rsidRPr="00345FBD">
        <w:rPr>
          <w:rFonts w:ascii="Book Antiqua" w:hAnsi="Book Antiqua" w:cs="宋体"/>
          <w:b/>
          <w:bCs/>
          <w:color w:val="000000"/>
          <w:kern w:val="0"/>
          <w:sz w:val="24"/>
        </w:rPr>
        <w:t>Schafer DF</w:t>
      </w:r>
      <w:r w:rsidRPr="00345FBD">
        <w:rPr>
          <w:rFonts w:ascii="Book Antiqua" w:hAnsi="Book Antiqua" w:cs="宋体"/>
          <w:color w:val="000000"/>
          <w:kern w:val="0"/>
          <w:sz w:val="24"/>
        </w:rPr>
        <w:t>, Sorrell MF. Conquering hepatitis C, step by step.</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2000;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343</w:t>
      </w:r>
      <w:r w:rsidRPr="00345FBD">
        <w:rPr>
          <w:rFonts w:ascii="Book Antiqua" w:hAnsi="Book Antiqua" w:cs="宋体"/>
          <w:color w:val="000000"/>
          <w:kern w:val="0"/>
          <w:sz w:val="24"/>
        </w:rPr>
        <w:t>: 1723-1724 [PMID: 11106723 DOI: 10.1056/NEJM200012073432309]</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26</w:t>
      </w:r>
      <w:r w:rsidRPr="00BC1624">
        <w:rPr>
          <w:rFonts w:ascii="Book Antiqua" w:hAnsi="Book Antiqua" w:cs="宋体"/>
          <w:color w:val="000000"/>
          <w:kern w:val="0"/>
          <w:sz w:val="24"/>
        </w:rPr>
        <w:t> </w:t>
      </w:r>
      <w:r w:rsidRPr="00345FBD">
        <w:rPr>
          <w:rFonts w:ascii="Book Antiqua" w:hAnsi="Book Antiqua" w:cs="宋体"/>
          <w:b/>
          <w:bCs/>
          <w:color w:val="000000"/>
          <w:kern w:val="0"/>
          <w:sz w:val="24"/>
        </w:rPr>
        <w:t>Fried MW</w:t>
      </w:r>
      <w:r w:rsidRPr="00345FBD">
        <w:rPr>
          <w:rFonts w:ascii="Book Antiqua" w:hAnsi="Book Antiqua" w:cs="宋体"/>
          <w:color w:val="000000"/>
          <w:kern w:val="0"/>
          <w:sz w:val="24"/>
        </w:rPr>
        <w:t>, Shiffman ML, Reddy KR, Smith C, Marinos G, Gonçales FL, Häussinger D, Diago M, Carosi G, Dhumeaux D, Craxi A, Lin A, Hoffman J, Yu J. Peginterferon alfa-2a plus ribavirin for chronic hepatitis C virus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2002;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347</w:t>
      </w:r>
      <w:r w:rsidRPr="00345FBD">
        <w:rPr>
          <w:rFonts w:ascii="Book Antiqua" w:hAnsi="Book Antiqua" w:cs="宋体"/>
          <w:color w:val="000000"/>
          <w:kern w:val="0"/>
          <w:sz w:val="24"/>
        </w:rPr>
        <w:t>: 975-982 [PMID: 12324553 DOI: 10.1056/NEJMoa020047]</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27</w:t>
      </w:r>
      <w:r w:rsidRPr="00BC1624">
        <w:rPr>
          <w:rFonts w:ascii="Book Antiqua" w:hAnsi="Book Antiqua" w:cs="宋体"/>
          <w:color w:val="000000"/>
          <w:kern w:val="0"/>
          <w:sz w:val="24"/>
        </w:rPr>
        <w:t> </w:t>
      </w:r>
      <w:r w:rsidRPr="00345FBD">
        <w:rPr>
          <w:rFonts w:ascii="Book Antiqua" w:hAnsi="Book Antiqua" w:cs="宋体"/>
          <w:b/>
          <w:bCs/>
          <w:color w:val="000000"/>
          <w:kern w:val="0"/>
          <w:sz w:val="24"/>
        </w:rPr>
        <w:t>Manns MP</w:t>
      </w:r>
      <w:r w:rsidRPr="00345FBD">
        <w:rPr>
          <w:rFonts w:ascii="Book Antiqua" w:hAnsi="Book Antiqua" w:cs="宋体"/>
          <w:color w:val="000000"/>
          <w:kern w:val="0"/>
          <w:sz w:val="24"/>
        </w:rPr>
        <w:t xml:space="preserve">, McHutchison JG, Gordon SC, Rustgi VK, Shiffman M, Reindollar R, Goodman ZD, Koury K, Ling M, Albrecht JK. Peginterferon alfa-2b plus ribavirin compared with interferon alfa-2b plus ribavirin for </w:t>
      </w:r>
      <w:r w:rsidRPr="00345FBD">
        <w:rPr>
          <w:rFonts w:ascii="Book Antiqua" w:hAnsi="Book Antiqua" w:cs="宋体"/>
          <w:color w:val="000000"/>
          <w:kern w:val="0"/>
          <w:sz w:val="24"/>
        </w:rPr>
        <w:lastRenderedPageBreak/>
        <w:t>initial treatment of chronic hepatitis C: a randomised trial.</w:t>
      </w:r>
      <w:r w:rsidRPr="00BC1624">
        <w:rPr>
          <w:rFonts w:ascii="Book Antiqua" w:hAnsi="Book Antiqua" w:cs="宋体"/>
          <w:color w:val="000000"/>
          <w:kern w:val="0"/>
          <w:sz w:val="24"/>
        </w:rPr>
        <w:t> </w:t>
      </w:r>
      <w:r w:rsidRPr="00345FBD">
        <w:rPr>
          <w:rFonts w:ascii="Book Antiqua" w:hAnsi="Book Antiqua" w:cs="宋体"/>
          <w:i/>
          <w:iCs/>
          <w:color w:val="000000"/>
          <w:kern w:val="0"/>
          <w:sz w:val="24"/>
        </w:rPr>
        <w:t>Lancet</w:t>
      </w:r>
      <w:r w:rsidRPr="00BC1624">
        <w:rPr>
          <w:rFonts w:ascii="Book Antiqua" w:hAnsi="Book Antiqua" w:cs="宋体"/>
          <w:color w:val="000000"/>
          <w:kern w:val="0"/>
          <w:sz w:val="24"/>
        </w:rPr>
        <w:t> </w:t>
      </w:r>
      <w:r w:rsidRPr="00345FBD">
        <w:rPr>
          <w:rFonts w:ascii="Book Antiqua" w:hAnsi="Book Antiqua" w:cs="宋体"/>
          <w:color w:val="000000"/>
          <w:kern w:val="0"/>
          <w:sz w:val="24"/>
        </w:rPr>
        <w:t>2001;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358</w:t>
      </w:r>
      <w:r w:rsidRPr="00345FBD">
        <w:rPr>
          <w:rFonts w:ascii="Book Antiqua" w:hAnsi="Book Antiqua" w:cs="宋体"/>
          <w:color w:val="000000"/>
          <w:kern w:val="0"/>
          <w:sz w:val="24"/>
        </w:rPr>
        <w:t>: 958-965 [PMID: 11583749]</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Swain MG</w:t>
      </w:r>
      <w:r w:rsidRPr="00345FBD">
        <w:rPr>
          <w:rFonts w:ascii="Book Antiqua" w:hAnsi="Book Antiqua" w:cs="宋体"/>
          <w:color w:val="000000"/>
          <w:kern w:val="0"/>
          <w:sz w:val="24"/>
        </w:rPr>
        <w:t>, Lai MY, Shiffman ML, Cooksley WG, Zeuzem S, Dieterich DT, Abergel A, Pessôa MG, Lin A, Tietz A, Connell EV, Diago M. A sustained virologic response is durable in patients with chronic hepatitis C treated with peginterferon alfa-2a and ribavirin.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Gastroenterology</w:t>
      </w:r>
      <w:r w:rsidRPr="00BC1624">
        <w:rPr>
          <w:rFonts w:ascii="Book Antiqua" w:hAnsi="Book Antiqua" w:cs="宋体"/>
          <w:color w:val="000000"/>
          <w:kern w:val="0"/>
          <w:sz w:val="24"/>
        </w:rPr>
        <w:t> </w:t>
      </w:r>
      <w:r w:rsidRPr="00345FBD">
        <w:rPr>
          <w:rFonts w:ascii="Book Antiqua" w:hAnsi="Book Antiqua" w:cs="宋体"/>
          <w:color w:val="000000"/>
          <w:kern w:val="0"/>
          <w:sz w:val="24"/>
        </w:rPr>
        <w:t>2010;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139</w:t>
      </w:r>
      <w:r w:rsidRPr="00345FBD">
        <w:rPr>
          <w:rFonts w:ascii="Book Antiqua" w:hAnsi="Book Antiqua" w:cs="宋体"/>
          <w:color w:val="000000"/>
          <w:kern w:val="0"/>
          <w:sz w:val="24"/>
        </w:rPr>
        <w:t>: 1593-1601 [PMID: 20637202 DOI: 10.1053/j.gastro.2010.07.009]</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29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Boonstra A</w:t>
      </w:r>
      <w:r w:rsidRPr="00345FBD">
        <w:rPr>
          <w:rFonts w:ascii="Book Antiqua" w:hAnsi="Book Antiqua" w:cs="宋体"/>
          <w:color w:val="000000"/>
          <w:kern w:val="0"/>
          <w:sz w:val="24"/>
        </w:rPr>
        <w:t>, van der Laan LJ, Vanwolleghem T, Janssen HL. Experimental models for hepatitis C viral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Hepatology</w:t>
      </w:r>
      <w:r w:rsidRPr="00BC1624">
        <w:rPr>
          <w:rFonts w:ascii="Book Antiqua" w:hAnsi="Book Antiqua" w:cs="宋体"/>
          <w:color w:val="000000"/>
          <w:kern w:val="0"/>
          <w:sz w:val="24"/>
        </w:rPr>
        <w:t> </w:t>
      </w:r>
      <w:r w:rsidRPr="00345FBD">
        <w:rPr>
          <w:rFonts w:ascii="Book Antiqua" w:hAnsi="Book Antiqua" w:cs="宋体"/>
          <w:color w:val="000000"/>
          <w:kern w:val="0"/>
          <w:sz w:val="24"/>
        </w:rPr>
        <w:t>2009;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50</w:t>
      </w:r>
      <w:r w:rsidRPr="00345FBD">
        <w:rPr>
          <w:rFonts w:ascii="Book Antiqua" w:hAnsi="Book Antiqua" w:cs="宋体"/>
          <w:color w:val="000000"/>
          <w:kern w:val="0"/>
          <w:sz w:val="24"/>
        </w:rPr>
        <w:t>: 1646-1655 [PMID: 19670425 DOI: 10.1002/hep.23138]</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Jacobson IM</w:t>
      </w:r>
      <w:r w:rsidRPr="00345FBD">
        <w:rPr>
          <w:rFonts w:ascii="Book Antiqua" w:hAnsi="Book Antiqua" w:cs="宋体"/>
          <w:color w:val="000000"/>
          <w:kern w:val="0"/>
          <w:sz w:val="24"/>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364</w:t>
      </w:r>
      <w:r w:rsidRPr="00345FBD">
        <w:rPr>
          <w:rFonts w:ascii="Book Antiqua" w:hAnsi="Book Antiqua" w:cs="宋体"/>
          <w:color w:val="000000"/>
          <w:kern w:val="0"/>
          <w:sz w:val="24"/>
        </w:rPr>
        <w:t>: 2405-2416 [PMID: 21696307 DOI: 10.1056/NEJMoa1012912]</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Sherman KE</w:t>
      </w:r>
      <w:r w:rsidRPr="00345FBD">
        <w:rPr>
          <w:rFonts w:ascii="Book Antiqua" w:hAnsi="Book Antiqua" w:cs="宋体"/>
          <w:color w:val="000000"/>
          <w:kern w:val="0"/>
          <w:sz w:val="24"/>
        </w:rPr>
        <w:t>, Flamm SL, Afdhal NH, Nelson DR, Sulkowski MS, Everson GT, Fried MW, Adler M, Reesink HW, Martin M, Sankoh AJ, Adda N, Kauffman RS, George S, Wright CI, Poordad F. Response-guided telaprevir combination treatment for hepatitis C virus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365</w:t>
      </w:r>
      <w:r w:rsidRPr="00345FBD">
        <w:rPr>
          <w:rFonts w:ascii="Book Antiqua" w:hAnsi="Book Antiqua" w:cs="宋体"/>
          <w:color w:val="000000"/>
          <w:kern w:val="0"/>
          <w:sz w:val="24"/>
        </w:rPr>
        <w:t>: 1014-1024 [PMID: 21916639 DOI: 10.1056/NEJMoa1014463]</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Zeuzem S</w:t>
      </w:r>
      <w:r w:rsidRPr="00345FBD">
        <w:rPr>
          <w:rFonts w:ascii="Book Antiqua" w:hAnsi="Book Antiqua" w:cs="宋体"/>
          <w:color w:val="000000"/>
          <w:kern w:val="0"/>
          <w:sz w:val="24"/>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364</w:t>
      </w:r>
      <w:r w:rsidRPr="00345FBD">
        <w:rPr>
          <w:rFonts w:ascii="Book Antiqua" w:hAnsi="Book Antiqua" w:cs="宋体"/>
          <w:color w:val="000000"/>
          <w:kern w:val="0"/>
          <w:sz w:val="24"/>
        </w:rPr>
        <w:t>: 2417-2428 [PMID: 21696308 DOI: 10.1056/NEJMoa1013086]</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Bacon BR</w:t>
      </w:r>
      <w:r w:rsidRPr="00345FBD">
        <w:rPr>
          <w:rFonts w:ascii="Book Antiqua" w:hAnsi="Book Antiqua" w:cs="宋体"/>
          <w:color w:val="000000"/>
          <w:kern w:val="0"/>
          <w:sz w:val="24"/>
        </w:rPr>
        <w:t xml:space="preserve">, Gordon SC, Lawitz E, Marcellin P, Vierling JM, Zeuzem S, Poordad F, Goodman ZD, Sings HL, Boparai N, Burroughs M, Brass CA, Albrecht JK, Esteban R. Boceprevir for previously treated chronic HCV </w:t>
      </w:r>
      <w:r w:rsidRPr="00345FBD">
        <w:rPr>
          <w:rFonts w:ascii="Book Antiqua" w:hAnsi="Book Antiqua" w:cs="宋体"/>
          <w:color w:val="000000"/>
          <w:kern w:val="0"/>
          <w:sz w:val="24"/>
        </w:rPr>
        <w:lastRenderedPageBreak/>
        <w:t>genotype 1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364</w:t>
      </w:r>
      <w:r w:rsidRPr="00345FBD">
        <w:rPr>
          <w:rFonts w:ascii="Book Antiqua" w:hAnsi="Book Antiqua" w:cs="宋体"/>
          <w:color w:val="000000"/>
          <w:kern w:val="0"/>
          <w:sz w:val="24"/>
        </w:rPr>
        <w:t>: 1207-1217 [PMID: 21449784 DOI: 10.1056/NEJMoa1009482]</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34</w:t>
      </w:r>
      <w:r w:rsidRPr="00BC1624">
        <w:rPr>
          <w:rFonts w:ascii="Book Antiqua" w:hAnsi="Book Antiqua" w:cs="宋体"/>
          <w:color w:val="000000"/>
          <w:kern w:val="0"/>
          <w:sz w:val="24"/>
        </w:rPr>
        <w:t> </w:t>
      </w:r>
      <w:r w:rsidRPr="00345FBD">
        <w:rPr>
          <w:rFonts w:ascii="Book Antiqua" w:hAnsi="Book Antiqua" w:cs="宋体"/>
          <w:b/>
          <w:bCs/>
          <w:color w:val="000000"/>
          <w:kern w:val="0"/>
          <w:sz w:val="24"/>
        </w:rPr>
        <w:t>Poordad F</w:t>
      </w:r>
      <w:r w:rsidRPr="00345FBD">
        <w:rPr>
          <w:rFonts w:ascii="Book Antiqua" w:hAnsi="Book Antiqua" w:cs="宋体"/>
          <w:color w:val="000000"/>
          <w:kern w:val="0"/>
          <w:sz w:val="24"/>
        </w:rPr>
        <w:t>, McCone J, Bacon BR, Bruno S, Manns MP, Sulkowski MS, Jacobson IM, Reddy KR, Goodman ZD, Boparai N, DiNubile MJ, Sniukiene V, Brass CA, Albrecht JK, Bronowicki JP. Boceprevir for untreated chronic HCV genotype 1 infection.</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364</w:t>
      </w:r>
      <w:r w:rsidRPr="00345FBD">
        <w:rPr>
          <w:rFonts w:ascii="Book Antiqua" w:hAnsi="Book Antiqua" w:cs="宋体"/>
          <w:color w:val="000000"/>
          <w:kern w:val="0"/>
          <w:sz w:val="24"/>
        </w:rPr>
        <w:t>: 1195-1206 [PMID: 21449783 DOI: 10.1056/NEJMoa1010494]</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35</w:t>
      </w:r>
      <w:r w:rsidRPr="00BC1624">
        <w:rPr>
          <w:rFonts w:ascii="Book Antiqua" w:hAnsi="Book Antiqua" w:cs="宋体"/>
          <w:color w:val="000000"/>
          <w:kern w:val="0"/>
          <w:sz w:val="24"/>
        </w:rPr>
        <w:t> </w:t>
      </w:r>
      <w:r w:rsidRPr="00345FBD">
        <w:rPr>
          <w:rFonts w:ascii="Book Antiqua" w:hAnsi="Book Antiqua" w:cs="宋体"/>
          <w:b/>
          <w:bCs/>
          <w:color w:val="000000"/>
          <w:kern w:val="0"/>
          <w:sz w:val="24"/>
        </w:rPr>
        <w:t>Pan Q</w:t>
      </w:r>
      <w:r w:rsidRPr="00345FBD">
        <w:rPr>
          <w:rFonts w:ascii="Book Antiqua" w:hAnsi="Book Antiqua" w:cs="宋体"/>
          <w:color w:val="000000"/>
          <w:kern w:val="0"/>
          <w:sz w:val="24"/>
        </w:rPr>
        <w:t>, Peppelenbosch MP, Janssen HL, de Knegt RJ. Telaprevir/boceprevir era: from bench to bed and back.</w:t>
      </w:r>
      <w:r w:rsidRPr="00BC1624">
        <w:rPr>
          <w:rFonts w:ascii="Book Antiqua" w:hAnsi="Book Antiqua" w:cs="宋体"/>
          <w:color w:val="000000"/>
          <w:kern w:val="0"/>
          <w:sz w:val="24"/>
        </w:rPr>
        <w:t> </w:t>
      </w:r>
      <w:r w:rsidRPr="00345FBD">
        <w:rPr>
          <w:rFonts w:ascii="Book Antiqua" w:hAnsi="Book Antiqua" w:cs="宋体"/>
          <w:i/>
          <w:iCs/>
          <w:color w:val="000000"/>
          <w:kern w:val="0"/>
          <w:sz w:val="24"/>
        </w:rPr>
        <w:t>World J Gastroenterol</w:t>
      </w:r>
      <w:r w:rsidRPr="00BC1624">
        <w:rPr>
          <w:rFonts w:ascii="Book Antiqua" w:hAnsi="Book Antiqua" w:cs="宋体"/>
          <w:color w:val="000000"/>
          <w:kern w:val="0"/>
          <w:sz w:val="24"/>
        </w:rPr>
        <w:t> </w:t>
      </w:r>
      <w:r w:rsidRPr="00345FBD">
        <w:rPr>
          <w:rFonts w:ascii="Book Antiqua" w:hAnsi="Book Antiqua" w:cs="宋体"/>
          <w:color w:val="000000"/>
          <w:kern w:val="0"/>
          <w:sz w:val="24"/>
        </w:rPr>
        <w:t>2012;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18</w:t>
      </w:r>
      <w:r w:rsidRPr="00345FBD">
        <w:rPr>
          <w:rFonts w:ascii="Book Antiqua" w:hAnsi="Book Antiqua" w:cs="宋体"/>
          <w:color w:val="000000"/>
          <w:kern w:val="0"/>
          <w:sz w:val="24"/>
        </w:rPr>
        <w:t>: 6183-6188 [PMID: 23180937 DOI: 10.3748/wjg.v18.i43.6183]</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36</w:t>
      </w:r>
      <w:r w:rsidRPr="00BC1624">
        <w:rPr>
          <w:rFonts w:ascii="Book Antiqua" w:hAnsi="Book Antiqua" w:cs="宋体"/>
          <w:color w:val="000000"/>
          <w:kern w:val="0"/>
          <w:sz w:val="24"/>
        </w:rPr>
        <w:t> </w:t>
      </w:r>
      <w:r w:rsidRPr="00345FBD">
        <w:rPr>
          <w:rFonts w:ascii="Book Antiqua" w:hAnsi="Book Antiqua" w:cs="宋体"/>
          <w:b/>
          <w:bCs/>
          <w:color w:val="000000"/>
          <w:kern w:val="0"/>
          <w:sz w:val="24"/>
        </w:rPr>
        <w:t>Lok AS</w:t>
      </w:r>
      <w:r w:rsidRPr="00345FBD">
        <w:rPr>
          <w:rFonts w:ascii="Book Antiqua" w:hAnsi="Book Antiqua" w:cs="宋体"/>
          <w:color w:val="000000"/>
          <w:kern w:val="0"/>
          <w:sz w:val="24"/>
        </w:rPr>
        <w:t>, Gardiner DF, Lawitz E, Martorell C, Everson GT, Ghalib R, Reindollar R, Rustgi V, McPhee F, Wind-Rotolo M, Persson A, Zhu K, Dimitrova DI, Eley T, Guo T, Grasela DM, Pasquinelli C. Preliminary study of two antiviral agents for hepatitis C genotype 1.</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366</w:t>
      </w:r>
      <w:r w:rsidRPr="00345FBD">
        <w:rPr>
          <w:rFonts w:ascii="Book Antiqua" w:hAnsi="Book Antiqua" w:cs="宋体"/>
          <w:color w:val="000000"/>
          <w:kern w:val="0"/>
          <w:sz w:val="24"/>
        </w:rPr>
        <w:t>: 216-224 [PMID: 22256805 DOI: 10.1056/NEJMoa1104430]</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37</w:t>
      </w:r>
      <w:r w:rsidRPr="00BC1624">
        <w:rPr>
          <w:rFonts w:ascii="Book Antiqua" w:hAnsi="Book Antiqua" w:cs="宋体"/>
          <w:color w:val="000000"/>
          <w:kern w:val="0"/>
          <w:sz w:val="24"/>
        </w:rPr>
        <w:t> </w:t>
      </w:r>
      <w:r w:rsidRPr="00345FBD">
        <w:rPr>
          <w:rFonts w:ascii="Book Antiqua" w:hAnsi="Book Antiqua" w:cs="宋体"/>
          <w:b/>
          <w:bCs/>
          <w:color w:val="000000"/>
          <w:kern w:val="0"/>
          <w:sz w:val="24"/>
        </w:rPr>
        <w:t>Gane EJ</w:t>
      </w:r>
      <w:r w:rsidRPr="00345FBD">
        <w:rPr>
          <w:rFonts w:ascii="Book Antiqua" w:hAnsi="Book Antiqua" w:cs="宋体"/>
          <w:color w:val="000000"/>
          <w:kern w:val="0"/>
          <w:sz w:val="24"/>
        </w:rPr>
        <w:t>, Stedman CA, Hyland RH, Ding X, Svarovskaia E, Symonds WT, Hindes RG, Berrey MM. Nucleotide polymerase inhibitor sofosbuvir plus ribavirin for hepatitis C.</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368</w:t>
      </w:r>
      <w:r w:rsidRPr="00345FBD">
        <w:rPr>
          <w:rFonts w:ascii="Book Antiqua" w:hAnsi="Book Antiqua" w:cs="宋体"/>
          <w:color w:val="000000"/>
          <w:kern w:val="0"/>
          <w:sz w:val="24"/>
        </w:rPr>
        <w:t>: 34-44 [PMID: 23281974 DOI: 10.1056/NEJMoa1208953]</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Poordad F</w:t>
      </w:r>
      <w:r w:rsidRPr="00345FBD">
        <w:rPr>
          <w:rFonts w:ascii="Book Antiqua" w:hAnsi="Book Antiqua" w:cs="宋体"/>
          <w:color w:val="000000"/>
          <w:kern w:val="0"/>
          <w:sz w:val="24"/>
        </w:rPr>
        <w:t>, Lawitz E, Kowdley KV, Cohen DE, Podsadecki T, Siggelkow S, Heckaman M, Larsen L, Menon R, Koev G, Tripathi R, Pilot-Matias T, Bernstein B. Exploratory study of oral combination antiviral therapy for hepatitis C.</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368</w:t>
      </w:r>
      <w:r w:rsidRPr="00345FBD">
        <w:rPr>
          <w:rFonts w:ascii="Book Antiqua" w:hAnsi="Book Antiqua" w:cs="宋体"/>
          <w:color w:val="000000"/>
          <w:kern w:val="0"/>
          <w:sz w:val="24"/>
        </w:rPr>
        <w:t>: 45-53 [PMID: 23281975 DOI: 10.1056/NEJMoa1208809]</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39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Bourlière M</w:t>
      </w:r>
      <w:r w:rsidRPr="00345FBD">
        <w:rPr>
          <w:rFonts w:ascii="Book Antiqua" w:hAnsi="Book Antiqua" w:cs="宋体"/>
          <w:color w:val="000000"/>
          <w:kern w:val="0"/>
          <w:sz w:val="24"/>
        </w:rPr>
        <w:t>, Khaloun A, Wartelle-Bladou C, Oules V, Portal I, Benali S, Adhoute X, Castellani P. Chronic hepatitis C: treatments of the future.</w:t>
      </w:r>
      <w:r w:rsidRPr="00BC1624">
        <w:rPr>
          <w:rFonts w:ascii="Book Antiqua" w:hAnsi="Book Antiqua" w:cs="宋体"/>
          <w:color w:val="000000"/>
          <w:kern w:val="0"/>
          <w:sz w:val="24"/>
        </w:rPr>
        <w:t> </w:t>
      </w:r>
      <w:r w:rsidRPr="00345FBD">
        <w:rPr>
          <w:rFonts w:ascii="Book Antiqua" w:hAnsi="Book Antiqua" w:cs="宋体"/>
          <w:i/>
          <w:iCs/>
          <w:color w:val="000000"/>
          <w:kern w:val="0"/>
          <w:sz w:val="24"/>
        </w:rPr>
        <w:t>Clin Res Hepatol Gastroenterol</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 xml:space="preserve">35 </w:t>
      </w:r>
      <w:r w:rsidRPr="00345FBD">
        <w:rPr>
          <w:rFonts w:ascii="Book Antiqua" w:hAnsi="Book Antiqua" w:cs="宋体"/>
          <w:bCs/>
          <w:color w:val="000000"/>
          <w:kern w:val="0"/>
          <w:sz w:val="24"/>
        </w:rPr>
        <w:t>Suppl 2</w:t>
      </w:r>
      <w:r w:rsidRPr="00345FBD">
        <w:rPr>
          <w:rFonts w:ascii="Book Antiqua" w:hAnsi="Book Antiqua" w:cs="宋体"/>
          <w:color w:val="000000"/>
          <w:kern w:val="0"/>
          <w:sz w:val="24"/>
        </w:rPr>
        <w:t>: S84-S95 [PMID: 22248700 DOI: 10.1016/S2210-7401(11)70013-4]</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lastRenderedPageBreak/>
        <w:t>40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Hill A</w:t>
      </w:r>
      <w:r w:rsidRPr="00345FBD">
        <w:rPr>
          <w:rFonts w:ascii="Book Antiqua" w:hAnsi="Book Antiqua" w:cs="宋体"/>
          <w:color w:val="000000"/>
          <w:kern w:val="0"/>
          <w:sz w:val="24"/>
        </w:rPr>
        <w:t>, van der Lugt J, Sawyer W, Boffito M. How much ritonavir is needed to boost protease inhibitors? Systematic review of 17 dose-ranging pharmacokinetic trials.</w:t>
      </w:r>
      <w:r w:rsidRPr="00BC1624">
        <w:rPr>
          <w:rFonts w:ascii="Book Antiqua" w:hAnsi="Book Antiqua" w:cs="宋体"/>
          <w:color w:val="000000"/>
          <w:kern w:val="0"/>
          <w:sz w:val="24"/>
        </w:rPr>
        <w:t> </w:t>
      </w:r>
      <w:r w:rsidRPr="00345FBD">
        <w:rPr>
          <w:rFonts w:ascii="Book Antiqua" w:hAnsi="Book Antiqua" w:cs="宋体"/>
          <w:i/>
          <w:iCs/>
          <w:color w:val="000000"/>
          <w:kern w:val="0"/>
          <w:sz w:val="24"/>
        </w:rPr>
        <w:t>AIDS</w:t>
      </w:r>
      <w:r w:rsidRPr="00BC1624">
        <w:rPr>
          <w:rFonts w:ascii="Book Antiqua" w:hAnsi="Book Antiqua" w:cs="宋体"/>
          <w:color w:val="000000"/>
          <w:kern w:val="0"/>
          <w:sz w:val="24"/>
        </w:rPr>
        <w:t> </w:t>
      </w:r>
      <w:r w:rsidRPr="00345FBD">
        <w:rPr>
          <w:rFonts w:ascii="Book Antiqua" w:hAnsi="Book Antiqua" w:cs="宋体"/>
          <w:color w:val="000000"/>
          <w:kern w:val="0"/>
          <w:sz w:val="24"/>
        </w:rPr>
        <w:t>2009;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23</w:t>
      </w:r>
      <w:r w:rsidRPr="00345FBD">
        <w:rPr>
          <w:rFonts w:ascii="Book Antiqua" w:hAnsi="Book Antiqua" w:cs="宋体"/>
          <w:color w:val="000000"/>
          <w:kern w:val="0"/>
          <w:sz w:val="24"/>
        </w:rPr>
        <w:t>: 2237-2245 [PMID: 19809270 DOI: 10.1097/QAD.0b013e328332c3a5]</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 xml:space="preserve">41 Pilot-Matias T, Tripathi R, Dekhtyar T, Menon R, Gaultier I, Cohen D, Podsadecki T, Bernstein B, Collins C. 1229 GENOTYPIC AND PHENOTYPIC CHARACTERIZATION OF NS3 VARIANTS SELECTED IN HCV-INFECTED PATIENTS TREATED WITH ABT-450. J Hepatol 2011; </w:t>
      </w:r>
      <w:r w:rsidRPr="00345FBD">
        <w:rPr>
          <w:rFonts w:ascii="Book Antiqua" w:hAnsi="Book Antiqua" w:cs="宋体"/>
          <w:b/>
          <w:color w:val="000000"/>
          <w:kern w:val="0"/>
          <w:sz w:val="24"/>
        </w:rPr>
        <w:t>54</w:t>
      </w:r>
      <w:r w:rsidRPr="00345FBD">
        <w:rPr>
          <w:rFonts w:ascii="Book Antiqua" w:hAnsi="Book Antiqua" w:cs="宋体"/>
          <w:color w:val="000000"/>
          <w:kern w:val="0"/>
          <w:sz w:val="24"/>
        </w:rPr>
        <w:t>, Supplement 1: S485-S486 [DOI: 10.1016/S0168-8278(11)61231-2]</w:t>
      </w:r>
    </w:p>
    <w:p w:rsidR="00003C51" w:rsidRPr="00345FBD" w:rsidRDefault="00003C51" w:rsidP="00003C51">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42 </w:t>
      </w:r>
      <w:r w:rsidRPr="00345FBD">
        <w:rPr>
          <w:rFonts w:ascii="Book Antiqua" w:hAnsi="Book Antiqua" w:cs="宋体"/>
          <w:color w:val="000000"/>
          <w:kern w:val="0"/>
          <w:sz w:val="24"/>
        </w:rPr>
        <w:t>Sofosbuvir (GS-7977) plus peginterferon/ribavirin in treatment-naïve patients with HCV genotype 1: A randomized, 28-day, dose-ranging trial.</w:t>
      </w:r>
      <w:r w:rsidRPr="00BC1624">
        <w:rPr>
          <w:rFonts w:ascii="Book Antiqua" w:hAnsi="Book Antiqua" w:cs="宋体"/>
          <w:color w:val="000000"/>
          <w:kern w:val="0"/>
          <w:sz w:val="24"/>
        </w:rPr>
        <w:t> </w:t>
      </w:r>
      <w:r w:rsidRPr="00345FBD">
        <w:rPr>
          <w:rFonts w:ascii="Book Antiqua" w:hAnsi="Book Antiqua" w:cs="宋体"/>
          <w:i/>
          <w:iCs/>
          <w:color w:val="000000"/>
          <w:kern w:val="0"/>
          <w:sz w:val="24"/>
        </w:rPr>
        <w:t>J Hepatol</w:t>
      </w:r>
      <w:r w:rsidRPr="00BC1624">
        <w:rPr>
          <w:rFonts w:ascii="Book Antiqua" w:hAnsi="Book Antiqua" w:cs="宋体"/>
          <w:color w:val="000000"/>
          <w:kern w:val="0"/>
          <w:sz w:val="24"/>
        </w:rPr>
        <w:t> </w:t>
      </w:r>
      <w:r w:rsidRPr="00345FBD">
        <w:rPr>
          <w:rFonts w:ascii="Book Antiqua" w:hAnsi="Book Antiqua" w:cs="宋体"/>
          <w:color w:val="000000"/>
          <w:kern w:val="0"/>
          <w:sz w:val="24"/>
        </w:rPr>
        <w:t>2012; [PMID: 23183528 DOI: 10.1016/j.jhep.2012.11.018]</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43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Ge D</w:t>
      </w:r>
      <w:r w:rsidRPr="00345FBD">
        <w:rPr>
          <w:rFonts w:ascii="Book Antiqua" w:hAnsi="Book Antiqua" w:cs="宋体"/>
          <w:color w:val="000000"/>
          <w:kern w:val="0"/>
          <w:sz w:val="24"/>
        </w:rPr>
        <w:t>, Fellay J, Thompson AJ, Simon JS, Shianna KV, Urban TJ, Heinzen EL, Qiu P, Bertelsen AH, Muir AJ, Sulkowski M, McHutchison JG, Goldstein DB. Genetic variation in IL28B predicts hepatitis C treatment-induced viral clearance.</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Nature</w:t>
      </w:r>
      <w:r w:rsidRPr="00BC1624">
        <w:rPr>
          <w:rFonts w:ascii="Book Antiqua" w:hAnsi="Book Antiqua" w:cs="宋体"/>
          <w:color w:val="000000"/>
          <w:kern w:val="0"/>
          <w:sz w:val="24"/>
        </w:rPr>
        <w:t> </w:t>
      </w:r>
      <w:r w:rsidRPr="00345FBD">
        <w:rPr>
          <w:rFonts w:ascii="Book Antiqua" w:hAnsi="Book Antiqua" w:cs="宋体"/>
          <w:color w:val="000000"/>
          <w:kern w:val="0"/>
          <w:sz w:val="24"/>
        </w:rPr>
        <w:t>2009;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461</w:t>
      </w:r>
      <w:r w:rsidRPr="00345FBD">
        <w:rPr>
          <w:rFonts w:ascii="Book Antiqua" w:hAnsi="Book Antiqua" w:cs="宋体"/>
          <w:color w:val="000000"/>
          <w:kern w:val="0"/>
          <w:sz w:val="24"/>
        </w:rPr>
        <w:t>: 399-401 [PMID: 19684573 DOI: 10.1038/nature08309]</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44</w:t>
      </w:r>
      <w:r w:rsidRPr="00BC1624">
        <w:rPr>
          <w:rFonts w:ascii="Book Antiqua" w:hAnsi="Book Antiqua" w:cs="宋体"/>
          <w:color w:val="000000"/>
          <w:kern w:val="0"/>
          <w:sz w:val="24"/>
        </w:rPr>
        <w:t> </w:t>
      </w:r>
      <w:r w:rsidRPr="00345FBD">
        <w:rPr>
          <w:rFonts w:ascii="Book Antiqua" w:hAnsi="Book Antiqua" w:cs="宋体"/>
          <w:b/>
          <w:bCs/>
          <w:color w:val="000000"/>
          <w:kern w:val="0"/>
          <w:sz w:val="24"/>
        </w:rPr>
        <w:t>Tanaka Y</w:t>
      </w:r>
      <w:r w:rsidRPr="00345FBD">
        <w:rPr>
          <w:rFonts w:ascii="Book Antiqua" w:hAnsi="Book Antiqua" w:cs="宋体"/>
          <w:color w:val="000000"/>
          <w:kern w:val="0"/>
          <w:sz w:val="24"/>
        </w:rPr>
        <w:t>,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Nat Genet</w:t>
      </w:r>
      <w:r w:rsidRPr="00BC1624">
        <w:rPr>
          <w:rFonts w:ascii="Book Antiqua" w:hAnsi="Book Antiqua" w:cs="宋体"/>
          <w:color w:val="000000"/>
          <w:kern w:val="0"/>
          <w:sz w:val="24"/>
        </w:rPr>
        <w:t> </w:t>
      </w:r>
      <w:r w:rsidRPr="00345FBD">
        <w:rPr>
          <w:rFonts w:ascii="Book Antiqua" w:hAnsi="Book Antiqua" w:cs="宋体"/>
          <w:color w:val="000000"/>
          <w:kern w:val="0"/>
          <w:sz w:val="24"/>
        </w:rPr>
        <w:t>2009;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41</w:t>
      </w:r>
      <w:r w:rsidRPr="00345FBD">
        <w:rPr>
          <w:rFonts w:ascii="Book Antiqua" w:hAnsi="Book Antiqua" w:cs="宋体"/>
          <w:color w:val="000000"/>
          <w:kern w:val="0"/>
          <w:sz w:val="24"/>
        </w:rPr>
        <w:t>: 1105-1109 [PMID: 19749757 DOI: 10.1038/ng.449]</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45</w:t>
      </w:r>
      <w:r w:rsidRPr="00BC1624">
        <w:rPr>
          <w:rFonts w:ascii="Book Antiqua" w:hAnsi="Book Antiqua" w:cs="宋体"/>
          <w:color w:val="000000"/>
          <w:kern w:val="0"/>
          <w:sz w:val="24"/>
        </w:rPr>
        <w:t> </w:t>
      </w:r>
      <w:r w:rsidRPr="00345FBD">
        <w:rPr>
          <w:rFonts w:ascii="Book Antiqua" w:hAnsi="Book Antiqua" w:cs="宋体"/>
          <w:b/>
          <w:bCs/>
          <w:color w:val="000000"/>
          <w:kern w:val="0"/>
          <w:sz w:val="24"/>
        </w:rPr>
        <w:t>Suppiah V</w:t>
      </w:r>
      <w:r w:rsidRPr="00345FBD">
        <w:rPr>
          <w:rFonts w:ascii="Book Antiqua" w:hAnsi="Book Antiqua" w:cs="宋体"/>
          <w:color w:val="000000"/>
          <w:kern w:val="0"/>
          <w:sz w:val="24"/>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Nat Genet</w:t>
      </w:r>
      <w:r w:rsidRPr="00BC1624">
        <w:rPr>
          <w:rFonts w:ascii="Book Antiqua" w:hAnsi="Book Antiqua" w:cs="宋体"/>
          <w:color w:val="000000"/>
          <w:kern w:val="0"/>
          <w:sz w:val="24"/>
        </w:rPr>
        <w:t> </w:t>
      </w:r>
      <w:r w:rsidRPr="00345FBD">
        <w:rPr>
          <w:rFonts w:ascii="Book Antiqua" w:hAnsi="Book Antiqua" w:cs="宋体"/>
          <w:color w:val="000000"/>
          <w:kern w:val="0"/>
          <w:sz w:val="24"/>
        </w:rPr>
        <w:t>2009;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41</w:t>
      </w:r>
      <w:r w:rsidRPr="00345FBD">
        <w:rPr>
          <w:rFonts w:ascii="Book Antiqua" w:hAnsi="Book Antiqua" w:cs="宋体"/>
          <w:color w:val="000000"/>
          <w:kern w:val="0"/>
          <w:sz w:val="24"/>
        </w:rPr>
        <w:t>: 1100-1104 [PMID: 19749758 DOI: 10.1038/ng.447]</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lastRenderedPageBreak/>
        <w:t>46</w:t>
      </w:r>
      <w:r w:rsidRPr="00BC1624">
        <w:rPr>
          <w:rFonts w:ascii="Book Antiqua" w:hAnsi="Book Antiqua" w:cs="宋体"/>
          <w:color w:val="000000"/>
          <w:kern w:val="0"/>
          <w:sz w:val="24"/>
        </w:rPr>
        <w:t> </w:t>
      </w:r>
      <w:r w:rsidRPr="00345FBD">
        <w:rPr>
          <w:rFonts w:ascii="Book Antiqua" w:hAnsi="Book Antiqua" w:cs="宋体"/>
          <w:b/>
          <w:bCs/>
          <w:color w:val="000000"/>
          <w:kern w:val="0"/>
          <w:sz w:val="24"/>
        </w:rPr>
        <w:t>Rauch A</w:t>
      </w:r>
      <w:r w:rsidRPr="00345FBD">
        <w:rPr>
          <w:rFonts w:ascii="Book Antiqua" w:hAnsi="Book Antiqua" w:cs="宋体"/>
          <w:color w:val="000000"/>
          <w:kern w:val="0"/>
          <w:sz w:val="24"/>
        </w:rPr>
        <w:t>,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w:t>
      </w:r>
      <w:r w:rsidRPr="00BC1624">
        <w:rPr>
          <w:rFonts w:ascii="Book Antiqua" w:hAnsi="Book Antiqua" w:cs="宋体"/>
          <w:color w:val="000000"/>
          <w:kern w:val="0"/>
          <w:sz w:val="24"/>
        </w:rPr>
        <w:t> </w:t>
      </w:r>
      <w:r w:rsidRPr="00345FBD">
        <w:rPr>
          <w:rFonts w:ascii="Book Antiqua" w:hAnsi="Book Antiqua" w:cs="宋体"/>
          <w:i/>
          <w:iCs/>
          <w:color w:val="000000"/>
          <w:kern w:val="0"/>
          <w:sz w:val="24"/>
        </w:rPr>
        <w:t>Gastroenterology</w:t>
      </w:r>
      <w:r w:rsidRPr="00BC1624">
        <w:rPr>
          <w:rFonts w:ascii="Book Antiqua" w:hAnsi="Book Antiqua" w:cs="宋体"/>
          <w:color w:val="000000"/>
          <w:kern w:val="0"/>
          <w:sz w:val="24"/>
        </w:rPr>
        <w:t> </w:t>
      </w:r>
      <w:r w:rsidRPr="00345FBD">
        <w:rPr>
          <w:rFonts w:ascii="Book Antiqua" w:hAnsi="Book Antiqua" w:cs="宋体"/>
          <w:color w:val="000000"/>
          <w:kern w:val="0"/>
          <w:sz w:val="24"/>
        </w:rPr>
        <w:t>2010;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138</w:t>
      </w:r>
      <w:r w:rsidRPr="00345FBD">
        <w:rPr>
          <w:rFonts w:ascii="Book Antiqua" w:hAnsi="Book Antiqua" w:cs="宋体"/>
          <w:color w:val="000000"/>
          <w:kern w:val="0"/>
          <w:sz w:val="24"/>
        </w:rPr>
        <w:t>: 1338-145, 1338-145, [PMID: 20060832 DOI: 10.1053/j.gastro.2009.12.056]</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47</w:t>
      </w:r>
      <w:r w:rsidRPr="00BC1624">
        <w:rPr>
          <w:rFonts w:ascii="Book Antiqua" w:hAnsi="Book Antiqua" w:cs="宋体"/>
          <w:color w:val="000000"/>
          <w:kern w:val="0"/>
          <w:sz w:val="24"/>
        </w:rPr>
        <w:t> </w:t>
      </w:r>
      <w:r w:rsidRPr="00345FBD">
        <w:rPr>
          <w:rFonts w:ascii="Book Antiqua" w:hAnsi="Book Antiqua" w:cs="宋体"/>
          <w:b/>
          <w:bCs/>
          <w:color w:val="000000"/>
          <w:kern w:val="0"/>
          <w:sz w:val="24"/>
        </w:rPr>
        <w:t>Stedman CA</w:t>
      </w:r>
      <w:r w:rsidRPr="00345FBD">
        <w:rPr>
          <w:rFonts w:ascii="Book Antiqua" w:hAnsi="Book Antiqua" w:cs="宋体"/>
          <w:color w:val="000000"/>
          <w:kern w:val="0"/>
          <w:sz w:val="24"/>
        </w:rPr>
        <w:t>. Current prospects for interferon-free treatment of hepatitis C in 2012.</w:t>
      </w:r>
      <w:r w:rsidRPr="00BC1624">
        <w:rPr>
          <w:rFonts w:ascii="Book Antiqua" w:hAnsi="Book Antiqua" w:cs="宋体"/>
          <w:color w:val="000000"/>
          <w:kern w:val="0"/>
          <w:sz w:val="24"/>
        </w:rPr>
        <w:t> </w:t>
      </w:r>
      <w:r w:rsidRPr="00345FBD">
        <w:rPr>
          <w:rFonts w:ascii="Book Antiqua" w:hAnsi="Book Antiqua" w:cs="宋体"/>
          <w:i/>
          <w:iCs/>
          <w:color w:val="000000"/>
          <w:kern w:val="0"/>
          <w:sz w:val="24"/>
        </w:rPr>
        <w:t>J Gastroenterol Hepatol</w:t>
      </w:r>
      <w:r w:rsidRPr="00BC1624">
        <w:rPr>
          <w:rFonts w:ascii="Book Antiqua" w:hAnsi="Book Antiqua" w:cs="宋体"/>
          <w:color w:val="000000"/>
          <w:kern w:val="0"/>
          <w:sz w:val="24"/>
        </w:rPr>
        <w:t> </w:t>
      </w:r>
      <w:r w:rsidRPr="00345FBD">
        <w:rPr>
          <w:rFonts w:ascii="Book Antiqua" w:hAnsi="Book Antiqua" w:cs="宋体"/>
          <w:color w:val="000000"/>
          <w:kern w:val="0"/>
          <w:sz w:val="24"/>
        </w:rPr>
        <w:t>2013;</w:t>
      </w:r>
      <w:r w:rsidRPr="00BC1624">
        <w:rPr>
          <w:rFonts w:ascii="Book Antiqua" w:hAnsi="Book Antiqua" w:cs="宋体"/>
          <w:color w:val="000000"/>
          <w:kern w:val="0"/>
          <w:sz w:val="24"/>
        </w:rPr>
        <w:t> </w:t>
      </w:r>
      <w:r w:rsidRPr="00345FBD">
        <w:rPr>
          <w:rFonts w:ascii="Book Antiqua" w:hAnsi="Book Antiqua" w:cs="宋体"/>
          <w:b/>
          <w:bCs/>
          <w:color w:val="000000"/>
          <w:kern w:val="0"/>
          <w:sz w:val="24"/>
        </w:rPr>
        <w:t>28</w:t>
      </w:r>
      <w:r w:rsidRPr="00345FBD">
        <w:rPr>
          <w:rFonts w:ascii="Book Antiqua" w:hAnsi="Book Antiqua" w:cs="宋体"/>
          <w:color w:val="000000"/>
          <w:kern w:val="0"/>
          <w:sz w:val="24"/>
        </w:rPr>
        <w:t>: 38-45 [PMID: 23137126 DOI: 10.1111/jgh.12028]</w:t>
      </w:r>
    </w:p>
    <w:p w:rsidR="00003C51" w:rsidRPr="00345FBD" w:rsidRDefault="00003C51" w:rsidP="00003C51">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48 </w:t>
      </w:r>
      <w:r w:rsidRPr="00345FBD">
        <w:rPr>
          <w:rFonts w:ascii="Book Antiqua" w:hAnsi="Book Antiqua" w:cs="宋体"/>
          <w:color w:val="000000"/>
          <w:kern w:val="0"/>
          <w:sz w:val="24"/>
        </w:rPr>
        <w:t>Combination therapies with NS5A, NS3 and NS5B inhibitors on different genotypes of hepatitis C virus in human hepatocyte chimeric mice.</w:t>
      </w:r>
      <w:r w:rsidRPr="00BC1624">
        <w:rPr>
          <w:rFonts w:ascii="Book Antiqua" w:hAnsi="Book Antiqua" w:cs="宋体"/>
          <w:color w:val="000000"/>
          <w:kern w:val="0"/>
          <w:sz w:val="24"/>
        </w:rPr>
        <w:t> </w:t>
      </w:r>
      <w:r w:rsidRPr="00345FBD">
        <w:rPr>
          <w:rFonts w:ascii="Book Antiqua" w:hAnsi="Book Antiqua" w:cs="宋体"/>
          <w:i/>
          <w:iCs/>
          <w:color w:val="000000"/>
          <w:kern w:val="0"/>
          <w:sz w:val="24"/>
        </w:rPr>
        <w:t>Gut</w:t>
      </w:r>
      <w:r w:rsidRPr="00BC1624">
        <w:rPr>
          <w:rFonts w:ascii="Book Antiqua" w:hAnsi="Book Antiqua" w:cs="宋体"/>
          <w:color w:val="000000"/>
          <w:kern w:val="0"/>
          <w:sz w:val="24"/>
        </w:rPr>
        <w:t> </w:t>
      </w:r>
      <w:r w:rsidRPr="00345FBD">
        <w:rPr>
          <w:rFonts w:ascii="Book Antiqua" w:hAnsi="Book Antiqua" w:cs="宋体"/>
          <w:color w:val="000000"/>
          <w:kern w:val="0"/>
          <w:sz w:val="24"/>
        </w:rPr>
        <w:t>2013; [PMID: 23322441 DOI: 10.1136/gutjnl-2012-302600]</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49</w:t>
      </w:r>
      <w:r w:rsidRPr="00BC1624">
        <w:rPr>
          <w:rFonts w:ascii="Book Antiqua" w:hAnsi="Book Antiqua" w:cs="宋体"/>
          <w:color w:val="000000"/>
          <w:kern w:val="0"/>
          <w:sz w:val="24"/>
        </w:rPr>
        <w:t> </w:t>
      </w:r>
      <w:r w:rsidRPr="00345FBD">
        <w:rPr>
          <w:rFonts w:ascii="Book Antiqua" w:hAnsi="Book Antiqua" w:cs="宋体"/>
          <w:b/>
          <w:bCs/>
          <w:color w:val="000000"/>
          <w:kern w:val="0"/>
          <w:sz w:val="24"/>
        </w:rPr>
        <w:t>Zeuzem S</w:t>
      </w:r>
      <w:r w:rsidRPr="00345FBD">
        <w:rPr>
          <w:rFonts w:ascii="Book Antiqua" w:hAnsi="Book Antiqua" w:cs="宋体"/>
          <w:color w:val="000000"/>
          <w:kern w:val="0"/>
          <w:sz w:val="24"/>
        </w:rPr>
        <w:t>, Buggisch P, Agarwal K, Marcellin P, Sereni D, Klinker H, Moreno C, Zarski JP, Horsmans Y, Mo H, Arterburn S, Knox S, Oldach D, McHutchison JG, Manns MP, Foster GR. The protease inhibitor, GS-9256, and non-nucleoside polymerase inhibitor tegobuvir alone, with ribavirin, or pegylated interferon plus ribavirin in hepatitis C.</w:t>
      </w:r>
      <w:r w:rsidRPr="00BC1624">
        <w:rPr>
          <w:rFonts w:ascii="Book Antiqua" w:hAnsi="Book Antiqua" w:cs="宋体"/>
          <w:color w:val="000000"/>
          <w:kern w:val="0"/>
          <w:sz w:val="24"/>
        </w:rPr>
        <w:t> </w:t>
      </w:r>
      <w:r w:rsidRPr="00345FBD">
        <w:rPr>
          <w:rFonts w:ascii="Book Antiqua" w:hAnsi="Book Antiqua" w:cs="宋体"/>
          <w:i/>
          <w:iCs/>
          <w:color w:val="000000"/>
          <w:kern w:val="0"/>
          <w:sz w:val="24"/>
        </w:rPr>
        <w:t>Hepatology</w:t>
      </w:r>
      <w:r w:rsidRPr="00BC1624">
        <w:rPr>
          <w:rFonts w:ascii="Book Antiqua" w:hAnsi="Book Antiqua" w:cs="宋体"/>
          <w:color w:val="000000"/>
          <w:kern w:val="0"/>
          <w:sz w:val="24"/>
        </w:rPr>
        <w:t> </w:t>
      </w:r>
      <w:r w:rsidRPr="00345FBD">
        <w:rPr>
          <w:rFonts w:ascii="Book Antiqua" w:hAnsi="Book Antiqua" w:cs="宋体"/>
          <w:color w:val="000000"/>
          <w:kern w:val="0"/>
          <w:sz w:val="24"/>
        </w:rPr>
        <w:t>2012;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55</w:t>
      </w:r>
      <w:r w:rsidRPr="00345FBD">
        <w:rPr>
          <w:rFonts w:ascii="Book Antiqua" w:hAnsi="Book Antiqua" w:cs="宋体"/>
          <w:color w:val="000000"/>
          <w:kern w:val="0"/>
          <w:sz w:val="24"/>
        </w:rPr>
        <w:t>: 749-758 [PMID: 22006408 DOI: 10.1002/hep.24744]</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50</w:t>
      </w:r>
      <w:r w:rsidRPr="00BC1624">
        <w:rPr>
          <w:rFonts w:ascii="Book Antiqua" w:hAnsi="Book Antiqua" w:cs="宋体"/>
          <w:color w:val="000000"/>
          <w:kern w:val="0"/>
          <w:sz w:val="24"/>
        </w:rPr>
        <w:t> </w:t>
      </w:r>
      <w:r w:rsidRPr="00345FBD">
        <w:rPr>
          <w:rFonts w:ascii="Book Antiqua" w:hAnsi="Book Antiqua" w:cs="宋体"/>
          <w:b/>
          <w:bCs/>
          <w:color w:val="000000"/>
          <w:kern w:val="0"/>
          <w:sz w:val="24"/>
        </w:rPr>
        <w:t>McCown MF</w:t>
      </w:r>
      <w:r w:rsidRPr="00345FBD">
        <w:rPr>
          <w:rFonts w:ascii="Book Antiqua" w:hAnsi="Book Antiqua" w:cs="宋体"/>
          <w:color w:val="000000"/>
          <w:kern w:val="0"/>
          <w:sz w:val="24"/>
        </w:rPr>
        <w:t>, Rajyaguru S, Le Pogam S, Ali S, Jiang WR, Kang H, Symons J, Cammack N, Najera I. The hepatitis C virus replicon presents a higher barrier to resistance to nucleoside analogs than to nonnucleoside polymerase or protease inhibitors.</w:t>
      </w:r>
      <w:r w:rsidRPr="00BC1624">
        <w:rPr>
          <w:rFonts w:ascii="Book Antiqua" w:hAnsi="Book Antiqua" w:cs="宋体"/>
          <w:color w:val="000000"/>
          <w:kern w:val="0"/>
          <w:sz w:val="24"/>
        </w:rPr>
        <w:t> </w:t>
      </w:r>
      <w:r w:rsidRPr="00345FBD">
        <w:rPr>
          <w:rFonts w:ascii="Book Antiqua" w:hAnsi="Book Antiqua" w:cs="宋体"/>
          <w:i/>
          <w:iCs/>
          <w:color w:val="000000"/>
          <w:kern w:val="0"/>
          <w:sz w:val="24"/>
        </w:rPr>
        <w:t>Antimicrob Agents Chemother</w:t>
      </w:r>
      <w:r w:rsidRPr="00BC1624">
        <w:rPr>
          <w:rFonts w:ascii="Book Antiqua" w:hAnsi="Book Antiqua" w:cs="宋体"/>
          <w:color w:val="000000"/>
          <w:kern w:val="0"/>
          <w:sz w:val="24"/>
        </w:rPr>
        <w:t> </w:t>
      </w:r>
      <w:r w:rsidRPr="00345FBD">
        <w:rPr>
          <w:rFonts w:ascii="Book Antiqua" w:hAnsi="Book Antiqua" w:cs="宋体"/>
          <w:color w:val="000000"/>
          <w:kern w:val="0"/>
          <w:sz w:val="24"/>
        </w:rPr>
        <w:t>2008;</w:t>
      </w:r>
      <w:r w:rsidRPr="00BC1624">
        <w:rPr>
          <w:rFonts w:ascii="Book Antiqua" w:hAnsi="Book Antiqua" w:cs="宋体"/>
          <w:color w:val="000000"/>
          <w:kern w:val="0"/>
          <w:sz w:val="24"/>
        </w:rPr>
        <w:t> </w:t>
      </w:r>
      <w:r w:rsidRPr="00345FBD">
        <w:rPr>
          <w:rFonts w:ascii="Book Antiqua" w:hAnsi="Book Antiqua" w:cs="宋体"/>
          <w:b/>
          <w:bCs/>
          <w:color w:val="000000"/>
          <w:kern w:val="0"/>
          <w:sz w:val="24"/>
        </w:rPr>
        <w:t>52</w:t>
      </w:r>
      <w:r w:rsidRPr="00345FBD">
        <w:rPr>
          <w:rFonts w:ascii="Book Antiqua" w:hAnsi="Book Antiqua" w:cs="宋体"/>
          <w:color w:val="000000"/>
          <w:kern w:val="0"/>
          <w:sz w:val="24"/>
        </w:rPr>
        <w:t>: 1604-1612 [PMID: 18285474 DOI: 10.1128/AAC.01317-07]</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51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Chung RT</w:t>
      </w:r>
      <w:r w:rsidRPr="00345FBD">
        <w:rPr>
          <w:rFonts w:ascii="Book Antiqua" w:hAnsi="Book Antiqua" w:cs="宋体"/>
          <w:color w:val="000000"/>
          <w:kern w:val="0"/>
          <w:sz w:val="24"/>
        </w:rPr>
        <w:t>. A watershed moment in the treatment of hepatitis C.</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366</w:t>
      </w:r>
      <w:r w:rsidRPr="00345FBD">
        <w:rPr>
          <w:rFonts w:ascii="Book Antiqua" w:hAnsi="Book Antiqua" w:cs="宋体"/>
          <w:color w:val="000000"/>
          <w:kern w:val="0"/>
          <w:sz w:val="24"/>
        </w:rPr>
        <w:t>: 273-275 [PMID: 22256811 DOI: 10.1056/NEJMe1113272]</w:t>
      </w:r>
    </w:p>
    <w:p w:rsidR="00003C51" w:rsidRPr="00345FBD" w:rsidRDefault="00003C51" w:rsidP="00003C51">
      <w:pPr>
        <w:widowControl/>
        <w:spacing w:line="360" w:lineRule="auto"/>
        <w:rPr>
          <w:rFonts w:ascii="Book Antiqua" w:hAnsi="Book Antiqua" w:cs="宋体"/>
          <w:color w:val="000000"/>
          <w:kern w:val="0"/>
          <w:sz w:val="24"/>
        </w:rPr>
      </w:pPr>
      <w:r w:rsidRPr="00345FBD">
        <w:rPr>
          <w:rFonts w:ascii="Book Antiqua" w:hAnsi="Book Antiqua" w:cs="宋体"/>
          <w:color w:val="000000"/>
          <w:kern w:val="0"/>
          <w:sz w:val="24"/>
        </w:rPr>
        <w:t>52</w:t>
      </w:r>
      <w:r w:rsidRPr="00BC1624">
        <w:rPr>
          <w:rFonts w:ascii="Book Antiqua" w:hAnsi="Book Antiqua" w:cs="宋体"/>
          <w:color w:val="000000"/>
          <w:kern w:val="0"/>
          <w:sz w:val="24"/>
        </w:rPr>
        <w:t> </w:t>
      </w:r>
      <w:r w:rsidRPr="00345FBD">
        <w:rPr>
          <w:rFonts w:ascii="Book Antiqua" w:hAnsi="Book Antiqua" w:cs="宋体"/>
          <w:b/>
          <w:bCs/>
          <w:color w:val="000000"/>
          <w:kern w:val="0"/>
          <w:sz w:val="24"/>
        </w:rPr>
        <w:t>Jensen DM</w:t>
      </w:r>
      <w:r w:rsidRPr="00345FBD">
        <w:rPr>
          <w:rFonts w:ascii="Book Antiqua" w:hAnsi="Book Antiqua" w:cs="宋体"/>
          <w:color w:val="000000"/>
          <w:kern w:val="0"/>
          <w:sz w:val="24"/>
        </w:rPr>
        <w:t>. A new era of hepatitis C therapy begins.</w:t>
      </w:r>
      <w:r w:rsidRPr="00BC1624">
        <w:rPr>
          <w:rFonts w:ascii="Book Antiqua" w:hAnsi="Book Antiqua" w:cs="宋体"/>
          <w:color w:val="000000"/>
          <w:kern w:val="0"/>
          <w:sz w:val="24"/>
        </w:rPr>
        <w:t> </w:t>
      </w:r>
      <w:r w:rsidRPr="00345FBD">
        <w:rPr>
          <w:rFonts w:ascii="Book Antiqua" w:hAnsi="Book Antiqua" w:cs="宋体"/>
          <w:i/>
          <w:iCs/>
          <w:color w:val="000000"/>
          <w:kern w:val="0"/>
          <w:sz w:val="24"/>
        </w:rPr>
        <w:t>N Engl J Med</w:t>
      </w:r>
      <w:r w:rsidRPr="00BC1624">
        <w:rPr>
          <w:rFonts w:ascii="Book Antiqua" w:hAnsi="Book Antiqua" w:cs="宋体"/>
          <w:color w:val="000000"/>
          <w:kern w:val="0"/>
          <w:sz w:val="24"/>
        </w:rPr>
        <w:t> </w:t>
      </w:r>
      <w:r w:rsidRPr="00345FBD">
        <w:rPr>
          <w:rFonts w:ascii="Book Antiqua" w:hAnsi="Book Antiqua" w:cs="宋体"/>
          <w:color w:val="000000"/>
          <w:kern w:val="0"/>
          <w:sz w:val="24"/>
        </w:rPr>
        <w:t>2011;</w:t>
      </w:r>
      <w:r w:rsidRPr="00BC1624">
        <w:rPr>
          <w:rFonts w:ascii="Book Antiqua" w:hAnsi="Book Antiqua" w:cs="宋体"/>
          <w:color w:val="000000"/>
          <w:kern w:val="0"/>
          <w:sz w:val="24"/>
        </w:rPr>
        <w:t> </w:t>
      </w:r>
      <w:r w:rsidRPr="00345FBD">
        <w:rPr>
          <w:rFonts w:ascii="Book Antiqua" w:hAnsi="Book Antiqua" w:cs="宋体"/>
          <w:b/>
          <w:bCs/>
          <w:color w:val="000000"/>
          <w:kern w:val="0"/>
          <w:sz w:val="24"/>
        </w:rPr>
        <w:t>364</w:t>
      </w:r>
      <w:r w:rsidRPr="00345FBD">
        <w:rPr>
          <w:rFonts w:ascii="Book Antiqua" w:hAnsi="Book Antiqua" w:cs="宋体"/>
          <w:color w:val="000000"/>
          <w:kern w:val="0"/>
          <w:sz w:val="24"/>
        </w:rPr>
        <w:t>: 1272-1274 [PMID: 21449791 DOI: 10.1056/NEJMe1100829]</w:t>
      </w:r>
    </w:p>
    <w:p w:rsidR="00003C51" w:rsidRDefault="00003C51" w:rsidP="00003C51">
      <w:pPr>
        <w:spacing w:line="360" w:lineRule="auto"/>
        <w:rPr>
          <w:rFonts w:ascii="Book Antiqua" w:hAnsi="Book Antiqua"/>
          <w:sz w:val="24"/>
        </w:rPr>
      </w:pPr>
    </w:p>
    <w:p w:rsidR="00003C51" w:rsidRPr="00CE4867" w:rsidRDefault="00003C51" w:rsidP="00003C51">
      <w:pPr>
        <w:spacing w:line="360" w:lineRule="auto"/>
        <w:rPr>
          <w:rFonts w:ascii="Book Antiqua" w:hAnsi="Book Antiqua"/>
          <w:b/>
          <w:bCs/>
          <w:color w:val="000000"/>
          <w:sz w:val="24"/>
        </w:rPr>
      </w:pPr>
      <w:bookmarkStart w:id="50" w:name="OLE_LINK11"/>
      <w:bookmarkStart w:id="51" w:name="OLE_LINK12"/>
      <w:bookmarkStart w:id="52" w:name="OLE_LINK36"/>
      <w:bookmarkStart w:id="53" w:name="OLE_LINK85"/>
      <w:bookmarkStart w:id="54" w:name="OLE_LINK194"/>
      <w:bookmarkStart w:id="55" w:name="OLE_LINK118"/>
      <w:r w:rsidRPr="00CE4867">
        <w:rPr>
          <w:rStyle w:val="ad"/>
          <w:rFonts w:ascii="Book Antiqua" w:hAnsi="Book Antiqua"/>
          <w:noProof/>
          <w:color w:val="000000"/>
          <w:sz w:val="24"/>
        </w:rPr>
        <w:lastRenderedPageBreak/>
        <w:t>P-Reviewer</w:t>
      </w:r>
      <w:bookmarkEnd w:id="50"/>
      <w:bookmarkEnd w:id="51"/>
      <w:r w:rsidR="00AB1CA5">
        <w:rPr>
          <w:rStyle w:val="ad"/>
          <w:rFonts w:ascii="Book Antiqua" w:hAnsi="Book Antiqua" w:hint="eastAsia"/>
          <w:noProof/>
          <w:color w:val="000000"/>
          <w:sz w:val="24"/>
        </w:rPr>
        <w:t>s</w:t>
      </w:r>
      <w:r w:rsidRPr="00CE4867">
        <w:rPr>
          <w:rFonts w:ascii="Book Antiqua" w:hAnsi="Book Antiqua"/>
          <w:b/>
          <w:bCs/>
          <w:color w:val="000000"/>
          <w:sz w:val="24"/>
        </w:rPr>
        <w:t xml:space="preserve"> </w:t>
      </w:r>
      <w:r w:rsidR="00AB1CA5" w:rsidRPr="00AB1CA5">
        <w:rPr>
          <w:rFonts w:ascii="Book Antiqua" w:hAnsi="Book Antiqua"/>
          <w:bCs/>
          <w:color w:val="000000"/>
          <w:sz w:val="24"/>
        </w:rPr>
        <w:t>Quer</w:t>
      </w:r>
      <w:r w:rsidRPr="00CE4867">
        <w:rPr>
          <w:rFonts w:ascii="Book Antiqua" w:hAnsi="Book Antiqua"/>
          <w:b/>
          <w:bCs/>
          <w:color w:val="000000"/>
          <w:sz w:val="24"/>
        </w:rPr>
        <w:t xml:space="preserve"> </w:t>
      </w:r>
      <w:r w:rsidR="00AB1CA5">
        <w:rPr>
          <w:rFonts w:ascii="Book Antiqua" w:hAnsi="Book Antiqua"/>
          <w:bCs/>
          <w:color w:val="000000"/>
          <w:sz w:val="24"/>
        </w:rPr>
        <w:t>J</w:t>
      </w:r>
      <w:r w:rsidR="00AB1CA5">
        <w:rPr>
          <w:rFonts w:ascii="Book Antiqua" w:hAnsi="Book Antiqua" w:hint="eastAsia"/>
          <w:bCs/>
          <w:color w:val="000000"/>
          <w:sz w:val="24"/>
        </w:rPr>
        <w:t xml:space="preserve">, </w:t>
      </w:r>
      <w:r w:rsidR="00AB1CA5" w:rsidRPr="00AB1CA5">
        <w:rPr>
          <w:rFonts w:ascii="Book Antiqua" w:hAnsi="Book Antiqua"/>
          <w:bCs/>
          <w:color w:val="000000"/>
          <w:sz w:val="24"/>
        </w:rPr>
        <w:t>Estrabaud</w:t>
      </w:r>
      <w:r w:rsidRPr="00CE4867">
        <w:rPr>
          <w:rFonts w:ascii="Book Antiqua" w:hAnsi="Book Antiqua"/>
          <w:b/>
          <w:bCs/>
          <w:color w:val="000000"/>
          <w:sz w:val="24"/>
        </w:rPr>
        <w:t xml:space="preserve"> </w:t>
      </w:r>
      <w:r w:rsidR="00AB1CA5" w:rsidRPr="00AB1CA5">
        <w:rPr>
          <w:rFonts w:ascii="Book Antiqua" w:hAnsi="Book Antiqua" w:hint="eastAsia"/>
          <w:bCs/>
          <w:color w:val="000000"/>
          <w:sz w:val="24"/>
        </w:rPr>
        <w:t>E</w:t>
      </w:r>
      <w:r w:rsidRPr="00AB1CA5">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52"/>
    <w:bookmarkEnd w:id="53"/>
    <w:bookmarkEnd w:id="54"/>
    <w:bookmarkEnd w:id="55"/>
    <w:p w:rsidR="00003C51" w:rsidRPr="00431741" w:rsidRDefault="00003C51" w:rsidP="00003C51">
      <w:pPr>
        <w:spacing w:line="360" w:lineRule="auto"/>
        <w:rPr>
          <w:rFonts w:ascii="Book Antiqua" w:hAnsi="Book Antiqua"/>
          <w:sz w:val="24"/>
        </w:rPr>
      </w:pPr>
    </w:p>
    <w:p w:rsidR="00D20D7D" w:rsidRPr="00003C51"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noProof/>
          <w:sz w:val="24"/>
        </w:rPr>
        <w:drawing>
          <wp:inline distT="0" distB="0" distL="0" distR="0">
            <wp:extent cx="5274310" cy="2788716"/>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2788716"/>
                    </a:xfrm>
                    <a:prstGeom prst="rect">
                      <a:avLst/>
                    </a:prstGeom>
                    <a:noFill/>
                    <a:ln w="9525">
                      <a:noFill/>
                      <a:miter lim="800000"/>
                      <a:headEnd/>
                      <a:tailEnd/>
                    </a:ln>
                  </pic:spPr>
                </pic:pic>
              </a:graphicData>
            </a:graphic>
          </wp:inline>
        </w:drawing>
      </w:r>
    </w:p>
    <w:p w:rsidR="00D20D7D" w:rsidRPr="00E76B5D" w:rsidRDefault="00D20D7D" w:rsidP="00C46723">
      <w:pPr>
        <w:spacing w:line="360" w:lineRule="auto"/>
        <w:rPr>
          <w:rFonts w:ascii="Book Antiqua" w:hAnsi="Book Antiqua"/>
          <w:b/>
          <w:sz w:val="24"/>
        </w:rPr>
      </w:pPr>
    </w:p>
    <w:p w:rsidR="006B1452" w:rsidRPr="00E76B5D" w:rsidRDefault="006B1452" w:rsidP="00C46723">
      <w:pPr>
        <w:spacing w:line="360" w:lineRule="auto"/>
        <w:rPr>
          <w:rFonts w:ascii="Book Antiqua" w:hAnsi="Book Antiqua"/>
          <w:b/>
          <w:sz w:val="24"/>
        </w:rPr>
      </w:pPr>
      <w:r w:rsidRPr="00E76B5D">
        <w:rPr>
          <w:rFonts w:ascii="Book Antiqua" w:hAnsi="Book Antiqua"/>
          <w:b/>
          <w:sz w:val="24"/>
        </w:rPr>
        <w:t xml:space="preserve">Figure 1 </w:t>
      </w:r>
      <w:bookmarkStart w:id="56" w:name="OLE_LINK55"/>
      <w:bookmarkStart w:id="57" w:name="OLE_LINK56"/>
      <w:r w:rsidRPr="00E76B5D">
        <w:rPr>
          <w:rFonts w:ascii="Book Antiqua" w:hAnsi="Book Antiqua"/>
          <w:b/>
          <w:sz w:val="24"/>
        </w:rPr>
        <w:t>Brief development history of the anti-</w:t>
      </w:r>
      <w:r w:rsidRPr="006B1452">
        <w:rPr>
          <w:rFonts w:ascii="Book Antiqua" w:hAnsi="Book Antiqua"/>
          <w:b/>
          <w:sz w:val="24"/>
        </w:rPr>
        <w:t>hepatitis C virus</w:t>
      </w:r>
      <w:r w:rsidRPr="00E76B5D">
        <w:rPr>
          <w:rFonts w:ascii="Book Antiqua" w:hAnsi="Book Antiqua"/>
          <w:b/>
          <w:sz w:val="24"/>
        </w:rPr>
        <w:t xml:space="preserve"> agents</w:t>
      </w:r>
      <w:bookmarkEnd w:id="56"/>
      <w:bookmarkEnd w:id="57"/>
      <w:r>
        <w:rPr>
          <w:rFonts w:ascii="Book Antiqua" w:hAnsi="Book Antiqua" w:hint="eastAsia"/>
          <w:b/>
          <w:sz w:val="24"/>
        </w:rPr>
        <w:t xml:space="preserve">. </w:t>
      </w:r>
      <w:r w:rsidRPr="00E76B5D">
        <w:rPr>
          <w:rFonts w:ascii="Book Antiqua" w:hAnsi="Book Antiqua"/>
          <w:sz w:val="24"/>
        </w:rPr>
        <w:t>HCV</w:t>
      </w:r>
      <w:r>
        <w:rPr>
          <w:rFonts w:ascii="Book Antiqua" w:hAnsi="Book Antiqua" w:hint="eastAsia"/>
          <w:sz w:val="24"/>
        </w:rPr>
        <w:t xml:space="preserve">: </w:t>
      </w:r>
      <w:r w:rsidRPr="00E76B5D">
        <w:rPr>
          <w:rFonts w:ascii="Book Antiqua" w:hAnsi="Book Antiqua"/>
          <w:sz w:val="24"/>
        </w:rPr>
        <w:t>Hepatitis C virus</w:t>
      </w:r>
      <w:r>
        <w:rPr>
          <w:rFonts w:ascii="Book Antiqua" w:hAnsi="Book Antiqua" w:hint="eastAsia"/>
          <w:sz w:val="24"/>
        </w:rPr>
        <w:t>; INF</w:t>
      </w:r>
      <w:r w:rsidR="001A2E73" w:rsidRPr="00E76B5D">
        <w:rPr>
          <w:rFonts w:ascii="Book Antiqua" w:hAnsi="Book Antiqua"/>
          <w:sz w:val="24"/>
        </w:rPr>
        <w:t>-</w:t>
      </w:r>
      <w:r w:rsidR="001A2E73" w:rsidRPr="00E76B5D">
        <w:rPr>
          <w:rFonts w:ascii="Book Antiqua" w:hAnsi="Book Antiqua" w:cs="Arial"/>
          <w:sz w:val="24"/>
        </w:rPr>
        <w:t>α</w:t>
      </w:r>
      <w:r>
        <w:rPr>
          <w:rFonts w:ascii="Book Antiqua" w:hAnsi="Book Antiqua" w:hint="eastAsia"/>
          <w:sz w:val="24"/>
        </w:rPr>
        <w:t xml:space="preserve">: </w:t>
      </w:r>
      <w:r w:rsidRPr="006B1452">
        <w:rPr>
          <w:rFonts w:ascii="Book Antiqua" w:hAnsi="Book Antiqua"/>
          <w:sz w:val="24"/>
        </w:rPr>
        <w:t>Interferon</w:t>
      </w:r>
      <w:r w:rsidR="001A2E73" w:rsidRPr="00E76B5D">
        <w:rPr>
          <w:rFonts w:ascii="Book Antiqua" w:hAnsi="Book Antiqua"/>
          <w:sz w:val="24"/>
        </w:rPr>
        <w:t>-</w:t>
      </w:r>
      <w:r w:rsidR="001A2E73" w:rsidRPr="00E76B5D">
        <w:rPr>
          <w:rFonts w:ascii="Book Antiqua" w:hAnsi="Book Antiqua" w:cs="Arial"/>
          <w:sz w:val="24"/>
        </w:rPr>
        <w:t>α</w:t>
      </w:r>
      <w:r>
        <w:rPr>
          <w:rFonts w:ascii="Book Antiqua" w:hAnsi="Book Antiqua" w:hint="eastAsia"/>
          <w:sz w:val="24"/>
        </w:rPr>
        <w:t>.</w:t>
      </w: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 xml:space="preserve">Table 1 Representative </w:t>
      </w:r>
      <w:r w:rsidR="00FA5905" w:rsidRPr="00FA5905">
        <w:rPr>
          <w:rFonts w:ascii="Book Antiqua" w:hAnsi="Book Antiqua"/>
          <w:b/>
          <w:sz w:val="24"/>
        </w:rPr>
        <w:t>direct acting antiviral agent</w:t>
      </w:r>
      <w:r w:rsidRPr="00E76B5D">
        <w:rPr>
          <w:rFonts w:ascii="Book Antiqua" w:hAnsi="Book Antiqua"/>
          <w:b/>
          <w:sz w:val="24"/>
        </w:rPr>
        <w:t xml:space="preserve"> from 2011 to January, 2013</w:t>
      </w:r>
    </w:p>
    <w:tbl>
      <w:tblPr>
        <w:tblW w:w="11483" w:type="dxa"/>
        <w:tblInd w:w="-1452" w:type="dxa"/>
        <w:tblBorders>
          <w:top w:val="single" w:sz="8" w:space="0" w:color="4BACC6"/>
          <w:bottom w:val="single" w:sz="8" w:space="0" w:color="4BACC6"/>
        </w:tblBorders>
        <w:tblLayout w:type="fixed"/>
        <w:tblLook w:val="04A0" w:firstRow="1" w:lastRow="0" w:firstColumn="1" w:lastColumn="0" w:noHBand="0" w:noVBand="1"/>
      </w:tblPr>
      <w:tblGrid>
        <w:gridCol w:w="1276"/>
        <w:gridCol w:w="1985"/>
        <w:gridCol w:w="1276"/>
        <w:gridCol w:w="1559"/>
        <w:gridCol w:w="1560"/>
        <w:gridCol w:w="1701"/>
        <w:gridCol w:w="992"/>
        <w:gridCol w:w="1134"/>
      </w:tblGrid>
      <w:tr w:rsidR="00E76B5D" w:rsidRPr="00BE5BA6" w:rsidTr="00FA5905">
        <w:tc>
          <w:tcPr>
            <w:tcW w:w="1276" w:type="dxa"/>
            <w:tcBorders>
              <w:top w:val="single" w:sz="8" w:space="0" w:color="000000" w:themeColor="text1"/>
              <w:left w:val="nil"/>
              <w:bottom w:val="single" w:sz="8" w:space="0" w:color="000000" w:themeColor="text1"/>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DAA</w:t>
            </w:r>
          </w:p>
        </w:tc>
        <w:tc>
          <w:tcPr>
            <w:tcW w:w="1985" w:type="dxa"/>
            <w:tcBorders>
              <w:top w:val="single" w:sz="8" w:space="0" w:color="000000" w:themeColor="text1"/>
              <w:left w:val="nil"/>
              <w:bottom w:val="single" w:sz="8" w:space="0" w:color="000000" w:themeColor="text1"/>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HCV genotype</w:t>
            </w:r>
          </w:p>
        </w:tc>
        <w:tc>
          <w:tcPr>
            <w:tcW w:w="1276" w:type="dxa"/>
            <w:tcBorders>
              <w:top w:val="single" w:sz="8" w:space="0" w:color="000000" w:themeColor="text1"/>
              <w:left w:val="nil"/>
              <w:bottom w:val="single" w:sz="8" w:space="0" w:color="000000" w:themeColor="text1"/>
              <w:right w:val="nil"/>
            </w:tcBorders>
            <w:shd w:val="clear" w:color="auto" w:fill="auto"/>
          </w:tcPr>
          <w:p w:rsidR="00D20D7D" w:rsidRPr="00BE5BA6" w:rsidRDefault="00D20D7D" w:rsidP="00C46723">
            <w:pPr>
              <w:spacing w:line="360" w:lineRule="auto"/>
              <w:rPr>
                <w:rFonts w:ascii="Book Antiqua" w:hAnsi="Book Antiqua"/>
                <w:b/>
                <w:bCs/>
                <w:sz w:val="24"/>
              </w:rPr>
            </w:pPr>
            <w:bookmarkStart w:id="58" w:name="OLE_LINK23"/>
            <w:bookmarkStart w:id="59" w:name="OLE_LINK24"/>
            <w:r w:rsidRPr="00BE5BA6">
              <w:rPr>
                <w:rFonts w:ascii="Book Antiqua" w:hAnsi="Book Antiqua"/>
                <w:b/>
                <w:bCs/>
                <w:sz w:val="24"/>
              </w:rPr>
              <w:t>Course of DAA</w:t>
            </w:r>
            <w:bookmarkEnd w:id="58"/>
            <w:bookmarkEnd w:id="59"/>
          </w:p>
        </w:tc>
        <w:tc>
          <w:tcPr>
            <w:tcW w:w="1559" w:type="dxa"/>
            <w:tcBorders>
              <w:top w:val="single" w:sz="8" w:space="0" w:color="000000" w:themeColor="text1"/>
              <w:left w:val="nil"/>
              <w:bottom w:val="single" w:sz="8" w:space="0" w:color="000000" w:themeColor="text1"/>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Course of therapy</w:t>
            </w:r>
          </w:p>
        </w:tc>
        <w:tc>
          <w:tcPr>
            <w:tcW w:w="1560" w:type="dxa"/>
            <w:tcBorders>
              <w:top w:val="single" w:sz="8" w:space="0" w:color="000000" w:themeColor="text1"/>
              <w:left w:val="nil"/>
              <w:bottom w:val="single" w:sz="8" w:space="0" w:color="000000" w:themeColor="text1"/>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Dose</w:t>
            </w:r>
          </w:p>
        </w:tc>
        <w:tc>
          <w:tcPr>
            <w:tcW w:w="1701" w:type="dxa"/>
            <w:tcBorders>
              <w:top w:val="single" w:sz="8" w:space="0" w:color="000000" w:themeColor="text1"/>
              <w:left w:val="nil"/>
              <w:bottom w:val="single" w:sz="8" w:space="0" w:color="000000" w:themeColor="text1"/>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With or without pegIFN-α</w:t>
            </w:r>
          </w:p>
        </w:tc>
        <w:tc>
          <w:tcPr>
            <w:tcW w:w="992" w:type="dxa"/>
            <w:tcBorders>
              <w:top w:val="single" w:sz="8" w:space="0" w:color="000000" w:themeColor="text1"/>
              <w:left w:val="nil"/>
              <w:bottom w:val="single" w:sz="8" w:space="0" w:color="000000" w:themeColor="text1"/>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Publishd year</w:t>
            </w:r>
          </w:p>
        </w:tc>
        <w:tc>
          <w:tcPr>
            <w:tcW w:w="1134" w:type="dxa"/>
            <w:tcBorders>
              <w:top w:val="single" w:sz="8" w:space="0" w:color="000000" w:themeColor="text1"/>
              <w:left w:val="nil"/>
              <w:bottom w:val="single" w:sz="8" w:space="0" w:color="000000" w:themeColor="text1"/>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References</w:t>
            </w:r>
          </w:p>
        </w:tc>
      </w:tr>
      <w:tr w:rsidR="00E76B5D" w:rsidRPr="00BE5BA6" w:rsidTr="00FA5905">
        <w:tc>
          <w:tcPr>
            <w:tcW w:w="1276" w:type="dxa"/>
            <w:tcBorders>
              <w:top w:val="single" w:sz="8" w:space="0" w:color="000000" w:themeColor="text1"/>
              <w:left w:val="nil"/>
              <w:right w:val="nil"/>
            </w:tcBorders>
            <w:shd w:val="clear" w:color="auto" w:fill="auto"/>
          </w:tcPr>
          <w:p w:rsidR="00D20D7D" w:rsidRPr="00BE5BA6" w:rsidRDefault="00D20D7D" w:rsidP="00C46723">
            <w:pPr>
              <w:spacing w:line="360" w:lineRule="auto"/>
              <w:rPr>
                <w:rFonts w:ascii="Book Antiqua" w:hAnsi="Book Antiqua"/>
                <w:b/>
                <w:bCs/>
                <w:sz w:val="24"/>
              </w:rPr>
            </w:pPr>
            <w:bookmarkStart w:id="60" w:name="OLE_LINK1"/>
            <w:bookmarkStart w:id="61" w:name="OLE_LINK2"/>
            <w:r w:rsidRPr="00BE5BA6">
              <w:rPr>
                <w:rFonts w:ascii="Book Antiqua" w:hAnsi="Book Antiqua"/>
                <w:b/>
                <w:bCs/>
                <w:sz w:val="24"/>
              </w:rPr>
              <w:t>Telaprevir</w:t>
            </w:r>
            <w:bookmarkEnd w:id="60"/>
            <w:bookmarkEnd w:id="61"/>
          </w:p>
        </w:tc>
        <w:tc>
          <w:tcPr>
            <w:tcW w:w="1985" w:type="dxa"/>
            <w:tcBorders>
              <w:top w:val="single" w:sz="8" w:space="0" w:color="000000" w:themeColor="text1"/>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1a/1b/1c/unknown</w:t>
            </w:r>
          </w:p>
        </w:tc>
        <w:tc>
          <w:tcPr>
            <w:tcW w:w="1276" w:type="dxa"/>
            <w:tcBorders>
              <w:top w:val="single" w:sz="8" w:space="0" w:color="000000" w:themeColor="text1"/>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12/8</w:t>
            </w:r>
            <w:r w:rsidR="00801ACB" w:rsidRPr="00BE5BA6">
              <w:rPr>
                <w:rFonts w:ascii="Book Antiqua" w:hAnsi="Book Antiqua"/>
                <w:sz w:val="24"/>
              </w:rPr>
              <w:t>wk</w:t>
            </w:r>
          </w:p>
        </w:tc>
        <w:tc>
          <w:tcPr>
            <w:tcW w:w="1559" w:type="dxa"/>
            <w:tcBorders>
              <w:top w:val="single" w:sz="8" w:space="0" w:color="000000" w:themeColor="text1"/>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20/24/44/48</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60" w:type="dxa"/>
            <w:tcBorders>
              <w:top w:val="single" w:sz="8" w:space="0" w:color="000000" w:themeColor="text1"/>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750 mg(</w:t>
            </w:r>
            <w:r w:rsidRPr="00BE5BA6">
              <w:rPr>
                <w:rFonts w:ascii="Book Antiqua" w:hAnsi="Book Antiqua"/>
                <w:i/>
                <w:sz w:val="24"/>
              </w:rPr>
              <w:t>tid</w:t>
            </w:r>
            <w:r w:rsidRPr="00BE5BA6">
              <w:rPr>
                <w:rFonts w:ascii="Book Antiqua" w:hAnsi="Book Antiqua"/>
                <w:sz w:val="24"/>
              </w:rPr>
              <w:t>)</w:t>
            </w:r>
          </w:p>
        </w:tc>
        <w:tc>
          <w:tcPr>
            <w:tcW w:w="1701" w:type="dxa"/>
            <w:tcBorders>
              <w:top w:val="single" w:sz="8" w:space="0" w:color="000000" w:themeColor="text1"/>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With</w:t>
            </w:r>
          </w:p>
        </w:tc>
        <w:tc>
          <w:tcPr>
            <w:tcW w:w="992" w:type="dxa"/>
            <w:tcBorders>
              <w:top w:val="single" w:sz="8" w:space="0" w:color="000000" w:themeColor="text1"/>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2011</w:t>
            </w:r>
          </w:p>
        </w:tc>
        <w:tc>
          <w:tcPr>
            <w:tcW w:w="1134" w:type="dxa"/>
            <w:tcBorders>
              <w:top w:val="single" w:sz="8" w:space="0" w:color="000000" w:themeColor="text1"/>
              <w:left w:val="nil"/>
              <w:right w:val="nil"/>
            </w:tcBorders>
            <w:shd w:val="clear" w:color="auto" w:fill="auto"/>
          </w:tcPr>
          <w:p w:rsidR="00D20D7D" w:rsidRPr="00BE5BA6" w:rsidRDefault="00D20D7D" w:rsidP="00C46723">
            <w:pPr>
              <w:spacing w:line="360" w:lineRule="auto"/>
              <w:rPr>
                <w:rFonts w:ascii="Book Antiqua" w:hAnsi="Book Antiqua"/>
                <w:bCs/>
                <w:sz w:val="24"/>
              </w:rPr>
            </w:pPr>
            <w:r w:rsidRPr="00BE5BA6">
              <w:rPr>
                <w:rFonts w:ascii="Book Antiqua" w:hAnsi="Book Antiqua"/>
                <w:bCs/>
                <w:sz w:val="24"/>
              </w:rPr>
              <w:t>30-32</w:t>
            </w:r>
          </w:p>
        </w:tc>
      </w:tr>
      <w:tr w:rsidR="00E76B5D" w:rsidRPr="00BE5BA6" w:rsidTr="00FA5905">
        <w:tc>
          <w:tcPr>
            <w:tcW w:w="1276"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Boceprevir</w:t>
            </w:r>
          </w:p>
        </w:tc>
        <w:tc>
          <w:tcPr>
            <w:tcW w:w="1985"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1a/1b/unknown</w:t>
            </w:r>
          </w:p>
        </w:tc>
        <w:tc>
          <w:tcPr>
            <w:tcW w:w="127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24/32/44</w:t>
            </w:r>
            <w:r w:rsidR="00801ACB" w:rsidRPr="00BE5BA6">
              <w:rPr>
                <w:rFonts w:ascii="Book Antiqua" w:hAnsi="Book Antiqua"/>
                <w:sz w:val="24"/>
              </w:rPr>
              <w:t>w</w:t>
            </w:r>
            <w:r w:rsidR="00801ACB" w:rsidRPr="00BE5BA6">
              <w:rPr>
                <w:rFonts w:ascii="Book Antiqua" w:hAnsi="Book Antiqua" w:hint="eastAsia"/>
                <w:sz w:val="24"/>
              </w:rPr>
              <w:t>k</w:t>
            </w:r>
          </w:p>
        </w:tc>
        <w:tc>
          <w:tcPr>
            <w:tcW w:w="1559"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28/36/48</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60"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800mg(</w:t>
            </w:r>
            <w:r w:rsidRPr="00BE5BA6">
              <w:rPr>
                <w:rFonts w:ascii="Book Antiqua" w:hAnsi="Book Antiqua"/>
                <w:i/>
                <w:sz w:val="24"/>
              </w:rPr>
              <w:t>tid</w:t>
            </w:r>
            <w:r w:rsidRPr="00BE5BA6">
              <w:rPr>
                <w:rFonts w:ascii="Book Antiqua" w:hAnsi="Book Antiqua"/>
                <w:sz w:val="24"/>
              </w:rPr>
              <w:t>)</w:t>
            </w:r>
          </w:p>
        </w:tc>
        <w:tc>
          <w:tcPr>
            <w:tcW w:w="1701"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With</w:t>
            </w:r>
          </w:p>
        </w:tc>
        <w:tc>
          <w:tcPr>
            <w:tcW w:w="992"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2011</w:t>
            </w:r>
          </w:p>
        </w:tc>
        <w:tc>
          <w:tcPr>
            <w:tcW w:w="1134" w:type="dxa"/>
            <w:shd w:val="clear" w:color="auto" w:fill="auto"/>
          </w:tcPr>
          <w:p w:rsidR="00D20D7D" w:rsidRPr="00BE5BA6" w:rsidRDefault="00D20D7D" w:rsidP="00C46723">
            <w:pPr>
              <w:spacing w:line="360" w:lineRule="auto"/>
              <w:rPr>
                <w:rFonts w:ascii="Book Antiqua" w:hAnsi="Book Antiqua"/>
                <w:bCs/>
                <w:sz w:val="24"/>
              </w:rPr>
            </w:pPr>
            <w:r w:rsidRPr="00BE5BA6">
              <w:rPr>
                <w:rFonts w:ascii="Book Antiqua" w:hAnsi="Book Antiqua"/>
                <w:bCs/>
                <w:sz w:val="24"/>
              </w:rPr>
              <w:t>33-34</w:t>
            </w:r>
          </w:p>
        </w:tc>
      </w:tr>
      <w:tr w:rsidR="00E76B5D" w:rsidRPr="00BE5BA6" w:rsidTr="00FA5905">
        <w:tc>
          <w:tcPr>
            <w:tcW w:w="1276" w:type="dxa"/>
            <w:tcBorders>
              <w:left w:val="nil"/>
              <w:right w:val="nil"/>
            </w:tcBorders>
            <w:shd w:val="clear" w:color="auto" w:fill="auto"/>
          </w:tcPr>
          <w:p w:rsidR="00D20D7D" w:rsidRPr="00BE5BA6" w:rsidRDefault="00D20D7D" w:rsidP="00C46723">
            <w:pPr>
              <w:spacing w:line="360" w:lineRule="auto"/>
              <w:rPr>
                <w:rFonts w:ascii="Book Antiqua" w:hAnsi="Book Antiqua"/>
                <w:b/>
                <w:bCs/>
                <w:sz w:val="24"/>
              </w:rPr>
            </w:pPr>
            <w:bookmarkStart w:id="62" w:name="OLE_LINK5"/>
            <w:bookmarkStart w:id="63" w:name="OLE_LINK6"/>
            <w:r w:rsidRPr="00BE5BA6">
              <w:rPr>
                <w:rFonts w:ascii="Book Antiqua" w:hAnsi="Book Antiqua"/>
                <w:b/>
                <w:bCs/>
                <w:sz w:val="24"/>
              </w:rPr>
              <w:t>Daclatasvir</w:t>
            </w:r>
            <w:bookmarkEnd w:id="62"/>
            <w:bookmarkEnd w:id="63"/>
          </w:p>
        </w:tc>
        <w:tc>
          <w:tcPr>
            <w:tcW w:w="1985"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bookmarkStart w:id="64" w:name="OLE_LINK3"/>
            <w:bookmarkStart w:id="65" w:name="OLE_LINK4"/>
            <w:r w:rsidRPr="00BE5BA6">
              <w:rPr>
                <w:rFonts w:ascii="Book Antiqua" w:hAnsi="Book Antiqua"/>
                <w:sz w:val="24"/>
              </w:rPr>
              <w:t>1a/1b</w:t>
            </w:r>
            <w:bookmarkEnd w:id="64"/>
            <w:bookmarkEnd w:id="65"/>
          </w:p>
        </w:tc>
        <w:tc>
          <w:tcPr>
            <w:tcW w:w="1276"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24</w:t>
            </w:r>
            <w:r w:rsidR="00801ACB" w:rsidRPr="00BE5BA6">
              <w:rPr>
                <w:rFonts w:ascii="Book Antiqua" w:hAnsi="Book Antiqua"/>
                <w:sz w:val="24"/>
              </w:rPr>
              <w:t xml:space="preserve"> w</w:t>
            </w:r>
            <w:r w:rsidR="00801ACB" w:rsidRPr="00BE5BA6">
              <w:rPr>
                <w:rFonts w:ascii="Book Antiqua" w:hAnsi="Book Antiqua" w:hint="eastAsia"/>
                <w:sz w:val="24"/>
              </w:rPr>
              <w:t>k</w:t>
            </w:r>
          </w:p>
        </w:tc>
        <w:tc>
          <w:tcPr>
            <w:tcW w:w="1559"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24</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60"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60 mg (</w:t>
            </w:r>
            <w:r w:rsidRPr="00BE5BA6">
              <w:rPr>
                <w:rFonts w:ascii="Book Antiqua" w:hAnsi="Book Antiqua"/>
                <w:i/>
                <w:sz w:val="24"/>
              </w:rPr>
              <w:t>qd</w:t>
            </w:r>
            <w:r w:rsidRPr="00BE5BA6">
              <w:rPr>
                <w:rFonts w:ascii="Book Antiqua" w:hAnsi="Book Antiqua"/>
                <w:sz w:val="24"/>
              </w:rPr>
              <w:t xml:space="preserve">) </w:t>
            </w:r>
          </w:p>
        </w:tc>
        <w:tc>
          <w:tcPr>
            <w:tcW w:w="1701"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bCs/>
                <w:sz w:val="24"/>
              </w:rPr>
              <w:t>With or without</w:t>
            </w:r>
          </w:p>
        </w:tc>
        <w:tc>
          <w:tcPr>
            <w:tcW w:w="992"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2012</w:t>
            </w:r>
          </w:p>
        </w:tc>
        <w:tc>
          <w:tcPr>
            <w:tcW w:w="1134" w:type="dxa"/>
            <w:tcBorders>
              <w:left w:val="nil"/>
              <w:right w:val="nil"/>
            </w:tcBorders>
            <w:shd w:val="clear" w:color="auto" w:fill="auto"/>
          </w:tcPr>
          <w:p w:rsidR="00D20D7D" w:rsidRPr="00BE5BA6" w:rsidRDefault="00D20D7D" w:rsidP="00C46723">
            <w:pPr>
              <w:spacing w:line="360" w:lineRule="auto"/>
              <w:rPr>
                <w:rFonts w:ascii="Book Antiqua" w:hAnsi="Book Antiqua"/>
                <w:bCs/>
                <w:sz w:val="24"/>
              </w:rPr>
            </w:pPr>
            <w:r w:rsidRPr="00BE5BA6">
              <w:rPr>
                <w:rFonts w:ascii="Book Antiqua" w:hAnsi="Book Antiqua"/>
                <w:bCs/>
                <w:sz w:val="24"/>
              </w:rPr>
              <w:t>36</w:t>
            </w:r>
          </w:p>
        </w:tc>
      </w:tr>
      <w:tr w:rsidR="00E76B5D" w:rsidRPr="00BE5BA6" w:rsidTr="00FA5905">
        <w:tc>
          <w:tcPr>
            <w:tcW w:w="1276"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Asunaprevir</w:t>
            </w:r>
          </w:p>
        </w:tc>
        <w:tc>
          <w:tcPr>
            <w:tcW w:w="1985"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w:t>
            </w:r>
          </w:p>
        </w:tc>
        <w:tc>
          <w:tcPr>
            <w:tcW w:w="127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24</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59"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24</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60"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600 mg (</w:t>
            </w:r>
            <w:r w:rsidRPr="00BE5BA6">
              <w:rPr>
                <w:rFonts w:ascii="Book Antiqua" w:hAnsi="Book Antiqua"/>
                <w:i/>
                <w:sz w:val="24"/>
              </w:rPr>
              <w:t>bid</w:t>
            </w:r>
            <w:r w:rsidRPr="00BE5BA6">
              <w:rPr>
                <w:rFonts w:ascii="Book Antiqua" w:hAnsi="Book Antiqua"/>
                <w:sz w:val="24"/>
              </w:rPr>
              <w:t>)</w:t>
            </w:r>
          </w:p>
        </w:tc>
        <w:tc>
          <w:tcPr>
            <w:tcW w:w="1701"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bCs/>
                <w:sz w:val="24"/>
              </w:rPr>
              <w:t>With or without</w:t>
            </w:r>
          </w:p>
        </w:tc>
        <w:tc>
          <w:tcPr>
            <w:tcW w:w="992"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2012</w:t>
            </w:r>
          </w:p>
        </w:tc>
        <w:tc>
          <w:tcPr>
            <w:tcW w:w="1134" w:type="dxa"/>
            <w:shd w:val="clear" w:color="auto" w:fill="auto"/>
          </w:tcPr>
          <w:p w:rsidR="00D20D7D" w:rsidRPr="00BE5BA6" w:rsidRDefault="00D20D7D" w:rsidP="00C46723">
            <w:pPr>
              <w:spacing w:line="360" w:lineRule="auto"/>
              <w:rPr>
                <w:rFonts w:ascii="Book Antiqua" w:hAnsi="Book Antiqua"/>
                <w:bCs/>
                <w:sz w:val="24"/>
              </w:rPr>
            </w:pPr>
            <w:r w:rsidRPr="00BE5BA6">
              <w:rPr>
                <w:rFonts w:ascii="Book Antiqua" w:hAnsi="Book Antiqua"/>
                <w:bCs/>
                <w:sz w:val="24"/>
              </w:rPr>
              <w:t>36</w:t>
            </w:r>
          </w:p>
        </w:tc>
      </w:tr>
      <w:tr w:rsidR="00E76B5D" w:rsidRPr="00BE5BA6" w:rsidTr="00FA5905">
        <w:tc>
          <w:tcPr>
            <w:tcW w:w="1276" w:type="dxa"/>
            <w:tcBorders>
              <w:left w:val="nil"/>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Sofosbuvir</w:t>
            </w:r>
          </w:p>
        </w:tc>
        <w:tc>
          <w:tcPr>
            <w:tcW w:w="1985"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1/2/3</w:t>
            </w:r>
          </w:p>
        </w:tc>
        <w:tc>
          <w:tcPr>
            <w:tcW w:w="1276"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8/12</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59"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8/12</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60"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400 mg (</w:t>
            </w:r>
            <w:r w:rsidRPr="00BE5BA6">
              <w:rPr>
                <w:rFonts w:ascii="Book Antiqua" w:hAnsi="Book Antiqua"/>
                <w:i/>
                <w:sz w:val="24"/>
              </w:rPr>
              <w:t>qd</w:t>
            </w:r>
            <w:r w:rsidRPr="00BE5BA6">
              <w:rPr>
                <w:rFonts w:ascii="Book Antiqua" w:hAnsi="Book Antiqua"/>
                <w:sz w:val="24"/>
              </w:rPr>
              <w:t>)</w:t>
            </w:r>
          </w:p>
        </w:tc>
        <w:tc>
          <w:tcPr>
            <w:tcW w:w="1701"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bCs/>
                <w:sz w:val="24"/>
              </w:rPr>
              <w:t>Without</w:t>
            </w:r>
          </w:p>
        </w:tc>
        <w:tc>
          <w:tcPr>
            <w:tcW w:w="992"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2013</w:t>
            </w:r>
          </w:p>
        </w:tc>
        <w:tc>
          <w:tcPr>
            <w:tcW w:w="1134" w:type="dxa"/>
            <w:tcBorders>
              <w:left w:val="nil"/>
              <w:right w:val="nil"/>
            </w:tcBorders>
            <w:shd w:val="clear" w:color="auto" w:fill="auto"/>
          </w:tcPr>
          <w:p w:rsidR="00D20D7D" w:rsidRPr="00BE5BA6" w:rsidRDefault="00D20D7D" w:rsidP="00C46723">
            <w:pPr>
              <w:spacing w:line="360" w:lineRule="auto"/>
              <w:rPr>
                <w:rFonts w:ascii="Book Antiqua" w:hAnsi="Book Antiqua"/>
                <w:bCs/>
                <w:sz w:val="24"/>
              </w:rPr>
            </w:pPr>
            <w:r w:rsidRPr="00BE5BA6">
              <w:rPr>
                <w:rFonts w:ascii="Book Antiqua" w:hAnsi="Book Antiqua"/>
                <w:bCs/>
                <w:sz w:val="24"/>
              </w:rPr>
              <w:t>37</w:t>
            </w:r>
          </w:p>
        </w:tc>
      </w:tr>
      <w:tr w:rsidR="00E76B5D" w:rsidRPr="00BE5BA6" w:rsidTr="00FA5905">
        <w:tc>
          <w:tcPr>
            <w:tcW w:w="1276"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ABT-450</w:t>
            </w:r>
          </w:p>
        </w:tc>
        <w:tc>
          <w:tcPr>
            <w:tcW w:w="1985"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w:t>
            </w:r>
          </w:p>
        </w:tc>
        <w:tc>
          <w:tcPr>
            <w:tcW w:w="1276"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12</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59"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12</w:t>
            </w:r>
            <w:r w:rsidR="00386C11" w:rsidRPr="00BE5BA6">
              <w:rPr>
                <w:rFonts w:ascii="Book Antiqua" w:hAnsi="Book Antiqua"/>
                <w:sz w:val="24"/>
              </w:rPr>
              <w:t xml:space="preserve"> w</w:t>
            </w:r>
            <w:r w:rsidR="00386C11" w:rsidRPr="00BE5BA6">
              <w:rPr>
                <w:rFonts w:ascii="Book Antiqua" w:hAnsi="Book Antiqua" w:hint="eastAsia"/>
                <w:sz w:val="24"/>
              </w:rPr>
              <w:t>k</w:t>
            </w:r>
          </w:p>
        </w:tc>
        <w:tc>
          <w:tcPr>
            <w:tcW w:w="1560"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250/150 mg (</w:t>
            </w:r>
            <w:r w:rsidRPr="00BE5BA6">
              <w:rPr>
                <w:rFonts w:ascii="Book Antiqua" w:hAnsi="Book Antiqua"/>
                <w:i/>
                <w:sz w:val="24"/>
              </w:rPr>
              <w:t>qd</w:t>
            </w:r>
            <w:r w:rsidRPr="00BE5BA6">
              <w:rPr>
                <w:rFonts w:ascii="Book Antiqua" w:hAnsi="Book Antiqua"/>
                <w:sz w:val="24"/>
              </w:rPr>
              <w:t>)</w:t>
            </w:r>
          </w:p>
        </w:tc>
        <w:tc>
          <w:tcPr>
            <w:tcW w:w="1701"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bCs/>
                <w:sz w:val="24"/>
              </w:rPr>
              <w:t>Without</w:t>
            </w:r>
          </w:p>
        </w:tc>
        <w:tc>
          <w:tcPr>
            <w:tcW w:w="992"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2013</w:t>
            </w:r>
          </w:p>
        </w:tc>
        <w:tc>
          <w:tcPr>
            <w:tcW w:w="1134"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bCs/>
                <w:sz w:val="24"/>
              </w:rPr>
            </w:pPr>
            <w:r w:rsidRPr="00BE5BA6">
              <w:rPr>
                <w:rFonts w:ascii="Book Antiqua" w:hAnsi="Book Antiqua"/>
                <w:bCs/>
                <w:sz w:val="24"/>
              </w:rPr>
              <w:t>38</w:t>
            </w:r>
          </w:p>
        </w:tc>
      </w:tr>
    </w:tbl>
    <w:p w:rsidR="00D20D7D" w:rsidRPr="00E76B5D" w:rsidRDefault="00D20D7D" w:rsidP="00C46723">
      <w:pPr>
        <w:spacing w:line="360" w:lineRule="auto"/>
        <w:rPr>
          <w:rFonts w:ascii="Book Antiqua" w:hAnsi="Book Antiqua"/>
          <w:sz w:val="24"/>
        </w:rPr>
      </w:pPr>
      <w:r w:rsidRPr="00A817FA">
        <w:rPr>
          <w:rFonts w:ascii="Book Antiqua" w:hAnsi="Book Antiqua"/>
          <w:i/>
          <w:sz w:val="24"/>
        </w:rPr>
        <w:t>qd</w:t>
      </w:r>
      <w:r w:rsidRPr="00E76B5D">
        <w:rPr>
          <w:rFonts w:ascii="Book Antiqua" w:hAnsi="Book Antiqua"/>
          <w:sz w:val="24"/>
        </w:rPr>
        <w:t xml:space="preserve">: </w:t>
      </w:r>
      <w:bookmarkStart w:id="66" w:name="OLE_LINK37"/>
      <w:bookmarkStart w:id="67" w:name="OLE_LINK38"/>
      <w:r w:rsidR="00E31F7B" w:rsidRPr="00E76B5D">
        <w:rPr>
          <w:rFonts w:ascii="Book Antiqua" w:hAnsi="Book Antiqua"/>
          <w:sz w:val="24"/>
        </w:rPr>
        <w:t>O</w:t>
      </w:r>
      <w:r w:rsidRPr="00E76B5D">
        <w:rPr>
          <w:rFonts w:ascii="Book Antiqua" w:hAnsi="Book Antiqua"/>
          <w:sz w:val="24"/>
        </w:rPr>
        <w:t>nce daily</w:t>
      </w:r>
      <w:bookmarkEnd w:id="66"/>
      <w:bookmarkEnd w:id="67"/>
      <w:r w:rsidR="00E31F7B">
        <w:rPr>
          <w:rFonts w:ascii="Book Antiqua" w:hAnsi="Book Antiqua" w:hint="eastAsia"/>
          <w:sz w:val="24"/>
        </w:rPr>
        <w:t xml:space="preserve">; </w:t>
      </w:r>
      <w:r w:rsidRPr="00A817FA">
        <w:rPr>
          <w:rFonts w:ascii="Book Antiqua" w:hAnsi="Book Antiqua"/>
          <w:i/>
          <w:sz w:val="24"/>
        </w:rPr>
        <w:t>bid</w:t>
      </w:r>
      <w:r w:rsidRPr="00E76B5D">
        <w:rPr>
          <w:rFonts w:ascii="Book Antiqua" w:hAnsi="Book Antiqua"/>
          <w:sz w:val="24"/>
        </w:rPr>
        <w:t xml:space="preserve">: </w:t>
      </w:r>
      <w:r w:rsidR="00E31F7B" w:rsidRPr="00E76B5D">
        <w:rPr>
          <w:rFonts w:ascii="Book Antiqua" w:hAnsi="Book Antiqua"/>
          <w:sz w:val="24"/>
        </w:rPr>
        <w:t>T</w:t>
      </w:r>
      <w:r w:rsidRPr="00E76B5D">
        <w:rPr>
          <w:rFonts w:ascii="Book Antiqua" w:hAnsi="Book Antiqua"/>
          <w:sz w:val="24"/>
        </w:rPr>
        <w:t xml:space="preserve">wice daily; </w:t>
      </w:r>
      <w:r w:rsidRPr="00A817FA">
        <w:rPr>
          <w:rFonts w:ascii="Book Antiqua" w:hAnsi="Book Antiqua"/>
          <w:i/>
          <w:sz w:val="24"/>
        </w:rPr>
        <w:t>tid</w:t>
      </w:r>
      <w:r w:rsidRPr="00E76B5D">
        <w:rPr>
          <w:rFonts w:ascii="Book Antiqua" w:hAnsi="Book Antiqua"/>
          <w:sz w:val="24"/>
        </w:rPr>
        <w:t xml:space="preserve">: </w:t>
      </w:r>
      <w:r w:rsidR="00E31F7B" w:rsidRPr="00E76B5D">
        <w:rPr>
          <w:rFonts w:ascii="Book Antiqua" w:hAnsi="Book Antiqua"/>
          <w:sz w:val="24"/>
        </w:rPr>
        <w:t>T</w:t>
      </w:r>
      <w:r w:rsidRPr="00E76B5D">
        <w:rPr>
          <w:rFonts w:ascii="Book Antiqua" w:hAnsi="Book Antiqua"/>
          <w:sz w:val="24"/>
        </w:rPr>
        <w:t xml:space="preserve">hrice daily. </w:t>
      </w:r>
      <w:r w:rsidR="00921538">
        <w:rPr>
          <w:rFonts w:ascii="Book Antiqua" w:hAnsi="Book Antiqua"/>
          <w:sz w:val="24"/>
        </w:rPr>
        <w:t>DAA</w:t>
      </w:r>
      <w:r w:rsidR="00103171">
        <w:rPr>
          <w:rFonts w:ascii="Book Antiqua" w:hAnsi="Book Antiqua" w:hint="eastAsia"/>
          <w:sz w:val="24"/>
        </w:rPr>
        <w:t xml:space="preserve">: </w:t>
      </w:r>
      <w:r w:rsidR="00103171" w:rsidRPr="00103171">
        <w:rPr>
          <w:rFonts w:ascii="Book Antiqua" w:hAnsi="Book Antiqua"/>
          <w:sz w:val="24"/>
        </w:rPr>
        <w:t>Direct acting a</w:t>
      </w:r>
      <w:r w:rsidR="00921538">
        <w:rPr>
          <w:rFonts w:ascii="Book Antiqua" w:hAnsi="Book Antiqua"/>
          <w:sz w:val="24"/>
        </w:rPr>
        <w:t>ntiviral agent</w:t>
      </w:r>
      <w:r w:rsidR="00103171">
        <w:rPr>
          <w:rFonts w:ascii="Book Antiqua" w:hAnsi="Book Antiqua" w:hint="eastAsia"/>
          <w:sz w:val="24"/>
        </w:rPr>
        <w:t xml:space="preserve">; </w:t>
      </w:r>
      <w:r w:rsidR="00393DEB" w:rsidRPr="00E76B5D">
        <w:rPr>
          <w:rFonts w:ascii="Book Antiqua" w:hAnsi="Book Antiqua"/>
          <w:sz w:val="24"/>
        </w:rPr>
        <w:t>pegIFN-</w:t>
      </w:r>
      <w:r w:rsidR="00393DEB" w:rsidRPr="00E76B5D">
        <w:rPr>
          <w:rFonts w:ascii="Book Antiqua" w:hAnsi="Book Antiqua" w:cs="Arial"/>
          <w:sz w:val="24"/>
        </w:rPr>
        <w:t>α</w:t>
      </w:r>
      <w:r w:rsidR="00393DEB">
        <w:rPr>
          <w:rFonts w:ascii="Book Antiqua" w:hAnsi="Book Antiqua" w:cs="Arial" w:hint="eastAsia"/>
          <w:sz w:val="24"/>
        </w:rPr>
        <w:t xml:space="preserve">: </w:t>
      </w:r>
      <w:r w:rsidR="00393DEB" w:rsidRPr="00E76B5D">
        <w:rPr>
          <w:rFonts w:ascii="Book Antiqua" w:hAnsi="Book Antiqua"/>
          <w:sz w:val="24"/>
        </w:rPr>
        <w:t>Peginterferon-</w:t>
      </w:r>
      <w:r w:rsidR="00393DEB" w:rsidRPr="00E76B5D">
        <w:rPr>
          <w:rFonts w:ascii="Book Antiqua" w:hAnsi="Book Antiqua" w:cs="Arial"/>
          <w:sz w:val="24"/>
        </w:rPr>
        <w:t>α</w:t>
      </w:r>
      <w:r w:rsidR="00393DEB">
        <w:rPr>
          <w:rFonts w:ascii="Book Antiqua" w:hAnsi="Book Antiqua" w:cs="Arial" w:hint="eastAsia"/>
          <w:sz w:val="24"/>
        </w:rPr>
        <w:t>.</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Table 2 Overview of 95 hepatitis C patients under sofosbuvir regimen</w:t>
      </w:r>
    </w:p>
    <w:tbl>
      <w:tblPr>
        <w:tblW w:w="9215" w:type="dxa"/>
        <w:tblInd w:w="-451"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850"/>
        <w:gridCol w:w="993"/>
        <w:gridCol w:w="1276"/>
        <w:gridCol w:w="1559"/>
        <w:gridCol w:w="3686"/>
        <w:gridCol w:w="851"/>
      </w:tblGrid>
      <w:tr w:rsidR="00E76B5D" w:rsidRPr="00BE5BA6" w:rsidTr="00203582">
        <w:trPr>
          <w:trHeight w:val="589"/>
        </w:trPr>
        <w:tc>
          <w:tcPr>
            <w:tcW w:w="850" w:type="dxa"/>
            <w:tcBorders>
              <w:top w:val="single" w:sz="8" w:space="0" w:color="000000" w:themeColor="text1"/>
              <w:bottom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Group</w:t>
            </w:r>
          </w:p>
        </w:tc>
        <w:tc>
          <w:tcPr>
            <w:tcW w:w="993" w:type="dxa"/>
            <w:tcBorders>
              <w:top w:val="single" w:sz="8" w:space="0" w:color="000000" w:themeColor="text1"/>
              <w:bottom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Number</w:t>
            </w:r>
          </w:p>
        </w:tc>
        <w:tc>
          <w:tcPr>
            <w:tcW w:w="1276" w:type="dxa"/>
            <w:tcBorders>
              <w:top w:val="single" w:sz="8" w:space="0" w:color="000000" w:themeColor="text1"/>
              <w:bottom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Genotype(</w:t>
            </w:r>
            <w:r w:rsidRPr="00BE5BA6">
              <w:rPr>
                <w:rFonts w:ascii="Book Antiqua" w:hAnsi="Book Antiqua"/>
                <w:b/>
                <w:bCs/>
                <w:i/>
                <w:sz w:val="24"/>
              </w:rPr>
              <w:t>n</w:t>
            </w:r>
            <w:r w:rsidRPr="00BE5BA6">
              <w:rPr>
                <w:rFonts w:ascii="Book Antiqua" w:hAnsi="Book Antiqua"/>
                <w:b/>
                <w:bCs/>
                <w:sz w:val="24"/>
              </w:rPr>
              <w:t>)</w:t>
            </w:r>
          </w:p>
        </w:tc>
        <w:tc>
          <w:tcPr>
            <w:tcW w:w="1559" w:type="dxa"/>
            <w:tcBorders>
              <w:top w:val="single" w:sz="8" w:space="0" w:color="000000" w:themeColor="text1"/>
              <w:bottom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Status before treatment</w:t>
            </w:r>
          </w:p>
        </w:tc>
        <w:tc>
          <w:tcPr>
            <w:tcW w:w="3686" w:type="dxa"/>
            <w:tcBorders>
              <w:top w:val="single" w:sz="8" w:space="0" w:color="000000" w:themeColor="text1"/>
              <w:bottom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Therapeutic schedule</w:t>
            </w:r>
          </w:p>
        </w:tc>
        <w:tc>
          <w:tcPr>
            <w:tcW w:w="851" w:type="dxa"/>
            <w:tcBorders>
              <w:top w:val="single" w:sz="8" w:space="0" w:color="000000" w:themeColor="text1"/>
              <w:bottom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SVR rate</w:t>
            </w:r>
          </w:p>
        </w:tc>
      </w:tr>
      <w:tr w:rsidR="00E76B5D" w:rsidRPr="00BE5BA6" w:rsidTr="00203582">
        <w:trPr>
          <w:trHeight w:val="575"/>
        </w:trPr>
        <w:tc>
          <w:tcPr>
            <w:tcW w:w="850" w:type="dxa"/>
            <w:tcBorders>
              <w:top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 xml:space="preserve">1 </w:t>
            </w:r>
          </w:p>
        </w:tc>
        <w:tc>
          <w:tcPr>
            <w:tcW w:w="993" w:type="dxa"/>
            <w:tcBorders>
              <w:top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w:t>
            </w:r>
          </w:p>
        </w:tc>
        <w:tc>
          <w:tcPr>
            <w:tcW w:w="1276" w:type="dxa"/>
            <w:tcBorders>
              <w:top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2/3(4/6)</w:t>
            </w:r>
          </w:p>
        </w:tc>
        <w:tc>
          <w:tcPr>
            <w:tcW w:w="1559" w:type="dxa"/>
            <w:tcBorders>
              <w:top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3686" w:type="dxa"/>
            <w:tcBorders>
              <w:top w:val="single" w:sz="8" w:space="0" w:color="000000" w:themeColor="text1"/>
            </w:tcBorders>
            <w:shd w:val="clear" w:color="auto" w:fill="auto"/>
          </w:tcPr>
          <w:p w:rsidR="00D20D7D" w:rsidRPr="00BE5BA6" w:rsidRDefault="00D20D7D" w:rsidP="00CB3C1F">
            <w:pPr>
              <w:spacing w:line="360" w:lineRule="auto"/>
              <w:rPr>
                <w:rFonts w:ascii="Book Antiqua" w:hAnsi="Book Antiqua"/>
                <w:sz w:val="24"/>
              </w:rPr>
            </w:pPr>
            <w:r w:rsidRPr="00BE5BA6">
              <w:rPr>
                <w:rFonts w:ascii="Book Antiqua" w:hAnsi="Book Antiqua"/>
                <w:sz w:val="24"/>
              </w:rPr>
              <w:t>Sofosbuvir+RBV 12</w:t>
            </w:r>
            <w:r w:rsidR="00CB3C1F" w:rsidRPr="00BE5BA6">
              <w:rPr>
                <w:rFonts w:ascii="Book Antiqua" w:hAnsi="Book Antiqua" w:hint="eastAsia"/>
                <w:sz w:val="24"/>
              </w:rPr>
              <w:t>wk</w:t>
            </w:r>
          </w:p>
        </w:tc>
        <w:tc>
          <w:tcPr>
            <w:tcW w:w="851" w:type="dxa"/>
            <w:tcBorders>
              <w:top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100%</w:t>
            </w:r>
          </w:p>
        </w:tc>
      </w:tr>
      <w:tr w:rsidR="00E76B5D" w:rsidRPr="00BE5BA6" w:rsidTr="00203582">
        <w:trPr>
          <w:trHeight w:val="575"/>
        </w:trPr>
        <w:tc>
          <w:tcPr>
            <w:tcW w:w="850"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 xml:space="preserve">2 </w:t>
            </w:r>
          </w:p>
        </w:tc>
        <w:tc>
          <w:tcPr>
            <w:tcW w:w="993"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9</w:t>
            </w:r>
          </w:p>
        </w:tc>
        <w:tc>
          <w:tcPr>
            <w:tcW w:w="127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2/3(3/6)</w:t>
            </w:r>
          </w:p>
        </w:tc>
        <w:tc>
          <w:tcPr>
            <w:tcW w:w="1559"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368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(Sofosbuvir+RBV 12</w:t>
            </w:r>
            <w:r w:rsidR="00CB3C1F" w:rsidRPr="00BE5BA6">
              <w:rPr>
                <w:rFonts w:ascii="Book Antiqua" w:hAnsi="Book Antiqua" w:hint="eastAsia"/>
                <w:sz w:val="24"/>
              </w:rPr>
              <w:t xml:space="preserve"> wk</w:t>
            </w:r>
            <w:r w:rsidRPr="00BE5BA6">
              <w:rPr>
                <w:rFonts w:ascii="Book Antiqua" w:hAnsi="Book Antiqua"/>
                <w:sz w:val="24"/>
              </w:rPr>
              <w:t>)+pegIFNα-2a 4</w:t>
            </w:r>
            <w:r w:rsidR="00CB3C1F" w:rsidRPr="00BE5BA6">
              <w:rPr>
                <w:rFonts w:ascii="Book Antiqua" w:hAnsi="Book Antiqua" w:hint="eastAsia"/>
                <w:sz w:val="24"/>
              </w:rPr>
              <w:t xml:space="preserve"> wk</w:t>
            </w:r>
          </w:p>
        </w:tc>
        <w:tc>
          <w:tcPr>
            <w:tcW w:w="851"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100%</w:t>
            </w:r>
          </w:p>
        </w:tc>
      </w:tr>
      <w:tr w:rsidR="00E76B5D" w:rsidRPr="00BE5BA6" w:rsidTr="00203582">
        <w:trPr>
          <w:trHeight w:val="575"/>
        </w:trPr>
        <w:tc>
          <w:tcPr>
            <w:tcW w:w="850"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 xml:space="preserve">3 </w:t>
            </w:r>
          </w:p>
        </w:tc>
        <w:tc>
          <w:tcPr>
            <w:tcW w:w="993"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w:t>
            </w:r>
          </w:p>
        </w:tc>
        <w:tc>
          <w:tcPr>
            <w:tcW w:w="127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2/3(4/6)</w:t>
            </w:r>
          </w:p>
        </w:tc>
        <w:tc>
          <w:tcPr>
            <w:tcW w:w="1559"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368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(Sofosbuvir+RBV 12</w:t>
            </w:r>
            <w:r w:rsidR="00CB3C1F" w:rsidRPr="00BE5BA6">
              <w:rPr>
                <w:rFonts w:ascii="Book Antiqua" w:hAnsi="Book Antiqua" w:hint="eastAsia"/>
                <w:sz w:val="24"/>
              </w:rPr>
              <w:t xml:space="preserve"> wk</w:t>
            </w:r>
            <w:r w:rsidRPr="00BE5BA6">
              <w:rPr>
                <w:rFonts w:ascii="Book Antiqua" w:hAnsi="Book Antiqua"/>
                <w:sz w:val="24"/>
              </w:rPr>
              <w:t>)+ pegIFN</w:t>
            </w:r>
            <w:bookmarkStart w:id="68" w:name="OLE_LINK9"/>
            <w:bookmarkStart w:id="69" w:name="OLE_LINK10"/>
            <w:r w:rsidRPr="00BE5BA6">
              <w:rPr>
                <w:rFonts w:ascii="Book Antiqua" w:hAnsi="Book Antiqua"/>
                <w:sz w:val="24"/>
              </w:rPr>
              <w:t>α-2a</w:t>
            </w:r>
            <w:bookmarkEnd w:id="68"/>
            <w:bookmarkEnd w:id="69"/>
            <w:r w:rsidRPr="00BE5BA6">
              <w:rPr>
                <w:rFonts w:ascii="Book Antiqua" w:hAnsi="Book Antiqua"/>
                <w:sz w:val="24"/>
              </w:rPr>
              <w:t xml:space="preserve"> 8</w:t>
            </w:r>
            <w:r w:rsidR="00CB3C1F" w:rsidRPr="00BE5BA6">
              <w:rPr>
                <w:rFonts w:ascii="Book Antiqua" w:hAnsi="Book Antiqua" w:hint="eastAsia"/>
                <w:sz w:val="24"/>
              </w:rPr>
              <w:t xml:space="preserve"> wk</w:t>
            </w:r>
          </w:p>
        </w:tc>
        <w:tc>
          <w:tcPr>
            <w:tcW w:w="851"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100%</w:t>
            </w:r>
          </w:p>
        </w:tc>
      </w:tr>
      <w:tr w:rsidR="00E76B5D" w:rsidRPr="00BE5BA6" w:rsidTr="00203582">
        <w:trPr>
          <w:trHeight w:val="589"/>
        </w:trPr>
        <w:tc>
          <w:tcPr>
            <w:tcW w:w="850"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 xml:space="preserve">4 </w:t>
            </w:r>
          </w:p>
        </w:tc>
        <w:tc>
          <w:tcPr>
            <w:tcW w:w="993"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11</w:t>
            </w:r>
          </w:p>
        </w:tc>
        <w:tc>
          <w:tcPr>
            <w:tcW w:w="127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2/3(4/7)</w:t>
            </w:r>
          </w:p>
        </w:tc>
        <w:tc>
          <w:tcPr>
            <w:tcW w:w="1559"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368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Sofosbuvir+RBV+ pegIFNα-2a 12</w:t>
            </w:r>
            <w:r w:rsidR="00CB3C1F" w:rsidRPr="00BE5BA6">
              <w:rPr>
                <w:rFonts w:ascii="Book Antiqua" w:hAnsi="Book Antiqua" w:hint="eastAsia"/>
                <w:sz w:val="24"/>
              </w:rPr>
              <w:t xml:space="preserve"> wk</w:t>
            </w:r>
          </w:p>
        </w:tc>
        <w:tc>
          <w:tcPr>
            <w:tcW w:w="851"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100%</w:t>
            </w:r>
          </w:p>
        </w:tc>
      </w:tr>
      <w:tr w:rsidR="00E76B5D" w:rsidRPr="00BE5BA6" w:rsidTr="00203582">
        <w:trPr>
          <w:trHeight w:val="575"/>
        </w:trPr>
        <w:tc>
          <w:tcPr>
            <w:tcW w:w="850"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 xml:space="preserve">5 </w:t>
            </w:r>
          </w:p>
        </w:tc>
        <w:tc>
          <w:tcPr>
            <w:tcW w:w="993"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w:t>
            </w:r>
          </w:p>
        </w:tc>
        <w:tc>
          <w:tcPr>
            <w:tcW w:w="127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2/3(3/7)</w:t>
            </w:r>
          </w:p>
        </w:tc>
        <w:tc>
          <w:tcPr>
            <w:tcW w:w="1559"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368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Sofosbuvir 12</w:t>
            </w:r>
            <w:r w:rsidR="00CB3C1F" w:rsidRPr="00BE5BA6">
              <w:rPr>
                <w:rFonts w:ascii="Book Antiqua" w:hAnsi="Book Antiqua" w:hint="eastAsia"/>
                <w:sz w:val="24"/>
              </w:rPr>
              <w:t xml:space="preserve"> wk</w:t>
            </w:r>
          </w:p>
        </w:tc>
        <w:tc>
          <w:tcPr>
            <w:tcW w:w="851"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60%</w:t>
            </w:r>
          </w:p>
        </w:tc>
      </w:tr>
      <w:tr w:rsidR="00E76B5D" w:rsidRPr="00BE5BA6" w:rsidTr="00203582">
        <w:trPr>
          <w:trHeight w:val="575"/>
        </w:trPr>
        <w:tc>
          <w:tcPr>
            <w:tcW w:w="850"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 xml:space="preserve">6 </w:t>
            </w:r>
          </w:p>
        </w:tc>
        <w:tc>
          <w:tcPr>
            <w:tcW w:w="993"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w:t>
            </w:r>
          </w:p>
        </w:tc>
        <w:tc>
          <w:tcPr>
            <w:tcW w:w="127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2/3(0/10)</w:t>
            </w:r>
          </w:p>
        </w:tc>
        <w:tc>
          <w:tcPr>
            <w:tcW w:w="1559"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368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Sofosbuvir+RBV+pegIFN</w:t>
            </w:r>
            <w:bookmarkStart w:id="70" w:name="OLE_LINK19"/>
            <w:bookmarkStart w:id="71" w:name="OLE_LINK20"/>
            <w:r w:rsidRPr="00BE5BA6">
              <w:rPr>
                <w:rFonts w:ascii="Book Antiqua" w:hAnsi="Book Antiqua"/>
                <w:sz w:val="24"/>
              </w:rPr>
              <w:t>α</w:t>
            </w:r>
            <w:bookmarkEnd w:id="70"/>
            <w:bookmarkEnd w:id="71"/>
            <w:r w:rsidRPr="00BE5BA6">
              <w:rPr>
                <w:rFonts w:ascii="Book Antiqua" w:hAnsi="Book Antiqua"/>
                <w:sz w:val="24"/>
              </w:rPr>
              <w:t>-2a  8</w:t>
            </w:r>
            <w:r w:rsidR="00CB3C1F" w:rsidRPr="00BE5BA6">
              <w:rPr>
                <w:rFonts w:ascii="Book Antiqua" w:hAnsi="Book Antiqua" w:hint="eastAsia"/>
                <w:sz w:val="24"/>
              </w:rPr>
              <w:t xml:space="preserve"> wk</w:t>
            </w:r>
          </w:p>
        </w:tc>
        <w:tc>
          <w:tcPr>
            <w:tcW w:w="851"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100%</w:t>
            </w:r>
          </w:p>
        </w:tc>
      </w:tr>
      <w:tr w:rsidR="00E76B5D" w:rsidRPr="00BE5BA6" w:rsidTr="00203582">
        <w:trPr>
          <w:trHeight w:val="589"/>
        </w:trPr>
        <w:tc>
          <w:tcPr>
            <w:tcW w:w="850"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7</w:t>
            </w:r>
          </w:p>
        </w:tc>
        <w:tc>
          <w:tcPr>
            <w:tcW w:w="993"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w:t>
            </w:r>
          </w:p>
        </w:tc>
        <w:tc>
          <w:tcPr>
            <w:tcW w:w="127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1a/1b(9/1)</w:t>
            </w:r>
          </w:p>
        </w:tc>
        <w:tc>
          <w:tcPr>
            <w:tcW w:w="1559"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No response to prior therapy</w:t>
            </w:r>
          </w:p>
        </w:tc>
        <w:tc>
          <w:tcPr>
            <w:tcW w:w="3686"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Sofosbuvir+RBV  12</w:t>
            </w:r>
            <w:r w:rsidR="00CB3C1F" w:rsidRPr="00BE5BA6">
              <w:rPr>
                <w:rFonts w:ascii="Book Antiqua" w:hAnsi="Book Antiqua" w:hint="eastAsia"/>
                <w:sz w:val="24"/>
              </w:rPr>
              <w:t xml:space="preserve"> wk</w:t>
            </w:r>
          </w:p>
        </w:tc>
        <w:tc>
          <w:tcPr>
            <w:tcW w:w="851"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10%</w:t>
            </w:r>
          </w:p>
        </w:tc>
      </w:tr>
      <w:tr w:rsidR="00E76B5D" w:rsidRPr="00BE5BA6" w:rsidTr="00203582">
        <w:trPr>
          <w:trHeight w:val="575"/>
        </w:trPr>
        <w:tc>
          <w:tcPr>
            <w:tcW w:w="850"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8</w:t>
            </w:r>
          </w:p>
        </w:tc>
        <w:tc>
          <w:tcPr>
            <w:tcW w:w="993"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25</w:t>
            </w:r>
          </w:p>
        </w:tc>
        <w:tc>
          <w:tcPr>
            <w:tcW w:w="1276"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1a/1b(22/3)</w:t>
            </w:r>
          </w:p>
        </w:tc>
        <w:tc>
          <w:tcPr>
            <w:tcW w:w="1559"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3686"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Sofosbuvir+RBV  12</w:t>
            </w:r>
            <w:r w:rsidR="00CB3C1F" w:rsidRPr="00BE5BA6">
              <w:rPr>
                <w:rFonts w:ascii="Book Antiqua" w:hAnsi="Book Antiqua" w:hint="eastAsia"/>
                <w:sz w:val="24"/>
              </w:rPr>
              <w:t xml:space="preserve"> wk</w:t>
            </w:r>
          </w:p>
        </w:tc>
        <w:tc>
          <w:tcPr>
            <w:tcW w:w="851" w:type="dxa"/>
            <w:tcBorders>
              <w:bottom w:val="single" w:sz="8" w:space="0" w:color="000000" w:themeColor="text1"/>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84%</w:t>
            </w:r>
          </w:p>
        </w:tc>
      </w:tr>
    </w:tbl>
    <w:p w:rsidR="00D20D7D" w:rsidRPr="00E76B5D" w:rsidRDefault="00A817FA" w:rsidP="00C46723">
      <w:pPr>
        <w:spacing w:line="360" w:lineRule="auto"/>
        <w:rPr>
          <w:rFonts w:ascii="Book Antiqua" w:hAnsi="Book Antiqua"/>
          <w:sz w:val="24"/>
        </w:rPr>
      </w:pPr>
      <w:r w:rsidRPr="00A817FA">
        <w:rPr>
          <w:rFonts w:ascii="Book Antiqua" w:hAnsi="Book Antiqua"/>
          <w:i/>
          <w:sz w:val="24"/>
        </w:rPr>
        <w:t>qd</w:t>
      </w:r>
      <w:r w:rsidRPr="00E76B5D">
        <w:rPr>
          <w:rFonts w:ascii="Book Antiqua" w:hAnsi="Book Antiqua"/>
          <w:sz w:val="24"/>
        </w:rPr>
        <w:t>: Once daily</w:t>
      </w:r>
      <w:r>
        <w:rPr>
          <w:rFonts w:ascii="Book Antiqua" w:hAnsi="Book Antiqua" w:hint="eastAsia"/>
          <w:sz w:val="24"/>
        </w:rPr>
        <w:t xml:space="preserve">; </w:t>
      </w:r>
      <w:r w:rsidRPr="00A817FA">
        <w:rPr>
          <w:rFonts w:ascii="Book Antiqua" w:hAnsi="Book Antiqua"/>
          <w:i/>
          <w:sz w:val="24"/>
        </w:rPr>
        <w:t>bid</w:t>
      </w:r>
      <w:r w:rsidRPr="00E76B5D">
        <w:rPr>
          <w:rFonts w:ascii="Book Antiqua" w:hAnsi="Book Antiqua"/>
          <w:sz w:val="24"/>
        </w:rPr>
        <w:t xml:space="preserve">: Twice daily; </w:t>
      </w:r>
      <w:r w:rsidRPr="00A817FA">
        <w:rPr>
          <w:rFonts w:ascii="Book Antiqua" w:hAnsi="Book Antiqua"/>
          <w:i/>
          <w:sz w:val="24"/>
        </w:rPr>
        <w:t>tid</w:t>
      </w:r>
      <w:r w:rsidRPr="00E76B5D">
        <w:rPr>
          <w:rFonts w:ascii="Book Antiqua" w:hAnsi="Book Antiqua"/>
          <w:sz w:val="24"/>
        </w:rPr>
        <w:t>: Thrice daily.</w:t>
      </w:r>
      <w:r>
        <w:rPr>
          <w:rFonts w:ascii="Book Antiqua" w:hAnsi="Book Antiqua" w:hint="eastAsia"/>
          <w:sz w:val="24"/>
        </w:rPr>
        <w:t xml:space="preserve"> </w:t>
      </w:r>
      <w:r w:rsidR="00B325FF" w:rsidRPr="00B325FF">
        <w:rPr>
          <w:rFonts w:ascii="Book Antiqua" w:hAnsi="Book Antiqua"/>
          <w:i/>
          <w:sz w:val="24"/>
        </w:rPr>
        <w:t>qw</w:t>
      </w:r>
      <w:r w:rsidR="00B325FF" w:rsidRPr="00B325FF">
        <w:rPr>
          <w:rFonts w:ascii="Book Antiqua" w:hAnsi="Book Antiqua"/>
          <w:sz w:val="24"/>
        </w:rPr>
        <w:t>: Once weekly</w:t>
      </w:r>
      <w:r w:rsidR="0027261E">
        <w:rPr>
          <w:rFonts w:ascii="Book Antiqua" w:hAnsi="Book Antiqua" w:hint="eastAsia"/>
          <w:sz w:val="24"/>
        </w:rPr>
        <w:t xml:space="preserve">; </w:t>
      </w:r>
      <w:r w:rsidR="0027261E" w:rsidRPr="0027261E">
        <w:rPr>
          <w:rFonts w:ascii="Book Antiqua" w:hAnsi="Book Antiqua"/>
          <w:sz w:val="24"/>
        </w:rPr>
        <w:t>SVR</w:t>
      </w:r>
      <w:r w:rsidR="0027261E">
        <w:rPr>
          <w:rFonts w:ascii="Book Antiqua" w:hAnsi="Book Antiqua" w:hint="eastAsia"/>
          <w:sz w:val="24"/>
        </w:rPr>
        <w:t xml:space="preserve">: </w:t>
      </w:r>
      <w:r w:rsidR="0027261E" w:rsidRPr="0027261E">
        <w:rPr>
          <w:rFonts w:ascii="Book Antiqua" w:hAnsi="Book Antiqua"/>
          <w:sz w:val="24"/>
        </w:rPr>
        <w:t>Sustained virologic response</w:t>
      </w:r>
      <w:r w:rsidR="0027261E">
        <w:rPr>
          <w:rFonts w:ascii="Book Antiqua" w:hAnsi="Book Antiqua" w:hint="eastAsia"/>
          <w:sz w:val="24"/>
        </w:rPr>
        <w:t xml:space="preserve">; </w:t>
      </w:r>
      <w:r w:rsidR="00D20D7D" w:rsidRPr="00E76B5D">
        <w:rPr>
          <w:rFonts w:ascii="Book Antiqua" w:hAnsi="Book Antiqua"/>
          <w:sz w:val="24"/>
        </w:rPr>
        <w:t>The dose of sofosbuvir is 400</w:t>
      </w:r>
      <w:r w:rsidR="00FB1C0D">
        <w:rPr>
          <w:rFonts w:ascii="Book Antiqua" w:hAnsi="Book Antiqua" w:hint="eastAsia"/>
          <w:sz w:val="24"/>
        </w:rPr>
        <w:t xml:space="preserve"> </w:t>
      </w:r>
      <w:r w:rsidR="00D20D7D" w:rsidRPr="00E76B5D">
        <w:rPr>
          <w:rFonts w:ascii="Book Antiqua" w:hAnsi="Book Antiqua"/>
          <w:sz w:val="24"/>
        </w:rPr>
        <w:t>mg</w:t>
      </w:r>
      <w:r w:rsidR="00FB1C0D">
        <w:rPr>
          <w:rFonts w:ascii="Book Antiqua" w:hAnsi="Book Antiqua" w:hint="eastAsia"/>
          <w:sz w:val="24"/>
        </w:rPr>
        <w:t xml:space="preserve"> </w:t>
      </w:r>
      <w:r w:rsidR="00D20D7D" w:rsidRPr="00E76B5D">
        <w:rPr>
          <w:rFonts w:ascii="Book Antiqua" w:hAnsi="Book Antiqua"/>
          <w:sz w:val="24"/>
        </w:rPr>
        <w:t>(</w:t>
      </w:r>
      <w:r w:rsidR="00D20D7D" w:rsidRPr="00A817FA">
        <w:rPr>
          <w:rFonts w:ascii="Book Antiqua" w:hAnsi="Book Antiqua"/>
          <w:i/>
          <w:sz w:val="24"/>
        </w:rPr>
        <w:t>qd</w:t>
      </w:r>
      <w:r w:rsidR="00D20D7D" w:rsidRPr="00E76B5D">
        <w:rPr>
          <w:rFonts w:ascii="Book Antiqua" w:hAnsi="Book Antiqua"/>
          <w:sz w:val="24"/>
        </w:rPr>
        <w:t xml:space="preserve">), </w:t>
      </w:r>
      <w:r w:rsidR="00973F50">
        <w:rPr>
          <w:rFonts w:ascii="Book Antiqua" w:hAnsi="Book Antiqua"/>
          <w:sz w:val="24"/>
        </w:rPr>
        <w:t>Peginterferon</w:t>
      </w:r>
      <w:r w:rsidR="00973F50">
        <w:rPr>
          <w:rFonts w:ascii="Book Antiqua" w:hAnsi="Book Antiqua" w:hint="eastAsia"/>
          <w:sz w:val="24"/>
        </w:rPr>
        <w:t xml:space="preserve"> </w:t>
      </w:r>
      <w:r w:rsidR="00973F50" w:rsidRPr="00E76B5D">
        <w:rPr>
          <w:rFonts w:ascii="Book Antiqua" w:hAnsi="Book Antiqua" w:cs="Arial"/>
          <w:sz w:val="24"/>
        </w:rPr>
        <w:t>α</w:t>
      </w:r>
      <w:r w:rsidR="00973F50">
        <w:rPr>
          <w:rFonts w:ascii="Book Antiqua" w:hAnsi="Book Antiqua" w:cs="Arial" w:hint="eastAsia"/>
          <w:sz w:val="24"/>
        </w:rPr>
        <w:t xml:space="preserve"> (</w:t>
      </w:r>
      <w:r w:rsidR="00D20D7D" w:rsidRPr="00E76B5D">
        <w:rPr>
          <w:rFonts w:ascii="Book Antiqua" w:hAnsi="Book Antiqua"/>
          <w:sz w:val="24"/>
        </w:rPr>
        <w:t>pegIFN α</w:t>
      </w:r>
      <w:r w:rsidR="00973F50">
        <w:rPr>
          <w:rFonts w:ascii="Book Antiqua" w:hAnsi="Book Antiqua" w:hint="eastAsia"/>
          <w:sz w:val="24"/>
        </w:rPr>
        <w:t>)</w:t>
      </w:r>
      <w:r w:rsidR="00D20D7D" w:rsidRPr="00E76B5D">
        <w:rPr>
          <w:rFonts w:ascii="Book Antiqua" w:hAnsi="Book Antiqua"/>
          <w:sz w:val="24"/>
        </w:rPr>
        <w:t>-2a is 180</w:t>
      </w:r>
      <w:r w:rsidR="00F56A1C">
        <w:rPr>
          <w:rFonts w:ascii="Book Antiqua" w:hAnsi="Book Antiqua" w:hint="eastAsia"/>
          <w:sz w:val="24"/>
        </w:rPr>
        <w:t xml:space="preserve"> </w:t>
      </w:r>
      <w:r w:rsidR="00D20D7D" w:rsidRPr="00E76B5D">
        <w:rPr>
          <w:rFonts w:ascii="Book Antiqua" w:hAnsi="Book Antiqua"/>
          <w:sz w:val="24"/>
        </w:rPr>
        <w:t>μg (</w:t>
      </w:r>
      <w:r w:rsidR="00D20D7D" w:rsidRPr="007A501B">
        <w:rPr>
          <w:rFonts w:ascii="Book Antiqua" w:hAnsi="Book Antiqua"/>
          <w:i/>
          <w:sz w:val="24"/>
        </w:rPr>
        <w:t>qw</w:t>
      </w:r>
      <w:r w:rsidR="00D20D7D" w:rsidRPr="00E76B5D">
        <w:rPr>
          <w:rFonts w:ascii="Book Antiqua" w:hAnsi="Book Antiqua"/>
          <w:sz w:val="24"/>
        </w:rPr>
        <w:t xml:space="preserve">), </w:t>
      </w:r>
      <w:r w:rsidR="005B125A" w:rsidRPr="005B125A">
        <w:rPr>
          <w:rFonts w:ascii="Book Antiqua" w:hAnsi="Book Antiqua"/>
          <w:sz w:val="24"/>
        </w:rPr>
        <w:t>ribavirin</w:t>
      </w:r>
      <w:r w:rsidR="00E73D4C" w:rsidRPr="00E73D4C">
        <w:rPr>
          <w:rFonts w:ascii="Book Antiqua" w:hAnsi="Book Antiqua"/>
          <w:sz w:val="24"/>
        </w:rPr>
        <w:t xml:space="preserve"> (RBV)</w:t>
      </w:r>
      <w:r w:rsidR="00D20D7D" w:rsidRPr="00E76B5D">
        <w:rPr>
          <w:rFonts w:ascii="Book Antiqua" w:hAnsi="Book Antiqua"/>
          <w:sz w:val="24"/>
        </w:rPr>
        <w:t xml:space="preserve"> is 500mg</w:t>
      </w:r>
      <w:r w:rsidR="009C489A">
        <w:rPr>
          <w:rFonts w:ascii="Book Antiqua" w:hAnsi="Book Antiqua" w:hint="eastAsia"/>
          <w:sz w:val="24"/>
        </w:rPr>
        <w:t xml:space="preserve"> </w:t>
      </w:r>
      <w:r w:rsidR="00D20D7D" w:rsidRPr="00E76B5D">
        <w:rPr>
          <w:rFonts w:ascii="Book Antiqua" w:hAnsi="Book Antiqua"/>
          <w:sz w:val="24"/>
        </w:rPr>
        <w:t>(</w:t>
      </w:r>
      <w:r w:rsidR="00D20D7D" w:rsidRPr="00A817FA">
        <w:rPr>
          <w:rFonts w:ascii="Book Antiqua" w:hAnsi="Book Antiqua"/>
          <w:i/>
          <w:sz w:val="24"/>
        </w:rPr>
        <w:t>bid</w:t>
      </w:r>
      <w:r w:rsidR="00D20D7D" w:rsidRPr="00E76B5D">
        <w:rPr>
          <w:rFonts w:ascii="Book Antiqua" w:hAnsi="Book Antiqua"/>
          <w:sz w:val="24"/>
        </w:rPr>
        <w:t xml:space="preserve">) for patients with </w:t>
      </w:r>
      <w:r w:rsidR="004A2B4D" w:rsidRPr="00E76B5D">
        <w:rPr>
          <w:rFonts w:ascii="Book Antiqua" w:hAnsi="Book Antiqua"/>
          <w:sz w:val="24"/>
        </w:rPr>
        <w:t>body weight</w:t>
      </w:r>
      <w:r>
        <w:rPr>
          <w:rFonts w:ascii="Book Antiqua" w:hAnsi="Book Antiqua" w:hint="eastAsia"/>
          <w:sz w:val="24"/>
        </w:rPr>
        <w:t xml:space="preserve"> </w:t>
      </w:r>
      <w:r w:rsidR="00D20D7D" w:rsidRPr="00E76B5D">
        <w:rPr>
          <w:rFonts w:ascii="Book Antiqua" w:hAnsi="Book Antiqua"/>
          <w:sz w:val="24"/>
        </w:rPr>
        <w:t>&lt;</w:t>
      </w:r>
      <w:r>
        <w:rPr>
          <w:rFonts w:ascii="Book Antiqua" w:hAnsi="Book Antiqua" w:hint="eastAsia"/>
          <w:sz w:val="24"/>
        </w:rPr>
        <w:t xml:space="preserve"> </w:t>
      </w:r>
      <w:r w:rsidR="00D20D7D" w:rsidRPr="00E76B5D">
        <w:rPr>
          <w:rFonts w:ascii="Book Antiqua" w:hAnsi="Book Antiqua"/>
          <w:sz w:val="24"/>
        </w:rPr>
        <w:t>75</w:t>
      </w:r>
      <w:r w:rsidR="00806F13">
        <w:rPr>
          <w:rFonts w:ascii="Book Antiqua" w:hAnsi="Book Antiqua" w:hint="eastAsia"/>
          <w:sz w:val="24"/>
        </w:rPr>
        <w:t xml:space="preserve"> </w:t>
      </w:r>
      <w:r w:rsidR="00BE5BA6" w:rsidRPr="00E76B5D">
        <w:rPr>
          <w:rFonts w:ascii="Book Antiqua" w:hAnsi="Book Antiqua"/>
          <w:sz w:val="24"/>
        </w:rPr>
        <w:t>k</w:t>
      </w:r>
      <w:r w:rsidR="00D20D7D" w:rsidRPr="00E76B5D">
        <w:rPr>
          <w:rFonts w:ascii="Book Antiqua" w:hAnsi="Book Antiqua"/>
          <w:sz w:val="24"/>
        </w:rPr>
        <w:t>g, and RBV is 600</w:t>
      </w:r>
      <w:r w:rsidR="00806F13">
        <w:rPr>
          <w:rFonts w:ascii="Book Antiqua" w:hAnsi="Book Antiqua" w:hint="eastAsia"/>
          <w:sz w:val="24"/>
        </w:rPr>
        <w:t xml:space="preserve"> </w:t>
      </w:r>
      <w:r w:rsidR="00D20D7D" w:rsidRPr="00E76B5D">
        <w:rPr>
          <w:rFonts w:ascii="Book Antiqua" w:hAnsi="Book Antiqua"/>
          <w:sz w:val="24"/>
        </w:rPr>
        <w:t>mg</w:t>
      </w:r>
      <w:r w:rsidR="009C489A">
        <w:rPr>
          <w:rFonts w:ascii="Book Antiqua" w:hAnsi="Book Antiqua" w:hint="eastAsia"/>
          <w:sz w:val="24"/>
        </w:rPr>
        <w:t xml:space="preserve"> </w:t>
      </w:r>
      <w:r w:rsidR="00D20D7D" w:rsidRPr="00E76B5D">
        <w:rPr>
          <w:rFonts w:ascii="Book Antiqua" w:hAnsi="Book Antiqua"/>
          <w:sz w:val="24"/>
        </w:rPr>
        <w:t>(</w:t>
      </w:r>
      <w:r w:rsidR="00D20D7D" w:rsidRPr="00A817FA">
        <w:rPr>
          <w:rFonts w:ascii="Book Antiqua" w:hAnsi="Book Antiqua"/>
          <w:i/>
          <w:sz w:val="24"/>
        </w:rPr>
        <w:t>bid</w:t>
      </w:r>
      <w:r w:rsidR="00D20D7D" w:rsidRPr="00E76B5D">
        <w:rPr>
          <w:rFonts w:ascii="Book Antiqua" w:hAnsi="Book Antiqua"/>
          <w:sz w:val="24"/>
        </w:rPr>
        <w:t xml:space="preserve">) for patients with </w:t>
      </w:r>
      <w:r w:rsidR="004A2B4D" w:rsidRPr="00E76B5D">
        <w:rPr>
          <w:rFonts w:ascii="Book Antiqua" w:hAnsi="Book Antiqua"/>
          <w:sz w:val="24"/>
        </w:rPr>
        <w:t>body weight</w:t>
      </w:r>
      <w:r>
        <w:rPr>
          <w:rFonts w:ascii="Book Antiqua" w:hAnsi="Book Antiqua" w:hint="eastAsia"/>
          <w:sz w:val="24"/>
        </w:rPr>
        <w:t xml:space="preserve"> </w:t>
      </w:r>
      <w:r w:rsidR="00D20D7D" w:rsidRPr="00E76B5D">
        <w:rPr>
          <w:rFonts w:ascii="Book Antiqua" w:hAnsi="Book Antiqua"/>
          <w:sz w:val="24"/>
        </w:rPr>
        <w:t>&gt;</w:t>
      </w:r>
      <w:r>
        <w:rPr>
          <w:rFonts w:ascii="Book Antiqua" w:hAnsi="Book Antiqua" w:hint="eastAsia"/>
          <w:sz w:val="24"/>
        </w:rPr>
        <w:t xml:space="preserve"> </w:t>
      </w:r>
      <w:r w:rsidR="00D20D7D" w:rsidRPr="00E76B5D">
        <w:rPr>
          <w:rFonts w:ascii="Book Antiqua" w:hAnsi="Book Antiqua"/>
          <w:sz w:val="24"/>
        </w:rPr>
        <w:t>75</w:t>
      </w:r>
      <w:r w:rsidR="00BE5BA6">
        <w:rPr>
          <w:rFonts w:ascii="Book Antiqua" w:hAnsi="Book Antiqua"/>
          <w:sz w:val="24"/>
        </w:rPr>
        <w:t xml:space="preserve"> </w:t>
      </w:r>
      <w:r w:rsidR="00BE5BA6" w:rsidRPr="00E76B5D">
        <w:rPr>
          <w:rFonts w:ascii="Book Antiqua" w:hAnsi="Book Antiqua"/>
          <w:sz w:val="24"/>
        </w:rPr>
        <w:t>k</w:t>
      </w:r>
      <w:r w:rsidR="00D20D7D" w:rsidRPr="00E76B5D">
        <w:rPr>
          <w:rFonts w:ascii="Book Antiqua" w:hAnsi="Book Antiqua"/>
          <w:sz w:val="24"/>
        </w:rPr>
        <w:t>g.</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Table 3 Overview of 50 hepatitis C patients under ABT-450 regimen</w:t>
      </w:r>
    </w:p>
    <w:tbl>
      <w:tblPr>
        <w:tblW w:w="11199" w:type="dxa"/>
        <w:tblInd w:w="-1310" w:type="dxa"/>
        <w:tblBorders>
          <w:top w:val="single" w:sz="8" w:space="0" w:color="8064A2"/>
          <w:bottom w:val="single" w:sz="8" w:space="0" w:color="8064A2"/>
        </w:tblBorders>
        <w:tblLayout w:type="fixed"/>
        <w:tblLook w:val="04A0" w:firstRow="1" w:lastRow="0" w:firstColumn="1" w:lastColumn="0" w:noHBand="0" w:noVBand="1"/>
      </w:tblPr>
      <w:tblGrid>
        <w:gridCol w:w="851"/>
        <w:gridCol w:w="993"/>
        <w:gridCol w:w="1275"/>
        <w:gridCol w:w="1418"/>
        <w:gridCol w:w="2835"/>
        <w:gridCol w:w="2697"/>
        <w:gridCol w:w="1130"/>
      </w:tblGrid>
      <w:tr w:rsidR="00E76B5D" w:rsidRPr="00BE5BA6" w:rsidTr="00194689">
        <w:trPr>
          <w:trHeight w:val="589"/>
        </w:trPr>
        <w:tc>
          <w:tcPr>
            <w:tcW w:w="851" w:type="dxa"/>
            <w:tcBorders>
              <w:top w:val="single" w:sz="8" w:space="0" w:color="8064A2"/>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Group</w:t>
            </w:r>
          </w:p>
        </w:tc>
        <w:tc>
          <w:tcPr>
            <w:tcW w:w="993" w:type="dxa"/>
            <w:tcBorders>
              <w:top w:val="single" w:sz="8" w:space="0" w:color="8064A2"/>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Number</w:t>
            </w:r>
          </w:p>
        </w:tc>
        <w:tc>
          <w:tcPr>
            <w:tcW w:w="1275" w:type="dxa"/>
            <w:tcBorders>
              <w:top w:val="single" w:sz="8" w:space="0" w:color="8064A2"/>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Genotype(</w:t>
            </w:r>
            <w:r w:rsidRPr="00BE5BA6">
              <w:rPr>
                <w:rFonts w:ascii="Book Antiqua" w:hAnsi="Book Antiqua"/>
                <w:b/>
                <w:bCs/>
                <w:i/>
                <w:sz w:val="24"/>
              </w:rPr>
              <w:t>n</w:t>
            </w:r>
            <w:r w:rsidRPr="00BE5BA6">
              <w:rPr>
                <w:rFonts w:ascii="Book Antiqua" w:hAnsi="Book Antiqua"/>
                <w:b/>
                <w:bCs/>
                <w:sz w:val="24"/>
              </w:rPr>
              <w:t>)</w:t>
            </w:r>
          </w:p>
        </w:tc>
        <w:tc>
          <w:tcPr>
            <w:tcW w:w="1418" w:type="dxa"/>
            <w:tcBorders>
              <w:top w:val="single" w:sz="8" w:space="0" w:color="8064A2"/>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Status before treatment</w:t>
            </w:r>
          </w:p>
        </w:tc>
        <w:tc>
          <w:tcPr>
            <w:tcW w:w="2835" w:type="dxa"/>
            <w:tcBorders>
              <w:top w:val="single" w:sz="8" w:space="0" w:color="8064A2"/>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Therapeutic schedule</w:t>
            </w:r>
          </w:p>
        </w:tc>
        <w:tc>
          <w:tcPr>
            <w:tcW w:w="2697" w:type="dxa"/>
            <w:tcBorders>
              <w:top w:val="single" w:sz="8" w:space="0" w:color="8064A2"/>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Usage</w:t>
            </w:r>
          </w:p>
        </w:tc>
        <w:tc>
          <w:tcPr>
            <w:tcW w:w="1130" w:type="dxa"/>
            <w:tcBorders>
              <w:top w:val="single" w:sz="8" w:space="0" w:color="8064A2"/>
              <w:left w:val="nil"/>
              <w:bottom w:val="single" w:sz="8" w:space="0" w:color="8064A2"/>
              <w:right w:val="nil"/>
            </w:tcBorders>
            <w:shd w:val="clear" w:color="auto" w:fill="auto"/>
          </w:tcPr>
          <w:p w:rsidR="00D20D7D" w:rsidRPr="00BE5BA6" w:rsidRDefault="00D20D7D" w:rsidP="00FD4368">
            <w:pPr>
              <w:spacing w:line="360" w:lineRule="auto"/>
              <w:rPr>
                <w:rFonts w:ascii="Book Antiqua" w:hAnsi="Book Antiqua"/>
                <w:b/>
                <w:bCs/>
                <w:sz w:val="24"/>
              </w:rPr>
            </w:pPr>
            <w:r w:rsidRPr="00BE5BA6">
              <w:rPr>
                <w:rFonts w:ascii="Book Antiqua" w:hAnsi="Book Antiqua"/>
                <w:b/>
                <w:bCs/>
                <w:sz w:val="24"/>
              </w:rPr>
              <w:t>SVR</w:t>
            </w:r>
            <w:r w:rsidR="00FD4368" w:rsidRPr="00BE5BA6">
              <w:rPr>
                <w:rFonts w:ascii="Book Antiqua" w:hAnsi="Book Antiqua" w:hint="eastAsia"/>
                <w:b/>
                <w:bCs/>
                <w:sz w:val="24"/>
                <w:vertAlign w:val="superscript"/>
              </w:rPr>
              <w:t>2</w:t>
            </w:r>
            <w:r w:rsidR="00FD4368" w:rsidRPr="00BE5BA6">
              <w:rPr>
                <w:rFonts w:ascii="Book Antiqua" w:hAnsi="Book Antiqua" w:hint="eastAsia"/>
                <w:b/>
                <w:bCs/>
                <w:sz w:val="24"/>
              </w:rPr>
              <w:t xml:space="preserve"> </w:t>
            </w:r>
            <w:r w:rsidRPr="00BE5BA6">
              <w:rPr>
                <w:rFonts w:ascii="Book Antiqua" w:hAnsi="Book Antiqua"/>
                <w:b/>
                <w:bCs/>
                <w:sz w:val="24"/>
              </w:rPr>
              <w:t>rate</w:t>
            </w:r>
          </w:p>
        </w:tc>
      </w:tr>
      <w:tr w:rsidR="00E76B5D" w:rsidRPr="00BE5BA6" w:rsidTr="00194689">
        <w:trPr>
          <w:trHeight w:val="575"/>
        </w:trPr>
        <w:tc>
          <w:tcPr>
            <w:tcW w:w="851" w:type="dxa"/>
            <w:tcBorders>
              <w:left w:val="nil"/>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1</w:t>
            </w:r>
          </w:p>
        </w:tc>
        <w:tc>
          <w:tcPr>
            <w:tcW w:w="993"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19</w:t>
            </w:r>
          </w:p>
        </w:tc>
        <w:tc>
          <w:tcPr>
            <w:tcW w:w="1275"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 (17/2)</w:t>
            </w:r>
          </w:p>
        </w:tc>
        <w:tc>
          <w:tcPr>
            <w:tcW w:w="1418"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2835"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bookmarkStart w:id="72" w:name="OLE_LINK43"/>
            <w:bookmarkStart w:id="73" w:name="OLE_LINK44"/>
            <w:r w:rsidRPr="00BE5BA6">
              <w:rPr>
                <w:rFonts w:ascii="Book Antiqua" w:hAnsi="Book Antiqua"/>
                <w:sz w:val="24"/>
              </w:rPr>
              <w:t>ABT-450+Ritonavir+</w:t>
            </w:r>
          </w:p>
          <w:p w:rsidR="00D20D7D" w:rsidRPr="00BE5BA6" w:rsidRDefault="00D20D7D" w:rsidP="00C46723">
            <w:pPr>
              <w:spacing w:line="360" w:lineRule="auto"/>
              <w:rPr>
                <w:rFonts w:ascii="Book Antiqua" w:hAnsi="Book Antiqua"/>
                <w:sz w:val="24"/>
              </w:rPr>
            </w:pPr>
            <w:r w:rsidRPr="00BE5BA6">
              <w:rPr>
                <w:rFonts w:ascii="Book Antiqua" w:hAnsi="Book Antiqua"/>
                <w:sz w:val="24"/>
              </w:rPr>
              <w:t>ABT-333+RBV 12</w:t>
            </w:r>
            <w:r w:rsidR="00D5392C" w:rsidRPr="00BE5BA6">
              <w:rPr>
                <w:rFonts w:ascii="Book Antiqua" w:hAnsi="Book Antiqua" w:hint="eastAsia"/>
                <w:sz w:val="24"/>
              </w:rPr>
              <w:t xml:space="preserve"> wk</w:t>
            </w:r>
            <w:bookmarkEnd w:id="72"/>
            <w:bookmarkEnd w:id="73"/>
          </w:p>
        </w:tc>
        <w:tc>
          <w:tcPr>
            <w:tcW w:w="2697"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 xml:space="preserve">ABT-450  250mg </w:t>
            </w:r>
            <w:r w:rsidRPr="00BE5BA6">
              <w:rPr>
                <w:rFonts w:ascii="Book Antiqua" w:hAnsi="Book Antiqua"/>
                <w:i/>
                <w:sz w:val="24"/>
              </w:rPr>
              <w:t>qd</w:t>
            </w:r>
            <w:r w:rsidRPr="00BE5BA6">
              <w:rPr>
                <w:rFonts w:ascii="Book Antiqua" w:hAnsi="Book Antiqua"/>
                <w:sz w:val="24"/>
              </w:rPr>
              <w:t xml:space="preserve"> </w:t>
            </w:r>
          </w:p>
          <w:p w:rsidR="00D20D7D" w:rsidRPr="00BE5BA6" w:rsidRDefault="00D20D7D" w:rsidP="00C46723">
            <w:pPr>
              <w:spacing w:line="360" w:lineRule="auto"/>
              <w:rPr>
                <w:rFonts w:ascii="Book Antiqua" w:hAnsi="Book Antiqua"/>
                <w:sz w:val="24"/>
              </w:rPr>
            </w:pPr>
            <w:r w:rsidRPr="00BE5BA6">
              <w:rPr>
                <w:rFonts w:ascii="Book Antiqua" w:hAnsi="Book Antiqua"/>
                <w:sz w:val="24"/>
              </w:rPr>
              <w:t xml:space="preserve">Ritonavir  100mg </w:t>
            </w:r>
            <w:r w:rsidRPr="00BE5BA6">
              <w:rPr>
                <w:rFonts w:ascii="Book Antiqua" w:hAnsi="Book Antiqua"/>
                <w:i/>
                <w:sz w:val="24"/>
              </w:rPr>
              <w:t>qd</w:t>
            </w:r>
          </w:p>
          <w:p w:rsidR="00D20D7D" w:rsidRPr="00BE5BA6" w:rsidRDefault="00D20D7D" w:rsidP="00C46723">
            <w:pPr>
              <w:spacing w:line="360" w:lineRule="auto"/>
              <w:rPr>
                <w:rFonts w:ascii="Book Antiqua" w:hAnsi="Book Antiqua"/>
                <w:sz w:val="24"/>
              </w:rPr>
            </w:pPr>
            <w:r w:rsidRPr="00BE5BA6">
              <w:rPr>
                <w:rFonts w:ascii="Book Antiqua" w:hAnsi="Book Antiqua"/>
                <w:sz w:val="24"/>
              </w:rPr>
              <w:t xml:space="preserve">ABT-333  400mg </w:t>
            </w:r>
            <w:r w:rsidRPr="00BE5BA6">
              <w:rPr>
                <w:rFonts w:ascii="Book Antiqua" w:hAnsi="Book Antiqua"/>
                <w:i/>
                <w:sz w:val="24"/>
              </w:rPr>
              <w:t>bid</w:t>
            </w:r>
          </w:p>
          <w:p w:rsidR="00D20D7D" w:rsidRPr="00BE5BA6" w:rsidRDefault="00D20D7D" w:rsidP="00FD4368">
            <w:pPr>
              <w:spacing w:line="360" w:lineRule="auto"/>
              <w:rPr>
                <w:rFonts w:ascii="Book Antiqua" w:hAnsi="Book Antiqua"/>
                <w:sz w:val="24"/>
              </w:rPr>
            </w:pPr>
            <w:r w:rsidRPr="00BE5BA6">
              <w:rPr>
                <w:rFonts w:ascii="Book Antiqua" w:hAnsi="Book Antiqua"/>
                <w:sz w:val="24"/>
              </w:rPr>
              <w:t>RBV 1000 or 1200mg/d</w:t>
            </w:r>
            <w:r w:rsidR="00FD4368" w:rsidRPr="00BE5BA6">
              <w:rPr>
                <w:rFonts w:ascii="Book Antiqua" w:hAnsi="Book Antiqua" w:hint="eastAsia"/>
                <w:sz w:val="24"/>
                <w:vertAlign w:val="superscript"/>
              </w:rPr>
              <w:t>1</w:t>
            </w:r>
          </w:p>
        </w:tc>
        <w:tc>
          <w:tcPr>
            <w:tcW w:w="1130" w:type="dxa"/>
            <w:tcBorders>
              <w:left w:val="nil"/>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95%</w:t>
            </w:r>
          </w:p>
        </w:tc>
      </w:tr>
      <w:tr w:rsidR="00E76B5D" w:rsidRPr="00BE5BA6" w:rsidTr="00194689">
        <w:trPr>
          <w:trHeight w:val="575"/>
        </w:trPr>
        <w:tc>
          <w:tcPr>
            <w:tcW w:w="851" w:type="dxa"/>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2</w:t>
            </w:r>
          </w:p>
        </w:tc>
        <w:tc>
          <w:tcPr>
            <w:tcW w:w="993"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14</w:t>
            </w:r>
          </w:p>
        </w:tc>
        <w:tc>
          <w:tcPr>
            <w:tcW w:w="1275"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 (11/3)</w:t>
            </w:r>
          </w:p>
        </w:tc>
        <w:tc>
          <w:tcPr>
            <w:tcW w:w="1418"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Untreated</w:t>
            </w:r>
          </w:p>
        </w:tc>
        <w:tc>
          <w:tcPr>
            <w:tcW w:w="2835"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ABT-450+Ritonavir+</w:t>
            </w:r>
          </w:p>
          <w:p w:rsidR="00D20D7D" w:rsidRPr="00BE5BA6" w:rsidRDefault="00D20D7D" w:rsidP="00C46723">
            <w:pPr>
              <w:spacing w:line="360" w:lineRule="auto"/>
              <w:rPr>
                <w:rFonts w:ascii="Book Antiqua" w:hAnsi="Book Antiqua"/>
                <w:sz w:val="24"/>
              </w:rPr>
            </w:pPr>
            <w:r w:rsidRPr="00BE5BA6">
              <w:rPr>
                <w:rFonts w:ascii="Book Antiqua" w:hAnsi="Book Antiqua"/>
                <w:sz w:val="24"/>
              </w:rPr>
              <w:t>ABT-333+RBV12</w:t>
            </w:r>
            <w:r w:rsidR="00D5392C" w:rsidRPr="00BE5BA6">
              <w:rPr>
                <w:rFonts w:ascii="Book Antiqua" w:hAnsi="Book Antiqua" w:hint="eastAsia"/>
                <w:sz w:val="24"/>
              </w:rPr>
              <w:t xml:space="preserve"> wk</w:t>
            </w:r>
          </w:p>
        </w:tc>
        <w:tc>
          <w:tcPr>
            <w:tcW w:w="2697"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 xml:space="preserve">ABT-450  150mg </w:t>
            </w:r>
            <w:r w:rsidRPr="00BE5BA6">
              <w:rPr>
                <w:rFonts w:ascii="Book Antiqua" w:hAnsi="Book Antiqua"/>
                <w:i/>
                <w:sz w:val="24"/>
              </w:rPr>
              <w:t>qd</w:t>
            </w:r>
            <w:r w:rsidRPr="00BE5BA6">
              <w:rPr>
                <w:rFonts w:ascii="Book Antiqua" w:hAnsi="Book Antiqua"/>
                <w:sz w:val="24"/>
              </w:rPr>
              <w:t xml:space="preserve"> </w:t>
            </w:r>
          </w:p>
          <w:p w:rsidR="00D20D7D" w:rsidRPr="00BE5BA6" w:rsidRDefault="00D20D7D" w:rsidP="00C46723">
            <w:pPr>
              <w:spacing w:line="360" w:lineRule="auto"/>
              <w:rPr>
                <w:rFonts w:ascii="Book Antiqua" w:hAnsi="Book Antiqua"/>
                <w:sz w:val="24"/>
              </w:rPr>
            </w:pPr>
            <w:r w:rsidRPr="00BE5BA6">
              <w:rPr>
                <w:rFonts w:ascii="Book Antiqua" w:hAnsi="Book Antiqua"/>
                <w:sz w:val="24"/>
              </w:rPr>
              <w:t>Ritonavir+ABT-333+RBV Ditto</w:t>
            </w:r>
          </w:p>
        </w:tc>
        <w:tc>
          <w:tcPr>
            <w:tcW w:w="1130" w:type="dxa"/>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93%</w:t>
            </w:r>
          </w:p>
        </w:tc>
      </w:tr>
      <w:tr w:rsidR="00E76B5D" w:rsidRPr="00BE5BA6" w:rsidTr="00194689">
        <w:trPr>
          <w:trHeight w:val="575"/>
        </w:trPr>
        <w:tc>
          <w:tcPr>
            <w:tcW w:w="851" w:type="dxa"/>
            <w:tcBorders>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b/>
                <w:bCs/>
                <w:sz w:val="24"/>
              </w:rPr>
            </w:pPr>
            <w:r w:rsidRPr="00BE5BA6">
              <w:rPr>
                <w:rFonts w:ascii="Book Antiqua" w:hAnsi="Book Antiqua"/>
                <w:b/>
                <w:bCs/>
                <w:sz w:val="24"/>
              </w:rPr>
              <w:t>3</w:t>
            </w:r>
          </w:p>
        </w:tc>
        <w:tc>
          <w:tcPr>
            <w:tcW w:w="993" w:type="dxa"/>
            <w:tcBorders>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17</w:t>
            </w:r>
          </w:p>
        </w:tc>
        <w:tc>
          <w:tcPr>
            <w:tcW w:w="1275" w:type="dxa"/>
            <w:tcBorders>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1a/1b (16/1)</w:t>
            </w:r>
          </w:p>
        </w:tc>
        <w:tc>
          <w:tcPr>
            <w:tcW w:w="1418" w:type="dxa"/>
            <w:tcBorders>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No or partial response to prior therapy</w:t>
            </w:r>
          </w:p>
        </w:tc>
        <w:tc>
          <w:tcPr>
            <w:tcW w:w="2835" w:type="dxa"/>
            <w:tcBorders>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ABT-450+Ritonavir+</w:t>
            </w:r>
          </w:p>
          <w:p w:rsidR="00D20D7D" w:rsidRPr="00BE5BA6" w:rsidRDefault="00D20D7D" w:rsidP="00C46723">
            <w:pPr>
              <w:spacing w:line="360" w:lineRule="auto"/>
              <w:rPr>
                <w:rFonts w:ascii="Book Antiqua" w:hAnsi="Book Antiqua"/>
                <w:sz w:val="24"/>
              </w:rPr>
            </w:pPr>
            <w:r w:rsidRPr="00BE5BA6">
              <w:rPr>
                <w:rFonts w:ascii="Book Antiqua" w:hAnsi="Book Antiqua"/>
                <w:sz w:val="24"/>
              </w:rPr>
              <w:t>ABT-333+RBV12</w:t>
            </w:r>
            <w:r w:rsidR="00D5392C" w:rsidRPr="00BE5BA6">
              <w:rPr>
                <w:rFonts w:ascii="Book Antiqua" w:hAnsi="Book Antiqua" w:hint="eastAsia"/>
                <w:sz w:val="24"/>
              </w:rPr>
              <w:t xml:space="preserve"> wk</w:t>
            </w:r>
          </w:p>
        </w:tc>
        <w:tc>
          <w:tcPr>
            <w:tcW w:w="2697" w:type="dxa"/>
            <w:tcBorders>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 xml:space="preserve">ABT-450  150mg </w:t>
            </w:r>
            <w:r w:rsidRPr="00BE5BA6">
              <w:rPr>
                <w:rFonts w:ascii="Book Antiqua" w:hAnsi="Book Antiqua"/>
                <w:i/>
                <w:sz w:val="24"/>
              </w:rPr>
              <w:t>qd</w:t>
            </w:r>
            <w:r w:rsidRPr="00BE5BA6">
              <w:rPr>
                <w:rFonts w:ascii="Book Antiqua" w:hAnsi="Book Antiqua"/>
                <w:sz w:val="24"/>
              </w:rPr>
              <w:t xml:space="preserve"> </w:t>
            </w:r>
          </w:p>
          <w:p w:rsidR="00D20D7D" w:rsidRPr="00BE5BA6" w:rsidRDefault="00D20D7D" w:rsidP="00C46723">
            <w:pPr>
              <w:spacing w:line="360" w:lineRule="auto"/>
              <w:rPr>
                <w:rFonts w:ascii="Book Antiqua" w:hAnsi="Book Antiqua"/>
                <w:sz w:val="24"/>
              </w:rPr>
            </w:pPr>
            <w:r w:rsidRPr="00BE5BA6">
              <w:rPr>
                <w:rFonts w:ascii="Book Antiqua" w:hAnsi="Book Antiqua"/>
                <w:sz w:val="24"/>
              </w:rPr>
              <w:t>Ritonavir+ABT-333+RBV Ditto</w:t>
            </w:r>
          </w:p>
        </w:tc>
        <w:tc>
          <w:tcPr>
            <w:tcW w:w="1130" w:type="dxa"/>
            <w:tcBorders>
              <w:left w:val="nil"/>
              <w:bottom w:val="single" w:sz="8" w:space="0" w:color="8064A2"/>
              <w:right w:val="nil"/>
            </w:tcBorders>
            <w:shd w:val="clear" w:color="auto" w:fill="auto"/>
          </w:tcPr>
          <w:p w:rsidR="00D20D7D" w:rsidRPr="00BE5BA6" w:rsidRDefault="00D20D7D" w:rsidP="00C46723">
            <w:pPr>
              <w:spacing w:line="360" w:lineRule="auto"/>
              <w:rPr>
                <w:rFonts w:ascii="Book Antiqua" w:hAnsi="Book Antiqua"/>
                <w:sz w:val="24"/>
              </w:rPr>
            </w:pPr>
            <w:r w:rsidRPr="00BE5BA6">
              <w:rPr>
                <w:rFonts w:ascii="Book Antiqua" w:hAnsi="Book Antiqua"/>
                <w:sz w:val="24"/>
              </w:rPr>
              <w:t>47%</w:t>
            </w:r>
          </w:p>
        </w:tc>
      </w:tr>
    </w:tbl>
    <w:p w:rsidR="00D20D7D" w:rsidRPr="00E76B5D" w:rsidRDefault="00FD4368" w:rsidP="00C46723">
      <w:pPr>
        <w:spacing w:line="360" w:lineRule="auto"/>
        <w:rPr>
          <w:rFonts w:ascii="Book Antiqua" w:hAnsi="Book Antiqua"/>
          <w:sz w:val="24"/>
        </w:rPr>
      </w:pPr>
      <w:r w:rsidRPr="00FD4368">
        <w:rPr>
          <w:rFonts w:ascii="Book Antiqua" w:hAnsi="Book Antiqua" w:hint="eastAsia"/>
          <w:sz w:val="24"/>
          <w:vertAlign w:val="superscript"/>
        </w:rPr>
        <w:t>1</w:t>
      </w:r>
      <w:r w:rsidR="00D20D7D" w:rsidRPr="00E76B5D">
        <w:rPr>
          <w:rFonts w:ascii="Book Antiqua" w:hAnsi="Book Antiqua"/>
          <w:sz w:val="24"/>
        </w:rPr>
        <w:t>Body weight</w:t>
      </w:r>
      <w:r w:rsidR="00C55586">
        <w:rPr>
          <w:rFonts w:ascii="Book Antiqua" w:hAnsi="Book Antiqua" w:hint="eastAsia"/>
          <w:sz w:val="24"/>
        </w:rPr>
        <w:t xml:space="preserve"> </w:t>
      </w:r>
      <w:r w:rsidR="00D20D7D" w:rsidRPr="00E76B5D">
        <w:rPr>
          <w:rFonts w:ascii="Book Antiqua" w:hAnsi="Book Antiqua"/>
          <w:sz w:val="24"/>
        </w:rPr>
        <w:t>&lt;</w:t>
      </w:r>
      <w:r>
        <w:rPr>
          <w:rFonts w:ascii="Book Antiqua" w:hAnsi="Book Antiqua" w:hint="eastAsia"/>
          <w:sz w:val="24"/>
        </w:rPr>
        <w:t xml:space="preserve"> </w:t>
      </w:r>
      <w:r w:rsidR="00D20D7D" w:rsidRPr="00E76B5D">
        <w:rPr>
          <w:rFonts w:ascii="Book Antiqua" w:hAnsi="Book Antiqua"/>
          <w:sz w:val="24"/>
        </w:rPr>
        <w:t>75</w:t>
      </w:r>
      <w:r w:rsidR="00BE5BA6">
        <w:rPr>
          <w:rFonts w:ascii="Book Antiqua" w:hAnsi="Book Antiqua" w:hint="eastAsia"/>
          <w:sz w:val="24"/>
        </w:rPr>
        <w:t xml:space="preserve"> </w:t>
      </w:r>
      <w:r w:rsidR="00BE5BA6" w:rsidRPr="00E76B5D">
        <w:rPr>
          <w:rFonts w:ascii="Book Antiqua" w:hAnsi="Book Antiqua"/>
          <w:sz w:val="24"/>
        </w:rPr>
        <w:t>k</w:t>
      </w:r>
      <w:r w:rsidR="00D20D7D" w:rsidRPr="00E76B5D">
        <w:rPr>
          <w:rFonts w:ascii="Book Antiqua" w:hAnsi="Book Antiqua"/>
          <w:sz w:val="24"/>
        </w:rPr>
        <w:t>g 1000 mg/d, divided into doses of 400 mg and 600 mg, bid; Body weight ≥</w:t>
      </w:r>
      <w:r w:rsidR="00C55586">
        <w:rPr>
          <w:rFonts w:ascii="Book Antiqua" w:hAnsi="Book Antiqua" w:hint="eastAsia"/>
          <w:sz w:val="24"/>
        </w:rPr>
        <w:t xml:space="preserve"> </w:t>
      </w:r>
      <w:r w:rsidR="00D20D7D" w:rsidRPr="00E76B5D">
        <w:rPr>
          <w:rFonts w:ascii="Book Antiqua" w:hAnsi="Book Antiqua"/>
          <w:sz w:val="24"/>
        </w:rPr>
        <w:t>75</w:t>
      </w:r>
      <w:r w:rsidR="00BE5BA6">
        <w:rPr>
          <w:rFonts w:ascii="Book Antiqua" w:hAnsi="Book Antiqua" w:hint="eastAsia"/>
          <w:sz w:val="24"/>
        </w:rPr>
        <w:t xml:space="preserve"> </w:t>
      </w:r>
      <w:r w:rsidR="00BE5BA6" w:rsidRPr="00E76B5D">
        <w:rPr>
          <w:rFonts w:ascii="Book Antiqua" w:hAnsi="Book Antiqua"/>
          <w:sz w:val="24"/>
        </w:rPr>
        <w:t>k</w:t>
      </w:r>
      <w:r w:rsidR="00D20D7D" w:rsidRPr="00E76B5D">
        <w:rPr>
          <w:rFonts w:ascii="Book Antiqua" w:hAnsi="Book Antiqua"/>
          <w:sz w:val="24"/>
        </w:rPr>
        <w:t xml:space="preserve">g 1200mg/d, 600 mg bid; </w:t>
      </w:r>
      <w:r w:rsidRPr="00FD4368">
        <w:rPr>
          <w:rFonts w:ascii="Book Antiqua" w:hAnsi="Book Antiqua" w:hint="eastAsia"/>
          <w:sz w:val="24"/>
          <w:vertAlign w:val="superscript"/>
        </w:rPr>
        <w:t>2</w:t>
      </w:r>
      <w:r w:rsidR="0019629D" w:rsidRPr="0027261E">
        <w:rPr>
          <w:rFonts w:ascii="Book Antiqua" w:hAnsi="Book Antiqua"/>
          <w:sz w:val="24"/>
        </w:rPr>
        <w:t>Sustained virologic response</w:t>
      </w:r>
      <w:r w:rsidR="0019629D" w:rsidRPr="00E76B5D">
        <w:rPr>
          <w:rFonts w:ascii="Book Antiqua" w:hAnsi="Book Antiqua"/>
          <w:sz w:val="24"/>
        </w:rPr>
        <w:t xml:space="preserve"> </w:t>
      </w:r>
      <w:r w:rsidR="0019629D">
        <w:rPr>
          <w:rFonts w:ascii="Book Antiqua" w:hAnsi="Book Antiqua" w:hint="eastAsia"/>
          <w:sz w:val="24"/>
        </w:rPr>
        <w:t>(</w:t>
      </w:r>
      <w:r w:rsidR="00D20D7D" w:rsidRPr="00E76B5D">
        <w:rPr>
          <w:rFonts w:ascii="Book Antiqua" w:hAnsi="Book Antiqua"/>
          <w:sz w:val="24"/>
        </w:rPr>
        <w:t>SVR</w:t>
      </w:r>
      <w:r w:rsidR="0019629D">
        <w:rPr>
          <w:rFonts w:ascii="Book Antiqua" w:hAnsi="Book Antiqua" w:hint="eastAsia"/>
          <w:sz w:val="24"/>
        </w:rPr>
        <w:t>)</w:t>
      </w:r>
      <w:r w:rsidR="00D20D7D" w:rsidRPr="00E76B5D">
        <w:rPr>
          <w:rFonts w:ascii="Book Antiqua" w:hAnsi="Book Antiqua"/>
          <w:sz w:val="24"/>
        </w:rPr>
        <w:t xml:space="preserve"> in this study was defined as an </w:t>
      </w:r>
      <w:r w:rsidR="005B125A" w:rsidRPr="005B125A">
        <w:rPr>
          <w:rFonts w:ascii="Book Antiqua" w:hAnsi="Book Antiqua"/>
          <w:sz w:val="24"/>
        </w:rPr>
        <w:t>hepatitis C virus</w:t>
      </w:r>
      <w:r w:rsidR="00D20D7D" w:rsidRPr="00E76B5D">
        <w:rPr>
          <w:rFonts w:ascii="Book Antiqua" w:hAnsi="Book Antiqua"/>
          <w:sz w:val="24"/>
        </w:rPr>
        <w:t xml:space="preserve"> RNA level of less than 25 IU per milliliter 12 wk after treatment. </w:t>
      </w:r>
      <w:r w:rsidR="00D20D7D" w:rsidRPr="00B674E9">
        <w:rPr>
          <w:rFonts w:ascii="Book Antiqua" w:hAnsi="Book Antiqua"/>
          <w:i/>
          <w:sz w:val="24"/>
        </w:rPr>
        <w:t>qd</w:t>
      </w:r>
      <w:r w:rsidR="00D20D7D" w:rsidRPr="00E76B5D">
        <w:rPr>
          <w:rFonts w:ascii="Book Antiqua" w:hAnsi="Book Antiqua"/>
          <w:sz w:val="24"/>
        </w:rPr>
        <w:t xml:space="preserve">: </w:t>
      </w:r>
      <w:r w:rsidR="002B119F" w:rsidRPr="00E76B5D">
        <w:rPr>
          <w:rFonts w:ascii="Book Antiqua" w:hAnsi="Book Antiqua"/>
          <w:sz w:val="24"/>
        </w:rPr>
        <w:t>O</w:t>
      </w:r>
      <w:r w:rsidR="00D20D7D" w:rsidRPr="00E76B5D">
        <w:rPr>
          <w:rFonts w:ascii="Book Antiqua" w:hAnsi="Book Antiqua"/>
          <w:sz w:val="24"/>
        </w:rPr>
        <w:t>nce daily</w:t>
      </w:r>
      <w:r w:rsidR="002B119F">
        <w:rPr>
          <w:rFonts w:ascii="Book Antiqua" w:hAnsi="Book Antiqua" w:hint="eastAsia"/>
          <w:sz w:val="24"/>
        </w:rPr>
        <w:t xml:space="preserve">; </w:t>
      </w:r>
      <w:r w:rsidR="00D20D7D" w:rsidRPr="00B674E9">
        <w:rPr>
          <w:rFonts w:ascii="Book Antiqua" w:hAnsi="Book Antiqua"/>
          <w:i/>
          <w:sz w:val="24"/>
        </w:rPr>
        <w:t>bid</w:t>
      </w:r>
      <w:r w:rsidR="00D20D7D" w:rsidRPr="00E76B5D">
        <w:rPr>
          <w:rFonts w:ascii="Book Antiqua" w:hAnsi="Book Antiqua"/>
          <w:sz w:val="24"/>
        </w:rPr>
        <w:t xml:space="preserve">: </w:t>
      </w:r>
      <w:r w:rsidR="002B119F" w:rsidRPr="00E76B5D">
        <w:rPr>
          <w:rFonts w:ascii="Book Antiqua" w:hAnsi="Book Antiqua"/>
          <w:sz w:val="24"/>
        </w:rPr>
        <w:t>T</w:t>
      </w:r>
      <w:r w:rsidR="00D20D7D" w:rsidRPr="00E76B5D">
        <w:rPr>
          <w:rFonts w:ascii="Book Antiqua" w:hAnsi="Book Antiqua"/>
          <w:sz w:val="24"/>
        </w:rPr>
        <w:t>wice daily</w:t>
      </w:r>
      <w:r w:rsidR="005B125A">
        <w:rPr>
          <w:rFonts w:ascii="Book Antiqua" w:hAnsi="Book Antiqua" w:hint="eastAsia"/>
          <w:sz w:val="24"/>
        </w:rPr>
        <w:t xml:space="preserve">; RBV: </w:t>
      </w:r>
      <w:r w:rsidR="005B125A" w:rsidRPr="00E76B5D">
        <w:rPr>
          <w:rFonts w:ascii="Book Antiqua" w:hAnsi="Book Antiqua"/>
          <w:sz w:val="24"/>
        </w:rPr>
        <w:t>Ribavirin</w:t>
      </w:r>
      <w:r w:rsidR="005B125A">
        <w:rPr>
          <w:rFonts w:ascii="Book Antiqua" w:hAnsi="Book Antiqua" w:hint="eastAsia"/>
          <w:sz w:val="24"/>
        </w:rPr>
        <w:t>.</w:t>
      </w: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 xml:space="preserve">Table 4 Major adverse events during sofosbuvir and ABT-450 </w:t>
      </w:r>
      <w:bookmarkStart w:id="74" w:name="OLE_LINK63"/>
      <w:bookmarkStart w:id="75" w:name="OLE_LINK64"/>
      <w:r w:rsidRPr="00E76B5D">
        <w:rPr>
          <w:rFonts w:ascii="Book Antiqua" w:hAnsi="Book Antiqua"/>
          <w:b/>
          <w:sz w:val="24"/>
        </w:rPr>
        <w:t>regimen</w:t>
      </w:r>
      <w:bookmarkEnd w:id="74"/>
      <w:bookmarkEnd w:id="75"/>
      <w:r w:rsidRPr="00E76B5D">
        <w:rPr>
          <w:rFonts w:ascii="Book Antiqua" w:hAnsi="Book Antiqua"/>
          <w:b/>
          <w:sz w:val="24"/>
        </w:rPr>
        <w:t>s</w:t>
      </w:r>
    </w:p>
    <w:tbl>
      <w:tblPr>
        <w:tblW w:w="10915" w:type="dxa"/>
        <w:tblInd w:w="-1310" w:type="dxa"/>
        <w:tblBorders>
          <w:top w:val="single" w:sz="8" w:space="0" w:color="000000" w:themeColor="text1"/>
          <w:bottom w:val="single" w:sz="8" w:space="0" w:color="000000" w:themeColor="text1"/>
        </w:tblBorders>
        <w:tblLook w:val="04A0" w:firstRow="1" w:lastRow="0" w:firstColumn="1" w:lastColumn="0" w:noHBand="0" w:noVBand="1"/>
      </w:tblPr>
      <w:tblGrid>
        <w:gridCol w:w="1560"/>
        <w:gridCol w:w="1985"/>
        <w:gridCol w:w="1842"/>
        <w:gridCol w:w="1701"/>
        <w:gridCol w:w="1984"/>
        <w:gridCol w:w="1843"/>
      </w:tblGrid>
      <w:tr w:rsidR="00B55AF1" w:rsidRPr="00E76B5D" w:rsidTr="00B55AF1">
        <w:tc>
          <w:tcPr>
            <w:tcW w:w="1560" w:type="dxa"/>
            <w:tcBorders>
              <w:top w:val="single" w:sz="8" w:space="0" w:color="000000" w:themeColor="text1"/>
              <w:bottom w:val="single" w:sz="8" w:space="0" w:color="000000" w:themeColor="text1"/>
            </w:tcBorders>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Adverse events</w:t>
            </w:r>
          </w:p>
        </w:tc>
        <w:tc>
          <w:tcPr>
            <w:tcW w:w="1985" w:type="dxa"/>
            <w:tcBorders>
              <w:top w:val="single" w:sz="8" w:space="0" w:color="000000" w:themeColor="text1"/>
              <w:bottom w:val="single" w:sz="8" w:space="0" w:color="000000" w:themeColor="text1"/>
            </w:tcBorders>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Sofosbuvir regimen</w:t>
            </w:r>
          </w:p>
        </w:tc>
        <w:tc>
          <w:tcPr>
            <w:tcW w:w="1842" w:type="dxa"/>
            <w:tcBorders>
              <w:top w:val="single" w:sz="8" w:space="0" w:color="000000" w:themeColor="text1"/>
              <w:bottom w:val="single" w:sz="8" w:space="0" w:color="000000" w:themeColor="text1"/>
            </w:tcBorders>
            <w:shd w:val="clear" w:color="auto" w:fill="auto"/>
          </w:tcPr>
          <w:p w:rsidR="00B55AF1" w:rsidRPr="00E76B5D" w:rsidRDefault="00B55AF1" w:rsidP="00E27318">
            <w:pPr>
              <w:spacing w:line="360" w:lineRule="auto"/>
              <w:rPr>
                <w:rFonts w:ascii="Book Antiqua" w:hAnsi="Book Antiqua"/>
                <w:b/>
                <w:bCs/>
                <w:sz w:val="24"/>
              </w:rPr>
            </w:pPr>
            <w:r w:rsidRPr="00E76B5D">
              <w:rPr>
                <w:rFonts w:ascii="Book Antiqua" w:hAnsi="Book Antiqua"/>
                <w:b/>
                <w:bCs/>
                <w:sz w:val="24"/>
              </w:rPr>
              <w:t>ABT-450 regimen</w:t>
            </w:r>
            <w:r w:rsidRPr="00E27318">
              <w:rPr>
                <w:rFonts w:ascii="Book Antiqua" w:hAnsi="Book Antiqua" w:hint="eastAsia"/>
                <w:b/>
                <w:bCs/>
                <w:sz w:val="24"/>
                <w:vertAlign w:val="superscript"/>
              </w:rPr>
              <w:t>1</w:t>
            </w:r>
          </w:p>
        </w:tc>
        <w:tc>
          <w:tcPr>
            <w:tcW w:w="1701" w:type="dxa"/>
            <w:tcBorders>
              <w:top w:val="single" w:sz="8" w:space="0" w:color="000000" w:themeColor="text1"/>
              <w:bottom w:val="single" w:sz="8" w:space="0" w:color="000000" w:themeColor="text1"/>
            </w:tcBorders>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Adverse events</w:t>
            </w:r>
          </w:p>
        </w:tc>
        <w:tc>
          <w:tcPr>
            <w:tcW w:w="1984" w:type="dxa"/>
            <w:tcBorders>
              <w:top w:val="single" w:sz="8" w:space="0" w:color="000000" w:themeColor="text1"/>
              <w:bottom w:val="single" w:sz="8" w:space="0" w:color="000000" w:themeColor="text1"/>
            </w:tcBorders>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Sofosbuvir regimen</w:t>
            </w:r>
          </w:p>
        </w:tc>
        <w:tc>
          <w:tcPr>
            <w:tcW w:w="1843" w:type="dxa"/>
            <w:tcBorders>
              <w:top w:val="single" w:sz="8" w:space="0" w:color="000000" w:themeColor="text1"/>
              <w:bottom w:val="single" w:sz="8" w:space="0" w:color="000000" w:themeColor="text1"/>
            </w:tcBorders>
            <w:shd w:val="clear" w:color="auto" w:fill="auto"/>
          </w:tcPr>
          <w:p w:rsidR="00B55AF1" w:rsidRPr="00E76B5D" w:rsidRDefault="00B55AF1" w:rsidP="00E27318">
            <w:pPr>
              <w:spacing w:line="360" w:lineRule="auto"/>
              <w:rPr>
                <w:rFonts w:ascii="Book Antiqua" w:hAnsi="Book Antiqua"/>
                <w:b/>
                <w:bCs/>
                <w:sz w:val="24"/>
              </w:rPr>
            </w:pPr>
            <w:bookmarkStart w:id="76" w:name="OLE_LINK51"/>
            <w:bookmarkStart w:id="77" w:name="OLE_LINK52"/>
            <w:r w:rsidRPr="00E76B5D">
              <w:rPr>
                <w:rFonts w:ascii="Book Antiqua" w:hAnsi="Book Antiqua"/>
                <w:b/>
                <w:bCs/>
                <w:sz w:val="24"/>
              </w:rPr>
              <w:t>ABT-450 regimen</w:t>
            </w:r>
            <w:bookmarkEnd w:id="76"/>
            <w:bookmarkEnd w:id="77"/>
            <w:r w:rsidRPr="00E27318">
              <w:rPr>
                <w:rFonts w:ascii="Book Antiqua" w:hAnsi="Book Antiqua" w:hint="eastAsia"/>
                <w:b/>
                <w:bCs/>
                <w:sz w:val="24"/>
                <w:vertAlign w:val="superscript"/>
              </w:rPr>
              <w:t>1</w:t>
            </w:r>
          </w:p>
        </w:tc>
      </w:tr>
      <w:tr w:rsidR="00B55AF1" w:rsidRPr="00E76B5D" w:rsidTr="00B55AF1">
        <w:tc>
          <w:tcPr>
            <w:tcW w:w="1560" w:type="dxa"/>
            <w:tcBorders>
              <w:top w:val="single" w:sz="8" w:space="0" w:color="000000" w:themeColor="text1"/>
            </w:tcBorders>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Headache</w:t>
            </w:r>
          </w:p>
        </w:tc>
        <w:tc>
          <w:tcPr>
            <w:tcW w:w="1985" w:type="dxa"/>
            <w:tcBorders>
              <w:top w:val="single" w:sz="8" w:space="0" w:color="000000" w:themeColor="text1"/>
            </w:tcBorders>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32%-90%</w:t>
            </w:r>
          </w:p>
        </w:tc>
        <w:tc>
          <w:tcPr>
            <w:tcW w:w="1842" w:type="dxa"/>
            <w:tcBorders>
              <w:top w:val="single" w:sz="8" w:space="0" w:color="000000" w:themeColor="text1"/>
            </w:tcBorders>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14%-26%</w:t>
            </w:r>
          </w:p>
        </w:tc>
        <w:tc>
          <w:tcPr>
            <w:tcW w:w="1701" w:type="dxa"/>
            <w:tcBorders>
              <w:top w:val="single" w:sz="8" w:space="0" w:color="000000" w:themeColor="text1"/>
            </w:tcBorders>
            <w:shd w:val="clear" w:color="auto" w:fill="auto"/>
          </w:tcPr>
          <w:p w:rsidR="00B55AF1" w:rsidRPr="00E76B5D" w:rsidRDefault="00B55AF1" w:rsidP="00C46723">
            <w:pPr>
              <w:spacing w:line="360" w:lineRule="auto"/>
              <w:rPr>
                <w:rFonts w:ascii="Book Antiqua" w:hAnsi="Book Antiqua"/>
                <w:b/>
                <w:sz w:val="24"/>
              </w:rPr>
            </w:pPr>
            <w:r w:rsidRPr="00E76B5D">
              <w:rPr>
                <w:rFonts w:ascii="Book Antiqua" w:hAnsi="Book Antiqua"/>
                <w:b/>
                <w:sz w:val="24"/>
              </w:rPr>
              <w:t>Vomiting</w:t>
            </w:r>
          </w:p>
        </w:tc>
        <w:tc>
          <w:tcPr>
            <w:tcW w:w="1984" w:type="dxa"/>
            <w:tcBorders>
              <w:top w:val="single" w:sz="8" w:space="0" w:color="000000" w:themeColor="text1"/>
            </w:tcBorders>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c>
          <w:tcPr>
            <w:tcW w:w="1843" w:type="dxa"/>
            <w:tcBorders>
              <w:top w:val="single" w:sz="8" w:space="0" w:color="000000" w:themeColor="text1"/>
            </w:tcBorders>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0%-21%</w:t>
            </w:r>
          </w:p>
        </w:tc>
      </w:tr>
      <w:tr w:rsidR="00B55AF1" w:rsidRPr="00E76B5D" w:rsidTr="00B55AF1">
        <w:tc>
          <w:tcPr>
            <w:tcW w:w="1560" w:type="dxa"/>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Fatigue</w:t>
            </w:r>
          </w:p>
        </w:tc>
        <w:tc>
          <w:tcPr>
            <w:tcW w:w="1985"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10%-70%</w:t>
            </w:r>
          </w:p>
        </w:tc>
        <w:tc>
          <w:tcPr>
            <w:tcW w:w="1842"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35%-47%</w:t>
            </w:r>
          </w:p>
        </w:tc>
        <w:tc>
          <w:tcPr>
            <w:tcW w:w="1701" w:type="dxa"/>
            <w:shd w:val="clear" w:color="auto" w:fill="auto"/>
          </w:tcPr>
          <w:p w:rsidR="00B55AF1" w:rsidRPr="00E76B5D" w:rsidRDefault="00B55AF1" w:rsidP="00C46723">
            <w:pPr>
              <w:spacing w:line="360" w:lineRule="auto"/>
              <w:rPr>
                <w:rFonts w:ascii="Book Antiqua" w:hAnsi="Book Antiqua"/>
                <w:b/>
                <w:sz w:val="24"/>
              </w:rPr>
            </w:pPr>
            <w:r w:rsidRPr="00E76B5D">
              <w:rPr>
                <w:rFonts w:ascii="Book Antiqua" w:hAnsi="Book Antiqua"/>
                <w:b/>
                <w:sz w:val="24"/>
              </w:rPr>
              <w:t>Irritability</w:t>
            </w:r>
          </w:p>
        </w:tc>
        <w:tc>
          <w:tcPr>
            <w:tcW w:w="1984"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0%-36%</w:t>
            </w:r>
          </w:p>
        </w:tc>
        <w:tc>
          <w:tcPr>
            <w:tcW w:w="1843"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r>
      <w:tr w:rsidR="00B55AF1" w:rsidRPr="00E76B5D" w:rsidTr="00B55AF1">
        <w:tc>
          <w:tcPr>
            <w:tcW w:w="1560" w:type="dxa"/>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Insomnia</w:t>
            </w:r>
          </w:p>
        </w:tc>
        <w:tc>
          <w:tcPr>
            <w:tcW w:w="1985"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10%-67%</w:t>
            </w:r>
          </w:p>
        </w:tc>
        <w:tc>
          <w:tcPr>
            <w:tcW w:w="1842"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0%-26%</w:t>
            </w:r>
          </w:p>
        </w:tc>
        <w:tc>
          <w:tcPr>
            <w:tcW w:w="1701" w:type="dxa"/>
            <w:shd w:val="clear" w:color="auto" w:fill="auto"/>
          </w:tcPr>
          <w:p w:rsidR="00B55AF1" w:rsidRPr="00E76B5D" w:rsidRDefault="00B55AF1" w:rsidP="00C46723">
            <w:pPr>
              <w:spacing w:line="360" w:lineRule="auto"/>
              <w:rPr>
                <w:rFonts w:ascii="Book Antiqua" w:hAnsi="Book Antiqua"/>
                <w:b/>
                <w:sz w:val="24"/>
              </w:rPr>
            </w:pPr>
            <w:r w:rsidRPr="00E76B5D">
              <w:rPr>
                <w:rFonts w:ascii="Book Antiqua" w:hAnsi="Book Antiqua"/>
                <w:b/>
                <w:sz w:val="24"/>
              </w:rPr>
              <w:t>Pruritus</w:t>
            </w:r>
          </w:p>
        </w:tc>
        <w:tc>
          <w:tcPr>
            <w:tcW w:w="1984"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0%-33%</w:t>
            </w:r>
          </w:p>
        </w:tc>
        <w:tc>
          <w:tcPr>
            <w:tcW w:w="1843"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0%-21%</w:t>
            </w:r>
          </w:p>
        </w:tc>
      </w:tr>
      <w:tr w:rsidR="00B55AF1" w:rsidRPr="00E76B5D" w:rsidTr="00B55AF1">
        <w:trPr>
          <w:trHeight w:val="517"/>
        </w:trPr>
        <w:tc>
          <w:tcPr>
            <w:tcW w:w="1560" w:type="dxa"/>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Nausea</w:t>
            </w:r>
          </w:p>
        </w:tc>
        <w:tc>
          <w:tcPr>
            <w:tcW w:w="1985"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0%-44%</w:t>
            </w:r>
          </w:p>
        </w:tc>
        <w:tc>
          <w:tcPr>
            <w:tcW w:w="1842"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21%-24%</w:t>
            </w:r>
          </w:p>
        </w:tc>
        <w:tc>
          <w:tcPr>
            <w:tcW w:w="1701" w:type="dxa"/>
            <w:shd w:val="clear" w:color="auto" w:fill="auto"/>
          </w:tcPr>
          <w:p w:rsidR="00B55AF1" w:rsidRPr="00E76B5D" w:rsidRDefault="00B55AF1" w:rsidP="00C46723">
            <w:pPr>
              <w:spacing w:line="360" w:lineRule="auto"/>
              <w:rPr>
                <w:rFonts w:ascii="Book Antiqua" w:hAnsi="Book Antiqua"/>
                <w:b/>
                <w:sz w:val="24"/>
              </w:rPr>
            </w:pPr>
            <w:r w:rsidRPr="00E76B5D">
              <w:rPr>
                <w:rFonts w:ascii="Book Antiqua" w:hAnsi="Book Antiqua"/>
                <w:b/>
                <w:sz w:val="24"/>
              </w:rPr>
              <w:t>Decreased appetite</w:t>
            </w:r>
          </w:p>
        </w:tc>
        <w:tc>
          <w:tcPr>
            <w:tcW w:w="1984"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0%-50%</w:t>
            </w:r>
          </w:p>
        </w:tc>
        <w:tc>
          <w:tcPr>
            <w:tcW w:w="1843"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r>
      <w:tr w:rsidR="00B55AF1" w:rsidRPr="00E76B5D" w:rsidTr="00B55AF1">
        <w:tc>
          <w:tcPr>
            <w:tcW w:w="1560" w:type="dxa"/>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Rash</w:t>
            </w:r>
          </w:p>
        </w:tc>
        <w:tc>
          <w:tcPr>
            <w:tcW w:w="1985"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10%-60%</w:t>
            </w:r>
          </w:p>
        </w:tc>
        <w:tc>
          <w:tcPr>
            <w:tcW w:w="1842"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6%-21%</w:t>
            </w:r>
          </w:p>
        </w:tc>
        <w:tc>
          <w:tcPr>
            <w:tcW w:w="1701" w:type="dxa"/>
            <w:shd w:val="clear" w:color="auto" w:fill="auto"/>
          </w:tcPr>
          <w:p w:rsidR="00B55AF1" w:rsidRPr="00E76B5D" w:rsidRDefault="00B55AF1" w:rsidP="00C46723">
            <w:pPr>
              <w:spacing w:line="360" w:lineRule="auto"/>
              <w:rPr>
                <w:rFonts w:ascii="Book Antiqua" w:hAnsi="Book Antiqua"/>
                <w:b/>
                <w:sz w:val="24"/>
              </w:rPr>
            </w:pPr>
            <w:r w:rsidRPr="00E76B5D">
              <w:rPr>
                <w:rFonts w:ascii="Book Antiqua" w:hAnsi="Book Antiqua"/>
                <w:b/>
                <w:sz w:val="24"/>
              </w:rPr>
              <w:t>Upper respiratory tract infection</w:t>
            </w:r>
          </w:p>
        </w:tc>
        <w:tc>
          <w:tcPr>
            <w:tcW w:w="1984"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0%-20%</w:t>
            </w:r>
          </w:p>
        </w:tc>
        <w:tc>
          <w:tcPr>
            <w:tcW w:w="1843"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r>
      <w:tr w:rsidR="00B55AF1" w:rsidRPr="00E76B5D" w:rsidTr="00B55AF1">
        <w:tc>
          <w:tcPr>
            <w:tcW w:w="1560" w:type="dxa"/>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Anemia</w:t>
            </w:r>
          </w:p>
        </w:tc>
        <w:tc>
          <w:tcPr>
            <w:tcW w:w="1985"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0%-44%</w:t>
            </w:r>
          </w:p>
        </w:tc>
        <w:tc>
          <w:tcPr>
            <w:tcW w:w="1842"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c>
          <w:tcPr>
            <w:tcW w:w="1701" w:type="dxa"/>
            <w:shd w:val="clear" w:color="auto" w:fill="auto"/>
          </w:tcPr>
          <w:p w:rsidR="00B55AF1" w:rsidRPr="00E76B5D" w:rsidRDefault="00B55AF1" w:rsidP="00C46723">
            <w:pPr>
              <w:spacing w:line="360" w:lineRule="auto"/>
              <w:rPr>
                <w:rFonts w:ascii="Book Antiqua" w:hAnsi="Book Antiqua"/>
                <w:b/>
                <w:sz w:val="24"/>
              </w:rPr>
            </w:pPr>
            <w:r w:rsidRPr="00E76B5D">
              <w:rPr>
                <w:rFonts w:ascii="Book Antiqua" w:hAnsi="Book Antiqua"/>
                <w:b/>
                <w:sz w:val="24"/>
              </w:rPr>
              <w:t>Arthralgia</w:t>
            </w:r>
          </w:p>
        </w:tc>
        <w:tc>
          <w:tcPr>
            <w:tcW w:w="1984"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0%-30%</w:t>
            </w:r>
          </w:p>
        </w:tc>
        <w:tc>
          <w:tcPr>
            <w:tcW w:w="1843"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r>
      <w:tr w:rsidR="00B55AF1" w:rsidRPr="00E76B5D" w:rsidTr="00B55AF1">
        <w:tc>
          <w:tcPr>
            <w:tcW w:w="1560" w:type="dxa"/>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Dizziness</w:t>
            </w:r>
          </w:p>
        </w:tc>
        <w:tc>
          <w:tcPr>
            <w:tcW w:w="1985"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4%-44%</w:t>
            </w:r>
          </w:p>
        </w:tc>
        <w:tc>
          <w:tcPr>
            <w:tcW w:w="1842"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5%-29%</w:t>
            </w:r>
          </w:p>
        </w:tc>
        <w:tc>
          <w:tcPr>
            <w:tcW w:w="1701" w:type="dxa"/>
            <w:shd w:val="clear" w:color="auto" w:fill="auto"/>
          </w:tcPr>
          <w:p w:rsidR="00B55AF1" w:rsidRPr="00E76B5D" w:rsidRDefault="00B55AF1" w:rsidP="00C46723">
            <w:pPr>
              <w:spacing w:line="360" w:lineRule="auto"/>
              <w:rPr>
                <w:rFonts w:ascii="Book Antiqua" w:hAnsi="Book Antiqua"/>
                <w:b/>
                <w:sz w:val="24"/>
              </w:rPr>
            </w:pPr>
            <w:r w:rsidRPr="00E76B5D">
              <w:rPr>
                <w:rFonts w:ascii="Book Antiqua" w:hAnsi="Book Antiqua"/>
                <w:b/>
                <w:sz w:val="24"/>
              </w:rPr>
              <w:t>Back pain</w:t>
            </w:r>
          </w:p>
        </w:tc>
        <w:tc>
          <w:tcPr>
            <w:tcW w:w="1984"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0%-22%</w:t>
            </w:r>
          </w:p>
        </w:tc>
        <w:tc>
          <w:tcPr>
            <w:tcW w:w="1843"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r>
      <w:tr w:rsidR="00B55AF1" w:rsidRPr="00E76B5D" w:rsidTr="00B55AF1">
        <w:tc>
          <w:tcPr>
            <w:tcW w:w="1560" w:type="dxa"/>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Myalgia</w:t>
            </w:r>
          </w:p>
        </w:tc>
        <w:tc>
          <w:tcPr>
            <w:tcW w:w="1985"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0%-40%</w:t>
            </w:r>
          </w:p>
        </w:tc>
        <w:tc>
          <w:tcPr>
            <w:tcW w:w="1842"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c>
          <w:tcPr>
            <w:tcW w:w="1701" w:type="dxa"/>
            <w:shd w:val="clear" w:color="auto" w:fill="auto"/>
          </w:tcPr>
          <w:p w:rsidR="00B55AF1" w:rsidRPr="00E76B5D" w:rsidRDefault="00B55AF1" w:rsidP="00C46723">
            <w:pPr>
              <w:spacing w:line="360" w:lineRule="auto"/>
              <w:rPr>
                <w:rFonts w:ascii="Book Antiqua" w:hAnsi="Book Antiqua"/>
                <w:b/>
                <w:sz w:val="24"/>
              </w:rPr>
            </w:pPr>
            <w:r w:rsidRPr="00E76B5D">
              <w:rPr>
                <w:rFonts w:ascii="Book Antiqua" w:hAnsi="Book Antiqua"/>
                <w:b/>
                <w:sz w:val="24"/>
              </w:rPr>
              <w:t>Pyrexia</w:t>
            </w:r>
          </w:p>
        </w:tc>
        <w:tc>
          <w:tcPr>
            <w:tcW w:w="1984"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0%-18%</w:t>
            </w:r>
          </w:p>
        </w:tc>
        <w:tc>
          <w:tcPr>
            <w:tcW w:w="1843"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r>
      <w:tr w:rsidR="00B55AF1" w:rsidRPr="00E76B5D" w:rsidTr="00B55AF1">
        <w:tc>
          <w:tcPr>
            <w:tcW w:w="1560" w:type="dxa"/>
            <w:shd w:val="clear" w:color="auto" w:fill="auto"/>
          </w:tcPr>
          <w:p w:rsidR="00B55AF1" w:rsidRPr="00E76B5D" w:rsidRDefault="00B55AF1" w:rsidP="00C46723">
            <w:pPr>
              <w:spacing w:line="360" w:lineRule="auto"/>
              <w:rPr>
                <w:rFonts w:ascii="Book Antiqua" w:hAnsi="Book Antiqua"/>
                <w:b/>
                <w:bCs/>
                <w:sz w:val="24"/>
              </w:rPr>
            </w:pPr>
            <w:r w:rsidRPr="00E76B5D">
              <w:rPr>
                <w:rFonts w:ascii="Book Antiqua" w:hAnsi="Book Antiqua"/>
                <w:b/>
                <w:bCs/>
                <w:sz w:val="24"/>
              </w:rPr>
              <w:t>Diarrhea</w:t>
            </w:r>
          </w:p>
        </w:tc>
        <w:tc>
          <w:tcPr>
            <w:tcW w:w="1985"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0%-30%</w:t>
            </w:r>
          </w:p>
        </w:tc>
        <w:tc>
          <w:tcPr>
            <w:tcW w:w="1842" w:type="dxa"/>
            <w:shd w:val="clear" w:color="auto" w:fill="auto"/>
          </w:tcPr>
          <w:p w:rsidR="00B55AF1" w:rsidRPr="00E76B5D" w:rsidRDefault="00B55AF1" w:rsidP="00C46723">
            <w:pPr>
              <w:spacing w:line="360" w:lineRule="auto"/>
              <w:rPr>
                <w:rFonts w:ascii="Book Antiqua" w:hAnsi="Book Antiqua"/>
                <w:sz w:val="24"/>
              </w:rPr>
            </w:pPr>
            <w:r w:rsidRPr="00E76B5D">
              <w:rPr>
                <w:rFonts w:ascii="Book Antiqua" w:hAnsi="Book Antiqua"/>
                <w:sz w:val="24"/>
              </w:rPr>
              <w:t>No data</w:t>
            </w:r>
          </w:p>
        </w:tc>
        <w:tc>
          <w:tcPr>
            <w:tcW w:w="1701" w:type="dxa"/>
            <w:shd w:val="clear" w:color="auto" w:fill="auto"/>
          </w:tcPr>
          <w:p w:rsidR="00B55AF1" w:rsidRPr="00E76B5D" w:rsidRDefault="00B55AF1" w:rsidP="00C46723">
            <w:pPr>
              <w:spacing w:line="360" w:lineRule="auto"/>
              <w:rPr>
                <w:rFonts w:ascii="Book Antiqua" w:hAnsi="Book Antiqua"/>
                <w:sz w:val="24"/>
              </w:rPr>
            </w:pPr>
          </w:p>
        </w:tc>
        <w:tc>
          <w:tcPr>
            <w:tcW w:w="1984" w:type="dxa"/>
            <w:shd w:val="clear" w:color="auto" w:fill="auto"/>
          </w:tcPr>
          <w:p w:rsidR="00B55AF1" w:rsidRPr="00E76B5D" w:rsidRDefault="00B55AF1" w:rsidP="00C46723">
            <w:pPr>
              <w:spacing w:line="360" w:lineRule="auto"/>
              <w:rPr>
                <w:rFonts w:ascii="Book Antiqua" w:hAnsi="Book Antiqua"/>
                <w:sz w:val="24"/>
              </w:rPr>
            </w:pPr>
          </w:p>
        </w:tc>
        <w:tc>
          <w:tcPr>
            <w:tcW w:w="1843" w:type="dxa"/>
            <w:shd w:val="clear" w:color="auto" w:fill="auto"/>
          </w:tcPr>
          <w:p w:rsidR="00B55AF1" w:rsidRPr="00E76B5D" w:rsidRDefault="00B55AF1" w:rsidP="00C46723">
            <w:pPr>
              <w:spacing w:line="360" w:lineRule="auto"/>
              <w:rPr>
                <w:rFonts w:ascii="Book Antiqua" w:hAnsi="Book Antiqua"/>
                <w:sz w:val="24"/>
              </w:rPr>
            </w:pPr>
          </w:p>
        </w:tc>
      </w:tr>
    </w:tbl>
    <w:p w:rsidR="00D20D7D" w:rsidRPr="00E76B5D" w:rsidRDefault="00E27318" w:rsidP="00C46723">
      <w:pPr>
        <w:spacing w:line="360" w:lineRule="auto"/>
        <w:rPr>
          <w:rFonts w:ascii="Book Antiqua" w:hAnsi="Book Antiqua"/>
          <w:sz w:val="24"/>
        </w:rPr>
      </w:pPr>
      <w:r w:rsidRPr="00E27318">
        <w:rPr>
          <w:rFonts w:ascii="Book Antiqua" w:hAnsi="Book Antiqua" w:hint="eastAsia"/>
          <w:sz w:val="24"/>
          <w:vertAlign w:val="superscript"/>
        </w:rPr>
        <w:t>1</w:t>
      </w:r>
      <w:r w:rsidR="00D20D7D" w:rsidRPr="00E76B5D">
        <w:rPr>
          <w:rFonts w:ascii="Book Antiqua" w:hAnsi="Book Antiqua"/>
          <w:sz w:val="24"/>
        </w:rPr>
        <w:t>Adverse events during ABT-450 regimen were only listed those that occurred in more than 20% of patients.</w:t>
      </w: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Default="00D20D7D" w:rsidP="00C46723">
      <w:pPr>
        <w:spacing w:line="360" w:lineRule="auto"/>
        <w:rPr>
          <w:rFonts w:ascii="Book Antiqua" w:hAnsi="Book Antiqua"/>
          <w:sz w:val="24"/>
        </w:rPr>
      </w:pPr>
    </w:p>
    <w:p w:rsidR="00DA6713" w:rsidRPr="00E76B5D" w:rsidRDefault="00DA6713"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Table 5 IL-28B polymorphism in sofosbuvir and ABT-450 era</w:t>
      </w:r>
    </w:p>
    <w:tbl>
      <w:tblPr>
        <w:tblW w:w="9039" w:type="dxa"/>
        <w:tblBorders>
          <w:top w:val="single" w:sz="8" w:space="0" w:color="000000" w:themeColor="text1"/>
          <w:bottom w:val="single" w:sz="8" w:space="0" w:color="000000" w:themeColor="text1"/>
        </w:tblBorders>
        <w:tblLook w:val="04A0" w:firstRow="1" w:lastRow="0" w:firstColumn="1" w:lastColumn="0" w:noHBand="0" w:noVBand="1"/>
      </w:tblPr>
      <w:tblGrid>
        <w:gridCol w:w="2043"/>
        <w:gridCol w:w="1742"/>
        <w:gridCol w:w="1359"/>
        <w:gridCol w:w="1385"/>
        <w:gridCol w:w="1255"/>
        <w:gridCol w:w="1255"/>
      </w:tblGrid>
      <w:tr w:rsidR="00E76B5D" w:rsidRPr="00E76B5D" w:rsidTr="00B55AF1">
        <w:tc>
          <w:tcPr>
            <w:tcW w:w="2043" w:type="dxa"/>
            <w:tcBorders>
              <w:top w:val="single" w:sz="8" w:space="0" w:color="000000" w:themeColor="text1"/>
              <w:bottom w:val="single" w:sz="8" w:space="0" w:color="000000" w:themeColor="text1"/>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Group (sofosbuvir)</w:t>
            </w:r>
          </w:p>
        </w:tc>
        <w:tc>
          <w:tcPr>
            <w:tcW w:w="1742" w:type="dxa"/>
            <w:tcBorders>
              <w:top w:val="single" w:sz="8" w:space="0" w:color="000000" w:themeColor="text1"/>
              <w:bottom w:val="single" w:sz="8" w:space="0" w:color="000000" w:themeColor="text1"/>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Status before treatment</w:t>
            </w:r>
          </w:p>
        </w:tc>
        <w:tc>
          <w:tcPr>
            <w:tcW w:w="1359" w:type="dxa"/>
            <w:tcBorders>
              <w:top w:val="single" w:sz="8" w:space="0" w:color="000000" w:themeColor="text1"/>
              <w:bottom w:val="single" w:sz="8" w:space="0" w:color="000000" w:themeColor="text1"/>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IL-28B CC (</w:t>
            </w:r>
            <w:r w:rsidRPr="00DA6713">
              <w:rPr>
                <w:rFonts w:ascii="Book Antiqua" w:hAnsi="Book Antiqua"/>
                <w:b/>
                <w:bCs/>
                <w:i/>
                <w:sz w:val="24"/>
              </w:rPr>
              <w:t>n)</w:t>
            </w:r>
          </w:p>
        </w:tc>
        <w:tc>
          <w:tcPr>
            <w:tcW w:w="1385" w:type="dxa"/>
            <w:tcBorders>
              <w:top w:val="single" w:sz="8" w:space="0" w:color="000000" w:themeColor="text1"/>
              <w:bottom w:val="single" w:sz="8" w:space="0" w:color="000000" w:themeColor="text1"/>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IL-28B CT (</w:t>
            </w:r>
            <w:r w:rsidRPr="00DA6713">
              <w:rPr>
                <w:rFonts w:ascii="Book Antiqua" w:hAnsi="Book Antiqua"/>
                <w:b/>
                <w:bCs/>
                <w:i/>
                <w:sz w:val="24"/>
              </w:rPr>
              <w:t>n</w:t>
            </w:r>
            <w:r w:rsidRPr="00E76B5D">
              <w:rPr>
                <w:rFonts w:ascii="Book Antiqua" w:hAnsi="Book Antiqua"/>
                <w:b/>
                <w:bCs/>
                <w:sz w:val="24"/>
              </w:rPr>
              <w:t>)</w:t>
            </w:r>
          </w:p>
        </w:tc>
        <w:tc>
          <w:tcPr>
            <w:tcW w:w="1255" w:type="dxa"/>
            <w:tcBorders>
              <w:top w:val="single" w:sz="8" w:space="0" w:color="000000" w:themeColor="text1"/>
              <w:bottom w:val="single" w:sz="8" w:space="0" w:color="000000" w:themeColor="text1"/>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IL-28B TT (</w:t>
            </w:r>
            <w:r w:rsidRPr="00DA6713">
              <w:rPr>
                <w:rFonts w:ascii="Book Antiqua" w:hAnsi="Book Antiqua"/>
                <w:b/>
                <w:bCs/>
                <w:i/>
                <w:sz w:val="24"/>
              </w:rPr>
              <w:t>n</w:t>
            </w:r>
            <w:r w:rsidRPr="00E76B5D">
              <w:rPr>
                <w:rFonts w:ascii="Book Antiqua" w:hAnsi="Book Antiqua"/>
                <w:b/>
                <w:bCs/>
                <w:sz w:val="24"/>
              </w:rPr>
              <w:t>)</w:t>
            </w:r>
          </w:p>
        </w:tc>
        <w:tc>
          <w:tcPr>
            <w:tcW w:w="1255" w:type="dxa"/>
            <w:tcBorders>
              <w:top w:val="single" w:sz="8" w:space="0" w:color="000000" w:themeColor="text1"/>
              <w:bottom w:val="single" w:sz="8" w:space="0" w:color="000000" w:themeColor="text1"/>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SVR rate (</w:t>
            </w:r>
            <w:r w:rsidRPr="00DA6713">
              <w:rPr>
                <w:rFonts w:ascii="Book Antiqua" w:hAnsi="Book Antiqua"/>
                <w:b/>
                <w:bCs/>
                <w:i/>
                <w:sz w:val="24"/>
              </w:rPr>
              <w:t>n</w:t>
            </w:r>
            <w:r w:rsidRPr="00E76B5D">
              <w:rPr>
                <w:rFonts w:ascii="Book Antiqua" w:hAnsi="Book Antiqua"/>
                <w:b/>
                <w:bCs/>
                <w:sz w:val="24"/>
              </w:rPr>
              <w:t>)</w:t>
            </w:r>
          </w:p>
        </w:tc>
      </w:tr>
      <w:tr w:rsidR="00E76B5D" w:rsidRPr="00E76B5D" w:rsidTr="00B55AF1">
        <w:tc>
          <w:tcPr>
            <w:tcW w:w="2043" w:type="dxa"/>
            <w:tcBorders>
              <w:top w:val="single" w:sz="8" w:space="0" w:color="000000" w:themeColor="text1"/>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 xml:space="preserve">1 </w:t>
            </w:r>
          </w:p>
        </w:tc>
        <w:tc>
          <w:tcPr>
            <w:tcW w:w="1742" w:type="dxa"/>
            <w:tcBorders>
              <w:top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tcBorders>
              <w:top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5</w:t>
            </w:r>
          </w:p>
        </w:tc>
        <w:tc>
          <w:tcPr>
            <w:tcW w:w="1385" w:type="dxa"/>
            <w:tcBorders>
              <w:top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4</w:t>
            </w:r>
          </w:p>
        </w:tc>
        <w:tc>
          <w:tcPr>
            <w:tcW w:w="1255" w:type="dxa"/>
            <w:tcBorders>
              <w:top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w:t>
            </w:r>
          </w:p>
        </w:tc>
        <w:tc>
          <w:tcPr>
            <w:tcW w:w="1255" w:type="dxa"/>
            <w:tcBorders>
              <w:top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100%</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 xml:space="preserve">2 </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4</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4</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100%</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 xml:space="preserve">3 </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4</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4</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2</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100%</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 xml:space="preserve">4 </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4</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5</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2</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100%</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 xml:space="preserve">5 </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2</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6</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2</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60%</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 xml:space="preserve">6 </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6</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100%</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7</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No response to</w:t>
            </w:r>
          </w:p>
          <w:p w:rsidR="00D20D7D" w:rsidRPr="00E76B5D" w:rsidRDefault="00D20D7D" w:rsidP="00C46723">
            <w:pPr>
              <w:spacing w:line="360" w:lineRule="auto"/>
              <w:rPr>
                <w:rFonts w:ascii="Book Antiqua" w:hAnsi="Book Antiqua"/>
                <w:sz w:val="24"/>
              </w:rPr>
            </w:pPr>
            <w:r w:rsidRPr="00E76B5D">
              <w:rPr>
                <w:rFonts w:ascii="Book Antiqua" w:hAnsi="Book Antiqua"/>
                <w:sz w:val="24"/>
              </w:rPr>
              <w:t>prior therapy</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2</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5</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8</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11</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12</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2</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84%</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Group(ABT-450)</w:t>
            </w:r>
          </w:p>
        </w:tc>
        <w:tc>
          <w:tcPr>
            <w:tcW w:w="1742" w:type="dxa"/>
            <w:shd w:val="clear" w:color="auto" w:fill="auto"/>
          </w:tcPr>
          <w:p w:rsidR="00D20D7D" w:rsidRPr="00E76B5D" w:rsidRDefault="00D20D7D" w:rsidP="00C46723">
            <w:pPr>
              <w:spacing w:line="360" w:lineRule="auto"/>
              <w:rPr>
                <w:rFonts w:ascii="Book Antiqua" w:hAnsi="Book Antiqua"/>
                <w:b/>
                <w:bCs/>
                <w:sz w:val="24"/>
              </w:rPr>
            </w:pPr>
          </w:p>
        </w:tc>
        <w:tc>
          <w:tcPr>
            <w:tcW w:w="1359" w:type="dxa"/>
            <w:shd w:val="clear" w:color="auto" w:fill="auto"/>
          </w:tcPr>
          <w:p w:rsidR="00D20D7D" w:rsidRPr="00E76B5D" w:rsidRDefault="00D20D7D" w:rsidP="00C46723">
            <w:pPr>
              <w:spacing w:line="360" w:lineRule="auto"/>
              <w:rPr>
                <w:rFonts w:ascii="Book Antiqua" w:hAnsi="Book Antiqua"/>
                <w:b/>
                <w:sz w:val="24"/>
              </w:rPr>
            </w:pPr>
          </w:p>
        </w:tc>
        <w:tc>
          <w:tcPr>
            <w:tcW w:w="1385" w:type="dxa"/>
            <w:shd w:val="clear" w:color="auto" w:fill="auto"/>
          </w:tcPr>
          <w:p w:rsidR="00D20D7D" w:rsidRPr="00E76B5D" w:rsidRDefault="00D20D7D" w:rsidP="00B55AF1">
            <w:pPr>
              <w:spacing w:line="360" w:lineRule="auto"/>
              <w:rPr>
                <w:rFonts w:ascii="Book Antiqua" w:hAnsi="Book Antiqua"/>
                <w:b/>
                <w:sz w:val="24"/>
              </w:rPr>
            </w:pPr>
          </w:p>
        </w:tc>
        <w:tc>
          <w:tcPr>
            <w:tcW w:w="1255" w:type="dxa"/>
            <w:shd w:val="clear" w:color="auto" w:fill="auto"/>
          </w:tcPr>
          <w:p w:rsidR="00D20D7D" w:rsidRPr="00E76B5D" w:rsidRDefault="00D20D7D" w:rsidP="00C46723">
            <w:pPr>
              <w:spacing w:line="360" w:lineRule="auto"/>
              <w:rPr>
                <w:rFonts w:ascii="Book Antiqua" w:hAnsi="Book Antiqua"/>
                <w:b/>
                <w:sz w:val="24"/>
              </w:rPr>
            </w:pPr>
          </w:p>
        </w:tc>
        <w:tc>
          <w:tcPr>
            <w:tcW w:w="1255" w:type="dxa"/>
            <w:shd w:val="clear" w:color="auto" w:fill="auto"/>
          </w:tcPr>
          <w:p w:rsidR="00D20D7D" w:rsidRPr="00E76B5D" w:rsidRDefault="00D20D7D" w:rsidP="00C46723">
            <w:pPr>
              <w:spacing w:line="360" w:lineRule="auto"/>
              <w:rPr>
                <w:rFonts w:ascii="Book Antiqua" w:hAnsi="Book Antiqua"/>
                <w:b/>
                <w:sz w:val="24"/>
              </w:rPr>
            </w:pP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1</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10/9</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7/7</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2/2</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95%</w:t>
            </w:r>
          </w:p>
        </w:tc>
      </w:tr>
      <w:tr w:rsidR="00E76B5D" w:rsidRPr="00E76B5D" w:rsidTr="00B55AF1">
        <w:tc>
          <w:tcPr>
            <w:tcW w:w="2043" w:type="dxa"/>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2</w:t>
            </w:r>
          </w:p>
        </w:tc>
        <w:tc>
          <w:tcPr>
            <w:tcW w:w="1742"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Untreated</w:t>
            </w:r>
          </w:p>
        </w:tc>
        <w:tc>
          <w:tcPr>
            <w:tcW w:w="1359"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5/4</w:t>
            </w:r>
          </w:p>
        </w:tc>
        <w:tc>
          <w:tcPr>
            <w:tcW w:w="138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7/7</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2/2</w:t>
            </w:r>
          </w:p>
        </w:tc>
        <w:tc>
          <w:tcPr>
            <w:tcW w:w="125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93%</w:t>
            </w:r>
          </w:p>
        </w:tc>
      </w:tr>
      <w:tr w:rsidR="00E76B5D" w:rsidRPr="00E76B5D" w:rsidTr="00B55AF1">
        <w:tc>
          <w:tcPr>
            <w:tcW w:w="2043" w:type="dxa"/>
            <w:tcBorders>
              <w:bottom w:val="single" w:sz="8" w:space="0" w:color="000000" w:themeColor="text1"/>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3</w:t>
            </w:r>
          </w:p>
        </w:tc>
        <w:tc>
          <w:tcPr>
            <w:tcW w:w="1742" w:type="dxa"/>
            <w:tcBorders>
              <w:bottom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No or partial response to prior therapy</w:t>
            </w:r>
          </w:p>
        </w:tc>
        <w:tc>
          <w:tcPr>
            <w:tcW w:w="1359" w:type="dxa"/>
            <w:tcBorders>
              <w:bottom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0/0</w:t>
            </w:r>
          </w:p>
        </w:tc>
        <w:tc>
          <w:tcPr>
            <w:tcW w:w="1385" w:type="dxa"/>
            <w:tcBorders>
              <w:bottom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12/6</w:t>
            </w:r>
          </w:p>
        </w:tc>
        <w:tc>
          <w:tcPr>
            <w:tcW w:w="1255" w:type="dxa"/>
            <w:tcBorders>
              <w:bottom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5/2</w:t>
            </w:r>
          </w:p>
        </w:tc>
        <w:tc>
          <w:tcPr>
            <w:tcW w:w="1255" w:type="dxa"/>
            <w:tcBorders>
              <w:bottom w:val="single" w:sz="8" w:space="0" w:color="000000" w:themeColor="text1"/>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47%</w:t>
            </w:r>
          </w:p>
        </w:tc>
      </w:tr>
    </w:tbl>
    <w:p w:rsidR="00D20D7D" w:rsidRPr="00E76B5D" w:rsidRDefault="00597C67" w:rsidP="00C46723">
      <w:pPr>
        <w:spacing w:line="360" w:lineRule="auto"/>
        <w:rPr>
          <w:rFonts w:ascii="Book Antiqua" w:hAnsi="Book Antiqua"/>
          <w:b/>
          <w:sz w:val="24"/>
        </w:rPr>
      </w:pPr>
      <w:r w:rsidRPr="00E76B5D">
        <w:rPr>
          <w:rFonts w:ascii="Book Antiqua" w:hAnsi="Book Antiqua"/>
          <w:sz w:val="24"/>
        </w:rPr>
        <w:t>SVR</w:t>
      </w:r>
      <w:r>
        <w:rPr>
          <w:rFonts w:ascii="Book Antiqua" w:hAnsi="Book Antiqua" w:hint="eastAsia"/>
          <w:sz w:val="24"/>
        </w:rPr>
        <w:t xml:space="preserve">: </w:t>
      </w:r>
      <w:r w:rsidRPr="0027261E">
        <w:rPr>
          <w:rFonts w:ascii="Book Antiqua" w:hAnsi="Book Antiqua"/>
          <w:sz w:val="24"/>
        </w:rPr>
        <w:t>Sustained virologic response</w:t>
      </w:r>
      <w:r>
        <w:rPr>
          <w:rFonts w:ascii="Book Antiqua" w:hAnsi="Book Antiqua" w:hint="eastAsia"/>
          <w:sz w:val="24"/>
        </w:rPr>
        <w:t>.</w:t>
      </w: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B55AF1" w:rsidRDefault="00B55AF1" w:rsidP="00C46723">
      <w:pPr>
        <w:spacing w:line="360" w:lineRule="auto"/>
        <w:rPr>
          <w:rFonts w:ascii="Book Antiqua" w:hAnsi="Book Antiqua"/>
          <w:b/>
          <w:sz w:val="24"/>
        </w:rPr>
      </w:pPr>
    </w:p>
    <w:p w:rsidR="00B55AF1" w:rsidRDefault="00B55AF1" w:rsidP="00C46723">
      <w:pPr>
        <w:spacing w:line="360" w:lineRule="auto"/>
        <w:rPr>
          <w:rFonts w:ascii="Book Antiqua" w:hAnsi="Book Antiqua"/>
          <w:b/>
          <w:sz w:val="24"/>
        </w:rPr>
      </w:pPr>
    </w:p>
    <w:p w:rsidR="00B55AF1" w:rsidRDefault="00B55AF1" w:rsidP="00C46723">
      <w:pPr>
        <w:spacing w:line="360" w:lineRule="auto"/>
        <w:rPr>
          <w:rFonts w:ascii="Book Antiqua" w:hAnsi="Book Antiqua"/>
          <w:b/>
          <w:sz w:val="24"/>
        </w:rPr>
      </w:pPr>
    </w:p>
    <w:p w:rsidR="00D20D7D" w:rsidRPr="00E76B5D" w:rsidRDefault="00D20D7D" w:rsidP="00C46723">
      <w:pPr>
        <w:spacing w:line="360" w:lineRule="auto"/>
        <w:rPr>
          <w:rFonts w:ascii="Book Antiqua" w:hAnsi="Book Antiqua"/>
          <w:b/>
          <w:sz w:val="24"/>
        </w:rPr>
      </w:pPr>
      <w:r w:rsidRPr="00E76B5D">
        <w:rPr>
          <w:rFonts w:ascii="Book Antiqua" w:hAnsi="Book Antiqua"/>
          <w:b/>
          <w:sz w:val="24"/>
        </w:rPr>
        <w:t xml:space="preserve">Table 6 The outcome of representative </w:t>
      </w:r>
      <w:r w:rsidR="00B674E9" w:rsidRPr="00B674E9">
        <w:rPr>
          <w:rFonts w:ascii="Book Antiqua" w:hAnsi="Book Antiqua"/>
          <w:b/>
          <w:sz w:val="24"/>
        </w:rPr>
        <w:t>direct acting antiviral agent</w:t>
      </w:r>
      <w:r w:rsidR="0055630D" w:rsidRPr="00E76B5D">
        <w:rPr>
          <w:rFonts w:ascii="Book Antiqua" w:hAnsi="Book Antiqua"/>
          <w:b/>
          <w:sz w:val="24"/>
        </w:rPr>
        <w:t>-</w:t>
      </w:r>
      <w:r w:rsidRPr="00E76B5D">
        <w:rPr>
          <w:rFonts w:ascii="Book Antiqua" w:hAnsi="Book Antiqua"/>
          <w:b/>
          <w:sz w:val="24"/>
        </w:rPr>
        <w:t xml:space="preserve">based therapy for </w:t>
      </w:r>
      <w:r w:rsidR="0055630D" w:rsidRPr="00E76B5D">
        <w:rPr>
          <w:rFonts w:ascii="Book Antiqua" w:hAnsi="Book Antiqua"/>
          <w:b/>
          <w:sz w:val="24"/>
        </w:rPr>
        <w:t>genotype 1 null responders</w:t>
      </w:r>
    </w:p>
    <w:tbl>
      <w:tblPr>
        <w:tblW w:w="9894" w:type="dxa"/>
        <w:tblInd w:w="-714" w:type="dxa"/>
        <w:tblBorders>
          <w:top w:val="single" w:sz="8" w:space="0" w:color="auto"/>
          <w:bottom w:val="single" w:sz="8" w:space="0" w:color="auto"/>
        </w:tblBorders>
        <w:tblLayout w:type="fixed"/>
        <w:tblLook w:val="04A0" w:firstRow="1" w:lastRow="0" w:firstColumn="1" w:lastColumn="0" w:noHBand="0" w:noVBand="1"/>
      </w:tblPr>
      <w:tblGrid>
        <w:gridCol w:w="1560"/>
        <w:gridCol w:w="971"/>
        <w:gridCol w:w="5095"/>
        <w:gridCol w:w="1134"/>
        <w:gridCol w:w="1134"/>
      </w:tblGrid>
      <w:tr w:rsidR="00E76B5D" w:rsidRPr="00E76B5D" w:rsidTr="00B55AF1">
        <w:tc>
          <w:tcPr>
            <w:tcW w:w="1560" w:type="dxa"/>
            <w:tcBorders>
              <w:top w:val="single" w:sz="8" w:space="0" w:color="auto"/>
              <w:bottom w:val="single" w:sz="8" w:space="0" w:color="auto"/>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Authors</w:t>
            </w:r>
          </w:p>
        </w:tc>
        <w:tc>
          <w:tcPr>
            <w:tcW w:w="971" w:type="dxa"/>
            <w:tcBorders>
              <w:top w:val="single" w:sz="8" w:space="0" w:color="auto"/>
              <w:bottom w:val="single" w:sz="8" w:space="0" w:color="auto"/>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Number</w:t>
            </w:r>
          </w:p>
        </w:tc>
        <w:tc>
          <w:tcPr>
            <w:tcW w:w="5095" w:type="dxa"/>
            <w:tcBorders>
              <w:top w:val="single" w:sz="8" w:space="0" w:color="auto"/>
              <w:bottom w:val="single" w:sz="8" w:space="0" w:color="auto"/>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Therapeutic schedule</w:t>
            </w:r>
          </w:p>
        </w:tc>
        <w:tc>
          <w:tcPr>
            <w:tcW w:w="1134" w:type="dxa"/>
            <w:tcBorders>
              <w:top w:val="single" w:sz="8" w:space="0" w:color="auto"/>
              <w:bottom w:val="single" w:sz="8" w:space="0" w:color="auto"/>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SVR rate</w:t>
            </w:r>
          </w:p>
        </w:tc>
        <w:tc>
          <w:tcPr>
            <w:tcW w:w="1134" w:type="dxa"/>
            <w:tcBorders>
              <w:top w:val="single" w:sz="8" w:space="0" w:color="auto"/>
              <w:bottom w:val="single" w:sz="8" w:space="0" w:color="auto"/>
            </w:tcBorders>
            <w:shd w:val="clear" w:color="auto" w:fill="auto"/>
          </w:tcPr>
          <w:p w:rsidR="00D20D7D" w:rsidRPr="00E76B5D" w:rsidRDefault="00D20D7D" w:rsidP="00C46723">
            <w:pPr>
              <w:spacing w:line="360" w:lineRule="auto"/>
              <w:rPr>
                <w:rFonts w:ascii="Book Antiqua" w:hAnsi="Book Antiqua"/>
                <w:b/>
                <w:bCs/>
                <w:sz w:val="24"/>
              </w:rPr>
            </w:pPr>
            <w:r w:rsidRPr="00E76B5D">
              <w:rPr>
                <w:rFonts w:ascii="Book Antiqua" w:hAnsi="Book Antiqua"/>
                <w:b/>
                <w:bCs/>
                <w:sz w:val="24"/>
              </w:rPr>
              <w:t>References</w:t>
            </w:r>
          </w:p>
        </w:tc>
      </w:tr>
      <w:tr w:rsidR="00E76B5D" w:rsidRPr="00E76B5D" w:rsidTr="00B55AF1">
        <w:tc>
          <w:tcPr>
            <w:tcW w:w="1560" w:type="dxa"/>
            <w:tcBorders>
              <w:top w:val="single" w:sz="8" w:space="0" w:color="auto"/>
            </w:tcBorders>
            <w:shd w:val="clear" w:color="auto" w:fill="auto"/>
          </w:tcPr>
          <w:p w:rsidR="00D20D7D" w:rsidRPr="00B55AF1" w:rsidRDefault="00D20D7D" w:rsidP="00C46723">
            <w:pPr>
              <w:spacing w:line="360" w:lineRule="auto"/>
              <w:rPr>
                <w:rFonts w:ascii="Book Antiqua" w:hAnsi="Book Antiqua"/>
                <w:bCs/>
                <w:sz w:val="24"/>
              </w:rPr>
            </w:pPr>
            <w:r w:rsidRPr="00B55AF1">
              <w:rPr>
                <w:rFonts w:ascii="Book Antiqua" w:hAnsi="Book Antiqua"/>
                <w:bCs/>
                <w:sz w:val="24"/>
              </w:rPr>
              <w:t xml:space="preserve">Zeuzem </w:t>
            </w:r>
            <w:r w:rsidRPr="00B55AF1">
              <w:rPr>
                <w:rFonts w:ascii="Book Antiqua" w:hAnsi="Book Antiqua"/>
                <w:bCs/>
                <w:i/>
                <w:sz w:val="24"/>
              </w:rPr>
              <w:t>et al</w:t>
            </w:r>
            <w:r w:rsidR="002A72C7" w:rsidRPr="00B55AF1">
              <w:rPr>
                <w:rFonts w:ascii="Book Antiqua" w:hAnsi="Book Antiqua" w:hint="eastAsia"/>
                <w:bCs/>
                <w:sz w:val="24"/>
                <w:vertAlign w:val="superscript"/>
              </w:rPr>
              <w:t>[24]</w:t>
            </w:r>
          </w:p>
        </w:tc>
        <w:tc>
          <w:tcPr>
            <w:tcW w:w="971" w:type="dxa"/>
            <w:tcBorders>
              <w:top w:val="single" w:sz="8" w:space="0" w:color="auto"/>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37</w:t>
            </w:r>
          </w:p>
        </w:tc>
        <w:tc>
          <w:tcPr>
            <w:tcW w:w="5095" w:type="dxa"/>
            <w:tcBorders>
              <w:top w:val="single" w:sz="8" w:space="0" w:color="auto"/>
            </w:tcBorders>
            <w:shd w:val="clear" w:color="auto" w:fill="auto"/>
          </w:tcPr>
          <w:p w:rsidR="00D20D7D" w:rsidRPr="00E76B5D" w:rsidRDefault="00D20D7D" w:rsidP="00FE006A">
            <w:pPr>
              <w:spacing w:line="360" w:lineRule="auto"/>
              <w:rPr>
                <w:rFonts w:ascii="Book Antiqua" w:hAnsi="Book Antiqua"/>
                <w:sz w:val="24"/>
              </w:rPr>
            </w:pPr>
            <w:r w:rsidRPr="00E76B5D">
              <w:rPr>
                <w:rFonts w:ascii="Book Antiqua" w:hAnsi="Book Antiqua"/>
                <w:bCs/>
                <w:sz w:val="24"/>
              </w:rPr>
              <w:t>(pegIFN-α2a+RBV)4W+(pegIFN-α2a+RBV+Telaprevir)12W+(pegIFN-α2a+RBV)32</w:t>
            </w:r>
            <w:r w:rsidR="00FE006A">
              <w:rPr>
                <w:rFonts w:ascii="Book Antiqua" w:hAnsi="Book Antiqua" w:hint="eastAsia"/>
                <w:bCs/>
                <w:sz w:val="24"/>
              </w:rPr>
              <w:t xml:space="preserve"> wk</w:t>
            </w:r>
          </w:p>
        </w:tc>
        <w:tc>
          <w:tcPr>
            <w:tcW w:w="1134" w:type="dxa"/>
            <w:tcBorders>
              <w:top w:val="single" w:sz="8" w:space="0" w:color="auto"/>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33%</w:t>
            </w:r>
          </w:p>
        </w:tc>
        <w:tc>
          <w:tcPr>
            <w:tcW w:w="1134" w:type="dxa"/>
            <w:tcBorders>
              <w:top w:val="single" w:sz="8" w:space="0" w:color="auto"/>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32</w:t>
            </w:r>
          </w:p>
        </w:tc>
      </w:tr>
      <w:tr w:rsidR="00E76B5D" w:rsidRPr="00E76B5D" w:rsidTr="00B55AF1">
        <w:tc>
          <w:tcPr>
            <w:tcW w:w="1560" w:type="dxa"/>
            <w:shd w:val="clear" w:color="auto" w:fill="auto"/>
          </w:tcPr>
          <w:p w:rsidR="00D20D7D" w:rsidRPr="00B55AF1" w:rsidRDefault="00D20D7D" w:rsidP="00C46723">
            <w:pPr>
              <w:spacing w:line="360" w:lineRule="auto"/>
              <w:rPr>
                <w:rFonts w:ascii="Book Antiqua" w:hAnsi="Book Antiqua"/>
                <w:bCs/>
                <w:sz w:val="24"/>
              </w:rPr>
            </w:pPr>
            <w:r w:rsidRPr="00B55AF1">
              <w:rPr>
                <w:rFonts w:ascii="Book Antiqua" w:hAnsi="Book Antiqua"/>
                <w:bCs/>
                <w:sz w:val="24"/>
              </w:rPr>
              <w:t xml:space="preserve">Bacon </w:t>
            </w:r>
            <w:bookmarkStart w:id="78" w:name="OLE_LINK68"/>
            <w:bookmarkStart w:id="79" w:name="OLE_LINK69"/>
            <w:r w:rsidRPr="00B55AF1">
              <w:rPr>
                <w:rFonts w:ascii="Book Antiqua" w:hAnsi="Book Antiqua"/>
                <w:bCs/>
                <w:i/>
                <w:sz w:val="24"/>
              </w:rPr>
              <w:t>et al</w:t>
            </w:r>
            <w:bookmarkEnd w:id="78"/>
            <w:bookmarkEnd w:id="79"/>
            <w:r w:rsidR="002A72C7" w:rsidRPr="00B55AF1">
              <w:rPr>
                <w:rFonts w:ascii="Book Antiqua" w:hAnsi="Book Antiqua" w:hint="eastAsia"/>
                <w:bCs/>
                <w:sz w:val="24"/>
                <w:vertAlign w:val="superscript"/>
              </w:rPr>
              <w:t>[33]</w:t>
            </w:r>
          </w:p>
        </w:tc>
        <w:tc>
          <w:tcPr>
            <w:tcW w:w="971"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58</w:t>
            </w:r>
          </w:p>
        </w:tc>
        <w:tc>
          <w:tcPr>
            <w:tcW w:w="509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bCs/>
                <w:sz w:val="24"/>
              </w:rPr>
              <w:t>(pegIFN-α2b+RBV)4W+(pegIFN-α2b+RBV+Boceprevir)44</w:t>
            </w:r>
            <w:r w:rsidR="00FE006A">
              <w:rPr>
                <w:rFonts w:ascii="Book Antiqua" w:hAnsi="Book Antiqua" w:hint="eastAsia"/>
                <w:bCs/>
                <w:sz w:val="24"/>
              </w:rPr>
              <w:t xml:space="preserve"> wk</w:t>
            </w:r>
          </w:p>
        </w:tc>
        <w:tc>
          <w:tcPr>
            <w:tcW w:w="1134"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52%</w:t>
            </w:r>
          </w:p>
        </w:tc>
        <w:tc>
          <w:tcPr>
            <w:tcW w:w="1134"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33</w:t>
            </w:r>
          </w:p>
        </w:tc>
      </w:tr>
      <w:tr w:rsidR="00E76B5D" w:rsidRPr="00E76B5D" w:rsidTr="00B55AF1">
        <w:tc>
          <w:tcPr>
            <w:tcW w:w="1560" w:type="dxa"/>
            <w:shd w:val="clear" w:color="auto" w:fill="auto"/>
          </w:tcPr>
          <w:p w:rsidR="00D20D7D" w:rsidRPr="00B55AF1" w:rsidRDefault="00D20D7D" w:rsidP="00C46723">
            <w:pPr>
              <w:spacing w:line="360" w:lineRule="auto"/>
              <w:rPr>
                <w:rFonts w:ascii="Book Antiqua" w:hAnsi="Book Antiqua"/>
                <w:bCs/>
                <w:sz w:val="24"/>
              </w:rPr>
            </w:pPr>
            <w:bookmarkStart w:id="80" w:name="_Hlk347398593"/>
            <w:r w:rsidRPr="00B55AF1">
              <w:rPr>
                <w:rFonts w:ascii="Book Antiqua" w:hAnsi="Book Antiqua"/>
                <w:bCs/>
                <w:sz w:val="24"/>
              </w:rPr>
              <w:t>Lok</w:t>
            </w:r>
            <w:r w:rsidRPr="00B55AF1">
              <w:rPr>
                <w:rFonts w:ascii="Book Antiqua" w:hAnsi="Book Antiqua"/>
                <w:bCs/>
                <w:i/>
                <w:sz w:val="24"/>
              </w:rPr>
              <w:t xml:space="preserve"> et al</w:t>
            </w:r>
            <w:r w:rsidR="002A72C7" w:rsidRPr="00B55AF1">
              <w:rPr>
                <w:rFonts w:ascii="Book Antiqua" w:hAnsi="Book Antiqua" w:hint="eastAsia"/>
                <w:bCs/>
                <w:sz w:val="24"/>
                <w:vertAlign w:val="superscript"/>
              </w:rPr>
              <w:t>[36]</w:t>
            </w:r>
          </w:p>
        </w:tc>
        <w:tc>
          <w:tcPr>
            <w:tcW w:w="971"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11</w:t>
            </w:r>
          </w:p>
        </w:tc>
        <w:tc>
          <w:tcPr>
            <w:tcW w:w="509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bCs/>
                <w:sz w:val="24"/>
              </w:rPr>
              <w:t>Daclatasvir+Asunaprevir 24</w:t>
            </w:r>
            <w:r w:rsidR="00FE006A">
              <w:rPr>
                <w:rFonts w:ascii="Book Antiqua" w:hAnsi="Book Antiqua" w:hint="eastAsia"/>
                <w:bCs/>
                <w:sz w:val="24"/>
              </w:rPr>
              <w:t xml:space="preserve"> wk</w:t>
            </w:r>
          </w:p>
        </w:tc>
        <w:tc>
          <w:tcPr>
            <w:tcW w:w="1134"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36%</w:t>
            </w:r>
          </w:p>
        </w:tc>
        <w:tc>
          <w:tcPr>
            <w:tcW w:w="1134"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36</w:t>
            </w:r>
          </w:p>
        </w:tc>
      </w:tr>
      <w:bookmarkEnd w:id="80"/>
      <w:tr w:rsidR="00E76B5D" w:rsidRPr="00E76B5D" w:rsidTr="00B55AF1">
        <w:tc>
          <w:tcPr>
            <w:tcW w:w="1560" w:type="dxa"/>
            <w:shd w:val="clear" w:color="auto" w:fill="auto"/>
          </w:tcPr>
          <w:p w:rsidR="00D20D7D" w:rsidRPr="00B55AF1" w:rsidRDefault="00D20D7D" w:rsidP="00C46723">
            <w:pPr>
              <w:spacing w:line="360" w:lineRule="auto"/>
              <w:rPr>
                <w:rFonts w:ascii="Book Antiqua" w:hAnsi="Book Antiqua"/>
                <w:bCs/>
                <w:sz w:val="24"/>
              </w:rPr>
            </w:pPr>
            <w:r w:rsidRPr="00B55AF1">
              <w:rPr>
                <w:rFonts w:ascii="Book Antiqua" w:hAnsi="Book Antiqua"/>
                <w:bCs/>
                <w:sz w:val="24"/>
              </w:rPr>
              <w:t>Lok</w:t>
            </w:r>
            <w:r w:rsidRPr="00B55AF1">
              <w:rPr>
                <w:rFonts w:ascii="Book Antiqua" w:hAnsi="Book Antiqua"/>
                <w:bCs/>
                <w:i/>
                <w:sz w:val="24"/>
              </w:rPr>
              <w:t xml:space="preserve"> et al</w:t>
            </w:r>
            <w:r w:rsidR="002A72C7" w:rsidRPr="00B55AF1">
              <w:rPr>
                <w:rFonts w:ascii="Book Antiqua" w:hAnsi="Book Antiqua" w:hint="eastAsia"/>
                <w:bCs/>
                <w:sz w:val="24"/>
                <w:vertAlign w:val="superscript"/>
              </w:rPr>
              <w:t>[36]</w:t>
            </w:r>
          </w:p>
        </w:tc>
        <w:tc>
          <w:tcPr>
            <w:tcW w:w="971"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w:t>
            </w:r>
          </w:p>
        </w:tc>
        <w:tc>
          <w:tcPr>
            <w:tcW w:w="509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bCs/>
                <w:sz w:val="24"/>
              </w:rPr>
              <w:t>Daclatasvir+Asunaprevir+</w:t>
            </w:r>
            <w:bookmarkStart w:id="81" w:name="OLE_LINK65"/>
            <w:r w:rsidRPr="00E76B5D">
              <w:rPr>
                <w:rFonts w:ascii="Book Antiqua" w:hAnsi="Book Antiqua"/>
                <w:bCs/>
                <w:sz w:val="24"/>
              </w:rPr>
              <w:t>pegIFN-α2a+RBV</w:t>
            </w:r>
            <w:bookmarkEnd w:id="81"/>
            <w:r w:rsidRPr="00E76B5D">
              <w:rPr>
                <w:rFonts w:ascii="Book Antiqua" w:hAnsi="Book Antiqua"/>
                <w:bCs/>
                <w:sz w:val="24"/>
              </w:rPr>
              <w:t xml:space="preserve"> 24</w:t>
            </w:r>
            <w:r w:rsidR="00FE006A">
              <w:rPr>
                <w:rFonts w:ascii="Book Antiqua" w:hAnsi="Book Antiqua" w:hint="eastAsia"/>
                <w:bCs/>
                <w:sz w:val="24"/>
              </w:rPr>
              <w:t xml:space="preserve"> wk</w:t>
            </w:r>
          </w:p>
        </w:tc>
        <w:tc>
          <w:tcPr>
            <w:tcW w:w="1134"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90%</w:t>
            </w:r>
          </w:p>
        </w:tc>
        <w:tc>
          <w:tcPr>
            <w:tcW w:w="1134"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36</w:t>
            </w:r>
          </w:p>
        </w:tc>
      </w:tr>
      <w:tr w:rsidR="00E76B5D" w:rsidRPr="00E76B5D" w:rsidTr="00B55AF1">
        <w:tc>
          <w:tcPr>
            <w:tcW w:w="1560" w:type="dxa"/>
            <w:shd w:val="clear" w:color="auto" w:fill="auto"/>
          </w:tcPr>
          <w:p w:rsidR="00D20D7D" w:rsidRPr="00B55AF1" w:rsidRDefault="00D20D7D" w:rsidP="00C46723">
            <w:pPr>
              <w:spacing w:line="360" w:lineRule="auto"/>
              <w:rPr>
                <w:rFonts w:ascii="Book Antiqua" w:hAnsi="Book Antiqua"/>
                <w:bCs/>
                <w:sz w:val="24"/>
              </w:rPr>
            </w:pPr>
            <w:r w:rsidRPr="00B55AF1">
              <w:rPr>
                <w:rFonts w:ascii="Book Antiqua" w:hAnsi="Book Antiqua"/>
                <w:bCs/>
                <w:sz w:val="24"/>
              </w:rPr>
              <w:t xml:space="preserve">Gane </w:t>
            </w:r>
            <w:r w:rsidRPr="00B55AF1">
              <w:rPr>
                <w:rFonts w:ascii="Book Antiqua" w:hAnsi="Book Antiqua"/>
                <w:bCs/>
                <w:i/>
                <w:sz w:val="24"/>
              </w:rPr>
              <w:t>et al</w:t>
            </w:r>
            <w:r w:rsidR="002A72C7" w:rsidRPr="00B55AF1">
              <w:rPr>
                <w:rFonts w:ascii="Book Antiqua" w:hAnsi="Book Antiqua" w:hint="eastAsia"/>
                <w:bCs/>
                <w:sz w:val="24"/>
                <w:vertAlign w:val="superscript"/>
              </w:rPr>
              <w:t>[37]</w:t>
            </w:r>
          </w:p>
        </w:tc>
        <w:tc>
          <w:tcPr>
            <w:tcW w:w="971"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w:t>
            </w:r>
          </w:p>
        </w:tc>
        <w:tc>
          <w:tcPr>
            <w:tcW w:w="5095"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Sofosbuvir+RBV 12</w:t>
            </w:r>
            <w:r w:rsidR="00FE006A">
              <w:rPr>
                <w:rFonts w:ascii="Book Antiqua" w:hAnsi="Book Antiqua" w:hint="eastAsia"/>
                <w:sz w:val="24"/>
              </w:rPr>
              <w:t xml:space="preserve"> </w:t>
            </w:r>
            <w:r w:rsidR="00FE006A">
              <w:rPr>
                <w:rFonts w:ascii="Book Antiqua" w:hAnsi="Book Antiqua" w:hint="eastAsia"/>
                <w:bCs/>
                <w:sz w:val="24"/>
              </w:rPr>
              <w:t>wk</w:t>
            </w:r>
          </w:p>
        </w:tc>
        <w:tc>
          <w:tcPr>
            <w:tcW w:w="1134"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10%</w:t>
            </w:r>
          </w:p>
        </w:tc>
        <w:tc>
          <w:tcPr>
            <w:tcW w:w="1134" w:type="dxa"/>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37</w:t>
            </w:r>
          </w:p>
        </w:tc>
      </w:tr>
      <w:tr w:rsidR="00E76B5D" w:rsidRPr="00E76B5D" w:rsidTr="00B55AF1">
        <w:trPr>
          <w:trHeight w:val="337"/>
        </w:trPr>
        <w:tc>
          <w:tcPr>
            <w:tcW w:w="1560" w:type="dxa"/>
            <w:tcBorders>
              <w:bottom w:val="single" w:sz="8" w:space="0" w:color="auto"/>
            </w:tcBorders>
            <w:shd w:val="clear" w:color="auto" w:fill="auto"/>
          </w:tcPr>
          <w:p w:rsidR="00D20D7D" w:rsidRPr="00B55AF1" w:rsidRDefault="00D20D7D" w:rsidP="00C46723">
            <w:pPr>
              <w:spacing w:line="360" w:lineRule="auto"/>
              <w:rPr>
                <w:rFonts w:ascii="Book Antiqua" w:hAnsi="Book Antiqua"/>
                <w:bCs/>
                <w:sz w:val="24"/>
              </w:rPr>
            </w:pPr>
            <w:r w:rsidRPr="00B55AF1">
              <w:rPr>
                <w:rFonts w:ascii="Book Antiqua" w:hAnsi="Book Antiqua"/>
                <w:bCs/>
                <w:sz w:val="24"/>
              </w:rPr>
              <w:t xml:space="preserve">Poordad </w:t>
            </w:r>
            <w:r w:rsidRPr="00B55AF1">
              <w:rPr>
                <w:rFonts w:ascii="Book Antiqua" w:hAnsi="Book Antiqua"/>
                <w:bCs/>
                <w:i/>
                <w:sz w:val="24"/>
              </w:rPr>
              <w:t>et al</w:t>
            </w:r>
            <w:r w:rsidR="002A72C7" w:rsidRPr="00B55AF1">
              <w:rPr>
                <w:rFonts w:ascii="Book Antiqua" w:hAnsi="Book Antiqua" w:hint="eastAsia"/>
                <w:bCs/>
                <w:sz w:val="24"/>
                <w:vertAlign w:val="superscript"/>
              </w:rPr>
              <w:t>[38]</w:t>
            </w:r>
          </w:p>
        </w:tc>
        <w:tc>
          <w:tcPr>
            <w:tcW w:w="971" w:type="dxa"/>
            <w:tcBorders>
              <w:bottom w:val="single" w:sz="8" w:space="0" w:color="auto"/>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7</w:t>
            </w:r>
          </w:p>
        </w:tc>
        <w:tc>
          <w:tcPr>
            <w:tcW w:w="5095" w:type="dxa"/>
            <w:tcBorders>
              <w:bottom w:val="single" w:sz="8" w:space="0" w:color="auto"/>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ABT-450+Ritonavir+ABT-333+RBV 12</w:t>
            </w:r>
            <w:r w:rsidR="00FE006A">
              <w:rPr>
                <w:rFonts w:ascii="Book Antiqua" w:hAnsi="Book Antiqua" w:hint="eastAsia"/>
                <w:sz w:val="24"/>
              </w:rPr>
              <w:t xml:space="preserve"> </w:t>
            </w:r>
            <w:r w:rsidR="00FE006A">
              <w:rPr>
                <w:rFonts w:ascii="Book Antiqua" w:hAnsi="Book Antiqua" w:hint="eastAsia"/>
                <w:bCs/>
                <w:sz w:val="24"/>
              </w:rPr>
              <w:t>wk</w:t>
            </w:r>
          </w:p>
        </w:tc>
        <w:tc>
          <w:tcPr>
            <w:tcW w:w="1134" w:type="dxa"/>
            <w:tcBorders>
              <w:bottom w:val="single" w:sz="8" w:space="0" w:color="auto"/>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43%</w:t>
            </w:r>
          </w:p>
        </w:tc>
        <w:tc>
          <w:tcPr>
            <w:tcW w:w="1134" w:type="dxa"/>
            <w:tcBorders>
              <w:bottom w:val="single" w:sz="8" w:space="0" w:color="auto"/>
            </w:tcBorders>
            <w:shd w:val="clear" w:color="auto" w:fill="auto"/>
          </w:tcPr>
          <w:p w:rsidR="00D20D7D" w:rsidRPr="00E76B5D" w:rsidRDefault="00D20D7D" w:rsidP="00C46723">
            <w:pPr>
              <w:spacing w:line="360" w:lineRule="auto"/>
              <w:rPr>
                <w:rFonts w:ascii="Book Antiqua" w:hAnsi="Book Antiqua"/>
                <w:sz w:val="24"/>
              </w:rPr>
            </w:pPr>
            <w:r w:rsidRPr="00E76B5D">
              <w:rPr>
                <w:rFonts w:ascii="Book Antiqua" w:hAnsi="Book Antiqua"/>
                <w:sz w:val="24"/>
              </w:rPr>
              <w:t>38</w:t>
            </w:r>
          </w:p>
        </w:tc>
      </w:tr>
    </w:tbl>
    <w:p w:rsidR="00B674E9" w:rsidRPr="00E76B5D" w:rsidRDefault="00B674E9" w:rsidP="00B674E9">
      <w:pPr>
        <w:spacing w:line="360" w:lineRule="auto"/>
        <w:rPr>
          <w:rFonts w:ascii="Book Antiqua" w:hAnsi="Book Antiqua"/>
          <w:b/>
          <w:sz w:val="24"/>
        </w:rPr>
      </w:pPr>
      <w:r w:rsidRPr="00E76B5D">
        <w:rPr>
          <w:rFonts w:ascii="Book Antiqua" w:hAnsi="Book Antiqua"/>
          <w:sz w:val="24"/>
        </w:rPr>
        <w:t>pegIFN α</w:t>
      </w:r>
      <w:r>
        <w:rPr>
          <w:rFonts w:ascii="Book Antiqua" w:hAnsi="Book Antiqua" w:hint="eastAsia"/>
          <w:sz w:val="24"/>
        </w:rPr>
        <w:t xml:space="preserve">: </w:t>
      </w:r>
      <w:r>
        <w:rPr>
          <w:rFonts w:ascii="Book Antiqua" w:hAnsi="Book Antiqua"/>
          <w:sz w:val="24"/>
        </w:rPr>
        <w:t>Peginterferon</w:t>
      </w:r>
      <w:r>
        <w:rPr>
          <w:rFonts w:ascii="Book Antiqua" w:hAnsi="Book Antiqua" w:hint="eastAsia"/>
          <w:sz w:val="24"/>
        </w:rPr>
        <w:t xml:space="preserve"> </w:t>
      </w:r>
      <w:r w:rsidRPr="00E76B5D">
        <w:rPr>
          <w:rFonts w:ascii="Book Antiqua" w:hAnsi="Book Antiqua" w:cs="Arial"/>
          <w:sz w:val="24"/>
        </w:rPr>
        <w:t>α</w:t>
      </w:r>
      <w:r>
        <w:rPr>
          <w:rFonts w:ascii="Book Antiqua" w:hAnsi="Book Antiqua" w:cs="Arial" w:hint="eastAsia"/>
          <w:sz w:val="24"/>
        </w:rPr>
        <w:t xml:space="preserve">; </w:t>
      </w:r>
      <w:r w:rsidRPr="00E76B5D">
        <w:rPr>
          <w:rFonts w:ascii="Book Antiqua" w:hAnsi="Book Antiqua"/>
          <w:sz w:val="24"/>
        </w:rPr>
        <w:t>SVR</w:t>
      </w:r>
      <w:r>
        <w:rPr>
          <w:rFonts w:ascii="Book Antiqua" w:hAnsi="Book Antiqua" w:hint="eastAsia"/>
          <w:sz w:val="24"/>
        </w:rPr>
        <w:t xml:space="preserve">: </w:t>
      </w:r>
      <w:r w:rsidRPr="0027261E">
        <w:rPr>
          <w:rFonts w:ascii="Book Antiqua" w:hAnsi="Book Antiqua"/>
          <w:sz w:val="24"/>
        </w:rPr>
        <w:t>Sustained virologic response</w:t>
      </w:r>
      <w:r>
        <w:rPr>
          <w:rFonts w:ascii="Book Antiqua" w:hAnsi="Book Antiqua" w:hint="eastAsia"/>
          <w:sz w:val="24"/>
        </w:rPr>
        <w:t>.</w:t>
      </w:r>
    </w:p>
    <w:p w:rsidR="00D20D7D" w:rsidRPr="00B674E9"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sz w:val="24"/>
        </w:rPr>
      </w:pPr>
    </w:p>
    <w:p w:rsidR="00D20D7D" w:rsidRPr="00E76B5D" w:rsidRDefault="00D20D7D" w:rsidP="00C46723">
      <w:pPr>
        <w:spacing w:line="360" w:lineRule="auto"/>
        <w:rPr>
          <w:rFonts w:ascii="Book Antiqua" w:hAnsi="Book Antiqua"/>
          <w:noProof/>
          <w:sz w:val="24"/>
        </w:rPr>
      </w:pPr>
    </w:p>
    <w:p w:rsidR="00D20D7D" w:rsidRPr="00E76B5D" w:rsidRDefault="00D20D7D" w:rsidP="00C46723">
      <w:pPr>
        <w:spacing w:line="360" w:lineRule="auto"/>
        <w:rPr>
          <w:rFonts w:ascii="Book Antiqua" w:hAnsi="Book Antiqua"/>
          <w:noProof/>
          <w:sz w:val="24"/>
        </w:rPr>
      </w:pPr>
    </w:p>
    <w:p w:rsidR="00D20D7D" w:rsidRPr="00E76B5D" w:rsidRDefault="007131BB" w:rsidP="00C46723">
      <w:pPr>
        <w:spacing w:line="360" w:lineRule="auto"/>
        <w:rPr>
          <w:rFonts w:ascii="Book Antiqua" w:hAnsi="Book Antiqua"/>
          <w:sz w:val="24"/>
        </w:rPr>
      </w:pPr>
      <w:r w:rsidRPr="00E76B5D">
        <w:rPr>
          <w:rFonts w:ascii="Book Antiqua" w:hAnsi="Book Antiqua"/>
          <w:sz w:val="24"/>
        </w:rPr>
        <w:fldChar w:fldCharType="begin"/>
      </w:r>
      <w:r w:rsidR="00D20D7D" w:rsidRPr="00E76B5D">
        <w:rPr>
          <w:rFonts w:ascii="Book Antiqua" w:hAnsi="Book Antiqua"/>
          <w:sz w:val="24"/>
        </w:rPr>
        <w:instrText xml:space="preserve"> ADDIN </w:instrText>
      </w:r>
      <w:r w:rsidRPr="00E76B5D">
        <w:rPr>
          <w:rFonts w:ascii="Book Antiqua" w:hAnsi="Book Antiqua"/>
          <w:sz w:val="24"/>
        </w:rPr>
        <w:fldChar w:fldCharType="end"/>
      </w:r>
    </w:p>
    <w:p w:rsidR="00514FD9" w:rsidRPr="00E76B5D" w:rsidRDefault="00514FD9" w:rsidP="00C46723">
      <w:pPr>
        <w:spacing w:line="360" w:lineRule="auto"/>
        <w:rPr>
          <w:rFonts w:ascii="Book Antiqua" w:hAnsi="Book Antiqua"/>
          <w:sz w:val="24"/>
        </w:rPr>
      </w:pPr>
    </w:p>
    <w:sectPr w:rsidR="00514FD9" w:rsidRPr="00E76B5D" w:rsidSect="00893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CA" w:rsidRDefault="00CC44CA" w:rsidP="00FF610E">
      <w:r>
        <w:separator/>
      </w:r>
    </w:p>
  </w:endnote>
  <w:endnote w:type="continuationSeparator" w:id="0">
    <w:p w:rsidR="00CC44CA" w:rsidRDefault="00CC44CA" w:rsidP="00FF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CA" w:rsidRDefault="00CC44CA" w:rsidP="00FF610E">
      <w:r>
        <w:separator/>
      </w:r>
    </w:p>
  </w:footnote>
  <w:footnote w:type="continuationSeparator" w:id="0">
    <w:p w:rsidR="00CC44CA" w:rsidRDefault="00CC44CA" w:rsidP="00FF6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5F44"/>
    <w:multiLevelType w:val="hybridMultilevel"/>
    <w:tmpl w:val="3E8CD540"/>
    <w:lvl w:ilvl="0" w:tplc="4412B48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7A1D18"/>
    <w:multiLevelType w:val="hybridMultilevel"/>
    <w:tmpl w:val="8B20C37E"/>
    <w:lvl w:ilvl="0" w:tplc="0D18A1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E50534"/>
    <w:multiLevelType w:val="hybridMultilevel"/>
    <w:tmpl w:val="3BA8E690"/>
    <w:lvl w:ilvl="0" w:tplc="39443DC6">
      <w:start w:val="1"/>
      <w:numFmt w:val="decimal"/>
      <w:lvlText w:val="%1"/>
      <w:lvlJc w:val="left"/>
      <w:pPr>
        <w:ind w:left="837" w:hanging="360"/>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3">
    <w:nsid w:val="55CE043F"/>
    <w:multiLevelType w:val="hybridMultilevel"/>
    <w:tmpl w:val="E962049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4734AD"/>
    <w:multiLevelType w:val="hybridMultilevel"/>
    <w:tmpl w:val="26DE59CA"/>
    <w:lvl w:ilvl="0" w:tplc="3B7431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FDA324F"/>
    <w:multiLevelType w:val="hybridMultilevel"/>
    <w:tmpl w:val="60D42136"/>
    <w:lvl w:ilvl="0" w:tplc="8B1C4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20D7D"/>
    <w:rsid w:val="0000029C"/>
    <w:rsid w:val="00003C51"/>
    <w:rsid w:val="0004503A"/>
    <w:rsid w:val="00060841"/>
    <w:rsid w:val="0008036E"/>
    <w:rsid w:val="00103171"/>
    <w:rsid w:val="00103BFA"/>
    <w:rsid w:val="00152DA8"/>
    <w:rsid w:val="00194689"/>
    <w:rsid w:val="0019629D"/>
    <w:rsid w:val="001A2E73"/>
    <w:rsid w:val="001C4AD4"/>
    <w:rsid w:val="00203582"/>
    <w:rsid w:val="00254AB2"/>
    <w:rsid w:val="00265AA1"/>
    <w:rsid w:val="0027261E"/>
    <w:rsid w:val="002A72C7"/>
    <w:rsid w:val="002B119F"/>
    <w:rsid w:val="002D0E66"/>
    <w:rsid w:val="002D6B98"/>
    <w:rsid w:val="002E593A"/>
    <w:rsid w:val="002F50C1"/>
    <w:rsid w:val="002F5562"/>
    <w:rsid w:val="00374D74"/>
    <w:rsid w:val="00386C11"/>
    <w:rsid w:val="00393DEB"/>
    <w:rsid w:val="003C07F0"/>
    <w:rsid w:val="003D6512"/>
    <w:rsid w:val="003D7EF3"/>
    <w:rsid w:val="003E048A"/>
    <w:rsid w:val="00437746"/>
    <w:rsid w:val="00466F6A"/>
    <w:rsid w:val="00495DD7"/>
    <w:rsid w:val="004A2B4D"/>
    <w:rsid w:val="004D3AAE"/>
    <w:rsid w:val="004D6BE2"/>
    <w:rsid w:val="00500598"/>
    <w:rsid w:val="00514FD9"/>
    <w:rsid w:val="00530413"/>
    <w:rsid w:val="0053757B"/>
    <w:rsid w:val="00545AD4"/>
    <w:rsid w:val="0055630D"/>
    <w:rsid w:val="00563DA2"/>
    <w:rsid w:val="00597C67"/>
    <w:rsid w:val="005B125A"/>
    <w:rsid w:val="005D239C"/>
    <w:rsid w:val="0060769D"/>
    <w:rsid w:val="006B1452"/>
    <w:rsid w:val="006D281B"/>
    <w:rsid w:val="007131BB"/>
    <w:rsid w:val="007349E4"/>
    <w:rsid w:val="007755D5"/>
    <w:rsid w:val="007952A0"/>
    <w:rsid w:val="007A501B"/>
    <w:rsid w:val="00801ACB"/>
    <w:rsid w:val="00806F13"/>
    <w:rsid w:val="008146A7"/>
    <w:rsid w:val="00816B09"/>
    <w:rsid w:val="008443BF"/>
    <w:rsid w:val="00851B7C"/>
    <w:rsid w:val="00851E70"/>
    <w:rsid w:val="00854551"/>
    <w:rsid w:val="0087631D"/>
    <w:rsid w:val="00893643"/>
    <w:rsid w:val="008B071B"/>
    <w:rsid w:val="008D0A08"/>
    <w:rsid w:val="00921538"/>
    <w:rsid w:val="00942F9A"/>
    <w:rsid w:val="00943182"/>
    <w:rsid w:val="0095288E"/>
    <w:rsid w:val="00973F50"/>
    <w:rsid w:val="009B4FD8"/>
    <w:rsid w:val="009C489A"/>
    <w:rsid w:val="00A21798"/>
    <w:rsid w:val="00A32A58"/>
    <w:rsid w:val="00A54D7B"/>
    <w:rsid w:val="00A573EE"/>
    <w:rsid w:val="00A57EB9"/>
    <w:rsid w:val="00A817FA"/>
    <w:rsid w:val="00AB0A85"/>
    <w:rsid w:val="00AB1CA5"/>
    <w:rsid w:val="00AC20E1"/>
    <w:rsid w:val="00B25903"/>
    <w:rsid w:val="00B325FF"/>
    <w:rsid w:val="00B33E72"/>
    <w:rsid w:val="00B404FD"/>
    <w:rsid w:val="00B55AF1"/>
    <w:rsid w:val="00B674E9"/>
    <w:rsid w:val="00B86C70"/>
    <w:rsid w:val="00BA01C4"/>
    <w:rsid w:val="00BE48E6"/>
    <w:rsid w:val="00BE5BA6"/>
    <w:rsid w:val="00C46723"/>
    <w:rsid w:val="00C55586"/>
    <w:rsid w:val="00C80B1C"/>
    <w:rsid w:val="00CB3C1F"/>
    <w:rsid w:val="00CC44CA"/>
    <w:rsid w:val="00CD6951"/>
    <w:rsid w:val="00D006E1"/>
    <w:rsid w:val="00D20D7D"/>
    <w:rsid w:val="00D401B8"/>
    <w:rsid w:val="00D406BF"/>
    <w:rsid w:val="00D5089D"/>
    <w:rsid w:val="00D5392C"/>
    <w:rsid w:val="00D56C52"/>
    <w:rsid w:val="00DA6713"/>
    <w:rsid w:val="00DD4021"/>
    <w:rsid w:val="00E06170"/>
    <w:rsid w:val="00E27318"/>
    <w:rsid w:val="00E31F7B"/>
    <w:rsid w:val="00E55AD2"/>
    <w:rsid w:val="00E73D4C"/>
    <w:rsid w:val="00E76B5D"/>
    <w:rsid w:val="00ED1E7D"/>
    <w:rsid w:val="00F56A1C"/>
    <w:rsid w:val="00F6387B"/>
    <w:rsid w:val="00FA5905"/>
    <w:rsid w:val="00FB1C0D"/>
    <w:rsid w:val="00FD4368"/>
    <w:rsid w:val="00FE006A"/>
    <w:rsid w:val="00FF6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72"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0D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20D7D"/>
    <w:rPr>
      <w:rFonts w:ascii="Times New Roman" w:eastAsia="宋体" w:hAnsi="Times New Roman" w:cs="Times New Roman"/>
      <w:sz w:val="18"/>
      <w:szCs w:val="18"/>
    </w:rPr>
  </w:style>
  <w:style w:type="paragraph" w:styleId="a4">
    <w:name w:val="footer"/>
    <w:basedOn w:val="a"/>
    <w:link w:val="Char0"/>
    <w:rsid w:val="00D20D7D"/>
    <w:pPr>
      <w:tabs>
        <w:tab w:val="center" w:pos="4153"/>
        <w:tab w:val="right" w:pos="8306"/>
      </w:tabs>
      <w:snapToGrid w:val="0"/>
      <w:jc w:val="left"/>
    </w:pPr>
    <w:rPr>
      <w:sz w:val="18"/>
      <w:szCs w:val="18"/>
    </w:rPr>
  </w:style>
  <w:style w:type="character" w:customStyle="1" w:styleId="Char0">
    <w:name w:val="页脚 Char"/>
    <w:link w:val="a4"/>
    <w:rsid w:val="00D20D7D"/>
    <w:rPr>
      <w:rFonts w:ascii="Times New Roman" w:eastAsia="宋体" w:hAnsi="Times New Roman" w:cs="Times New Roman"/>
      <w:sz w:val="18"/>
      <w:szCs w:val="18"/>
    </w:rPr>
  </w:style>
  <w:style w:type="table" w:styleId="a5">
    <w:name w:val="Table Grid"/>
    <w:basedOn w:val="a1"/>
    <w:rsid w:val="00D20D7D"/>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5">
    <w:name w:val="Medium Grid 3 Accent 5"/>
    <w:basedOn w:val="a1"/>
    <w:uiPriority w:val="60"/>
    <w:rsid w:val="00D20D7D"/>
    <w:rPr>
      <w:rFonts w:ascii="Times New Roman" w:eastAsia="宋体"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2">
    <w:name w:val="Medium Grid 3 Accent 2"/>
    <w:basedOn w:val="a1"/>
    <w:uiPriority w:val="60"/>
    <w:rsid w:val="00D20D7D"/>
    <w:rPr>
      <w:rFonts w:ascii="Times New Roman" w:eastAsia="宋体" w:hAnsi="Times New Roman"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
    <w:name w:val="Table Simple 1"/>
    <w:basedOn w:val="a1"/>
    <w:rsid w:val="00D20D7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
    <w:name w:val="浅色底纹 - 强调文字颜色 11"/>
    <w:basedOn w:val="a1"/>
    <w:uiPriority w:val="60"/>
    <w:rsid w:val="00D20D7D"/>
    <w:rPr>
      <w:rFonts w:ascii="Times New Roman" w:eastAsia="宋体" w:hAnsi="Times New Roman"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4">
    <w:name w:val="Medium Grid 3 Accent 4"/>
    <w:basedOn w:val="a1"/>
    <w:uiPriority w:val="60"/>
    <w:rsid w:val="00D20D7D"/>
    <w:rPr>
      <w:rFonts w:ascii="Times New Roman" w:eastAsia="宋体" w:hAnsi="Times New Roman"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3">
    <w:name w:val="Medium Grid 3 Accent 3"/>
    <w:basedOn w:val="a1"/>
    <w:uiPriority w:val="60"/>
    <w:rsid w:val="00D20D7D"/>
    <w:rPr>
      <w:rFonts w:ascii="Times New Roman" w:eastAsia="宋体"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6">
    <w:name w:val="Medium Grid 3 Accent 6"/>
    <w:basedOn w:val="a1"/>
    <w:uiPriority w:val="60"/>
    <w:rsid w:val="00D20D7D"/>
    <w:rPr>
      <w:rFonts w:ascii="Times New Roman" w:eastAsia="宋体" w:hAnsi="Times New Roman" w:cs="Times New Roman"/>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6">
    <w:name w:val="Normal (Web)"/>
    <w:basedOn w:val="a"/>
    <w:uiPriority w:val="99"/>
    <w:unhideWhenUsed/>
    <w:rsid w:val="00D20D7D"/>
    <w:pPr>
      <w:widowControl/>
      <w:spacing w:before="100" w:beforeAutospacing="1" w:after="100" w:afterAutospacing="1"/>
      <w:jc w:val="left"/>
    </w:pPr>
    <w:rPr>
      <w:rFonts w:ascii="宋体" w:hAnsi="宋体" w:cs="宋体"/>
      <w:kern w:val="0"/>
      <w:sz w:val="24"/>
    </w:rPr>
  </w:style>
  <w:style w:type="character" w:styleId="a7">
    <w:name w:val="Hyperlink"/>
    <w:uiPriority w:val="99"/>
    <w:rsid w:val="00D20D7D"/>
    <w:rPr>
      <w:color w:val="auto"/>
      <w:u w:val="single"/>
      <w:effect w:val="none"/>
    </w:rPr>
  </w:style>
  <w:style w:type="paragraph" w:styleId="a8">
    <w:name w:val="Balloon Text"/>
    <w:basedOn w:val="a"/>
    <w:link w:val="Char1"/>
    <w:semiHidden/>
    <w:rsid w:val="00D20D7D"/>
    <w:rPr>
      <w:sz w:val="18"/>
      <w:szCs w:val="18"/>
    </w:rPr>
  </w:style>
  <w:style w:type="character" w:customStyle="1" w:styleId="Char1">
    <w:name w:val="批注框文本 Char"/>
    <w:basedOn w:val="a0"/>
    <w:link w:val="a8"/>
    <w:semiHidden/>
    <w:rsid w:val="00D20D7D"/>
    <w:rPr>
      <w:rFonts w:ascii="Times New Roman" w:eastAsia="宋体" w:hAnsi="Times New Roman" w:cs="Times New Roman"/>
      <w:sz w:val="18"/>
      <w:szCs w:val="18"/>
    </w:rPr>
  </w:style>
  <w:style w:type="character" w:styleId="a9">
    <w:name w:val="annotation reference"/>
    <w:semiHidden/>
    <w:rsid w:val="00D20D7D"/>
    <w:rPr>
      <w:sz w:val="21"/>
      <w:szCs w:val="21"/>
    </w:rPr>
  </w:style>
  <w:style w:type="paragraph" w:styleId="aa">
    <w:name w:val="annotation text"/>
    <w:aliases w:val="'"/>
    <w:basedOn w:val="a"/>
    <w:link w:val="Char2"/>
    <w:rsid w:val="00D20D7D"/>
    <w:pPr>
      <w:jc w:val="left"/>
    </w:pPr>
  </w:style>
  <w:style w:type="character" w:customStyle="1" w:styleId="Char2">
    <w:name w:val="批注文字 Char"/>
    <w:aliases w:val="' Char"/>
    <w:link w:val="aa"/>
    <w:rsid w:val="00D20D7D"/>
    <w:rPr>
      <w:rFonts w:ascii="Times New Roman" w:eastAsia="宋体" w:hAnsi="Times New Roman" w:cs="Times New Roman"/>
      <w:szCs w:val="24"/>
    </w:rPr>
  </w:style>
  <w:style w:type="paragraph" w:styleId="ab">
    <w:name w:val="annotation subject"/>
    <w:basedOn w:val="aa"/>
    <w:next w:val="aa"/>
    <w:link w:val="Char3"/>
    <w:semiHidden/>
    <w:rsid w:val="00D20D7D"/>
    <w:rPr>
      <w:b/>
      <w:bCs/>
    </w:rPr>
  </w:style>
  <w:style w:type="character" w:customStyle="1" w:styleId="Char3">
    <w:name w:val="批注主题 Char"/>
    <w:basedOn w:val="Char2"/>
    <w:link w:val="ab"/>
    <w:semiHidden/>
    <w:rsid w:val="00D20D7D"/>
    <w:rPr>
      <w:rFonts w:ascii="Times New Roman" w:eastAsia="宋体" w:hAnsi="Times New Roman" w:cs="Times New Roman"/>
      <w:b/>
      <w:bCs/>
      <w:szCs w:val="24"/>
    </w:rPr>
  </w:style>
  <w:style w:type="table" w:styleId="2">
    <w:name w:val="Table Classic 2"/>
    <w:basedOn w:val="a1"/>
    <w:rsid w:val="00D20D7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Medium Grid 1 Accent 4"/>
    <w:basedOn w:val="a1"/>
    <w:uiPriority w:val="72"/>
    <w:rsid w:val="00D20D7D"/>
    <w:rPr>
      <w:rFonts w:ascii="Times New Roman" w:eastAsia="宋体" w:hAnsi="Times New Roman"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11">
    <w:name w:val="中等深浅列表 1 - 强调文字颜色 11"/>
    <w:basedOn w:val="a1"/>
    <w:uiPriority w:val="65"/>
    <w:rsid w:val="00D20D7D"/>
    <w:rPr>
      <w:rFonts w:ascii="Times New Roman" w:eastAsia="宋体" w:hAnsi="Times New Roman"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trans">
    <w:name w:val="trans"/>
    <w:basedOn w:val="a0"/>
    <w:rsid w:val="00D20D7D"/>
  </w:style>
  <w:style w:type="paragraph" w:styleId="ac">
    <w:name w:val="Revision"/>
    <w:hidden/>
    <w:uiPriority w:val="99"/>
    <w:semiHidden/>
    <w:rsid w:val="00D20D7D"/>
    <w:rPr>
      <w:rFonts w:ascii="Times New Roman" w:eastAsia="宋体" w:hAnsi="Times New Roman" w:cs="Times New Roman"/>
      <w:szCs w:val="24"/>
    </w:rPr>
  </w:style>
  <w:style w:type="character" w:styleId="ad">
    <w:name w:val="Strong"/>
    <w:uiPriority w:val="22"/>
    <w:qFormat/>
    <w:rsid w:val="00003C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72"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0D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20D7D"/>
    <w:rPr>
      <w:rFonts w:ascii="Times New Roman" w:eastAsia="宋体" w:hAnsi="Times New Roman" w:cs="Times New Roman"/>
      <w:sz w:val="18"/>
      <w:szCs w:val="18"/>
    </w:rPr>
  </w:style>
  <w:style w:type="paragraph" w:styleId="a4">
    <w:name w:val="footer"/>
    <w:basedOn w:val="a"/>
    <w:link w:val="Char0"/>
    <w:rsid w:val="00D20D7D"/>
    <w:pPr>
      <w:tabs>
        <w:tab w:val="center" w:pos="4153"/>
        <w:tab w:val="right" w:pos="8306"/>
      </w:tabs>
      <w:snapToGrid w:val="0"/>
      <w:jc w:val="left"/>
    </w:pPr>
    <w:rPr>
      <w:sz w:val="18"/>
      <w:szCs w:val="18"/>
    </w:rPr>
  </w:style>
  <w:style w:type="character" w:customStyle="1" w:styleId="Char0">
    <w:name w:val="页脚 Char"/>
    <w:link w:val="a4"/>
    <w:rsid w:val="00D20D7D"/>
    <w:rPr>
      <w:rFonts w:ascii="Times New Roman" w:eastAsia="宋体" w:hAnsi="Times New Roman" w:cs="Times New Roman"/>
      <w:sz w:val="18"/>
      <w:szCs w:val="18"/>
    </w:rPr>
  </w:style>
  <w:style w:type="table" w:styleId="a5">
    <w:name w:val="Table Grid"/>
    <w:basedOn w:val="a1"/>
    <w:rsid w:val="00D20D7D"/>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5">
    <w:name w:val="Medium Grid 3 Accent 5"/>
    <w:basedOn w:val="a1"/>
    <w:uiPriority w:val="60"/>
    <w:rsid w:val="00D20D7D"/>
    <w:rPr>
      <w:rFonts w:ascii="Times New Roman" w:eastAsia="宋体"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2">
    <w:name w:val="Medium Grid 3 Accent 2"/>
    <w:basedOn w:val="a1"/>
    <w:uiPriority w:val="60"/>
    <w:rsid w:val="00D20D7D"/>
    <w:rPr>
      <w:rFonts w:ascii="Times New Roman" w:eastAsia="宋体" w:hAnsi="Times New Roman"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
    <w:name w:val="Table Simple 1"/>
    <w:basedOn w:val="a1"/>
    <w:rsid w:val="00D20D7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
    <w:name w:val="浅色底纹 - 强调文字颜色 11"/>
    <w:basedOn w:val="a1"/>
    <w:uiPriority w:val="60"/>
    <w:rsid w:val="00D20D7D"/>
    <w:rPr>
      <w:rFonts w:ascii="Times New Roman" w:eastAsia="宋体" w:hAnsi="Times New Roman"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4">
    <w:name w:val="Medium Grid 3 Accent 4"/>
    <w:basedOn w:val="a1"/>
    <w:uiPriority w:val="60"/>
    <w:rsid w:val="00D20D7D"/>
    <w:rPr>
      <w:rFonts w:ascii="Times New Roman" w:eastAsia="宋体" w:hAnsi="Times New Roman"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3">
    <w:name w:val="Medium Grid 3 Accent 3"/>
    <w:basedOn w:val="a1"/>
    <w:uiPriority w:val="60"/>
    <w:rsid w:val="00D20D7D"/>
    <w:rPr>
      <w:rFonts w:ascii="Times New Roman" w:eastAsia="宋体"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6">
    <w:name w:val="Medium Grid 3 Accent 6"/>
    <w:basedOn w:val="a1"/>
    <w:uiPriority w:val="60"/>
    <w:rsid w:val="00D20D7D"/>
    <w:rPr>
      <w:rFonts w:ascii="Times New Roman" w:eastAsia="宋体" w:hAnsi="Times New Roman" w:cs="Times New Roman"/>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6">
    <w:name w:val="Normal (Web)"/>
    <w:basedOn w:val="a"/>
    <w:uiPriority w:val="99"/>
    <w:unhideWhenUsed/>
    <w:rsid w:val="00D20D7D"/>
    <w:pPr>
      <w:widowControl/>
      <w:spacing w:before="100" w:beforeAutospacing="1" w:after="100" w:afterAutospacing="1"/>
      <w:jc w:val="left"/>
    </w:pPr>
    <w:rPr>
      <w:rFonts w:ascii="宋体" w:hAnsi="宋体" w:cs="宋体"/>
      <w:kern w:val="0"/>
      <w:sz w:val="24"/>
    </w:rPr>
  </w:style>
  <w:style w:type="character" w:styleId="a7">
    <w:name w:val="Hyperlink"/>
    <w:uiPriority w:val="99"/>
    <w:rsid w:val="00D20D7D"/>
    <w:rPr>
      <w:color w:val="auto"/>
      <w:u w:val="single"/>
      <w:effect w:val="none"/>
    </w:rPr>
  </w:style>
  <w:style w:type="paragraph" w:styleId="a8">
    <w:name w:val="Balloon Text"/>
    <w:basedOn w:val="a"/>
    <w:link w:val="Char1"/>
    <w:semiHidden/>
    <w:rsid w:val="00D20D7D"/>
    <w:rPr>
      <w:sz w:val="18"/>
      <w:szCs w:val="18"/>
    </w:rPr>
  </w:style>
  <w:style w:type="character" w:customStyle="1" w:styleId="Char1">
    <w:name w:val="批注框文本 Char"/>
    <w:basedOn w:val="a0"/>
    <w:link w:val="a8"/>
    <w:semiHidden/>
    <w:rsid w:val="00D20D7D"/>
    <w:rPr>
      <w:rFonts w:ascii="Times New Roman" w:eastAsia="宋体" w:hAnsi="Times New Roman" w:cs="Times New Roman"/>
      <w:sz w:val="18"/>
      <w:szCs w:val="18"/>
    </w:rPr>
  </w:style>
  <w:style w:type="character" w:styleId="a9">
    <w:name w:val="annotation reference"/>
    <w:semiHidden/>
    <w:rsid w:val="00D20D7D"/>
    <w:rPr>
      <w:sz w:val="21"/>
      <w:szCs w:val="21"/>
    </w:rPr>
  </w:style>
  <w:style w:type="paragraph" w:styleId="aa">
    <w:name w:val="annotation text"/>
    <w:aliases w:val="'"/>
    <w:basedOn w:val="a"/>
    <w:link w:val="Char2"/>
    <w:rsid w:val="00D20D7D"/>
    <w:pPr>
      <w:jc w:val="left"/>
    </w:pPr>
  </w:style>
  <w:style w:type="character" w:customStyle="1" w:styleId="Char2">
    <w:name w:val="批注文字 Char"/>
    <w:aliases w:val="' Char"/>
    <w:link w:val="aa"/>
    <w:rsid w:val="00D20D7D"/>
    <w:rPr>
      <w:rFonts w:ascii="Times New Roman" w:eastAsia="宋体" w:hAnsi="Times New Roman" w:cs="Times New Roman"/>
      <w:szCs w:val="24"/>
    </w:rPr>
  </w:style>
  <w:style w:type="paragraph" w:styleId="ab">
    <w:name w:val="annotation subject"/>
    <w:basedOn w:val="aa"/>
    <w:next w:val="aa"/>
    <w:link w:val="Char3"/>
    <w:semiHidden/>
    <w:rsid w:val="00D20D7D"/>
    <w:rPr>
      <w:b/>
      <w:bCs/>
    </w:rPr>
  </w:style>
  <w:style w:type="character" w:customStyle="1" w:styleId="Char3">
    <w:name w:val="批注主题 Char"/>
    <w:basedOn w:val="Char2"/>
    <w:link w:val="ab"/>
    <w:semiHidden/>
    <w:rsid w:val="00D20D7D"/>
    <w:rPr>
      <w:rFonts w:ascii="Times New Roman" w:eastAsia="宋体" w:hAnsi="Times New Roman" w:cs="Times New Roman"/>
      <w:b/>
      <w:bCs/>
      <w:szCs w:val="24"/>
    </w:rPr>
  </w:style>
  <w:style w:type="table" w:styleId="2">
    <w:name w:val="Table Classic 2"/>
    <w:basedOn w:val="a1"/>
    <w:rsid w:val="00D20D7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Medium Grid 1 Accent 4"/>
    <w:basedOn w:val="a1"/>
    <w:uiPriority w:val="72"/>
    <w:rsid w:val="00D20D7D"/>
    <w:rPr>
      <w:rFonts w:ascii="Times New Roman" w:eastAsia="宋体" w:hAnsi="Times New Roman"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11">
    <w:name w:val="中等深浅列表 1 - 强调文字颜色 11"/>
    <w:basedOn w:val="a1"/>
    <w:uiPriority w:val="65"/>
    <w:rsid w:val="00D20D7D"/>
    <w:rPr>
      <w:rFonts w:ascii="Times New Roman" w:eastAsia="宋体" w:hAnsi="Times New Roman"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trans">
    <w:name w:val="trans"/>
    <w:basedOn w:val="a0"/>
    <w:rsid w:val="00D20D7D"/>
  </w:style>
  <w:style w:type="paragraph" w:styleId="ac">
    <w:name w:val="Revision"/>
    <w:hidden/>
    <w:uiPriority w:val="99"/>
    <w:semiHidden/>
    <w:rsid w:val="00D20D7D"/>
    <w:rPr>
      <w:rFonts w:ascii="Times New Roman" w:eastAsia="宋体" w:hAnsi="Times New Roman" w:cs="Times New Roman"/>
      <w:szCs w:val="24"/>
    </w:rPr>
  </w:style>
  <w:style w:type="character" w:styleId="ad">
    <w:name w:val="Strong"/>
    <w:uiPriority w:val="22"/>
    <w:qFormat/>
    <w:rsid w:val="00003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wang302@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6152</Words>
  <Characters>35069</Characters>
  <Application>Microsoft Office Word</Application>
  <DocSecurity>0</DocSecurity>
  <Lines>292</Lines>
  <Paragraphs>82</Paragraphs>
  <ScaleCrop>false</ScaleCrop>
  <Company>微软中国</Company>
  <LinksUpToDate>false</LinksUpToDate>
  <CharactersWithSpaces>41139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2013-04-17T01:28:00Z</dcterms:created>
  <dcterms:modified xsi:type="dcterms:W3CDTF">2013-04-17T01:28:00Z</dcterms:modified>
</cp:coreProperties>
</file>