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36086" w14:textId="77777777" w:rsidR="00BD6056" w:rsidRPr="0052664C" w:rsidRDefault="00BD6056" w:rsidP="00E11D9F">
      <w:pPr>
        <w:spacing w:line="360" w:lineRule="auto"/>
        <w:rPr>
          <w:rFonts w:ascii="Book Antiqua" w:hAnsi="Book Antiqua"/>
        </w:rPr>
      </w:pPr>
      <w:r w:rsidRPr="0052664C">
        <w:rPr>
          <w:rFonts w:ascii="Book Antiqua" w:hAnsi="Book Antiqua"/>
          <w:b/>
        </w:rPr>
        <w:t xml:space="preserve">Name of Journal: </w:t>
      </w:r>
      <w:r w:rsidRPr="0052664C">
        <w:rPr>
          <w:rFonts w:ascii="Book Antiqua" w:hAnsi="Book Antiqua"/>
          <w:b/>
          <w:i/>
        </w:rPr>
        <w:t>World Journal of Gastroenterology</w:t>
      </w:r>
    </w:p>
    <w:p w14:paraId="07EADD95" w14:textId="6FFD2D5C" w:rsidR="00D32AA2" w:rsidRPr="0052664C" w:rsidRDefault="00BD6056" w:rsidP="00E11D9F">
      <w:pPr>
        <w:spacing w:line="360" w:lineRule="auto"/>
        <w:rPr>
          <w:rFonts w:ascii="Book Antiqua" w:eastAsia="SimSun" w:hAnsi="Book Antiqua"/>
          <w:lang w:eastAsia="zh-CN"/>
        </w:rPr>
      </w:pPr>
      <w:r w:rsidRPr="0052664C">
        <w:rPr>
          <w:rFonts w:ascii="Book Antiqua" w:hAnsi="Book Antiqua"/>
          <w:b/>
        </w:rPr>
        <w:t>ESPS Manuscript NO:</w:t>
      </w:r>
      <w:r w:rsidRPr="0052664C">
        <w:rPr>
          <w:rFonts w:ascii="Book Antiqua" w:hAnsi="Book Antiqua"/>
        </w:rPr>
        <w:t xml:space="preserve"> </w:t>
      </w:r>
      <w:r w:rsidR="00E11D9F" w:rsidRPr="0052664C">
        <w:rPr>
          <w:rFonts w:ascii="Book Antiqua" w:eastAsia="SimSun" w:hAnsi="Book Antiqua"/>
          <w:b/>
          <w:lang w:eastAsia="zh-CN"/>
        </w:rPr>
        <w:t>24863</w:t>
      </w:r>
    </w:p>
    <w:p w14:paraId="04D92E6C" w14:textId="77777777" w:rsidR="00E11D9F" w:rsidRPr="0052664C" w:rsidRDefault="00D32AA2" w:rsidP="00E11D9F">
      <w:pPr>
        <w:spacing w:line="360" w:lineRule="auto"/>
        <w:rPr>
          <w:rFonts w:ascii="Book Antiqua" w:hAnsi="Book Antiqua"/>
          <w:b/>
        </w:rPr>
      </w:pPr>
      <w:r w:rsidRPr="0052664C">
        <w:rPr>
          <w:rFonts w:ascii="Book Antiqua" w:hAnsi="Book Antiqua"/>
          <w:b/>
        </w:rPr>
        <w:t xml:space="preserve">Manuscript Type: </w:t>
      </w:r>
      <w:r w:rsidR="00E11D9F" w:rsidRPr="0052664C">
        <w:rPr>
          <w:rFonts w:ascii="Book Antiqua" w:hAnsi="Book Antiqua"/>
          <w:b/>
        </w:rPr>
        <w:t>ORIGINAL ARTICLE</w:t>
      </w:r>
    </w:p>
    <w:p w14:paraId="58435BFE" w14:textId="590A820C" w:rsidR="00F15124" w:rsidRPr="0052664C" w:rsidRDefault="00F15124" w:rsidP="00E11D9F">
      <w:pPr>
        <w:spacing w:line="360" w:lineRule="auto"/>
        <w:rPr>
          <w:rFonts w:ascii="Book Antiqua" w:hAnsi="Book Antiqua"/>
        </w:rPr>
      </w:pPr>
    </w:p>
    <w:p w14:paraId="2B2D0853" w14:textId="032BDB55" w:rsidR="00D32AA2" w:rsidRPr="0052664C" w:rsidRDefault="00E11D9F" w:rsidP="00E11D9F">
      <w:pPr>
        <w:spacing w:line="360" w:lineRule="auto"/>
        <w:rPr>
          <w:rFonts w:ascii="Book Antiqua" w:hAnsi="Book Antiqua"/>
          <w:b/>
          <w:i/>
        </w:rPr>
      </w:pPr>
      <w:r w:rsidRPr="0052664C">
        <w:rPr>
          <w:rFonts w:ascii="Book Antiqua" w:hAnsi="Book Antiqua"/>
          <w:b/>
          <w:i/>
        </w:rPr>
        <w:t>Observational Study</w:t>
      </w:r>
    </w:p>
    <w:p w14:paraId="79A524F3" w14:textId="77777777" w:rsidR="001703F8" w:rsidRPr="0052664C" w:rsidRDefault="002163B9" w:rsidP="00E11D9F">
      <w:pPr>
        <w:spacing w:line="360" w:lineRule="auto"/>
        <w:rPr>
          <w:rFonts w:ascii="Book Antiqua" w:hAnsi="Book Antiqua"/>
          <w:b/>
          <w:highlight w:val="yellow"/>
        </w:rPr>
      </w:pPr>
      <w:r w:rsidRPr="0052664C">
        <w:rPr>
          <w:rFonts w:ascii="Book Antiqua" w:hAnsi="Book Antiqua"/>
          <w:b/>
        </w:rPr>
        <w:t>High c</w:t>
      </w:r>
      <w:r w:rsidR="00115708" w:rsidRPr="0052664C">
        <w:rPr>
          <w:rFonts w:ascii="Book Antiqua" w:hAnsi="Book Antiqua"/>
          <w:b/>
        </w:rPr>
        <w:t>irculating tumor cell</w:t>
      </w:r>
      <w:r w:rsidR="00524D56" w:rsidRPr="0052664C">
        <w:rPr>
          <w:rFonts w:ascii="Book Antiqua" w:hAnsi="Book Antiqua"/>
          <w:b/>
        </w:rPr>
        <w:t xml:space="preserve"> concentration</w:t>
      </w:r>
      <w:r w:rsidR="00F15124" w:rsidRPr="0052664C">
        <w:rPr>
          <w:rFonts w:ascii="Book Antiqua" w:hAnsi="Book Antiqua"/>
          <w:b/>
        </w:rPr>
        <w:t>s</w:t>
      </w:r>
      <w:r w:rsidR="00115708" w:rsidRPr="0052664C">
        <w:rPr>
          <w:rFonts w:ascii="Book Antiqua" w:hAnsi="Book Antiqua"/>
          <w:b/>
        </w:rPr>
        <w:t xml:space="preserve"> </w:t>
      </w:r>
      <w:r w:rsidR="008D16D2" w:rsidRPr="0052664C">
        <w:rPr>
          <w:rFonts w:ascii="Book Antiqua" w:hAnsi="Book Antiqua"/>
          <w:b/>
        </w:rPr>
        <w:t>i</w:t>
      </w:r>
      <w:r w:rsidRPr="0052664C">
        <w:rPr>
          <w:rFonts w:ascii="Book Antiqua" w:hAnsi="Book Antiqua"/>
          <w:b/>
        </w:rPr>
        <w:t>n a specific subtype of gastric cancer wit</w:t>
      </w:r>
      <w:r w:rsidR="00AE09D6" w:rsidRPr="0052664C">
        <w:rPr>
          <w:rFonts w:ascii="Book Antiqua" w:hAnsi="Book Antiqua"/>
          <w:b/>
        </w:rPr>
        <w:t>h</w:t>
      </w:r>
      <w:r w:rsidR="008D16D2" w:rsidRPr="0052664C">
        <w:rPr>
          <w:rFonts w:ascii="Book Antiqua" w:hAnsi="Book Antiqua"/>
          <w:b/>
        </w:rPr>
        <w:t xml:space="preserve"> </w:t>
      </w:r>
      <w:r w:rsidRPr="0052664C">
        <w:rPr>
          <w:rFonts w:ascii="Book Antiqua" w:hAnsi="Book Antiqua"/>
          <w:b/>
        </w:rPr>
        <w:t>diffuse bone metastasis</w:t>
      </w:r>
      <w:r w:rsidR="001F2998" w:rsidRPr="0052664C">
        <w:rPr>
          <w:rFonts w:ascii="Book Antiqua" w:hAnsi="Book Antiqua"/>
          <w:b/>
        </w:rPr>
        <w:t xml:space="preserve"> </w:t>
      </w:r>
      <w:r w:rsidR="00524D56" w:rsidRPr="0052664C">
        <w:rPr>
          <w:rFonts w:ascii="Book Antiqua" w:hAnsi="Book Antiqua"/>
          <w:b/>
        </w:rPr>
        <w:t>at diagnosis</w:t>
      </w:r>
    </w:p>
    <w:p w14:paraId="4F878573" w14:textId="77777777" w:rsidR="00D32AA2" w:rsidRPr="0052664C" w:rsidRDefault="00D32AA2" w:rsidP="00E11D9F">
      <w:pPr>
        <w:spacing w:line="360" w:lineRule="auto"/>
        <w:rPr>
          <w:rFonts w:ascii="Book Antiqua" w:hAnsi="Book Antiqua"/>
        </w:rPr>
      </w:pPr>
    </w:p>
    <w:p w14:paraId="1D175A55" w14:textId="77777777" w:rsidR="00533CD1" w:rsidRPr="0052664C" w:rsidRDefault="00D32AA2" w:rsidP="00E11D9F">
      <w:pPr>
        <w:spacing w:line="360" w:lineRule="auto"/>
        <w:rPr>
          <w:rFonts w:ascii="Book Antiqua" w:hAnsi="Book Antiqua"/>
        </w:rPr>
      </w:pPr>
      <w:r w:rsidRPr="0052664C">
        <w:rPr>
          <w:rFonts w:ascii="Book Antiqua" w:hAnsi="Book Antiqua"/>
        </w:rPr>
        <w:t xml:space="preserve">KS </w:t>
      </w:r>
      <w:r w:rsidRPr="0052664C">
        <w:rPr>
          <w:rFonts w:ascii="Book Antiqua" w:hAnsi="Book Antiqua"/>
          <w:i/>
        </w:rPr>
        <w:t>et al</w:t>
      </w:r>
      <w:r w:rsidRPr="0052664C">
        <w:rPr>
          <w:rFonts w:ascii="Book Antiqua" w:hAnsi="Book Antiqua"/>
        </w:rPr>
        <w:t xml:space="preserve">. </w:t>
      </w:r>
      <w:r w:rsidR="00533CD1" w:rsidRPr="0052664C">
        <w:rPr>
          <w:rFonts w:ascii="Book Antiqua" w:hAnsi="Book Antiqua"/>
        </w:rPr>
        <w:t xml:space="preserve">Circulating gastric cancer as a specific subtype </w:t>
      </w:r>
      <w:r w:rsidR="001651BA" w:rsidRPr="0052664C">
        <w:rPr>
          <w:rFonts w:ascii="Book Antiqua" w:hAnsi="Book Antiqua"/>
        </w:rPr>
        <w:t>with DBM at diagnosis</w:t>
      </w:r>
    </w:p>
    <w:p w14:paraId="23F12248" w14:textId="77777777" w:rsidR="00533CD1" w:rsidRPr="0052664C" w:rsidRDefault="00533CD1" w:rsidP="00E11D9F">
      <w:pPr>
        <w:spacing w:line="360" w:lineRule="auto"/>
        <w:rPr>
          <w:rFonts w:ascii="Book Antiqua" w:hAnsi="Book Antiqua"/>
        </w:rPr>
      </w:pPr>
    </w:p>
    <w:p w14:paraId="74BCEEDB" w14:textId="77777777" w:rsidR="008032C7" w:rsidRPr="0052664C" w:rsidRDefault="00D7143B" w:rsidP="00E11D9F">
      <w:pPr>
        <w:spacing w:line="360" w:lineRule="auto"/>
        <w:rPr>
          <w:rFonts w:ascii="Book Antiqua" w:hAnsi="Book Antiqua"/>
        </w:rPr>
      </w:pPr>
      <w:r w:rsidRPr="0052664C">
        <w:rPr>
          <w:rFonts w:ascii="Book Antiqua" w:hAnsi="Book Antiqua"/>
        </w:rPr>
        <w:t>Kazuhiro Shimazu, Koji Fukuda, Taichi Yoshida, Masahiro Inoue, Hiroyuki Shibata</w:t>
      </w:r>
    </w:p>
    <w:p w14:paraId="0F244B70" w14:textId="77777777" w:rsidR="00533CD1" w:rsidRPr="0052664C" w:rsidRDefault="00533CD1" w:rsidP="00E11D9F">
      <w:pPr>
        <w:spacing w:line="360" w:lineRule="auto"/>
        <w:rPr>
          <w:rFonts w:ascii="Book Antiqua" w:hAnsi="Book Antiqua"/>
        </w:rPr>
      </w:pPr>
    </w:p>
    <w:p w14:paraId="7E6EAF2C" w14:textId="6A2D9A18" w:rsidR="00533CD1" w:rsidRPr="0052664C" w:rsidRDefault="00533CD1" w:rsidP="00E11D9F">
      <w:pPr>
        <w:spacing w:line="360" w:lineRule="auto"/>
        <w:rPr>
          <w:rFonts w:ascii="Book Antiqua" w:hAnsi="Book Antiqua"/>
        </w:rPr>
      </w:pPr>
      <w:r w:rsidRPr="0052664C">
        <w:rPr>
          <w:rFonts w:ascii="Book Antiqua" w:hAnsi="Book Antiqua"/>
          <w:b/>
        </w:rPr>
        <w:t>Kazuhiro Shimazu, Koji Fukuda, Taichi Yoshida, Masahiro Inoue, Hiroyuki Shibata</w:t>
      </w:r>
      <w:r w:rsidRPr="0052664C">
        <w:rPr>
          <w:rFonts w:ascii="Book Antiqua" w:hAnsi="Book Antiqua"/>
        </w:rPr>
        <w:t xml:space="preserve">, </w:t>
      </w:r>
      <w:r w:rsidR="008032C7" w:rsidRPr="0052664C">
        <w:rPr>
          <w:rFonts w:ascii="Book Antiqua" w:hAnsi="Book Antiqua"/>
        </w:rPr>
        <w:t>Department of Clinical Oncology, Graduate School of Medicine, Akita University</w:t>
      </w:r>
      <w:r w:rsidR="004F418E" w:rsidRPr="0052664C">
        <w:rPr>
          <w:rFonts w:ascii="Book Antiqua" w:hAnsi="Book Antiqua"/>
        </w:rPr>
        <w:t>, Akita</w:t>
      </w:r>
      <w:r w:rsidR="00E11D9F" w:rsidRPr="0052664C">
        <w:rPr>
          <w:rFonts w:ascii="Book Antiqua" w:eastAsia="SimSun" w:hAnsi="Book Antiqua"/>
          <w:lang w:eastAsia="zh-CN"/>
        </w:rPr>
        <w:t xml:space="preserve"> </w:t>
      </w:r>
      <w:r w:rsidR="00E11D9F" w:rsidRPr="0052664C">
        <w:rPr>
          <w:rFonts w:ascii="Book Antiqua" w:hAnsi="Book Antiqua"/>
        </w:rPr>
        <w:t>0108543</w:t>
      </w:r>
      <w:r w:rsidR="004F418E" w:rsidRPr="0052664C">
        <w:rPr>
          <w:rFonts w:ascii="Book Antiqua" w:hAnsi="Book Antiqua"/>
        </w:rPr>
        <w:t>, Japan</w:t>
      </w:r>
    </w:p>
    <w:p w14:paraId="7743209E" w14:textId="77777777" w:rsidR="00533CD1" w:rsidRPr="0052664C" w:rsidRDefault="00533CD1" w:rsidP="00E11D9F">
      <w:pPr>
        <w:spacing w:line="360" w:lineRule="auto"/>
        <w:rPr>
          <w:rFonts w:ascii="Book Antiqua" w:hAnsi="Book Antiqua"/>
        </w:rPr>
      </w:pPr>
    </w:p>
    <w:p w14:paraId="6547547E" w14:textId="5EB7F8C9" w:rsidR="002A1A48" w:rsidRPr="0052664C" w:rsidRDefault="00533CD1" w:rsidP="00E11D9F">
      <w:pPr>
        <w:spacing w:line="360" w:lineRule="auto"/>
        <w:rPr>
          <w:rFonts w:ascii="Book Antiqua" w:eastAsia="SimSun" w:hAnsi="Book Antiqua"/>
          <w:lang w:eastAsia="zh-CN"/>
        </w:rPr>
      </w:pPr>
      <w:r w:rsidRPr="0052664C">
        <w:rPr>
          <w:rFonts w:ascii="Book Antiqua" w:hAnsi="Book Antiqua"/>
          <w:b/>
        </w:rPr>
        <w:t xml:space="preserve">Author contributions: </w:t>
      </w:r>
      <w:r w:rsidR="00E11D9F" w:rsidRPr="0052664C">
        <w:rPr>
          <w:rFonts w:ascii="Book Antiqua" w:hAnsi="Book Antiqua"/>
        </w:rPr>
        <w:t xml:space="preserve">Shibata </w:t>
      </w:r>
      <w:r w:rsidR="002F0C77" w:rsidRPr="0052664C">
        <w:rPr>
          <w:rFonts w:ascii="Book Antiqua" w:hAnsi="Book Antiqua"/>
        </w:rPr>
        <w:t>H designed the study</w:t>
      </w:r>
      <w:r w:rsidR="0083555B" w:rsidRPr="0052664C">
        <w:rPr>
          <w:rFonts w:ascii="Book Antiqua" w:hAnsi="Book Antiqua"/>
        </w:rPr>
        <w:t xml:space="preserve"> and wrote this manuscript; </w:t>
      </w:r>
      <w:r w:rsidR="00E11D9F" w:rsidRPr="0052664C">
        <w:rPr>
          <w:rFonts w:ascii="Book Antiqua" w:hAnsi="Book Antiqua"/>
        </w:rPr>
        <w:t xml:space="preserve">Shimazu </w:t>
      </w:r>
      <w:r w:rsidR="0083555B" w:rsidRPr="0052664C">
        <w:rPr>
          <w:rFonts w:ascii="Book Antiqua" w:hAnsi="Book Antiqua"/>
        </w:rPr>
        <w:t xml:space="preserve">K acquired and analyzed the data; </w:t>
      </w:r>
      <w:r w:rsidR="00E11D9F" w:rsidRPr="0052664C">
        <w:rPr>
          <w:rFonts w:ascii="Book Antiqua" w:hAnsi="Book Antiqua"/>
        </w:rPr>
        <w:t xml:space="preserve">Fukuda </w:t>
      </w:r>
      <w:r w:rsidR="0083555B" w:rsidRPr="0052664C">
        <w:rPr>
          <w:rFonts w:ascii="Book Antiqua" w:hAnsi="Book Antiqua"/>
        </w:rPr>
        <w:t xml:space="preserve">K, </w:t>
      </w:r>
      <w:r w:rsidR="00E11D9F" w:rsidRPr="0052664C">
        <w:rPr>
          <w:rFonts w:ascii="Book Antiqua" w:hAnsi="Book Antiqua"/>
        </w:rPr>
        <w:t xml:space="preserve">Yoshida </w:t>
      </w:r>
      <w:r w:rsidR="0083555B" w:rsidRPr="0052664C">
        <w:rPr>
          <w:rFonts w:ascii="Book Antiqua" w:hAnsi="Book Antiqua"/>
        </w:rPr>
        <w:t xml:space="preserve">T and </w:t>
      </w:r>
      <w:r w:rsidR="00E11D9F" w:rsidRPr="0052664C">
        <w:rPr>
          <w:rFonts w:ascii="Book Antiqua" w:hAnsi="Book Antiqua"/>
        </w:rPr>
        <w:t xml:space="preserve">Inoue </w:t>
      </w:r>
      <w:r w:rsidR="0083555B" w:rsidRPr="0052664C">
        <w:rPr>
          <w:rFonts w:ascii="Book Antiqua" w:hAnsi="Book Antiqua"/>
        </w:rPr>
        <w:t>M participated in acquisition and interpretation of the data</w:t>
      </w:r>
      <w:r w:rsidR="002A1A48" w:rsidRPr="0052664C">
        <w:rPr>
          <w:rFonts w:ascii="Book Antiqua" w:hAnsi="Book Antiqua"/>
        </w:rPr>
        <w:t>.</w:t>
      </w:r>
    </w:p>
    <w:p w14:paraId="5A1D2817" w14:textId="77777777" w:rsidR="00E11D9F" w:rsidRPr="0052664C" w:rsidRDefault="00E11D9F" w:rsidP="00E11D9F">
      <w:pPr>
        <w:spacing w:line="360" w:lineRule="auto"/>
        <w:rPr>
          <w:rFonts w:ascii="Book Antiqua" w:eastAsia="SimSun" w:hAnsi="Book Antiqua"/>
          <w:lang w:eastAsia="zh-CN"/>
        </w:rPr>
      </w:pPr>
    </w:p>
    <w:p w14:paraId="7C213CE1" w14:textId="68A7F6A0" w:rsidR="00E11D9F" w:rsidRPr="0052664C" w:rsidRDefault="00E11D9F" w:rsidP="00E11D9F">
      <w:pPr>
        <w:spacing w:line="360" w:lineRule="auto"/>
        <w:rPr>
          <w:rFonts w:ascii="Book Antiqua" w:eastAsia="SimSun" w:hAnsi="Book Antiqua"/>
          <w:lang w:eastAsia="zh-CN"/>
        </w:rPr>
      </w:pPr>
      <w:r w:rsidRPr="0052664C">
        <w:rPr>
          <w:rFonts w:ascii="Book Antiqua" w:hAnsi="Book Antiqua"/>
          <w:b/>
        </w:rPr>
        <w:t>Institutional review board statement:</w:t>
      </w:r>
      <w:r w:rsidRPr="0052664C">
        <w:rPr>
          <w:rFonts w:ascii="Book Antiqua" w:hAnsi="Book Antiqua"/>
        </w:rPr>
        <w:t xml:space="preserve"> This study was approved by the Akita </w:t>
      </w:r>
      <w:r w:rsidRPr="0052664C">
        <w:rPr>
          <w:rFonts w:ascii="Book Antiqua" w:hAnsi="Book Antiqua"/>
        </w:rPr>
        <w:lastRenderedPageBreak/>
        <w:t>University School of Medicine Ethics Committee (#828).</w:t>
      </w:r>
    </w:p>
    <w:p w14:paraId="0F707793" w14:textId="77777777" w:rsidR="00E11D9F" w:rsidRPr="0052664C" w:rsidRDefault="00E11D9F" w:rsidP="00E11D9F">
      <w:pPr>
        <w:spacing w:line="360" w:lineRule="auto"/>
        <w:rPr>
          <w:rFonts w:ascii="Book Antiqua" w:eastAsia="SimSun" w:hAnsi="Book Antiqua"/>
          <w:lang w:eastAsia="zh-CN"/>
        </w:rPr>
      </w:pPr>
    </w:p>
    <w:p w14:paraId="2229867E" w14:textId="77777777" w:rsidR="00E11D9F" w:rsidRPr="0052664C" w:rsidRDefault="00E11D9F" w:rsidP="00E11D9F">
      <w:pPr>
        <w:spacing w:line="360" w:lineRule="auto"/>
        <w:rPr>
          <w:rFonts w:ascii="Book Antiqua" w:eastAsia="SimSun" w:hAnsi="Book Antiqua"/>
          <w:lang w:eastAsia="zh-CN"/>
        </w:rPr>
      </w:pPr>
      <w:r w:rsidRPr="0052664C">
        <w:rPr>
          <w:rFonts w:ascii="Book Antiqua" w:hAnsi="Book Antiqua"/>
          <w:b/>
        </w:rPr>
        <w:t xml:space="preserve">Informed consent statement: </w:t>
      </w:r>
      <w:r w:rsidRPr="0052664C">
        <w:rPr>
          <w:rFonts w:ascii="Book Antiqua" w:hAnsi="Book Antiqua"/>
        </w:rPr>
        <w:t>Informed consent and an agreement to publish were obtained from all patients.</w:t>
      </w:r>
    </w:p>
    <w:p w14:paraId="634C3356" w14:textId="77777777" w:rsidR="00E11D9F" w:rsidRPr="0052664C" w:rsidRDefault="00E11D9F" w:rsidP="00E11D9F">
      <w:pPr>
        <w:spacing w:line="360" w:lineRule="auto"/>
        <w:rPr>
          <w:rFonts w:ascii="Book Antiqua" w:eastAsia="SimSun" w:hAnsi="Book Antiqua"/>
          <w:lang w:eastAsia="zh-CN"/>
        </w:rPr>
      </w:pPr>
    </w:p>
    <w:p w14:paraId="2E1941E7" w14:textId="77777777" w:rsidR="00E11D9F" w:rsidRPr="0052664C" w:rsidRDefault="00E11D9F" w:rsidP="00E11D9F">
      <w:pPr>
        <w:spacing w:line="360" w:lineRule="auto"/>
        <w:rPr>
          <w:rFonts w:ascii="Book Antiqua" w:eastAsia="SimSun" w:hAnsi="Book Antiqua"/>
          <w:lang w:eastAsia="zh-CN"/>
        </w:rPr>
      </w:pPr>
      <w:r w:rsidRPr="0052664C">
        <w:rPr>
          <w:rFonts w:ascii="Book Antiqua" w:hAnsi="Book Antiqua"/>
          <w:b/>
        </w:rPr>
        <w:t xml:space="preserve">Conflict-of-interest statement: </w:t>
      </w:r>
      <w:r w:rsidRPr="0052664C">
        <w:rPr>
          <w:rFonts w:ascii="Book Antiqua" w:hAnsi="Book Antiqua"/>
        </w:rPr>
        <w:t xml:space="preserve">There is no conflict of interest to be declared. </w:t>
      </w:r>
    </w:p>
    <w:p w14:paraId="7D5A620D" w14:textId="77777777" w:rsidR="00E11D9F" w:rsidRPr="0052664C" w:rsidRDefault="00E11D9F" w:rsidP="00E11D9F">
      <w:pPr>
        <w:spacing w:line="360" w:lineRule="auto"/>
        <w:rPr>
          <w:rFonts w:ascii="Book Antiqua" w:eastAsia="SimSun" w:hAnsi="Book Antiqua"/>
          <w:lang w:eastAsia="zh-CN"/>
        </w:rPr>
      </w:pPr>
    </w:p>
    <w:p w14:paraId="1A020241" w14:textId="77777777" w:rsidR="00E11D9F" w:rsidRPr="0052664C" w:rsidRDefault="00E11D9F" w:rsidP="00E11D9F">
      <w:pPr>
        <w:spacing w:line="360" w:lineRule="auto"/>
        <w:rPr>
          <w:rFonts w:ascii="Book Antiqua" w:hAnsi="Book Antiqua"/>
        </w:rPr>
      </w:pPr>
      <w:r w:rsidRPr="0052664C">
        <w:rPr>
          <w:rFonts w:ascii="Book Antiqua" w:hAnsi="Book Antiqua"/>
          <w:b/>
        </w:rPr>
        <w:t xml:space="preserve">Data sharing statement: </w:t>
      </w:r>
      <w:r w:rsidRPr="0052664C">
        <w:rPr>
          <w:rFonts w:ascii="Book Antiqua" w:hAnsi="Book Antiqua"/>
        </w:rPr>
        <w:t>Participants gave informed consent for data sharing, and further the presented data are anonymized.</w:t>
      </w:r>
    </w:p>
    <w:p w14:paraId="5D5A8918" w14:textId="77777777" w:rsidR="00E11D9F" w:rsidRPr="0052664C" w:rsidRDefault="00E11D9F" w:rsidP="00E11D9F">
      <w:pPr>
        <w:spacing w:line="360" w:lineRule="auto"/>
        <w:rPr>
          <w:rFonts w:ascii="Book Antiqua" w:eastAsia="SimSun" w:hAnsi="Book Antiqua"/>
          <w:lang w:eastAsia="zh-CN"/>
        </w:rPr>
      </w:pPr>
    </w:p>
    <w:p w14:paraId="59138823" w14:textId="77777777" w:rsidR="00E11D9F" w:rsidRPr="0052664C" w:rsidRDefault="00E11D9F" w:rsidP="00E11D9F">
      <w:pPr>
        <w:spacing w:line="360" w:lineRule="auto"/>
        <w:rPr>
          <w:rFonts w:ascii="Book Antiqua" w:hAnsi="Book Antiqua"/>
          <w:b/>
          <w:kern w:val="0"/>
        </w:rPr>
      </w:pPr>
      <w:bookmarkStart w:id="0" w:name="OLE_LINK155"/>
      <w:bookmarkStart w:id="1" w:name="OLE_LINK183"/>
      <w:bookmarkStart w:id="2" w:name="OLE_LINK441"/>
      <w:r w:rsidRPr="0052664C">
        <w:rPr>
          <w:rFonts w:ascii="Book Antiqua" w:hAnsi="Book Antiqua"/>
          <w:b/>
          <w:kern w:val="0"/>
        </w:rPr>
        <w:t xml:space="preserve">Open-Access: </w:t>
      </w:r>
      <w:r w:rsidRPr="0052664C">
        <w:rPr>
          <w:rFonts w:ascii="Book Antiqua" w:hAnsi="Book Antiqua"/>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14:paraId="32A885F7" w14:textId="77777777" w:rsidR="00BA5BBB" w:rsidRDefault="00BA5BBB" w:rsidP="00BA5BBB">
      <w:pPr>
        <w:spacing w:line="360" w:lineRule="auto"/>
        <w:rPr>
          <w:rFonts w:ascii="Book Antiqua" w:eastAsia="SimSun" w:hAnsi="Book Antiqua" w:cs="Arial Unicode MS"/>
          <w:b/>
          <w:color w:val="000000"/>
          <w:lang w:eastAsia="zh-CN"/>
        </w:rPr>
      </w:pPr>
    </w:p>
    <w:p w14:paraId="79AB1098" w14:textId="77777777" w:rsidR="00BA5BBB" w:rsidRPr="000D1F92" w:rsidRDefault="00BA5BBB" w:rsidP="00BA5BBB">
      <w:pPr>
        <w:spacing w:line="360" w:lineRule="auto"/>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50D34C4D" w14:textId="77777777" w:rsidR="00F15124" w:rsidRPr="00BA5BBB" w:rsidRDefault="00F15124" w:rsidP="00E11D9F">
      <w:pPr>
        <w:spacing w:line="360" w:lineRule="auto"/>
        <w:rPr>
          <w:rFonts w:ascii="Book Antiqua" w:hAnsi="Book Antiqua"/>
        </w:rPr>
      </w:pPr>
    </w:p>
    <w:p w14:paraId="55231551" w14:textId="755C0055" w:rsidR="004F418E" w:rsidRPr="0052664C" w:rsidRDefault="004F418E" w:rsidP="00E11D9F">
      <w:pPr>
        <w:spacing w:line="360" w:lineRule="auto"/>
        <w:rPr>
          <w:rFonts w:ascii="Book Antiqua" w:hAnsi="Book Antiqua"/>
        </w:rPr>
      </w:pPr>
      <w:r w:rsidRPr="0052664C">
        <w:rPr>
          <w:rFonts w:ascii="Book Antiqua" w:hAnsi="Book Antiqua"/>
          <w:b/>
        </w:rPr>
        <w:t>Correspond</w:t>
      </w:r>
      <w:r w:rsidR="004E2F35" w:rsidRPr="0052664C">
        <w:rPr>
          <w:rFonts w:ascii="Book Antiqua" w:hAnsi="Book Antiqua"/>
          <w:b/>
        </w:rPr>
        <w:t>ence to:</w:t>
      </w:r>
      <w:r w:rsidR="00F15124" w:rsidRPr="0052664C">
        <w:rPr>
          <w:rFonts w:ascii="Book Antiqua" w:hAnsi="Book Antiqua"/>
        </w:rPr>
        <w:t xml:space="preserve"> </w:t>
      </w:r>
      <w:r w:rsidRPr="0052664C">
        <w:rPr>
          <w:rFonts w:ascii="Book Antiqua" w:hAnsi="Book Antiqua"/>
          <w:b/>
        </w:rPr>
        <w:t>Hiroyuki Shibata</w:t>
      </w:r>
      <w:r w:rsidR="004E2F35" w:rsidRPr="0052664C">
        <w:rPr>
          <w:rFonts w:ascii="Book Antiqua" w:hAnsi="Book Antiqua"/>
          <w:b/>
        </w:rPr>
        <w:t>, Professor,</w:t>
      </w:r>
      <w:r w:rsidR="004E2F35" w:rsidRPr="0052664C">
        <w:rPr>
          <w:rFonts w:ascii="Book Antiqua" w:hAnsi="Book Antiqua"/>
        </w:rPr>
        <w:t xml:space="preserve"> Department of Clinical Oncology, Graduate School of Medicine, Akita University, </w:t>
      </w:r>
      <w:r w:rsidR="0052664C" w:rsidRPr="0052664C">
        <w:rPr>
          <w:rFonts w:ascii="Book Antiqua" w:hAnsi="Book Antiqua"/>
        </w:rPr>
        <w:t xml:space="preserve">3 Akita Prefecture, </w:t>
      </w:r>
      <w:r w:rsidR="0052664C" w:rsidRPr="0052664C">
        <w:rPr>
          <w:rFonts w:ascii="Book Antiqua" w:hAnsi="Book Antiqua"/>
        </w:rPr>
        <w:lastRenderedPageBreak/>
        <w:t xml:space="preserve">Akita </w:t>
      </w:r>
      <w:r w:rsidR="004E2F35" w:rsidRPr="0052664C">
        <w:rPr>
          <w:rFonts w:ascii="Book Antiqua" w:hAnsi="Book Antiqua"/>
        </w:rPr>
        <w:t>Akita</w:t>
      </w:r>
      <w:r w:rsidR="00E11D9F" w:rsidRPr="0052664C">
        <w:rPr>
          <w:rFonts w:ascii="Book Antiqua" w:eastAsia="SimSun" w:hAnsi="Book Antiqua"/>
          <w:lang w:eastAsia="zh-CN"/>
        </w:rPr>
        <w:t xml:space="preserve"> </w:t>
      </w:r>
      <w:r w:rsidR="00E11D9F" w:rsidRPr="0052664C">
        <w:rPr>
          <w:rFonts w:ascii="Book Antiqua" w:hAnsi="Book Antiqua"/>
        </w:rPr>
        <w:t>010</w:t>
      </w:r>
      <w:r w:rsidR="0052664C">
        <w:rPr>
          <w:rFonts w:ascii="Book Antiqua" w:eastAsia="SimSun" w:hAnsi="Book Antiqua" w:hint="eastAsia"/>
          <w:lang w:eastAsia="zh-CN"/>
        </w:rPr>
        <w:t>-</w:t>
      </w:r>
      <w:r w:rsidR="00E11D9F" w:rsidRPr="0052664C">
        <w:rPr>
          <w:rFonts w:ascii="Book Antiqua" w:hAnsi="Book Antiqua"/>
        </w:rPr>
        <w:t>8543</w:t>
      </w:r>
      <w:r w:rsidR="004E2F35" w:rsidRPr="0052664C">
        <w:rPr>
          <w:rFonts w:ascii="Book Antiqua" w:hAnsi="Book Antiqua"/>
        </w:rPr>
        <w:t>, Japan. hiroyuki@med.akita-u.ac.jp</w:t>
      </w:r>
    </w:p>
    <w:p w14:paraId="3DF59B1E" w14:textId="25061EB4" w:rsidR="00A04C8E" w:rsidRPr="0052664C" w:rsidRDefault="004E2F35" w:rsidP="00E11D9F">
      <w:pPr>
        <w:spacing w:line="360" w:lineRule="auto"/>
        <w:rPr>
          <w:rFonts w:ascii="Book Antiqua" w:hAnsi="Book Antiqua"/>
        </w:rPr>
      </w:pPr>
      <w:r w:rsidRPr="0052664C">
        <w:rPr>
          <w:rFonts w:ascii="Book Antiqua" w:hAnsi="Book Antiqua"/>
          <w:b/>
        </w:rPr>
        <w:t>Telephone</w:t>
      </w:r>
      <w:r w:rsidR="00A04C8E" w:rsidRPr="0052664C">
        <w:rPr>
          <w:rFonts w:ascii="Book Antiqua" w:hAnsi="Book Antiqua"/>
          <w:b/>
        </w:rPr>
        <w:t>:</w:t>
      </w:r>
      <w:r w:rsidR="00E11D9F" w:rsidRPr="0052664C">
        <w:rPr>
          <w:rFonts w:ascii="Book Antiqua" w:hAnsi="Book Antiqua"/>
        </w:rPr>
        <w:t xml:space="preserve"> +81-18-884</w:t>
      </w:r>
      <w:r w:rsidR="00A04C8E" w:rsidRPr="0052664C">
        <w:rPr>
          <w:rFonts w:ascii="Book Antiqua" w:hAnsi="Book Antiqua"/>
        </w:rPr>
        <w:t>6262</w:t>
      </w:r>
    </w:p>
    <w:p w14:paraId="124CADCF" w14:textId="72964115" w:rsidR="004F418E" w:rsidRPr="0052664C" w:rsidRDefault="00A04C8E" w:rsidP="00E11D9F">
      <w:pPr>
        <w:spacing w:line="360" w:lineRule="auto"/>
        <w:rPr>
          <w:rFonts w:ascii="Book Antiqua" w:hAnsi="Book Antiqua"/>
        </w:rPr>
      </w:pPr>
      <w:r w:rsidRPr="0052664C">
        <w:rPr>
          <w:rFonts w:ascii="Book Antiqua" w:hAnsi="Book Antiqua"/>
          <w:b/>
        </w:rPr>
        <w:t>FAX:</w:t>
      </w:r>
      <w:r w:rsidR="00E11D9F" w:rsidRPr="0052664C">
        <w:rPr>
          <w:rFonts w:ascii="Book Antiqua" w:hAnsi="Book Antiqua"/>
        </w:rPr>
        <w:t xml:space="preserve"> +81-18-884</w:t>
      </w:r>
      <w:r w:rsidRPr="0052664C">
        <w:rPr>
          <w:rFonts w:ascii="Book Antiqua" w:hAnsi="Book Antiqua"/>
        </w:rPr>
        <w:t>6455</w:t>
      </w:r>
    </w:p>
    <w:p w14:paraId="07254A6A" w14:textId="441BDE05" w:rsidR="004F418E" w:rsidRPr="0052664C" w:rsidRDefault="004F418E" w:rsidP="00E11D9F">
      <w:pPr>
        <w:spacing w:line="360" w:lineRule="auto"/>
        <w:rPr>
          <w:rFonts w:ascii="Book Antiqua" w:eastAsia="SimSun" w:hAnsi="Book Antiqua"/>
          <w:lang w:eastAsia="zh-CN"/>
        </w:rPr>
      </w:pPr>
    </w:p>
    <w:p w14:paraId="01C0CFAB" w14:textId="5BCDD33A" w:rsidR="00E11D9F" w:rsidRPr="0052664C" w:rsidRDefault="00E11D9F" w:rsidP="00E11D9F">
      <w:pPr>
        <w:spacing w:line="360" w:lineRule="auto"/>
        <w:rPr>
          <w:rFonts w:ascii="Book Antiqua" w:eastAsia="SimSun" w:hAnsi="Book Antiqua"/>
          <w:lang w:eastAsia="zh-CN"/>
        </w:rPr>
      </w:pPr>
      <w:bookmarkStart w:id="3" w:name="OLE_LINK476"/>
      <w:bookmarkStart w:id="4" w:name="OLE_LINK477"/>
      <w:bookmarkStart w:id="5" w:name="OLE_LINK117"/>
      <w:bookmarkStart w:id="6" w:name="OLE_LINK528"/>
      <w:bookmarkStart w:id="7" w:name="OLE_LINK557"/>
      <w:bookmarkStart w:id="8" w:name="OLE_LINK12"/>
      <w:bookmarkStart w:id="9" w:name="OLE_LINK212"/>
      <w:r w:rsidRPr="0052664C">
        <w:rPr>
          <w:rFonts w:ascii="Book Antiqua" w:hAnsi="Book Antiqua"/>
          <w:b/>
        </w:rPr>
        <w:t>Received:</w:t>
      </w:r>
      <w:r w:rsidRPr="0052664C">
        <w:rPr>
          <w:rFonts w:ascii="Book Antiqua" w:eastAsia="SimSun" w:hAnsi="Book Antiqua" w:hint="eastAsia"/>
          <w:b/>
          <w:lang w:eastAsia="zh-CN"/>
        </w:rPr>
        <w:t xml:space="preserve"> </w:t>
      </w:r>
      <w:r w:rsidRPr="0052664C">
        <w:rPr>
          <w:rFonts w:ascii="Book Antiqua" w:eastAsia="SimSun" w:hAnsi="Book Antiqua" w:hint="eastAsia"/>
          <w:lang w:eastAsia="zh-CN"/>
        </w:rPr>
        <w:t>February 11, 2016</w:t>
      </w:r>
    </w:p>
    <w:p w14:paraId="5CEB7417" w14:textId="161C7702" w:rsidR="00E11D9F" w:rsidRPr="0052664C" w:rsidRDefault="00E11D9F" w:rsidP="00E11D9F">
      <w:pPr>
        <w:spacing w:line="360" w:lineRule="auto"/>
        <w:rPr>
          <w:rFonts w:ascii="Book Antiqua" w:eastAsia="SimSun" w:hAnsi="Book Antiqua"/>
          <w:lang w:eastAsia="zh-CN"/>
        </w:rPr>
      </w:pPr>
      <w:r w:rsidRPr="0052664C">
        <w:rPr>
          <w:rFonts w:ascii="Book Antiqua" w:hAnsi="Book Antiqua" w:hint="eastAsia"/>
          <w:b/>
        </w:rPr>
        <w:t>Peer-review started</w:t>
      </w:r>
      <w:r w:rsidRPr="0052664C">
        <w:rPr>
          <w:rFonts w:ascii="Book Antiqua" w:hAnsi="Book Antiqua"/>
          <w:b/>
        </w:rPr>
        <w:t>:</w:t>
      </w:r>
      <w:r w:rsidRPr="0052664C">
        <w:rPr>
          <w:rFonts w:ascii="Book Antiqua" w:eastAsia="SimSun" w:hAnsi="Book Antiqua" w:hint="eastAsia"/>
          <w:b/>
          <w:lang w:eastAsia="zh-CN"/>
        </w:rPr>
        <w:t xml:space="preserve"> </w:t>
      </w:r>
      <w:r w:rsidRPr="0052664C">
        <w:rPr>
          <w:rFonts w:ascii="Book Antiqua" w:eastAsia="SimSun" w:hAnsi="Book Antiqua" w:hint="eastAsia"/>
          <w:lang w:eastAsia="zh-CN"/>
        </w:rPr>
        <w:t>February 23, 2016</w:t>
      </w:r>
    </w:p>
    <w:p w14:paraId="4FD16D33" w14:textId="5D0E4671" w:rsidR="00E11D9F" w:rsidRPr="0052664C" w:rsidRDefault="00E11D9F" w:rsidP="00E11D9F">
      <w:pPr>
        <w:spacing w:line="360" w:lineRule="auto"/>
        <w:rPr>
          <w:rFonts w:ascii="Book Antiqua" w:eastAsia="SimSun" w:hAnsi="Book Antiqua"/>
          <w:lang w:eastAsia="zh-CN"/>
        </w:rPr>
      </w:pPr>
      <w:r w:rsidRPr="0052664C">
        <w:rPr>
          <w:rFonts w:ascii="Book Antiqua" w:hAnsi="Book Antiqua"/>
          <w:b/>
        </w:rPr>
        <w:t>First decision:</w:t>
      </w:r>
      <w:r w:rsidRPr="0052664C">
        <w:rPr>
          <w:rFonts w:ascii="Book Antiqua" w:eastAsia="SimSun" w:hAnsi="Book Antiqua" w:hint="eastAsia"/>
          <w:lang w:eastAsia="zh-CN"/>
        </w:rPr>
        <w:t xml:space="preserve"> March 21, 2016</w:t>
      </w:r>
    </w:p>
    <w:p w14:paraId="30571C03" w14:textId="2280875D" w:rsidR="00E11D9F" w:rsidRPr="0052664C" w:rsidRDefault="00E11D9F" w:rsidP="00E11D9F">
      <w:pPr>
        <w:spacing w:line="360" w:lineRule="auto"/>
        <w:rPr>
          <w:rFonts w:ascii="Book Antiqua" w:eastAsia="SimSun" w:hAnsi="Book Antiqua"/>
          <w:lang w:eastAsia="zh-CN"/>
        </w:rPr>
      </w:pPr>
      <w:r w:rsidRPr="0052664C">
        <w:rPr>
          <w:rFonts w:ascii="Book Antiqua" w:hAnsi="Book Antiqua"/>
          <w:b/>
        </w:rPr>
        <w:t>Revised:</w:t>
      </w:r>
      <w:r w:rsidRPr="0052664C">
        <w:rPr>
          <w:rFonts w:ascii="Book Antiqua" w:eastAsia="SimSun" w:hAnsi="Book Antiqua" w:hint="eastAsia"/>
          <w:b/>
          <w:lang w:eastAsia="zh-CN"/>
        </w:rPr>
        <w:t xml:space="preserve"> </w:t>
      </w:r>
      <w:r w:rsidRPr="0052664C">
        <w:rPr>
          <w:rFonts w:ascii="Book Antiqua" w:eastAsia="SimSun" w:hAnsi="Book Antiqua"/>
          <w:lang w:eastAsia="zh-CN"/>
        </w:rPr>
        <w:t xml:space="preserve">April </w:t>
      </w:r>
      <w:r w:rsidRPr="0052664C">
        <w:rPr>
          <w:rFonts w:ascii="Book Antiqua" w:eastAsia="SimSun" w:hAnsi="Book Antiqua" w:hint="eastAsia"/>
          <w:lang w:eastAsia="zh-CN"/>
        </w:rPr>
        <w:t>27</w:t>
      </w:r>
      <w:r w:rsidRPr="0052664C">
        <w:rPr>
          <w:rFonts w:ascii="Book Antiqua" w:eastAsia="SimSun" w:hAnsi="Book Antiqua"/>
          <w:lang w:eastAsia="zh-CN"/>
        </w:rPr>
        <w:t>, 2016</w:t>
      </w:r>
    </w:p>
    <w:p w14:paraId="18DA7ACE" w14:textId="4A6D5010" w:rsidR="00E11D9F" w:rsidRPr="00BF6FAE" w:rsidRDefault="00E11D9F" w:rsidP="00E11D9F">
      <w:pPr>
        <w:spacing w:line="360" w:lineRule="auto"/>
        <w:rPr>
          <w:rFonts w:ascii="Book Antiqua" w:hAnsi="Book Antiqua"/>
          <w:color w:val="000000"/>
        </w:rPr>
      </w:pPr>
      <w:r w:rsidRPr="0052664C">
        <w:rPr>
          <w:rFonts w:ascii="Book Antiqua" w:hAnsi="Book Antiqua"/>
          <w:b/>
        </w:rPr>
        <w:t>Accepted:</w:t>
      </w:r>
      <w:r w:rsidR="00BF6FAE" w:rsidRPr="00BF6FAE">
        <w:rPr>
          <w:rFonts w:ascii="Book Antiqua" w:hAnsi="Book Antiqua"/>
          <w:color w:val="000000"/>
        </w:rPr>
        <w:t xml:space="preserve"> </w:t>
      </w:r>
      <w:r w:rsidR="00BF6FAE">
        <w:rPr>
          <w:rFonts w:ascii="Book Antiqua" w:hAnsi="Book Antiqua"/>
          <w:color w:val="000000"/>
        </w:rPr>
        <w:t>May 21</w:t>
      </w:r>
      <w:r w:rsidR="00BF6FAE" w:rsidRPr="005E139A">
        <w:rPr>
          <w:rFonts w:ascii="Book Antiqua" w:hAnsi="Book Antiqua"/>
          <w:color w:val="000000"/>
        </w:rPr>
        <w:t>, 2016</w:t>
      </w:r>
      <w:bookmarkStart w:id="10" w:name="_GoBack"/>
      <w:bookmarkEnd w:id="10"/>
      <w:r w:rsidRPr="0052664C">
        <w:rPr>
          <w:rFonts w:ascii="Book Antiqua" w:hAnsi="Book Antiqua" w:hint="eastAsia"/>
          <w:b/>
        </w:rPr>
        <w:t xml:space="preserve">  </w:t>
      </w:r>
    </w:p>
    <w:p w14:paraId="10A5F0E7" w14:textId="77777777" w:rsidR="00E11D9F" w:rsidRPr="0052664C" w:rsidRDefault="00E11D9F" w:rsidP="00E11D9F">
      <w:pPr>
        <w:spacing w:line="360" w:lineRule="auto"/>
        <w:rPr>
          <w:rFonts w:ascii="Book Antiqua" w:hAnsi="Book Antiqua"/>
          <w:b/>
        </w:rPr>
      </w:pPr>
      <w:r w:rsidRPr="0052664C">
        <w:rPr>
          <w:rFonts w:ascii="Book Antiqua" w:hAnsi="Book Antiqua"/>
          <w:b/>
        </w:rPr>
        <w:t>Article in press:</w:t>
      </w:r>
    </w:p>
    <w:p w14:paraId="49178D02" w14:textId="77777777" w:rsidR="00E11D9F" w:rsidRPr="0052664C" w:rsidRDefault="00E11D9F" w:rsidP="00E11D9F">
      <w:pPr>
        <w:spacing w:line="360" w:lineRule="auto"/>
        <w:rPr>
          <w:rFonts w:ascii="Book Antiqua" w:hAnsi="Book Antiqua"/>
          <w:b/>
        </w:rPr>
      </w:pPr>
      <w:r w:rsidRPr="0052664C">
        <w:rPr>
          <w:rFonts w:ascii="Book Antiqua" w:hAnsi="Book Antiqua"/>
          <w:b/>
        </w:rPr>
        <w:t>Published online:</w:t>
      </w:r>
    </w:p>
    <w:bookmarkEnd w:id="3"/>
    <w:bookmarkEnd w:id="4"/>
    <w:bookmarkEnd w:id="5"/>
    <w:bookmarkEnd w:id="6"/>
    <w:bookmarkEnd w:id="7"/>
    <w:p w14:paraId="27895D52" w14:textId="77777777" w:rsidR="00E11D9F" w:rsidRPr="0052664C" w:rsidRDefault="00E11D9F" w:rsidP="00E11D9F">
      <w:pPr>
        <w:spacing w:line="360" w:lineRule="auto"/>
        <w:rPr>
          <w:rFonts w:ascii="Book Antiqua" w:hAnsi="Book Antiqua"/>
        </w:rPr>
      </w:pPr>
    </w:p>
    <w:bookmarkEnd w:id="8"/>
    <w:bookmarkEnd w:id="9"/>
    <w:p w14:paraId="3CA48AB7" w14:textId="77777777" w:rsidR="00D7143B" w:rsidRPr="0052664C" w:rsidRDefault="004F418E" w:rsidP="00E11D9F">
      <w:pPr>
        <w:spacing w:line="360" w:lineRule="auto"/>
        <w:rPr>
          <w:rFonts w:ascii="Book Antiqua" w:hAnsi="Book Antiqua"/>
          <w:b/>
        </w:rPr>
      </w:pPr>
      <w:r w:rsidRPr="0052664C">
        <w:rPr>
          <w:rFonts w:ascii="Book Antiqua" w:hAnsi="Book Antiqua"/>
          <w:b/>
          <w:highlight w:val="yellow"/>
        </w:rPr>
        <w:br w:type="page"/>
      </w:r>
      <w:r w:rsidR="00E177DB" w:rsidRPr="0052664C">
        <w:rPr>
          <w:rFonts w:ascii="Book Antiqua" w:hAnsi="Book Antiqua"/>
          <w:b/>
        </w:rPr>
        <w:lastRenderedPageBreak/>
        <w:t>Abstract</w:t>
      </w:r>
    </w:p>
    <w:p w14:paraId="01533667" w14:textId="644AE39C" w:rsidR="00A64865" w:rsidRPr="0052664C" w:rsidRDefault="00D924EF" w:rsidP="00E11D9F">
      <w:pPr>
        <w:spacing w:line="360" w:lineRule="auto"/>
        <w:rPr>
          <w:rFonts w:ascii="Book Antiqua" w:hAnsi="Book Antiqua"/>
          <w:b/>
        </w:rPr>
      </w:pPr>
      <w:r w:rsidRPr="0052664C">
        <w:rPr>
          <w:rFonts w:ascii="Book Antiqua" w:hAnsi="Book Antiqua"/>
          <w:b/>
        </w:rPr>
        <w:t>AIM:</w:t>
      </w:r>
      <w:r w:rsidR="00E11D9F" w:rsidRPr="0052664C">
        <w:rPr>
          <w:rFonts w:ascii="Book Antiqua" w:eastAsia="SimSun" w:hAnsi="Book Antiqua" w:hint="eastAsia"/>
          <w:b/>
          <w:lang w:eastAsia="zh-CN"/>
        </w:rPr>
        <w:t xml:space="preserve"> </w:t>
      </w:r>
      <w:r w:rsidR="00E11D9F" w:rsidRPr="0052664C">
        <w:rPr>
          <w:rFonts w:ascii="Book Antiqua" w:hAnsi="Book Antiqua"/>
        </w:rPr>
        <w:t xml:space="preserve">To </w:t>
      </w:r>
      <w:r w:rsidR="00DC6007" w:rsidRPr="0052664C">
        <w:rPr>
          <w:rFonts w:ascii="Book Antiqua" w:hAnsi="Book Antiqua"/>
        </w:rPr>
        <w:t>clarify the biological feature contributing t</w:t>
      </w:r>
      <w:r w:rsidR="00620F4B" w:rsidRPr="0052664C">
        <w:rPr>
          <w:rFonts w:ascii="Book Antiqua" w:hAnsi="Book Antiqua"/>
        </w:rPr>
        <w:t>o gastric cancer with diffuse bone metastases at diagnosis</w:t>
      </w:r>
      <w:r w:rsidR="00DC6007" w:rsidRPr="0052664C">
        <w:rPr>
          <w:rFonts w:ascii="Book Antiqua" w:hAnsi="Book Antiqua"/>
        </w:rPr>
        <w:t>.</w:t>
      </w:r>
    </w:p>
    <w:p w14:paraId="705AC636" w14:textId="77777777" w:rsidR="00D924EF" w:rsidRPr="0052664C" w:rsidRDefault="00D924EF" w:rsidP="00E11D9F">
      <w:pPr>
        <w:spacing w:line="360" w:lineRule="auto"/>
        <w:rPr>
          <w:rFonts w:ascii="Book Antiqua" w:hAnsi="Book Antiqua"/>
          <w:b/>
        </w:rPr>
      </w:pPr>
    </w:p>
    <w:p w14:paraId="06E17B88" w14:textId="232C9176" w:rsidR="001519C7" w:rsidRPr="0052664C" w:rsidRDefault="00D924EF" w:rsidP="00E11D9F">
      <w:pPr>
        <w:spacing w:line="360" w:lineRule="auto"/>
        <w:rPr>
          <w:rFonts w:ascii="Book Antiqua" w:hAnsi="Book Antiqua"/>
          <w:b/>
        </w:rPr>
      </w:pPr>
      <w:r w:rsidRPr="0052664C">
        <w:rPr>
          <w:rFonts w:ascii="Book Antiqua" w:hAnsi="Book Antiqua"/>
          <w:b/>
        </w:rPr>
        <w:t>METHODS:</w:t>
      </w:r>
      <w:r w:rsidR="00E11D9F" w:rsidRPr="0052664C">
        <w:rPr>
          <w:rFonts w:ascii="Book Antiqua" w:eastAsia="SimSun" w:hAnsi="Book Antiqua" w:hint="eastAsia"/>
          <w:b/>
          <w:lang w:eastAsia="zh-CN"/>
        </w:rPr>
        <w:t xml:space="preserve"> </w:t>
      </w:r>
      <w:r w:rsidR="001519C7" w:rsidRPr="0052664C">
        <w:rPr>
          <w:rFonts w:ascii="Book Antiqua" w:hAnsi="Book Antiqua"/>
        </w:rPr>
        <w:t xml:space="preserve">The participants visited the Department of Clinical Oncology, Akita University Hospital, from January 2014 to August 2015. The selection criterion for </w:t>
      </w:r>
      <w:r w:rsidR="00AF4E2E" w:rsidRPr="0052664C">
        <w:rPr>
          <w:rFonts w:ascii="Book Antiqua" w:hAnsi="Book Antiqua"/>
        </w:rPr>
        <w:t xml:space="preserve">gastric cancer with diffuse bone metastases at diagnosis includes over 29 hot spots of bone scintigraphy. Circulating tumor cell were collected </w:t>
      </w:r>
      <w:r w:rsidR="001519C7" w:rsidRPr="0052664C">
        <w:rPr>
          <w:rFonts w:ascii="Book Antiqua" w:hAnsi="Book Antiqua"/>
        </w:rPr>
        <w:t>from 20 mL of peripheral venous blood drawn using a CellSearch kit and a CellTracks AutoPrep system</w:t>
      </w:r>
      <w:r w:rsidR="00AF4E2E" w:rsidRPr="0052664C">
        <w:rPr>
          <w:rFonts w:ascii="Book Antiqua" w:hAnsi="Book Antiqua"/>
        </w:rPr>
        <w:t xml:space="preserve"> by </w:t>
      </w:r>
      <w:r w:rsidR="001519C7" w:rsidRPr="0052664C">
        <w:rPr>
          <w:rFonts w:ascii="Book Antiqua" w:hAnsi="Book Antiqua"/>
        </w:rPr>
        <w:t>SRL, a clinical laboratory. The endpoint</w:t>
      </w:r>
      <w:r w:rsidR="00AF4E2E" w:rsidRPr="0052664C">
        <w:rPr>
          <w:rFonts w:ascii="Book Antiqua" w:hAnsi="Book Antiqua"/>
        </w:rPr>
        <w:t>s of this study were correlations between</w:t>
      </w:r>
      <w:r w:rsidR="001519C7" w:rsidRPr="0052664C">
        <w:rPr>
          <w:rFonts w:ascii="Book Antiqua" w:hAnsi="Book Antiqua"/>
        </w:rPr>
        <w:t xml:space="preserve"> </w:t>
      </w:r>
      <w:r w:rsidR="00E11D9F" w:rsidRPr="0052664C">
        <w:rPr>
          <w:rFonts w:ascii="Book Antiqua" w:hAnsi="Book Antiqua"/>
        </w:rPr>
        <w:t>circulating tumor cells (CTC)</w:t>
      </w:r>
      <w:r w:rsidR="00E11D9F" w:rsidRPr="0052664C">
        <w:rPr>
          <w:rFonts w:ascii="Book Antiqua" w:eastAsia="SimSun" w:hAnsi="Book Antiqua" w:hint="eastAsia"/>
          <w:lang w:eastAsia="zh-CN"/>
        </w:rPr>
        <w:t xml:space="preserve"> </w:t>
      </w:r>
      <w:r w:rsidR="001519C7" w:rsidRPr="0052664C">
        <w:rPr>
          <w:rFonts w:ascii="Book Antiqua" w:hAnsi="Book Antiqua"/>
        </w:rPr>
        <w:t>count and</w:t>
      </w:r>
      <w:r w:rsidR="00AF4E2E" w:rsidRPr="0052664C">
        <w:rPr>
          <w:rFonts w:ascii="Book Antiqua" w:hAnsi="Book Antiqua"/>
        </w:rPr>
        <w:t xml:space="preserve"> therapeutic outcomes</w:t>
      </w:r>
      <w:r w:rsidR="001519C7" w:rsidRPr="0052664C">
        <w:rPr>
          <w:rFonts w:ascii="Book Antiqua" w:hAnsi="Book Antiqua"/>
        </w:rPr>
        <w:t xml:space="preserve">. </w:t>
      </w:r>
    </w:p>
    <w:p w14:paraId="134CB26D" w14:textId="77777777" w:rsidR="00D924EF" w:rsidRPr="0052664C" w:rsidRDefault="00D924EF" w:rsidP="00E11D9F">
      <w:pPr>
        <w:spacing w:line="360" w:lineRule="auto"/>
        <w:rPr>
          <w:rFonts w:ascii="Book Antiqua" w:hAnsi="Book Antiqua"/>
          <w:b/>
        </w:rPr>
      </w:pPr>
    </w:p>
    <w:p w14:paraId="5B3FD2CB" w14:textId="7EE1FE84" w:rsidR="007E705D" w:rsidRPr="0052664C" w:rsidRDefault="00D924EF" w:rsidP="00E11D9F">
      <w:pPr>
        <w:spacing w:line="360" w:lineRule="auto"/>
        <w:rPr>
          <w:rFonts w:ascii="Book Antiqua" w:hAnsi="Book Antiqua"/>
          <w:b/>
        </w:rPr>
      </w:pPr>
      <w:r w:rsidRPr="0052664C">
        <w:rPr>
          <w:rFonts w:ascii="Book Antiqua" w:hAnsi="Book Antiqua"/>
          <w:b/>
        </w:rPr>
        <w:t>RESULTS:</w:t>
      </w:r>
      <w:r w:rsidR="00E11D9F" w:rsidRPr="0052664C">
        <w:rPr>
          <w:rFonts w:ascii="Book Antiqua" w:eastAsia="SimSun" w:hAnsi="Book Antiqua" w:hint="eastAsia"/>
          <w:b/>
          <w:lang w:eastAsia="zh-CN"/>
        </w:rPr>
        <w:t xml:space="preserve"> </w:t>
      </w:r>
      <w:r w:rsidR="007E705D" w:rsidRPr="0052664C">
        <w:rPr>
          <w:rFonts w:ascii="Book Antiqua" w:hAnsi="Book Antiqua"/>
        </w:rPr>
        <w:t xml:space="preserve">Among 39 patients with gastric cancer, 5 patients met the criterion. The incidence </w:t>
      </w:r>
      <w:r w:rsidR="00FF0549" w:rsidRPr="0052664C">
        <w:rPr>
          <w:rFonts w:ascii="Book Antiqua" w:hAnsi="Book Antiqua"/>
        </w:rPr>
        <w:t xml:space="preserve">of this subtype </w:t>
      </w:r>
      <w:r w:rsidR="007E705D" w:rsidRPr="0052664C">
        <w:rPr>
          <w:rFonts w:ascii="Book Antiqua" w:hAnsi="Book Antiqua"/>
        </w:rPr>
        <w:t xml:space="preserve">was 12.8 %. CTC counts </w:t>
      </w:r>
      <w:r w:rsidR="00E11D9F" w:rsidRPr="0052664C">
        <w:rPr>
          <w:rFonts w:ascii="Book Antiqua" w:hAnsi="Book Antiqua"/>
        </w:rPr>
        <w:t>ranged from 235 to 6</w:t>
      </w:r>
      <w:r w:rsidR="007E705D" w:rsidRPr="0052664C">
        <w:rPr>
          <w:rFonts w:ascii="Book Antiqua" w:hAnsi="Book Antiqua"/>
        </w:rPr>
        <w:t xml:space="preserve">440 cells/7.5 mL of peripheral blood (median of 1724). These values were </w:t>
      </w:r>
      <w:r w:rsidR="00691852" w:rsidRPr="0052664C">
        <w:rPr>
          <w:rFonts w:ascii="Book Antiqua" w:hAnsi="Book Antiqua"/>
        </w:rPr>
        <w:t xml:space="preserve">much </w:t>
      </w:r>
      <w:r w:rsidR="007E705D" w:rsidRPr="0052664C">
        <w:rPr>
          <w:rFonts w:ascii="Book Antiqua" w:hAnsi="Book Antiqua"/>
        </w:rPr>
        <w:t>higher than common gastric cancers (2 cells).</w:t>
      </w:r>
      <w:r w:rsidR="00FF0549" w:rsidRPr="0052664C">
        <w:rPr>
          <w:rFonts w:ascii="Book Antiqua" w:hAnsi="Book Antiqua"/>
        </w:rPr>
        <w:t xml:space="preserve"> In chemo-sensitive cases, CTC counts decrease</w:t>
      </w:r>
      <w:r w:rsidR="00CC33A2" w:rsidRPr="0052664C">
        <w:rPr>
          <w:rFonts w:ascii="Book Antiqua" w:hAnsi="Book Antiqua"/>
        </w:rPr>
        <w:t xml:space="preserve">d within 14 </w:t>
      </w:r>
      <w:r w:rsidR="00E11D9F" w:rsidRPr="0052664C">
        <w:rPr>
          <w:rFonts w:ascii="Book Antiqua" w:eastAsia="SimSun" w:hAnsi="Book Antiqua" w:hint="eastAsia"/>
          <w:lang w:eastAsia="zh-CN"/>
        </w:rPr>
        <w:t>d</w:t>
      </w:r>
      <w:r w:rsidR="00CC33A2" w:rsidRPr="0052664C">
        <w:rPr>
          <w:rFonts w:ascii="Book Antiqua" w:hAnsi="Book Antiqua"/>
        </w:rPr>
        <w:t xml:space="preserve"> (median) from 275</w:t>
      </w:r>
      <w:r w:rsidR="00E11D9F" w:rsidRPr="0052664C">
        <w:rPr>
          <w:rFonts w:ascii="Book Antiqua" w:hAnsi="Book Antiqua"/>
        </w:rPr>
        <w:t>, 235 and 1</w:t>
      </w:r>
      <w:r w:rsidR="0048353B" w:rsidRPr="0052664C">
        <w:rPr>
          <w:rFonts w:ascii="Book Antiqua" w:hAnsi="Book Antiqua"/>
        </w:rPr>
        <w:t>724 to 2, 7 and 66</w:t>
      </w:r>
      <w:r w:rsidR="00FF0549" w:rsidRPr="0052664C">
        <w:rPr>
          <w:rFonts w:ascii="Book Antiqua" w:hAnsi="Book Antiqua"/>
        </w:rPr>
        <w:t xml:space="preserve">, respectively. On the other hand, CTC counts increased after treatment failure or </w:t>
      </w:r>
      <w:r w:rsidR="00630932" w:rsidRPr="0052664C">
        <w:rPr>
          <w:rFonts w:ascii="Book Antiqua" w:hAnsi="Book Antiqua"/>
        </w:rPr>
        <w:t>insensitive case from 2, 7</w:t>
      </w:r>
      <w:r w:rsidR="00691852" w:rsidRPr="0052664C">
        <w:rPr>
          <w:rFonts w:ascii="Book Antiqua" w:hAnsi="Book Antiqua"/>
        </w:rPr>
        <w:t xml:space="preserve"> and 6440 to </w:t>
      </w:r>
      <w:r w:rsidR="00702680" w:rsidRPr="0052664C">
        <w:rPr>
          <w:rFonts w:ascii="Book Antiqua" w:hAnsi="Book Antiqua"/>
        </w:rPr>
        <w:t>787</w:t>
      </w:r>
      <w:r w:rsidR="00691852" w:rsidRPr="0052664C">
        <w:rPr>
          <w:rFonts w:ascii="Book Antiqua" w:hAnsi="Book Antiqua"/>
        </w:rPr>
        <w:t xml:space="preserve">, </w:t>
      </w:r>
      <w:r w:rsidR="00702680" w:rsidRPr="0052664C">
        <w:rPr>
          <w:rFonts w:ascii="Book Antiqua" w:hAnsi="Book Antiqua"/>
        </w:rPr>
        <w:t>513</w:t>
      </w:r>
      <w:r w:rsidR="00691852" w:rsidRPr="0052664C">
        <w:rPr>
          <w:rFonts w:ascii="Book Antiqua" w:hAnsi="Book Antiqua"/>
        </w:rPr>
        <w:t xml:space="preserve"> and 7885</w:t>
      </w:r>
      <w:r w:rsidR="00FF0549" w:rsidRPr="0052664C">
        <w:rPr>
          <w:rFonts w:ascii="Book Antiqua" w:hAnsi="Book Antiqua"/>
        </w:rPr>
        <w:t xml:space="preserve">, respectively. </w:t>
      </w:r>
      <w:r w:rsidR="00691852" w:rsidRPr="0052664C">
        <w:rPr>
          <w:rFonts w:ascii="Book Antiqua" w:hAnsi="Book Antiqua"/>
        </w:rPr>
        <w:t xml:space="preserve">The correlation between CTC count and survival time showed a trend, but did not reach significance </w:t>
      </w:r>
      <w:r w:rsidR="003526E1" w:rsidRPr="0052664C">
        <w:rPr>
          <w:rFonts w:ascii="Book Antiqua" w:hAnsi="Book Antiqua"/>
        </w:rPr>
        <w:t xml:space="preserve">(Y = 234.6 − 0.03X, </w:t>
      </w:r>
      <w:r w:rsidR="00691852" w:rsidRPr="0052664C">
        <w:rPr>
          <w:rFonts w:ascii="Book Antiqua" w:hAnsi="Book Antiqua"/>
          <w:i/>
        </w:rPr>
        <w:t xml:space="preserve">P </w:t>
      </w:r>
      <w:r w:rsidR="00691852" w:rsidRPr="0052664C">
        <w:rPr>
          <w:rFonts w:ascii="Book Antiqua" w:hAnsi="Book Antiqua"/>
        </w:rPr>
        <w:t xml:space="preserve">= </w:t>
      </w:r>
      <w:r w:rsidR="003526E1" w:rsidRPr="0052664C">
        <w:rPr>
          <w:rFonts w:ascii="Book Antiqua" w:hAnsi="Book Antiqua"/>
        </w:rPr>
        <w:t>0.085</w:t>
      </w:r>
      <w:r w:rsidR="00691852" w:rsidRPr="0052664C">
        <w:rPr>
          <w:rFonts w:ascii="Book Antiqua" w:hAnsi="Book Antiqua"/>
        </w:rPr>
        <w:t>).</w:t>
      </w:r>
    </w:p>
    <w:p w14:paraId="3A869FC6" w14:textId="77777777" w:rsidR="00FF0549" w:rsidRPr="0052664C" w:rsidRDefault="00FF0549" w:rsidP="00E11D9F">
      <w:pPr>
        <w:spacing w:line="360" w:lineRule="auto"/>
        <w:rPr>
          <w:rFonts w:ascii="Book Antiqua" w:hAnsi="Book Antiqua"/>
        </w:rPr>
      </w:pPr>
    </w:p>
    <w:p w14:paraId="3DF84733" w14:textId="4EAA5A61" w:rsidR="00691852" w:rsidRPr="0052664C" w:rsidRDefault="00D924EF" w:rsidP="00E11D9F">
      <w:pPr>
        <w:spacing w:line="360" w:lineRule="auto"/>
        <w:rPr>
          <w:rFonts w:ascii="Book Antiqua" w:hAnsi="Book Antiqua"/>
          <w:b/>
        </w:rPr>
      </w:pPr>
      <w:r w:rsidRPr="0052664C">
        <w:rPr>
          <w:rFonts w:ascii="Book Antiqua" w:hAnsi="Book Antiqua"/>
          <w:b/>
        </w:rPr>
        <w:t>CONCLUSION:</w:t>
      </w:r>
      <w:r w:rsidR="00E11D9F" w:rsidRPr="0052664C">
        <w:rPr>
          <w:rFonts w:ascii="Book Antiqua" w:eastAsia="SimSun" w:hAnsi="Book Antiqua" w:hint="eastAsia"/>
          <w:b/>
          <w:lang w:eastAsia="zh-CN"/>
        </w:rPr>
        <w:t xml:space="preserve"> </w:t>
      </w:r>
      <w:r w:rsidR="00691852" w:rsidRPr="0052664C">
        <w:rPr>
          <w:rFonts w:ascii="Book Antiqua" w:hAnsi="Book Antiqua"/>
        </w:rPr>
        <w:t xml:space="preserve">High CTC count is a biological hallmark of this subtype, and can be used as a direct and definitive indicator of therapeutic outcome. </w:t>
      </w:r>
    </w:p>
    <w:p w14:paraId="78D05055" w14:textId="77777777" w:rsidR="00D924EF" w:rsidRPr="0052664C" w:rsidRDefault="00D924EF" w:rsidP="00E11D9F">
      <w:pPr>
        <w:spacing w:line="360" w:lineRule="auto"/>
        <w:rPr>
          <w:rFonts w:ascii="Book Antiqua" w:hAnsi="Book Antiqua"/>
          <w:b/>
        </w:rPr>
      </w:pPr>
    </w:p>
    <w:p w14:paraId="6AA6C0CA" w14:textId="5F00F2D8" w:rsidR="00D924EF" w:rsidRPr="0052664C" w:rsidRDefault="00D924EF" w:rsidP="00E11D9F">
      <w:pPr>
        <w:spacing w:line="360" w:lineRule="auto"/>
        <w:rPr>
          <w:rFonts w:ascii="Book Antiqua" w:eastAsia="SimSun" w:hAnsi="Book Antiqua"/>
          <w:lang w:eastAsia="zh-CN"/>
        </w:rPr>
      </w:pPr>
      <w:r w:rsidRPr="0052664C">
        <w:rPr>
          <w:rFonts w:ascii="Book Antiqua" w:hAnsi="Book Antiqua"/>
          <w:b/>
        </w:rPr>
        <w:t xml:space="preserve">Key words: </w:t>
      </w:r>
      <w:r w:rsidR="00E11D9F" w:rsidRPr="0052664C">
        <w:rPr>
          <w:rFonts w:ascii="Book Antiqua" w:hAnsi="Book Antiqua"/>
        </w:rPr>
        <w:t xml:space="preserve">Bone </w:t>
      </w:r>
      <w:r w:rsidRPr="0052664C">
        <w:rPr>
          <w:rFonts w:ascii="Book Antiqua" w:hAnsi="Book Antiqua"/>
        </w:rPr>
        <w:t>metastasis</w:t>
      </w:r>
      <w:r w:rsidR="00E11D9F" w:rsidRPr="0052664C">
        <w:rPr>
          <w:rFonts w:ascii="Book Antiqua" w:eastAsia="SimSun" w:hAnsi="Book Antiqua" w:hint="eastAsia"/>
          <w:lang w:eastAsia="zh-CN"/>
        </w:rPr>
        <w:t xml:space="preserve">; </w:t>
      </w:r>
      <w:r w:rsidR="00E11D9F" w:rsidRPr="0052664C">
        <w:rPr>
          <w:rFonts w:ascii="Book Antiqua" w:hAnsi="Book Antiqua"/>
        </w:rPr>
        <w:t xml:space="preserve">Circulating </w:t>
      </w:r>
      <w:r w:rsidRPr="0052664C">
        <w:rPr>
          <w:rFonts w:ascii="Book Antiqua" w:hAnsi="Book Antiqua"/>
        </w:rPr>
        <w:t>tumor cell</w:t>
      </w:r>
      <w:r w:rsidR="00E11D9F" w:rsidRPr="0052664C">
        <w:rPr>
          <w:rFonts w:ascii="Book Antiqua" w:eastAsia="SimSun" w:hAnsi="Book Antiqua" w:hint="eastAsia"/>
          <w:lang w:eastAsia="zh-CN"/>
        </w:rPr>
        <w:t>;</w:t>
      </w:r>
      <w:r w:rsidRPr="0052664C">
        <w:rPr>
          <w:rFonts w:ascii="Book Antiqua" w:hAnsi="Book Antiqua"/>
        </w:rPr>
        <w:t xml:space="preserve"> </w:t>
      </w:r>
      <w:r w:rsidR="00E11D9F" w:rsidRPr="0052664C">
        <w:rPr>
          <w:rFonts w:ascii="Book Antiqua" w:hAnsi="Book Antiqua"/>
        </w:rPr>
        <w:t xml:space="preserve">Gastric </w:t>
      </w:r>
      <w:r w:rsidRPr="0052664C">
        <w:rPr>
          <w:rFonts w:ascii="Book Antiqua" w:hAnsi="Book Antiqua"/>
        </w:rPr>
        <w:t>cancer</w:t>
      </w:r>
      <w:r w:rsidR="00E11D9F" w:rsidRPr="0052664C">
        <w:rPr>
          <w:rFonts w:ascii="Book Antiqua" w:eastAsia="SimSun" w:hAnsi="Book Antiqua" w:hint="eastAsia"/>
          <w:lang w:eastAsia="zh-CN"/>
        </w:rPr>
        <w:t>;</w:t>
      </w:r>
      <w:r w:rsidR="007C5EAC" w:rsidRPr="0052664C">
        <w:rPr>
          <w:rFonts w:ascii="Book Antiqua" w:hAnsi="Book Antiqua"/>
        </w:rPr>
        <w:t xml:space="preserve"> </w:t>
      </w:r>
      <w:r w:rsidR="00E11D9F" w:rsidRPr="0052664C">
        <w:rPr>
          <w:rFonts w:ascii="Book Antiqua" w:hAnsi="Book Antiqua"/>
        </w:rPr>
        <w:t xml:space="preserve">Predictive </w:t>
      </w:r>
      <w:r w:rsidR="007C5EAC" w:rsidRPr="0052664C">
        <w:rPr>
          <w:rFonts w:ascii="Book Antiqua" w:hAnsi="Book Antiqua"/>
        </w:rPr>
        <w:t>biomarker</w:t>
      </w:r>
      <w:r w:rsidR="00E11D9F" w:rsidRPr="0052664C">
        <w:rPr>
          <w:rFonts w:ascii="Book Antiqua" w:eastAsia="SimSun" w:hAnsi="Book Antiqua" w:hint="eastAsia"/>
          <w:lang w:eastAsia="zh-CN"/>
        </w:rPr>
        <w:t>;</w:t>
      </w:r>
      <w:r w:rsidR="007C5EAC" w:rsidRPr="0052664C">
        <w:rPr>
          <w:rFonts w:ascii="Book Antiqua" w:hAnsi="Book Antiqua"/>
        </w:rPr>
        <w:t xml:space="preserve"> </w:t>
      </w:r>
      <w:r w:rsidR="00E11D9F" w:rsidRPr="0052664C">
        <w:rPr>
          <w:rFonts w:ascii="Book Antiqua" w:hAnsi="Book Antiqua"/>
        </w:rPr>
        <w:t xml:space="preserve">Prognostic </w:t>
      </w:r>
      <w:r w:rsidR="007C5EAC" w:rsidRPr="0052664C">
        <w:rPr>
          <w:rFonts w:ascii="Book Antiqua" w:hAnsi="Book Antiqua"/>
        </w:rPr>
        <w:t>biomarker</w:t>
      </w:r>
    </w:p>
    <w:p w14:paraId="05174B32" w14:textId="77777777" w:rsidR="00E11D9F" w:rsidRPr="0052664C" w:rsidRDefault="00E11D9F" w:rsidP="00E11D9F">
      <w:pPr>
        <w:spacing w:line="360" w:lineRule="auto"/>
        <w:rPr>
          <w:rFonts w:ascii="Book Antiqua" w:eastAsia="SimSun" w:hAnsi="Book Antiqua"/>
          <w:lang w:eastAsia="zh-CN"/>
        </w:rPr>
      </w:pPr>
    </w:p>
    <w:p w14:paraId="0BC7A526" w14:textId="77777777" w:rsidR="00E11D9F" w:rsidRPr="0052664C" w:rsidRDefault="00E11D9F" w:rsidP="00E11D9F">
      <w:pPr>
        <w:spacing w:line="360" w:lineRule="auto"/>
        <w:rPr>
          <w:rFonts w:ascii="Book Antiqua" w:hAnsi="Book Antiqua" w:cs="Arial"/>
        </w:rPr>
      </w:pPr>
      <w:bookmarkStart w:id="11" w:name="OLE_LINK55"/>
      <w:bookmarkStart w:id="12" w:name="OLE_LINK56"/>
      <w:bookmarkStart w:id="13" w:name="OLE_LINK105"/>
      <w:bookmarkStart w:id="14" w:name="OLE_LINK116"/>
      <w:bookmarkStart w:id="15" w:name="OLE_LINK89"/>
      <w:r w:rsidRPr="0052664C">
        <w:rPr>
          <w:rFonts w:ascii="Book Antiqua" w:hAnsi="Book Antiqua"/>
          <w:b/>
        </w:rPr>
        <w:t>©</w:t>
      </w:r>
      <w:bookmarkEnd w:id="11"/>
      <w:bookmarkEnd w:id="12"/>
      <w:r w:rsidRPr="0052664C">
        <w:rPr>
          <w:rFonts w:ascii="Book Antiqua" w:hAnsi="Book Antiqua" w:hint="eastAsia"/>
          <w:b/>
        </w:rPr>
        <w:t xml:space="preserve"> </w:t>
      </w:r>
      <w:r w:rsidRPr="0052664C">
        <w:rPr>
          <w:rFonts w:ascii="Book Antiqua" w:hAnsi="Book Antiqua" w:cs="Arial"/>
          <w:b/>
        </w:rPr>
        <w:t>The Author(s) 201</w:t>
      </w:r>
      <w:r w:rsidRPr="0052664C">
        <w:rPr>
          <w:rFonts w:ascii="Book Antiqua" w:hAnsi="Book Antiqua" w:cs="Arial" w:hint="eastAsia"/>
          <w:b/>
        </w:rPr>
        <w:t>6</w:t>
      </w:r>
      <w:r w:rsidRPr="0052664C">
        <w:rPr>
          <w:rFonts w:ascii="Book Antiqua" w:hAnsi="Book Antiqua" w:cs="Arial"/>
          <w:b/>
        </w:rPr>
        <w:t xml:space="preserve">. </w:t>
      </w:r>
      <w:r w:rsidRPr="0052664C">
        <w:rPr>
          <w:rFonts w:ascii="Book Antiqua" w:hAnsi="Book Antiqua" w:cs="Arial"/>
        </w:rPr>
        <w:t>Published by Baishideng Publishing Group Inc. All rights reserved.</w:t>
      </w:r>
    </w:p>
    <w:bookmarkEnd w:id="13"/>
    <w:bookmarkEnd w:id="14"/>
    <w:bookmarkEnd w:id="15"/>
    <w:p w14:paraId="1A3F0596" w14:textId="77777777" w:rsidR="006241E0" w:rsidRPr="0052664C" w:rsidRDefault="006241E0" w:rsidP="00E11D9F">
      <w:pPr>
        <w:spacing w:line="360" w:lineRule="auto"/>
        <w:rPr>
          <w:rFonts w:ascii="Book Antiqua" w:hAnsi="Book Antiqua"/>
        </w:rPr>
      </w:pPr>
    </w:p>
    <w:p w14:paraId="7EC61D29" w14:textId="0F532770" w:rsidR="006241E0" w:rsidRPr="0052664C" w:rsidRDefault="006241E0" w:rsidP="00E11D9F">
      <w:pPr>
        <w:spacing w:line="360" w:lineRule="auto"/>
        <w:rPr>
          <w:rFonts w:ascii="Book Antiqua" w:hAnsi="Book Antiqua"/>
        </w:rPr>
      </w:pPr>
      <w:r w:rsidRPr="0052664C">
        <w:rPr>
          <w:rFonts w:ascii="Book Antiqua" w:hAnsi="Book Antiqua"/>
          <w:b/>
        </w:rPr>
        <w:t>Core tip:</w:t>
      </w:r>
      <w:r w:rsidR="00967AB7" w:rsidRPr="0052664C">
        <w:rPr>
          <w:rFonts w:ascii="Book Antiqua" w:hAnsi="Book Antiqua"/>
          <w:b/>
        </w:rPr>
        <w:t xml:space="preserve"> </w:t>
      </w:r>
      <w:r w:rsidR="00967AB7" w:rsidRPr="0052664C">
        <w:rPr>
          <w:rFonts w:ascii="Book Antiqua" w:hAnsi="Book Antiqua"/>
        </w:rPr>
        <w:t>It has been reported</w:t>
      </w:r>
      <w:r w:rsidR="00510362" w:rsidRPr="0052664C">
        <w:rPr>
          <w:rFonts w:ascii="Book Antiqua" w:hAnsi="Book Antiqua"/>
        </w:rPr>
        <w:t xml:space="preserve"> </w:t>
      </w:r>
      <w:r w:rsidR="00CC6DDA" w:rsidRPr="0052664C">
        <w:rPr>
          <w:rFonts w:ascii="Book Antiqua" w:hAnsi="Book Antiqua"/>
        </w:rPr>
        <w:t xml:space="preserve">in many times </w:t>
      </w:r>
      <w:r w:rsidR="00510362" w:rsidRPr="0052664C">
        <w:rPr>
          <w:rFonts w:ascii="Book Antiqua" w:hAnsi="Book Antiqua"/>
        </w:rPr>
        <w:t xml:space="preserve">that a specific subtype of gastric cancer characterized with diffuse bone metastases at diagnosis, rapid progression and poorer prognosis </w:t>
      </w:r>
      <w:r w:rsidR="00967AB7" w:rsidRPr="0052664C">
        <w:rPr>
          <w:rFonts w:ascii="Book Antiqua" w:hAnsi="Book Antiqua"/>
        </w:rPr>
        <w:t xml:space="preserve">apparently exists in almost one of ten gastric cancers. However, the basic and biological features of this subtype are not specified until today. In this study, we identified high number of circulating tumor cell of this subtype, and considered that </w:t>
      </w:r>
      <w:r w:rsidR="00E11D9F" w:rsidRPr="0052664C">
        <w:rPr>
          <w:rFonts w:ascii="Book Antiqua" w:hAnsi="Book Antiqua"/>
        </w:rPr>
        <w:t>circulating tumor cells (CTC)</w:t>
      </w:r>
      <w:r w:rsidR="00967AB7" w:rsidRPr="0052664C">
        <w:rPr>
          <w:rFonts w:ascii="Book Antiqua" w:hAnsi="Book Antiqua"/>
        </w:rPr>
        <w:t xml:space="preserve"> is responsible for the clinical features described above. CTC is not only a </w:t>
      </w:r>
      <w:r w:rsidR="00CC6DDA" w:rsidRPr="0052664C">
        <w:rPr>
          <w:rFonts w:ascii="Book Antiqua" w:hAnsi="Book Antiqua"/>
        </w:rPr>
        <w:t xml:space="preserve">biological </w:t>
      </w:r>
      <w:r w:rsidR="00967AB7" w:rsidRPr="0052664C">
        <w:rPr>
          <w:rFonts w:ascii="Book Antiqua" w:hAnsi="Book Antiqua"/>
        </w:rPr>
        <w:t xml:space="preserve">hallmark of this subtype, but also informative as a predictive or prognostic biomarkers.  </w:t>
      </w:r>
    </w:p>
    <w:p w14:paraId="1159ADA7" w14:textId="77777777" w:rsidR="00131498" w:rsidRPr="0052664C" w:rsidRDefault="00131498" w:rsidP="00E11D9F">
      <w:pPr>
        <w:spacing w:line="360" w:lineRule="auto"/>
        <w:rPr>
          <w:rFonts w:ascii="Book Antiqua" w:hAnsi="Book Antiqua"/>
        </w:rPr>
      </w:pPr>
    </w:p>
    <w:p w14:paraId="3867879B" w14:textId="6954C332" w:rsidR="00131498" w:rsidRPr="0052664C" w:rsidRDefault="00131498" w:rsidP="00E11D9F">
      <w:pPr>
        <w:spacing w:line="360" w:lineRule="auto"/>
        <w:rPr>
          <w:rFonts w:ascii="Book Antiqua" w:hAnsi="Book Antiqua"/>
          <w:highlight w:val="yellow"/>
        </w:rPr>
      </w:pPr>
      <w:r w:rsidRPr="0052664C">
        <w:rPr>
          <w:rFonts w:ascii="Book Antiqua" w:hAnsi="Book Antiqua"/>
        </w:rPr>
        <w:t xml:space="preserve">Shimazu K, Fukuda K, Yoshida T, Inoue M, Shibata H. High circulating tumor cell concentrations in a specific subtype of gastric cancer with diffuse bone </w:t>
      </w:r>
      <w:r w:rsidRPr="0052664C">
        <w:rPr>
          <w:rFonts w:ascii="Book Antiqua" w:hAnsi="Book Antiqua"/>
        </w:rPr>
        <w:lastRenderedPageBreak/>
        <w:t xml:space="preserve">metastasis at diagnosis. </w:t>
      </w:r>
      <w:r w:rsidRPr="0052664C">
        <w:rPr>
          <w:rFonts w:ascii="Book Antiqua" w:hAnsi="Book Antiqua"/>
          <w:i/>
        </w:rPr>
        <w:t>World J Gastroenterol</w:t>
      </w:r>
      <w:r w:rsidR="00E11D9F" w:rsidRPr="0052664C">
        <w:rPr>
          <w:rFonts w:ascii="Book Antiqua" w:eastAsia="SimSun" w:hAnsi="Book Antiqua" w:hint="eastAsia"/>
          <w:i/>
          <w:lang w:eastAsia="zh-CN"/>
        </w:rPr>
        <w:t xml:space="preserve"> </w:t>
      </w:r>
      <w:r w:rsidR="00E11D9F" w:rsidRPr="0052664C">
        <w:rPr>
          <w:rFonts w:ascii="Book Antiqua" w:eastAsia="SimSun" w:hAnsi="Book Antiqua" w:hint="eastAsia"/>
          <w:lang w:eastAsia="zh-CN"/>
        </w:rPr>
        <w:t>2016</w:t>
      </w:r>
      <w:r w:rsidR="00E11D9F" w:rsidRPr="0052664C">
        <w:rPr>
          <w:rFonts w:ascii="Book Antiqua" w:eastAsia="SimSun" w:hAnsi="Book Antiqua" w:hint="eastAsia"/>
          <w:i/>
          <w:lang w:eastAsia="zh-CN"/>
        </w:rPr>
        <w:t>;</w:t>
      </w:r>
      <w:r w:rsidR="00E11D9F" w:rsidRPr="0052664C">
        <w:rPr>
          <w:rFonts w:ascii="Book Antiqua" w:eastAsia="SimSun" w:hAnsi="Book Antiqua" w:hint="eastAsia"/>
          <w:lang w:eastAsia="zh-CN"/>
        </w:rPr>
        <w:t xml:space="preserve"> In press</w:t>
      </w:r>
      <w:r w:rsidRPr="0052664C">
        <w:rPr>
          <w:rFonts w:ascii="Book Antiqua" w:hAnsi="Book Antiqua"/>
        </w:rPr>
        <w:t xml:space="preserve"> </w:t>
      </w:r>
    </w:p>
    <w:p w14:paraId="76CA1807" w14:textId="77777777" w:rsidR="00131498" w:rsidRPr="0052664C" w:rsidRDefault="00131498" w:rsidP="00E11D9F">
      <w:pPr>
        <w:spacing w:line="360" w:lineRule="auto"/>
        <w:rPr>
          <w:rFonts w:ascii="Book Antiqua" w:hAnsi="Book Antiqua"/>
        </w:rPr>
      </w:pPr>
    </w:p>
    <w:p w14:paraId="4208B2C3" w14:textId="77777777" w:rsidR="006241E0" w:rsidRPr="0052664C" w:rsidRDefault="006241E0" w:rsidP="00E11D9F">
      <w:pPr>
        <w:spacing w:line="360" w:lineRule="auto"/>
        <w:rPr>
          <w:rFonts w:ascii="Book Antiqua" w:hAnsi="Book Antiqua"/>
        </w:rPr>
      </w:pPr>
    </w:p>
    <w:p w14:paraId="62BEC42B" w14:textId="77777777" w:rsidR="00D924EF" w:rsidRPr="0052664C" w:rsidRDefault="00D924EF" w:rsidP="00E11D9F">
      <w:pPr>
        <w:spacing w:line="360" w:lineRule="auto"/>
        <w:rPr>
          <w:rFonts w:ascii="Book Antiqua" w:hAnsi="Book Antiqua"/>
        </w:rPr>
      </w:pPr>
    </w:p>
    <w:p w14:paraId="4B78A3F3" w14:textId="77777777" w:rsidR="00F519A0" w:rsidRPr="0052664C" w:rsidRDefault="00F519A0" w:rsidP="00E11D9F">
      <w:pPr>
        <w:spacing w:line="360" w:lineRule="auto"/>
        <w:rPr>
          <w:rFonts w:ascii="Book Antiqua" w:hAnsi="Book Antiqua"/>
        </w:rPr>
      </w:pPr>
    </w:p>
    <w:p w14:paraId="6E36848E" w14:textId="77777777" w:rsidR="00B24A9C" w:rsidRPr="0052664C" w:rsidRDefault="00B24A9C" w:rsidP="00E11D9F">
      <w:pPr>
        <w:spacing w:line="360" w:lineRule="auto"/>
        <w:rPr>
          <w:rFonts w:ascii="Book Antiqua" w:hAnsi="Book Antiqua"/>
        </w:rPr>
      </w:pPr>
    </w:p>
    <w:p w14:paraId="3C882F47" w14:textId="77777777" w:rsidR="004F418E" w:rsidRPr="0052664C" w:rsidRDefault="004F418E" w:rsidP="00E11D9F">
      <w:pPr>
        <w:spacing w:line="360" w:lineRule="auto"/>
        <w:rPr>
          <w:rFonts w:ascii="Book Antiqua" w:hAnsi="Book Antiqua"/>
        </w:rPr>
      </w:pPr>
    </w:p>
    <w:p w14:paraId="4F8A7BA7" w14:textId="77777777" w:rsidR="004F418E" w:rsidRPr="0052664C" w:rsidRDefault="004F418E" w:rsidP="00E11D9F">
      <w:pPr>
        <w:spacing w:line="360" w:lineRule="auto"/>
        <w:rPr>
          <w:rFonts w:ascii="Book Antiqua" w:hAnsi="Book Antiqua"/>
        </w:rPr>
      </w:pPr>
    </w:p>
    <w:p w14:paraId="0EB68CBD" w14:textId="77777777" w:rsidR="001703F8" w:rsidRPr="0052664C" w:rsidRDefault="008D1AFF" w:rsidP="00E11D9F">
      <w:pPr>
        <w:spacing w:line="360" w:lineRule="auto"/>
        <w:rPr>
          <w:rFonts w:ascii="Book Antiqua" w:hAnsi="Book Antiqua"/>
          <w:b/>
        </w:rPr>
      </w:pPr>
      <w:r w:rsidRPr="0052664C">
        <w:rPr>
          <w:rFonts w:ascii="Book Antiqua" w:hAnsi="Book Antiqua"/>
          <w:b/>
        </w:rPr>
        <w:br w:type="page"/>
      </w:r>
      <w:r w:rsidR="00E2149F" w:rsidRPr="0052664C">
        <w:rPr>
          <w:rFonts w:ascii="Book Antiqua" w:hAnsi="Book Antiqua"/>
          <w:b/>
        </w:rPr>
        <w:lastRenderedPageBreak/>
        <w:t>INTRODUCTION</w:t>
      </w:r>
    </w:p>
    <w:p w14:paraId="0C41E4B0" w14:textId="3B9F6CC2" w:rsidR="00F1201E" w:rsidRPr="0052664C" w:rsidRDefault="007225B7" w:rsidP="00E11D9F">
      <w:pPr>
        <w:spacing w:line="360" w:lineRule="auto"/>
        <w:rPr>
          <w:rFonts w:ascii="Book Antiqua" w:hAnsi="Book Antiqua"/>
          <w:vertAlign w:val="superscript"/>
        </w:rPr>
      </w:pPr>
      <w:r w:rsidRPr="0052664C">
        <w:rPr>
          <w:rFonts w:ascii="Book Antiqua" w:hAnsi="Book Antiqua"/>
        </w:rPr>
        <w:t>G</w:t>
      </w:r>
      <w:r w:rsidR="001703F8" w:rsidRPr="0052664C">
        <w:rPr>
          <w:rFonts w:ascii="Book Antiqua" w:hAnsi="Book Antiqua"/>
        </w:rPr>
        <w:t xml:space="preserve">astric cancer </w:t>
      </w:r>
      <w:r w:rsidR="00D96D16" w:rsidRPr="0052664C">
        <w:rPr>
          <w:rFonts w:ascii="Book Antiqua" w:hAnsi="Book Antiqua"/>
        </w:rPr>
        <w:t xml:space="preserve">with </w:t>
      </w:r>
      <w:r w:rsidR="001703F8" w:rsidRPr="0052664C">
        <w:rPr>
          <w:rFonts w:ascii="Book Antiqua" w:hAnsi="Book Antiqua"/>
        </w:rPr>
        <w:t>associated</w:t>
      </w:r>
      <w:r w:rsidR="00C56A24" w:rsidRPr="0052664C">
        <w:rPr>
          <w:rFonts w:ascii="Book Antiqua" w:hAnsi="Book Antiqua"/>
        </w:rPr>
        <w:t xml:space="preserve"> diffuse bone metastases </w:t>
      </w:r>
      <w:r w:rsidR="00D96D16" w:rsidRPr="0052664C">
        <w:rPr>
          <w:rFonts w:ascii="Book Antiqua" w:hAnsi="Book Antiqua"/>
        </w:rPr>
        <w:t xml:space="preserve">at </w:t>
      </w:r>
      <w:r w:rsidRPr="0052664C">
        <w:rPr>
          <w:rFonts w:ascii="Book Antiqua" w:hAnsi="Book Antiqua"/>
        </w:rPr>
        <w:t>diagnosis</w:t>
      </w:r>
      <w:r w:rsidR="00D96D16" w:rsidRPr="0052664C">
        <w:rPr>
          <w:rFonts w:ascii="Book Antiqua" w:hAnsi="Book Antiqua"/>
        </w:rPr>
        <w:t xml:space="preserve"> has rarely been reported</w:t>
      </w:r>
      <w:r w:rsidR="00E11D9F" w:rsidRPr="0052664C">
        <w:rPr>
          <w:rFonts w:ascii="Book Antiqua" w:hAnsi="Book Antiqua"/>
          <w:vertAlign w:val="superscript"/>
        </w:rPr>
        <w:t>[</w:t>
      </w:r>
      <w:r w:rsidR="009D6617" w:rsidRPr="0052664C">
        <w:rPr>
          <w:rFonts w:ascii="Book Antiqua" w:hAnsi="Book Antiqua"/>
          <w:vertAlign w:val="superscript"/>
        </w:rPr>
        <w:t>1]</w:t>
      </w:r>
      <w:r w:rsidR="009D6617" w:rsidRPr="0052664C">
        <w:rPr>
          <w:rFonts w:ascii="Book Antiqua" w:hAnsi="Book Antiqua"/>
        </w:rPr>
        <w:t xml:space="preserve">. </w:t>
      </w:r>
      <w:r w:rsidR="00D96D16" w:rsidRPr="0052664C">
        <w:rPr>
          <w:rFonts w:ascii="Book Antiqua" w:hAnsi="Book Antiqua"/>
        </w:rPr>
        <w:t xml:space="preserve">This </w:t>
      </w:r>
      <w:r w:rsidR="00E56AFC" w:rsidRPr="0052664C">
        <w:rPr>
          <w:rFonts w:ascii="Book Antiqua" w:hAnsi="Book Antiqua"/>
        </w:rPr>
        <w:t xml:space="preserve">condition </w:t>
      </w:r>
      <w:r w:rsidR="00D96D16" w:rsidRPr="0052664C">
        <w:rPr>
          <w:rFonts w:ascii="Book Antiqua" w:hAnsi="Book Antiqua"/>
        </w:rPr>
        <w:t>has been</w:t>
      </w:r>
      <w:r w:rsidR="00C61276" w:rsidRPr="0052664C">
        <w:rPr>
          <w:rFonts w:ascii="Book Antiqua" w:hAnsi="Book Antiqua"/>
        </w:rPr>
        <w:t xml:space="preserve"> referred to</w:t>
      </w:r>
      <w:r w:rsidR="00D96D16" w:rsidRPr="0052664C">
        <w:rPr>
          <w:rFonts w:ascii="Book Antiqua" w:hAnsi="Book Antiqua"/>
        </w:rPr>
        <w:t xml:space="preserve"> in the literature</w:t>
      </w:r>
      <w:r w:rsidR="00C61276" w:rsidRPr="0052664C">
        <w:rPr>
          <w:rFonts w:ascii="Book Antiqua" w:hAnsi="Book Antiqua"/>
        </w:rPr>
        <w:t xml:space="preserve"> as “diffuse bone metastasis with hematologic disorders from gastric cancer” or “gastric cancer, initially presenting as </w:t>
      </w:r>
      <w:r w:rsidR="00E56AFC" w:rsidRPr="0052664C">
        <w:rPr>
          <w:rFonts w:ascii="Book Antiqua" w:hAnsi="Book Antiqua"/>
        </w:rPr>
        <w:t>disseminated intravascular coagulation (DIC)</w:t>
      </w:r>
      <w:r w:rsidR="009D6617" w:rsidRPr="0052664C">
        <w:rPr>
          <w:rFonts w:ascii="Book Antiqua" w:hAnsi="Book Antiqua"/>
        </w:rPr>
        <w:t>”</w:t>
      </w:r>
      <w:r w:rsidR="00E11D9F" w:rsidRPr="0052664C">
        <w:rPr>
          <w:rFonts w:ascii="Book Antiqua" w:hAnsi="Book Antiqua"/>
          <w:vertAlign w:val="superscript"/>
        </w:rPr>
        <w:t>[</w:t>
      </w:r>
      <w:r w:rsidR="00363698">
        <w:rPr>
          <w:rFonts w:ascii="Book Antiqua" w:hAnsi="Book Antiqua"/>
          <w:vertAlign w:val="superscript"/>
        </w:rPr>
        <w:t>2,</w:t>
      </w:r>
      <w:r w:rsidR="009D6617" w:rsidRPr="0052664C">
        <w:rPr>
          <w:rFonts w:ascii="Book Antiqua" w:hAnsi="Book Antiqua"/>
          <w:vertAlign w:val="superscript"/>
        </w:rPr>
        <w:t>3]</w:t>
      </w:r>
      <w:r w:rsidR="009D6617" w:rsidRPr="0052664C">
        <w:rPr>
          <w:rFonts w:ascii="Book Antiqua" w:hAnsi="Book Antiqua"/>
        </w:rPr>
        <w:t>.</w:t>
      </w:r>
      <w:r w:rsidR="00650818" w:rsidRPr="0052664C">
        <w:rPr>
          <w:rFonts w:ascii="Book Antiqua" w:hAnsi="Book Antiqua"/>
        </w:rPr>
        <w:t xml:space="preserve"> This condition is frequently accompanied by DIC, and the comorbidity rate with bone metastases is 82%–86%</w:t>
      </w:r>
      <w:r w:rsidR="00E11D9F" w:rsidRPr="0052664C">
        <w:rPr>
          <w:rFonts w:ascii="Book Antiqua" w:hAnsi="Book Antiqua"/>
          <w:vertAlign w:val="superscript"/>
        </w:rPr>
        <w:t>[2,</w:t>
      </w:r>
      <w:r w:rsidR="009D6617" w:rsidRPr="0052664C">
        <w:rPr>
          <w:rFonts w:ascii="Book Antiqua" w:hAnsi="Book Antiqua"/>
          <w:vertAlign w:val="superscript"/>
        </w:rPr>
        <w:t>3]</w:t>
      </w:r>
      <w:r w:rsidR="00D96D16" w:rsidRPr="0052664C">
        <w:rPr>
          <w:rFonts w:ascii="Book Antiqua" w:hAnsi="Book Antiqua"/>
        </w:rPr>
        <w:t xml:space="preserve">. </w:t>
      </w:r>
      <w:r w:rsidR="00117F6E" w:rsidRPr="0052664C">
        <w:rPr>
          <w:rFonts w:ascii="Book Antiqua" w:hAnsi="Book Antiqua"/>
        </w:rPr>
        <w:t>Similarly</w:t>
      </w:r>
      <w:r w:rsidR="00D96D16" w:rsidRPr="0052664C">
        <w:rPr>
          <w:rFonts w:ascii="Book Antiqua" w:hAnsi="Book Antiqua"/>
        </w:rPr>
        <w:t>, the frequency</w:t>
      </w:r>
      <w:r w:rsidR="00AF309E" w:rsidRPr="0052664C">
        <w:rPr>
          <w:rFonts w:ascii="Book Antiqua" w:hAnsi="Book Antiqua"/>
        </w:rPr>
        <w:t xml:space="preserve"> of bone metastases and gastric cancer with DIC is </w:t>
      </w:r>
      <w:r w:rsidR="00D96D16" w:rsidRPr="0052664C">
        <w:rPr>
          <w:rFonts w:ascii="Book Antiqua" w:hAnsi="Book Antiqua"/>
        </w:rPr>
        <w:t xml:space="preserve">reported to be </w:t>
      </w:r>
      <w:r w:rsidR="00C56A24" w:rsidRPr="0052664C">
        <w:rPr>
          <w:rFonts w:ascii="Book Antiqua" w:hAnsi="Book Antiqua"/>
        </w:rPr>
        <w:t>87%</w:t>
      </w:r>
      <w:r w:rsidR="00E11D9F" w:rsidRPr="0052664C">
        <w:rPr>
          <w:rFonts w:ascii="Book Antiqua" w:hAnsi="Book Antiqua"/>
          <w:vertAlign w:val="superscript"/>
        </w:rPr>
        <w:t>[</w:t>
      </w:r>
      <w:r w:rsidR="009D6617" w:rsidRPr="0052664C">
        <w:rPr>
          <w:rFonts w:ascii="Book Antiqua" w:hAnsi="Book Antiqua"/>
          <w:vertAlign w:val="superscript"/>
        </w:rPr>
        <w:t>1]</w:t>
      </w:r>
      <w:r w:rsidR="00BE6C88" w:rsidRPr="0052664C">
        <w:rPr>
          <w:rFonts w:ascii="Book Antiqua" w:hAnsi="Book Antiqua"/>
        </w:rPr>
        <w:t>.</w:t>
      </w:r>
      <w:r w:rsidR="00A03C48" w:rsidRPr="0052664C">
        <w:rPr>
          <w:rFonts w:ascii="Book Antiqua" w:hAnsi="Book Antiqua"/>
        </w:rPr>
        <w:t xml:space="preserve"> </w:t>
      </w:r>
      <w:r w:rsidR="0067375B" w:rsidRPr="0052664C">
        <w:rPr>
          <w:rFonts w:ascii="Book Antiqua" w:hAnsi="Book Antiqua"/>
        </w:rPr>
        <w:t>Rhee reported 21 patients with DIC at diagnosis among 1216 advanced gastric cancer patients, in whom 18 patients had bone metastase</w:t>
      </w:r>
      <w:r w:rsidR="00363698">
        <w:rPr>
          <w:rFonts w:ascii="Book Antiqua" w:hAnsi="Book Antiqua"/>
        </w:rPr>
        <w:t>s simultaneously (18/1216 = 1.5</w:t>
      </w:r>
      <w:r w:rsidR="0067375B" w:rsidRPr="0052664C">
        <w:rPr>
          <w:rFonts w:ascii="Book Antiqua" w:hAnsi="Book Antiqua"/>
        </w:rPr>
        <w:t>%)</w:t>
      </w:r>
      <w:r w:rsidR="00E11D9F" w:rsidRPr="0052664C">
        <w:rPr>
          <w:rFonts w:ascii="Book Antiqua" w:hAnsi="Book Antiqua"/>
          <w:vertAlign w:val="superscript"/>
        </w:rPr>
        <w:t>[</w:t>
      </w:r>
      <w:r w:rsidR="0067375B" w:rsidRPr="0052664C">
        <w:rPr>
          <w:rFonts w:ascii="Book Antiqua" w:hAnsi="Book Antiqua"/>
          <w:vertAlign w:val="superscript"/>
        </w:rPr>
        <w:t>3]</w:t>
      </w:r>
      <w:r w:rsidR="0067375B" w:rsidRPr="0052664C">
        <w:rPr>
          <w:rFonts w:ascii="Book Antiqua" w:hAnsi="Book Antiqua"/>
        </w:rPr>
        <w:t xml:space="preserve">. </w:t>
      </w:r>
      <w:r w:rsidR="00E523A6" w:rsidRPr="0052664C">
        <w:rPr>
          <w:rFonts w:ascii="Book Antiqua" w:hAnsi="Book Antiqua"/>
        </w:rPr>
        <w:t xml:space="preserve">Although they are rare, they have outstanding features besides diffuse bone metastases and DIC. </w:t>
      </w:r>
      <w:r w:rsidR="00E56AFC" w:rsidRPr="0052664C">
        <w:rPr>
          <w:rFonts w:ascii="Book Antiqua" w:hAnsi="Book Antiqua"/>
        </w:rPr>
        <w:t>Additional</w:t>
      </w:r>
      <w:r w:rsidR="00AD3991" w:rsidRPr="0052664C">
        <w:rPr>
          <w:rFonts w:ascii="Book Antiqua" w:hAnsi="Book Antiqua"/>
        </w:rPr>
        <w:t xml:space="preserve"> clinical features of this sub</w:t>
      </w:r>
      <w:r w:rsidR="003132CB" w:rsidRPr="0052664C">
        <w:rPr>
          <w:rFonts w:ascii="Book Antiqua" w:hAnsi="Book Antiqua"/>
        </w:rPr>
        <w:t>type</w:t>
      </w:r>
      <w:r w:rsidR="00AD3991" w:rsidRPr="0052664C">
        <w:rPr>
          <w:rFonts w:ascii="Book Antiqua" w:hAnsi="Book Antiqua"/>
        </w:rPr>
        <w:t xml:space="preserve"> </w:t>
      </w:r>
      <w:r w:rsidR="00D96D16" w:rsidRPr="0052664C">
        <w:rPr>
          <w:rFonts w:ascii="Book Antiqua" w:hAnsi="Book Antiqua"/>
        </w:rPr>
        <w:t xml:space="preserve">that </w:t>
      </w:r>
      <w:r w:rsidR="00650818" w:rsidRPr="0052664C">
        <w:rPr>
          <w:rFonts w:ascii="Book Antiqua" w:hAnsi="Book Antiqua"/>
        </w:rPr>
        <w:t xml:space="preserve">differ </w:t>
      </w:r>
      <w:r w:rsidR="00AD3991" w:rsidRPr="0052664C">
        <w:rPr>
          <w:rFonts w:ascii="Book Antiqua" w:hAnsi="Book Antiqua"/>
        </w:rPr>
        <w:t>from typical gastric cancers</w:t>
      </w:r>
      <w:r w:rsidR="00D96D16" w:rsidRPr="0052664C">
        <w:rPr>
          <w:rFonts w:ascii="Book Antiqua" w:hAnsi="Book Antiqua"/>
        </w:rPr>
        <w:t xml:space="preserve"> include a</w:t>
      </w:r>
      <w:r w:rsidR="00AD3991" w:rsidRPr="0052664C">
        <w:rPr>
          <w:rFonts w:ascii="Book Antiqua" w:hAnsi="Book Antiqua"/>
        </w:rPr>
        <w:t xml:space="preserve"> </w:t>
      </w:r>
      <w:r w:rsidR="00C4004B" w:rsidRPr="0052664C">
        <w:rPr>
          <w:rFonts w:ascii="Book Antiqua" w:hAnsi="Book Antiqua"/>
        </w:rPr>
        <w:t>lower incidence of visceral metastases, more aggressive</w:t>
      </w:r>
      <w:r w:rsidR="00D96D16" w:rsidRPr="0052664C">
        <w:rPr>
          <w:rFonts w:ascii="Book Antiqua" w:hAnsi="Book Antiqua"/>
        </w:rPr>
        <w:t xml:space="preserve"> disease course</w:t>
      </w:r>
      <w:r w:rsidR="00C4004B" w:rsidRPr="0052664C">
        <w:rPr>
          <w:rFonts w:ascii="Book Antiqua" w:hAnsi="Book Antiqua"/>
        </w:rPr>
        <w:t>, and poorer prognosis.</w:t>
      </w:r>
      <w:r w:rsidR="00C4004B" w:rsidRPr="0052664C">
        <w:rPr>
          <w:rFonts w:ascii="Book Antiqua" w:hAnsi="Book Antiqua"/>
          <w:vertAlign w:val="superscript"/>
        </w:rPr>
        <w:t xml:space="preserve"> </w:t>
      </w:r>
      <w:r w:rsidR="0067375B" w:rsidRPr="0052664C">
        <w:rPr>
          <w:rFonts w:ascii="Book Antiqua" w:hAnsi="Book Antiqua"/>
        </w:rPr>
        <w:t>F</w:t>
      </w:r>
      <w:r w:rsidR="00BE61E0" w:rsidRPr="0052664C">
        <w:rPr>
          <w:rFonts w:ascii="Book Antiqua" w:hAnsi="Book Antiqua"/>
        </w:rPr>
        <w:t xml:space="preserve">or examples, </w:t>
      </w:r>
      <w:r w:rsidR="00EF5E0A" w:rsidRPr="0052664C">
        <w:rPr>
          <w:rFonts w:ascii="Book Antiqua" w:hAnsi="Book Antiqua"/>
        </w:rPr>
        <w:t xml:space="preserve">Etoh </w:t>
      </w:r>
      <w:r w:rsidR="00BE61E0" w:rsidRPr="0052664C">
        <w:rPr>
          <w:rFonts w:ascii="Book Antiqua" w:hAnsi="Book Antiqua"/>
        </w:rPr>
        <w:t>reported</w:t>
      </w:r>
      <w:r w:rsidR="00EF5E0A" w:rsidRPr="0052664C">
        <w:rPr>
          <w:rFonts w:ascii="Book Antiqua" w:hAnsi="Book Antiqua"/>
        </w:rPr>
        <w:t xml:space="preserve"> 15 cases over the course of 20 years</w:t>
      </w:r>
      <w:r w:rsidR="00E11D9F" w:rsidRPr="0052664C">
        <w:rPr>
          <w:rFonts w:ascii="Book Antiqua" w:hAnsi="Book Antiqua"/>
          <w:vertAlign w:val="superscript"/>
        </w:rPr>
        <w:t>[</w:t>
      </w:r>
      <w:r w:rsidR="00EF5E0A" w:rsidRPr="0052664C">
        <w:rPr>
          <w:rFonts w:ascii="Book Antiqua" w:hAnsi="Book Antiqua"/>
          <w:vertAlign w:val="superscript"/>
        </w:rPr>
        <w:t>1]</w:t>
      </w:r>
      <w:r w:rsidR="00EF5E0A" w:rsidRPr="0052664C">
        <w:rPr>
          <w:rFonts w:ascii="Book Antiqua" w:hAnsi="Book Antiqua"/>
        </w:rPr>
        <w:t xml:space="preserve"> and Toyoshima </w:t>
      </w:r>
      <w:r w:rsidR="00BE61E0" w:rsidRPr="0052664C">
        <w:rPr>
          <w:rFonts w:ascii="Book Antiqua" w:hAnsi="Book Antiqua"/>
        </w:rPr>
        <w:t>described</w:t>
      </w:r>
      <w:r w:rsidR="00EF5E0A" w:rsidRPr="0052664C">
        <w:rPr>
          <w:rFonts w:ascii="Book Antiqua" w:hAnsi="Book Antiqua"/>
        </w:rPr>
        <w:t xml:space="preserve"> 5 of the 42 reported cases</w:t>
      </w:r>
      <w:r w:rsidR="007E11A9">
        <w:rPr>
          <w:rFonts w:ascii="Book Antiqua" w:hAnsi="Book Antiqua"/>
        </w:rPr>
        <w:t xml:space="preserve"> (11.9</w:t>
      </w:r>
      <w:r w:rsidR="00E523A6" w:rsidRPr="0052664C">
        <w:rPr>
          <w:rFonts w:ascii="Book Antiqua" w:hAnsi="Book Antiqua"/>
        </w:rPr>
        <w:t>%)</w:t>
      </w:r>
      <w:r w:rsidR="00E11D9F" w:rsidRPr="0052664C">
        <w:rPr>
          <w:rFonts w:ascii="Book Antiqua" w:hAnsi="Book Antiqua"/>
          <w:vertAlign w:val="superscript"/>
        </w:rPr>
        <w:t>[</w:t>
      </w:r>
      <w:r w:rsidR="00D57079" w:rsidRPr="0052664C">
        <w:rPr>
          <w:rFonts w:ascii="Book Antiqua" w:hAnsi="Book Antiqua"/>
          <w:vertAlign w:val="superscript"/>
        </w:rPr>
        <w:t>4</w:t>
      </w:r>
      <w:r w:rsidR="00EF5E0A" w:rsidRPr="0052664C">
        <w:rPr>
          <w:rFonts w:ascii="Book Antiqua" w:hAnsi="Book Antiqua"/>
          <w:vertAlign w:val="superscript"/>
        </w:rPr>
        <w:t>]</w:t>
      </w:r>
      <w:r w:rsidR="00EF5E0A" w:rsidRPr="0052664C">
        <w:rPr>
          <w:rFonts w:ascii="Book Antiqua" w:hAnsi="Book Antiqua"/>
        </w:rPr>
        <w:t xml:space="preserve">. Among the latter cases, who all had bone marrow metastases, the </w:t>
      </w:r>
      <w:r w:rsidR="0052664C">
        <w:rPr>
          <w:rFonts w:ascii="Book Antiqua" w:hAnsi="Book Antiqua"/>
        </w:rPr>
        <w:t>CTC counts ranged from 30 to 18</w:t>
      </w:r>
      <w:r w:rsidR="00EF5E0A" w:rsidRPr="0052664C">
        <w:rPr>
          <w:rFonts w:ascii="Book Antiqua" w:hAnsi="Book Antiqua"/>
        </w:rPr>
        <w:t>015 cells/7.5 mL.</w:t>
      </w:r>
      <w:r w:rsidR="000C3DCB" w:rsidRPr="0052664C">
        <w:rPr>
          <w:rFonts w:ascii="Book Antiqua" w:hAnsi="Book Antiqua"/>
          <w:vertAlign w:val="superscript"/>
        </w:rPr>
        <w:t xml:space="preserve"> </w:t>
      </w:r>
      <w:r w:rsidR="00014BCB" w:rsidRPr="0052664C">
        <w:rPr>
          <w:rFonts w:ascii="Book Antiqua" w:hAnsi="Book Antiqua"/>
        </w:rPr>
        <w:t xml:space="preserve">The </w:t>
      </w:r>
      <w:r w:rsidR="00E3339C" w:rsidRPr="0052664C">
        <w:rPr>
          <w:rFonts w:ascii="Book Antiqua" w:hAnsi="Book Antiqua"/>
        </w:rPr>
        <w:t xml:space="preserve">reported </w:t>
      </w:r>
      <w:r w:rsidR="00014BCB" w:rsidRPr="0052664C">
        <w:rPr>
          <w:rFonts w:ascii="Book Antiqua" w:hAnsi="Book Antiqua"/>
        </w:rPr>
        <w:t xml:space="preserve">median survival time (MST) of this disease ranges from 8 to 22 </w:t>
      </w:r>
      <w:r w:rsidR="0052664C">
        <w:rPr>
          <w:rFonts w:ascii="Book Antiqua" w:eastAsia="SimSun" w:hAnsi="Book Antiqua" w:hint="eastAsia"/>
          <w:lang w:eastAsia="zh-CN"/>
        </w:rPr>
        <w:t>wk</w:t>
      </w:r>
      <w:r w:rsidR="00E11D9F" w:rsidRPr="0052664C">
        <w:rPr>
          <w:rFonts w:ascii="Book Antiqua" w:hAnsi="Book Antiqua"/>
          <w:vertAlign w:val="superscript"/>
        </w:rPr>
        <w:t>[1,3,</w:t>
      </w:r>
      <w:r w:rsidR="00D57079" w:rsidRPr="0052664C">
        <w:rPr>
          <w:rFonts w:ascii="Book Antiqua" w:hAnsi="Book Antiqua"/>
          <w:vertAlign w:val="superscript"/>
        </w:rPr>
        <w:t>5</w:t>
      </w:r>
      <w:r w:rsidR="00D96D16" w:rsidRPr="0052664C">
        <w:rPr>
          <w:rFonts w:ascii="Book Antiqua" w:hAnsi="Book Antiqua"/>
          <w:vertAlign w:val="superscript"/>
        </w:rPr>
        <w:t>]</w:t>
      </w:r>
      <w:r w:rsidR="00D96D16" w:rsidRPr="0052664C">
        <w:rPr>
          <w:rFonts w:ascii="Book Antiqua" w:hAnsi="Book Antiqua"/>
        </w:rPr>
        <w:t xml:space="preserve">, which </w:t>
      </w:r>
      <w:r w:rsidR="00014BCB" w:rsidRPr="0052664C">
        <w:rPr>
          <w:rFonts w:ascii="Book Antiqua" w:hAnsi="Book Antiqua"/>
        </w:rPr>
        <w:t xml:space="preserve">is much shorter than </w:t>
      </w:r>
      <w:r w:rsidR="002A0C31" w:rsidRPr="0052664C">
        <w:rPr>
          <w:rFonts w:ascii="Book Antiqua" w:hAnsi="Book Antiqua"/>
        </w:rPr>
        <w:t>that of</w:t>
      </w:r>
      <w:r w:rsidR="00014BCB" w:rsidRPr="0052664C">
        <w:rPr>
          <w:rFonts w:ascii="Book Antiqua" w:hAnsi="Book Antiqua"/>
        </w:rPr>
        <w:t xml:space="preserve"> </w:t>
      </w:r>
      <w:r w:rsidR="00D96D16" w:rsidRPr="0052664C">
        <w:rPr>
          <w:rFonts w:ascii="Book Antiqua" w:hAnsi="Book Antiqua"/>
        </w:rPr>
        <w:t xml:space="preserve">more </w:t>
      </w:r>
      <w:r w:rsidR="000E0580" w:rsidRPr="0052664C">
        <w:rPr>
          <w:rFonts w:ascii="Book Antiqua" w:hAnsi="Book Antiqua"/>
        </w:rPr>
        <w:t xml:space="preserve">common </w:t>
      </w:r>
      <w:r w:rsidR="00ED41F6" w:rsidRPr="0052664C">
        <w:rPr>
          <w:rFonts w:ascii="Book Antiqua" w:hAnsi="Book Antiqua"/>
        </w:rPr>
        <w:t>stage IV</w:t>
      </w:r>
      <w:r w:rsidR="00D96D16" w:rsidRPr="0052664C">
        <w:rPr>
          <w:rFonts w:ascii="Book Antiqua" w:hAnsi="Book Antiqua"/>
        </w:rPr>
        <w:t xml:space="preserve"> gastric cancers, for which </w:t>
      </w:r>
      <w:r w:rsidR="00014BCB" w:rsidRPr="0052664C">
        <w:rPr>
          <w:rFonts w:ascii="Book Antiqua" w:hAnsi="Book Antiqua"/>
        </w:rPr>
        <w:t>MST</w:t>
      </w:r>
      <w:r w:rsidR="00D96D16" w:rsidRPr="0052664C">
        <w:rPr>
          <w:rFonts w:ascii="Book Antiqua" w:hAnsi="Book Antiqua"/>
        </w:rPr>
        <w:t>s</w:t>
      </w:r>
      <w:r w:rsidR="000E0580" w:rsidRPr="0052664C">
        <w:rPr>
          <w:rFonts w:ascii="Book Antiqua" w:hAnsi="Book Antiqua"/>
        </w:rPr>
        <w:t xml:space="preserve"> of</w:t>
      </w:r>
      <w:r w:rsidR="009C21AC" w:rsidRPr="0052664C">
        <w:rPr>
          <w:rFonts w:ascii="Book Antiqua" w:hAnsi="Book Antiqua"/>
        </w:rPr>
        <w:t xml:space="preserve"> 11</w:t>
      </w:r>
      <w:r w:rsidR="00AD3991" w:rsidRPr="0052664C">
        <w:rPr>
          <w:rFonts w:ascii="Book Antiqua" w:hAnsi="Book Antiqua"/>
        </w:rPr>
        <w:t>.1</w:t>
      </w:r>
      <w:r w:rsidR="009C21AC" w:rsidRPr="0052664C">
        <w:rPr>
          <w:rFonts w:ascii="Book Antiqua" w:hAnsi="Book Antiqua"/>
        </w:rPr>
        <w:t xml:space="preserve"> </w:t>
      </w:r>
      <w:r w:rsidR="00D96D16" w:rsidRPr="0052664C">
        <w:rPr>
          <w:rFonts w:ascii="Book Antiqua" w:hAnsi="Book Antiqua"/>
        </w:rPr>
        <w:t xml:space="preserve">and 13.8 </w:t>
      </w:r>
      <w:r w:rsidR="00E11D9F" w:rsidRPr="0052664C">
        <w:rPr>
          <w:rFonts w:ascii="Book Antiqua" w:eastAsia="SimSun" w:hAnsi="Book Antiqua" w:hint="eastAsia"/>
          <w:lang w:eastAsia="zh-CN"/>
        </w:rPr>
        <w:t>mo</w:t>
      </w:r>
      <w:r w:rsidR="00A25834" w:rsidRPr="0052664C">
        <w:rPr>
          <w:rFonts w:ascii="Book Antiqua" w:hAnsi="Book Antiqua"/>
        </w:rPr>
        <w:t xml:space="preserve"> </w:t>
      </w:r>
      <w:r w:rsidR="00D96D16" w:rsidRPr="0052664C">
        <w:rPr>
          <w:rFonts w:ascii="Book Antiqua" w:hAnsi="Book Antiqua"/>
        </w:rPr>
        <w:t xml:space="preserve">have </w:t>
      </w:r>
      <w:r w:rsidR="000E0580" w:rsidRPr="0052664C">
        <w:rPr>
          <w:rFonts w:ascii="Book Antiqua" w:hAnsi="Book Antiqua"/>
        </w:rPr>
        <w:t xml:space="preserve">been reported </w:t>
      </w:r>
      <w:r w:rsidR="00AD3991" w:rsidRPr="0052664C">
        <w:rPr>
          <w:rFonts w:ascii="Book Antiqua" w:hAnsi="Book Antiqua"/>
        </w:rPr>
        <w:t xml:space="preserve">in </w:t>
      </w:r>
      <w:r w:rsidR="00222D79" w:rsidRPr="0052664C">
        <w:rPr>
          <w:rFonts w:ascii="Book Antiqua" w:hAnsi="Book Antiqua"/>
        </w:rPr>
        <w:t xml:space="preserve">patients treated with </w:t>
      </w:r>
      <w:r w:rsidR="000E0580" w:rsidRPr="0052664C">
        <w:rPr>
          <w:rFonts w:ascii="Book Antiqua" w:hAnsi="Book Antiqua"/>
        </w:rPr>
        <w:t>cisplatin plus 5-fluorouracil (5-FU) or capecitabine</w:t>
      </w:r>
      <w:r w:rsidR="00ED41F6" w:rsidRPr="0052664C">
        <w:rPr>
          <w:rFonts w:ascii="Book Antiqua" w:hAnsi="Book Antiqua"/>
        </w:rPr>
        <w:t xml:space="preserve"> and trastuzumab</w:t>
      </w:r>
      <w:r w:rsidR="00D96D16" w:rsidRPr="0052664C">
        <w:rPr>
          <w:rFonts w:ascii="Book Antiqua" w:hAnsi="Book Antiqua"/>
        </w:rPr>
        <w:t>, respectively</w:t>
      </w:r>
      <w:r w:rsidR="00E11D9F" w:rsidRPr="0052664C">
        <w:rPr>
          <w:rFonts w:ascii="Book Antiqua" w:hAnsi="Book Antiqua"/>
          <w:vertAlign w:val="superscript"/>
        </w:rPr>
        <w:t>[</w:t>
      </w:r>
      <w:r w:rsidR="00D57079" w:rsidRPr="0052664C">
        <w:rPr>
          <w:rFonts w:ascii="Book Antiqua" w:hAnsi="Book Antiqua"/>
          <w:vertAlign w:val="superscript"/>
        </w:rPr>
        <w:t>6</w:t>
      </w:r>
      <w:r w:rsidR="009D6617" w:rsidRPr="0052664C">
        <w:rPr>
          <w:rFonts w:ascii="Book Antiqua" w:hAnsi="Book Antiqua"/>
          <w:vertAlign w:val="superscript"/>
        </w:rPr>
        <w:t>]</w:t>
      </w:r>
      <w:r w:rsidR="009D6617" w:rsidRPr="0052664C">
        <w:rPr>
          <w:rFonts w:ascii="Book Antiqua" w:hAnsi="Book Antiqua"/>
        </w:rPr>
        <w:t>.</w:t>
      </w:r>
      <w:r w:rsidR="00014BCB" w:rsidRPr="0052664C">
        <w:rPr>
          <w:rFonts w:ascii="Book Antiqua" w:hAnsi="Book Antiqua"/>
        </w:rPr>
        <w:t xml:space="preserve"> </w:t>
      </w:r>
      <w:r w:rsidR="00C61276" w:rsidRPr="0052664C">
        <w:rPr>
          <w:rFonts w:ascii="Book Antiqua" w:hAnsi="Book Antiqua"/>
        </w:rPr>
        <w:t xml:space="preserve">Accordingly, medical oncologists consider this </w:t>
      </w:r>
      <w:r w:rsidR="00D96D16" w:rsidRPr="0052664C">
        <w:rPr>
          <w:rFonts w:ascii="Book Antiqua" w:hAnsi="Book Antiqua"/>
        </w:rPr>
        <w:t xml:space="preserve">disease </w:t>
      </w:r>
      <w:r w:rsidR="00C61276" w:rsidRPr="0052664C">
        <w:rPr>
          <w:rFonts w:ascii="Book Antiqua" w:hAnsi="Book Antiqua"/>
        </w:rPr>
        <w:t xml:space="preserve">to be a </w:t>
      </w:r>
      <w:r w:rsidR="00D96D16" w:rsidRPr="0052664C">
        <w:rPr>
          <w:rFonts w:ascii="Book Antiqua" w:hAnsi="Book Antiqua"/>
        </w:rPr>
        <w:t xml:space="preserve">distinct gastric </w:t>
      </w:r>
      <w:r w:rsidR="00D96D16" w:rsidRPr="0052664C">
        <w:rPr>
          <w:rFonts w:ascii="Book Antiqua" w:hAnsi="Book Antiqua"/>
        </w:rPr>
        <w:lastRenderedPageBreak/>
        <w:t>cancer</w:t>
      </w:r>
      <w:r w:rsidR="009D6617" w:rsidRPr="0052664C">
        <w:rPr>
          <w:rFonts w:ascii="Book Antiqua" w:hAnsi="Book Antiqua"/>
        </w:rPr>
        <w:t xml:space="preserve"> subtype</w:t>
      </w:r>
      <w:r w:rsidR="00E11D9F" w:rsidRPr="0052664C">
        <w:rPr>
          <w:rFonts w:ascii="Book Antiqua" w:hAnsi="Book Antiqua"/>
          <w:vertAlign w:val="superscript"/>
        </w:rPr>
        <w:t>[</w:t>
      </w:r>
      <w:r w:rsidR="009D6617" w:rsidRPr="0052664C">
        <w:rPr>
          <w:rFonts w:ascii="Book Antiqua" w:hAnsi="Book Antiqua"/>
          <w:vertAlign w:val="superscript"/>
        </w:rPr>
        <w:t>1</w:t>
      </w:r>
      <w:r w:rsidR="00E11D9F" w:rsidRPr="0052664C">
        <w:rPr>
          <w:rFonts w:ascii="Book Antiqua" w:eastAsia="SimSun" w:hAnsi="Book Antiqua" w:hint="eastAsia"/>
          <w:vertAlign w:val="superscript"/>
          <w:lang w:eastAsia="zh-CN"/>
        </w:rPr>
        <w:t>-</w:t>
      </w:r>
      <w:r w:rsidR="009D6617" w:rsidRPr="0052664C">
        <w:rPr>
          <w:rFonts w:ascii="Book Antiqua" w:hAnsi="Book Antiqua"/>
          <w:vertAlign w:val="superscript"/>
        </w:rPr>
        <w:t>3]</w:t>
      </w:r>
      <w:r w:rsidR="00E523A6" w:rsidRPr="0052664C">
        <w:rPr>
          <w:rFonts w:ascii="Book Antiqua" w:hAnsi="Book Antiqua"/>
        </w:rPr>
        <w:t>, and we should know the clinicopathological characters of this subtype.</w:t>
      </w:r>
      <w:r w:rsidR="00C61276" w:rsidRPr="0052664C">
        <w:rPr>
          <w:rFonts w:ascii="Book Antiqua" w:hAnsi="Book Antiqua"/>
        </w:rPr>
        <w:t xml:space="preserve"> </w:t>
      </w:r>
      <w:r w:rsidR="00D96D16" w:rsidRPr="0052664C">
        <w:rPr>
          <w:rFonts w:ascii="Book Antiqua" w:hAnsi="Book Antiqua"/>
        </w:rPr>
        <w:t xml:space="preserve">The high </w:t>
      </w:r>
      <w:r w:rsidR="00CD735C" w:rsidRPr="0052664C">
        <w:rPr>
          <w:rFonts w:ascii="Book Antiqua" w:hAnsi="Book Antiqua"/>
        </w:rPr>
        <w:t xml:space="preserve">frequency of bone metastasis </w:t>
      </w:r>
      <w:r w:rsidR="00D96D16" w:rsidRPr="0052664C">
        <w:rPr>
          <w:rFonts w:ascii="Book Antiqua" w:hAnsi="Book Antiqua"/>
        </w:rPr>
        <w:t xml:space="preserve">with </w:t>
      </w:r>
      <w:r w:rsidR="00CD735C" w:rsidRPr="0052664C">
        <w:rPr>
          <w:rFonts w:ascii="Book Antiqua" w:hAnsi="Book Antiqua"/>
        </w:rPr>
        <w:t xml:space="preserve">this specific subtype </w:t>
      </w:r>
      <w:r w:rsidR="00A30C66" w:rsidRPr="0052664C">
        <w:rPr>
          <w:rFonts w:ascii="Book Antiqua" w:hAnsi="Book Antiqua"/>
        </w:rPr>
        <w:t xml:space="preserve">is </w:t>
      </w:r>
      <w:r w:rsidR="00D96D16" w:rsidRPr="0052664C">
        <w:rPr>
          <w:rFonts w:ascii="Book Antiqua" w:hAnsi="Book Antiqua"/>
        </w:rPr>
        <w:t xml:space="preserve">in </w:t>
      </w:r>
      <w:r w:rsidR="00A30C66" w:rsidRPr="0052664C">
        <w:rPr>
          <w:rFonts w:ascii="Book Antiqua" w:hAnsi="Book Antiqua"/>
        </w:rPr>
        <w:t xml:space="preserve">contrast to the </w:t>
      </w:r>
      <w:r w:rsidR="00664346" w:rsidRPr="0052664C">
        <w:rPr>
          <w:rFonts w:ascii="Book Antiqua" w:hAnsi="Book Antiqua"/>
        </w:rPr>
        <w:t>less than 10% frequency with more</w:t>
      </w:r>
      <w:r w:rsidR="003132CB" w:rsidRPr="0052664C">
        <w:rPr>
          <w:rFonts w:ascii="Book Antiqua" w:hAnsi="Book Antiqua"/>
        </w:rPr>
        <w:t xml:space="preserve"> </w:t>
      </w:r>
      <w:r w:rsidR="00A30C66" w:rsidRPr="0052664C">
        <w:rPr>
          <w:rFonts w:ascii="Book Antiqua" w:hAnsi="Book Antiqua"/>
        </w:rPr>
        <w:t xml:space="preserve">common </w:t>
      </w:r>
      <w:r w:rsidR="003132CB" w:rsidRPr="0052664C">
        <w:rPr>
          <w:rFonts w:ascii="Book Antiqua" w:hAnsi="Book Antiqua"/>
        </w:rPr>
        <w:t>gastric cancers</w:t>
      </w:r>
      <w:r w:rsidR="00E11D9F" w:rsidRPr="0052664C">
        <w:rPr>
          <w:rFonts w:ascii="Book Antiqua" w:hAnsi="Book Antiqua"/>
          <w:vertAlign w:val="superscript"/>
        </w:rPr>
        <w:t>[7,</w:t>
      </w:r>
      <w:r w:rsidR="00D57079" w:rsidRPr="0052664C">
        <w:rPr>
          <w:rFonts w:ascii="Book Antiqua" w:hAnsi="Book Antiqua"/>
          <w:vertAlign w:val="superscript"/>
        </w:rPr>
        <w:t>8</w:t>
      </w:r>
      <w:r w:rsidR="009D6617" w:rsidRPr="0052664C">
        <w:rPr>
          <w:rFonts w:ascii="Book Antiqua" w:hAnsi="Book Antiqua"/>
          <w:vertAlign w:val="superscript"/>
        </w:rPr>
        <w:t>]</w:t>
      </w:r>
      <w:r w:rsidR="00D708E7" w:rsidRPr="0052664C">
        <w:rPr>
          <w:rFonts w:ascii="Book Antiqua" w:hAnsi="Book Antiqua"/>
        </w:rPr>
        <w:t xml:space="preserve">. </w:t>
      </w:r>
      <w:r w:rsidR="00F916C6" w:rsidRPr="0052664C">
        <w:rPr>
          <w:rFonts w:ascii="Book Antiqua" w:hAnsi="Book Antiqua"/>
        </w:rPr>
        <w:t xml:space="preserve">Bone metastasis </w:t>
      </w:r>
      <w:r w:rsidR="00BA4C45" w:rsidRPr="0052664C">
        <w:rPr>
          <w:rFonts w:ascii="Book Antiqua" w:hAnsi="Book Antiqua"/>
        </w:rPr>
        <w:t>may occur once</w:t>
      </w:r>
      <w:r w:rsidR="00F916C6" w:rsidRPr="0052664C">
        <w:rPr>
          <w:rFonts w:ascii="Book Antiqua" w:hAnsi="Book Antiqua"/>
        </w:rPr>
        <w:t xml:space="preserve"> cancer cells </w:t>
      </w:r>
      <w:r w:rsidR="00664346" w:rsidRPr="0052664C">
        <w:rPr>
          <w:rFonts w:ascii="Book Antiqua" w:hAnsi="Book Antiqua"/>
        </w:rPr>
        <w:t xml:space="preserve">have </w:t>
      </w:r>
      <w:r w:rsidR="00BA4C45" w:rsidRPr="0052664C">
        <w:rPr>
          <w:rFonts w:ascii="Book Antiqua" w:hAnsi="Book Antiqua"/>
        </w:rPr>
        <w:t>infiltrate</w:t>
      </w:r>
      <w:r w:rsidR="00664346" w:rsidRPr="0052664C">
        <w:rPr>
          <w:rFonts w:ascii="Book Antiqua" w:hAnsi="Book Antiqua"/>
        </w:rPr>
        <w:t>d</w:t>
      </w:r>
      <w:r w:rsidR="00BA4C45" w:rsidRPr="0052664C">
        <w:rPr>
          <w:rFonts w:ascii="Book Antiqua" w:hAnsi="Book Antiqua"/>
        </w:rPr>
        <w:t xml:space="preserve"> the </w:t>
      </w:r>
      <w:r w:rsidR="00664346" w:rsidRPr="0052664C">
        <w:rPr>
          <w:rFonts w:ascii="Book Antiqua" w:hAnsi="Book Antiqua"/>
        </w:rPr>
        <w:t xml:space="preserve">vasculature and entered the </w:t>
      </w:r>
      <w:r w:rsidR="00F916C6" w:rsidRPr="0052664C">
        <w:rPr>
          <w:rFonts w:ascii="Book Antiqua" w:hAnsi="Book Antiqua"/>
        </w:rPr>
        <w:t xml:space="preserve">blood stream. Such circulating tumor cells (CTCs) are </w:t>
      </w:r>
      <w:r w:rsidR="000B7758" w:rsidRPr="0052664C">
        <w:rPr>
          <w:rFonts w:ascii="Book Antiqua" w:hAnsi="Book Antiqua"/>
        </w:rPr>
        <w:t xml:space="preserve">often </w:t>
      </w:r>
      <w:r w:rsidR="00F916C6" w:rsidRPr="0052664C">
        <w:rPr>
          <w:rFonts w:ascii="Book Antiqua" w:hAnsi="Book Antiqua"/>
        </w:rPr>
        <w:t xml:space="preserve">detected in the peripheral </w:t>
      </w:r>
      <w:r w:rsidR="007132F7" w:rsidRPr="0052664C">
        <w:rPr>
          <w:rFonts w:ascii="Book Antiqua" w:hAnsi="Book Antiqua"/>
        </w:rPr>
        <w:t xml:space="preserve">blood </w:t>
      </w:r>
      <w:r w:rsidR="000B7758" w:rsidRPr="0052664C">
        <w:rPr>
          <w:rFonts w:ascii="Book Antiqua" w:hAnsi="Book Antiqua"/>
        </w:rPr>
        <w:t xml:space="preserve">of </w:t>
      </w:r>
      <w:r w:rsidR="00664346" w:rsidRPr="0052664C">
        <w:rPr>
          <w:rFonts w:ascii="Book Antiqua" w:hAnsi="Book Antiqua"/>
        </w:rPr>
        <w:t xml:space="preserve">patients with </w:t>
      </w:r>
      <w:r w:rsidR="007132F7" w:rsidRPr="0052664C">
        <w:rPr>
          <w:rFonts w:ascii="Book Antiqua" w:hAnsi="Book Antiqua"/>
        </w:rPr>
        <w:t xml:space="preserve">lung, </w:t>
      </w:r>
      <w:r w:rsidR="00015663" w:rsidRPr="0052664C">
        <w:rPr>
          <w:rFonts w:ascii="Book Antiqua" w:hAnsi="Book Antiqua"/>
        </w:rPr>
        <w:t>breast,</w:t>
      </w:r>
      <w:r w:rsidR="007132F7" w:rsidRPr="0052664C">
        <w:rPr>
          <w:rFonts w:ascii="Book Antiqua" w:hAnsi="Book Antiqua"/>
        </w:rPr>
        <w:t xml:space="preserve"> and prostate </w:t>
      </w:r>
      <w:r w:rsidR="000B7758" w:rsidRPr="0052664C">
        <w:rPr>
          <w:rFonts w:ascii="Book Antiqua" w:hAnsi="Book Antiqua"/>
        </w:rPr>
        <w:t>cancer</w:t>
      </w:r>
      <w:r w:rsidR="007132F7" w:rsidRPr="0052664C">
        <w:rPr>
          <w:rFonts w:ascii="Book Antiqua" w:hAnsi="Book Antiqua"/>
        </w:rPr>
        <w:t xml:space="preserve">, </w:t>
      </w:r>
      <w:r w:rsidR="00664346" w:rsidRPr="0052664C">
        <w:rPr>
          <w:rFonts w:ascii="Book Antiqua" w:hAnsi="Book Antiqua"/>
        </w:rPr>
        <w:t>which are</w:t>
      </w:r>
      <w:r w:rsidR="007132F7" w:rsidRPr="0052664C">
        <w:rPr>
          <w:rFonts w:ascii="Book Antiqua" w:hAnsi="Book Antiqua"/>
        </w:rPr>
        <w:t xml:space="preserve"> </w:t>
      </w:r>
      <w:r w:rsidR="00664346" w:rsidRPr="0052664C">
        <w:rPr>
          <w:rFonts w:ascii="Book Antiqua" w:hAnsi="Book Antiqua"/>
        </w:rPr>
        <w:t xml:space="preserve">diseases with much higher </w:t>
      </w:r>
      <w:r w:rsidR="00897DB7" w:rsidRPr="0052664C">
        <w:rPr>
          <w:rFonts w:ascii="Book Antiqua" w:hAnsi="Book Antiqua"/>
        </w:rPr>
        <w:t xml:space="preserve">incidences </w:t>
      </w:r>
      <w:r w:rsidR="0029719B" w:rsidRPr="0052664C">
        <w:rPr>
          <w:rFonts w:ascii="Book Antiqua" w:hAnsi="Book Antiqua"/>
        </w:rPr>
        <w:t xml:space="preserve">of bone metastases </w:t>
      </w:r>
      <w:r w:rsidR="004A0085" w:rsidRPr="0052664C">
        <w:rPr>
          <w:rFonts w:ascii="Book Antiqua" w:hAnsi="Book Antiqua"/>
        </w:rPr>
        <w:t>(36</w:t>
      </w:r>
      <w:r w:rsidR="00EE1FDA" w:rsidRPr="0052664C">
        <w:rPr>
          <w:rFonts w:ascii="Book Antiqua" w:hAnsi="Book Antiqua"/>
        </w:rPr>
        <w:t>%</w:t>
      </w:r>
      <w:r w:rsidR="00015663" w:rsidRPr="0052664C">
        <w:rPr>
          <w:rFonts w:ascii="Book Antiqua" w:hAnsi="Book Antiqua"/>
        </w:rPr>
        <w:t>–</w:t>
      </w:r>
      <w:r w:rsidR="004A0085" w:rsidRPr="0052664C">
        <w:rPr>
          <w:rFonts w:ascii="Book Antiqua" w:hAnsi="Book Antiqua"/>
        </w:rPr>
        <w:t>73</w:t>
      </w:r>
      <w:r w:rsidR="007132F7" w:rsidRPr="0052664C">
        <w:rPr>
          <w:rFonts w:ascii="Book Antiqua" w:hAnsi="Book Antiqua"/>
        </w:rPr>
        <w:t>%)</w:t>
      </w:r>
      <w:r w:rsidR="00E11D9F" w:rsidRPr="0052664C">
        <w:rPr>
          <w:rFonts w:ascii="Book Antiqua" w:hAnsi="Book Antiqua"/>
          <w:vertAlign w:val="superscript"/>
        </w:rPr>
        <w:t>[</w:t>
      </w:r>
      <w:r w:rsidR="00D57079" w:rsidRPr="0052664C">
        <w:rPr>
          <w:rFonts w:ascii="Book Antiqua" w:hAnsi="Book Antiqua"/>
          <w:vertAlign w:val="superscript"/>
        </w:rPr>
        <w:t>9</w:t>
      </w:r>
      <w:r w:rsidR="009D6617" w:rsidRPr="0052664C">
        <w:rPr>
          <w:rFonts w:ascii="Book Antiqua" w:hAnsi="Book Antiqua"/>
          <w:vertAlign w:val="superscript"/>
        </w:rPr>
        <w:t>]</w:t>
      </w:r>
      <w:r w:rsidR="009D6617" w:rsidRPr="0052664C">
        <w:rPr>
          <w:rFonts w:ascii="Book Antiqua" w:hAnsi="Book Antiqua"/>
        </w:rPr>
        <w:t>.</w:t>
      </w:r>
      <w:r w:rsidR="007132F7" w:rsidRPr="0052664C">
        <w:rPr>
          <w:rFonts w:ascii="Book Antiqua" w:hAnsi="Book Antiqua"/>
        </w:rPr>
        <w:t xml:space="preserve"> </w:t>
      </w:r>
      <w:r w:rsidR="00664346" w:rsidRPr="0052664C">
        <w:rPr>
          <w:rFonts w:ascii="Book Antiqua" w:hAnsi="Book Antiqua"/>
        </w:rPr>
        <w:t>High C</w:t>
      </w:r>
      <w:r w:rsidR="00650818" w:rsidRPr="0052664C">
        <w:rPr>
          <w:rFonts w:ascii="Book Antiqua" w:hAnsi="Book Antiqua"/>
        </w:rPr>
        <w:t>T</w:t>
      </w:r>
      <w:r w:rsidR="00664346" w:rsidRPr="0052664C">
        <w:rPr>
          <w:rFonts w:ascii="Book Antiqua" w:hAnsi="Book Antiqua"/>
        </w:rPr>
        <w:t xml:space="preserve">C counts have been reported for </w:t>
      </w:r>
      <w:r w:rsidR="00D708E7" w:rsidRPr="0052664C">
        <w:rPr>
          <w:rFonts w:ascii="Book Antiqua" w:hAnsi="Book Antiqua"/>
        </w:rPr>
        <w:t xml:space="preserve">prostate and breast cancers (84 ± 885 and 75 ± 333 cells/7.5 </w:t>
      </w:r>
      <w:r w:rsidR="00E3339C" w:rsidRPr="0052664C">
        <w:rPr>
          <w:rFonts w:ascii="Book Antiqua" w:hAnsi="Book Antiqua"/>
        </w:rPr>
        <w:t>mL</w:t>
      </w:r>
      <w:r w:rsidR="00664346" w:rsidRPr="0052664C">
        <w:rPr>
          <w:rFonts w:ascii="Book Antiqua" w:hAnsi="Book Antiqua"/>
        </w:rPr>
        <w:t xml:space="preserve"> in the</w:t>
      </w:r>
      <w:r w:rsidR="00E3339C" w:rsidRPr="0052664C">
        <w:rPr>
          <w:rFonts w:ascii="Book Antiqua" w:hAnsi="Book Antiqua"/>
        </w:rPr>
        <w:t xml:space="preserve"> </w:t>
      </w:r>
      <w:r w:rsidR="009D6617" w:rsidRPr="0052664C">
        <w:rPr>
          <w:rFonts w:ascii="Book Antiqua" w:hAnsi="Book Antiqua"/>
        </w:rPr>
        <w:t>peripheral blood, respectively)</w:t>
      </w:r>
      <w:r w:rsidR="00E11D9F" w:rsidRPr="0052664C">
        <w:rPr>
          <w:rFonts w:ascii="Book Antiqua" w:hAnsi="Book Antiqua"/>
          <w:vertAlign w:val="superscript"/>
        </w:rPr>
        <w:t>[</w:t>
      </w:r>
      <w:r w:rsidR="00D57079" w:rsidRPr="0052664C">
        <w:rPr>
          <w:rFonts w:ascii="Book Antiqua" w:hAnsi="Book Antiqua"/>
          <w:vertAlign w:val="superscript"/>
        </w:rPr>
        <w:t>10</w:t>
      </w:r>
      <w:r w:rsidR="009D6617" w:rsidRPr="0052664C">
        <w:rPr>
          <w:rFonts w:ascii="Book Antiqua" w:hAnsi="Book Antiqua"/>
          <w:vertAlign w:val="superscript"/>
        </w:rPr>
        <w:t>]</w:t>
      </w:r>
      <w:r w:rsidR="009D6617" w:rsidRPr="0052664C">
        <w:rPr>
          <w:rFonts w:ascii="Book Antiqua" w:hAnsi="Book Antiqua"/>
        </w:rPr>
        <w:t>.</w:t>
      </w:r>
      <w:r w:rsidR="00D708E7" w:rsidRPr="0052664C">
        <w:rPr>
          <w:rFonts w:ascii="Book Antiqua" w:hAnsi="Book Antiqua"/>
        </w:rPr>
        <w:t xml:space="preserve"> </w:t>
      </w:r>
      <w:r w:rsidR="00664346" w:rsidRPr="0052664C">
        <w:rPr>
          <w:rFonts w:ascii="Book Antiqua" w:hAnsi="Book Antiqua"/>
        </w:rPr>
        <w:t>There are also reports of</w:t>
      </w:r>
      <w:r w:rsidR="00D708E7" w:rsidRPr="0052664C">
        <w:rPr>
          <w:rFonts w:ascii="Book Antiqua" w:hAnsi="Book Antiqua"/>
        </w:rPr>
        <w:t xml:space="preserve"> a CTC count &gt;</w:t>
      </w:r>
      <w:r w:rsidR="00664346" w:rsidRPr="0052664C">
        <w:rPr>
          <w:rFonts w:ascii="Book Antiqua" w:hAnsi="Book Antiqua"/>
        </w:rPr>
        <w:t xml:space="preserve"> </w:t>
      </w:r>
      <w:r w:rsidR="00D708E7" w:rsidRPr="0052664C">
        <w:rPr>
          <w:rFonts w:ascii="Book Antiqua" w:hAnsi="Book Antiqua"/>
        </w:rPr>
        <w:t xml:space="preserve">50 </w:t>
      </w:r>
      <w:r w:rsidR="00664346" w:rsidRPr="0052664C">
        <w:rPr>
          <w:rFonts w:ascii="Book Antiqua" w:hAnsi="Book Antiqua"/>
        </w:rPr>
        <w:t xml:space="preserve">cells/7.5 mL </w:t>
      </w:r>
      <w:r w:rsidR="00D708E7" w:rsidRPr="0052664C">
        <w:rPr>
          <w:rFonts w:ascii="Book Antiqua" w:hAnsi="Book Antiqua"/>
        </w:rPr>
        <w:t>in 14% and 10% of prostate and breast cancer</w:t>
      </w:r>
      <w:r w:rsidR="00664346" w:rsidRPr="0052664C">
        <w:rPr>
          <w:rFonts w:ascii="Book Antiqua" w:hAnsi="Book Antiqua"/>
        </w:rPr>
        <w:t xml:space="preserve"> patient</w:t>
      </w:r>
      <w:r w:rsidR="00D708E7" w:rsidRPr="0052664C">
        <w:rPr>
          <w:rFonts w:ascii="Book Antiqua" w:hAnsi="Book Antiqua"/>
        </w:rPr>
        <w:t>s, respectively</w:t>
      </w:r>
      <w:r w:rsidR="00E11D9F" w:rsidRPr="0052664C">
        <w:rPr>
          <w:rFonts w:ascii="Book Antiqua" w:hAnsi="Book Antiqua"/>
          <w:vertAlign w:val="superscript"/>
        </w:rPr>
        <w:t>[</w:t>
      </w:r>
      <w:r w:rsidR="00D57079" w:rsidRPr="0052664C">
        <w:rPr>
          <w:rFonts w:ascii="Book Antiqua" w:hAnsi="Book Antiqua"/>
          <w:vertAlign w:val="superscript"/>
        </w:rPr>
        <w:t>10</w:t>
      </w:r>
      <w:r w:rsidR="009D6617" w:rsidRPr="0052664C">
        <w:rPr>
          <w:rFonts w:ascii="Book Antiqua" w:hAnsi="Book Antiqua"/>
          <w:vertAlign w:val="superscript"/>
        </w:rPr>
        <w:t>]</w:t>
      </w:r>
      <w:r w:rsidR="00D708E7" w:rsidRPr="0052664C">
        <w:rPr>
          <w:rFonts w:ascii="Book Antiqua" w:hAnsi="Book Antiqua"/>
        </w:rPr>
        <w:t>.</w:t>
      </w:r>
      <w:r w:rsidR="00D708E7" w:rsidRPr="0052664C">
        <w:rPr>
          <w:rFonts w:ascii="Book Antiqua" w:hAnsi="Book Antiqua"/>
          <w:vertAlign w:val="superscript"/>
        </w:rPr>
        <w:t xml:space="preserve"> </w:t>
      </w:r>
      <w:r w:rsidR="00614777" w:rsidRPr="0052664C">
        <w:rPr>
          <w:rFonts w:ascii="Book Antiqua" w:hAnsi="Book Antiqua"/>
        </w:rPr>
        <w:t xml:space="preserve">However, the median CTC count </w:t>
      </w:r>
      <w:r w:rsidR="00664346" w:rsidRPr="0052664C">
        <w:rPr>
          <w:rFonts w:ascii="Book Antiqua" w:hAnsi="Book Antiqua"/>
        </w:rPr>
        <w:t xml:space="preserve">for patients with </w:t>
      </w:r>
      <w:r w:rsidR="00614777" w:rsidRPr="0052664C">
        <w:rPr>
          <w:rFonts w:ascii="Book Antiqua" w:hAnsi="Book Antiqua"/>
        </w:rPr>
        <w:t>common</w:t>
      </w:r>
      <w:r w:rsidR="00664346" w:rsidRPr="0052664C">
        <w:rPr>
          <w:rFonts w:ascii="Book Antiqua" w:hAnsi="Book Antiqua"/>
        </w:rPr>
        <w:t xml:space="preserve"> forms of</w:t>
      </w:r>
      <w:r w:rsidR="00614777" w:rsidRPr="0052664C">
        <w:rPr>
          <w:rFonts w:ascii="Book Antiqua" w:hAnsi="Book Antiqua"/>
        </w:rPr>
        <w:t xml:space="preserve"> gastric cancer are </w:t>
      </w:r>
      <w:r w:rsidR="00664346" w:rsidRPr="0052664C">
        <w:rPr>
          <w:rFonts w:ascii="Book Antiqua" w:hAnsi="Book Antiqua"/>
        </w:rPr>
        <w:t>much lower</w:t>
      </w:r>
      <w:r w:rsidR="00614777" w:rsidRPr="0052664C">
        <w:rPr>
          <w:rFonts w:ascii="Book Antiqua" w:hAnsi="Book Antiqua"/>
        </w:rPr>
        <w:t xml:space="preserve">, </w:t>
      </w:r>
      <w:r w:rsidR="00664346" w:rsidRPr="0052664C">
        <w:rPr>
          <w:rFonts w:ascii="Book Antiqua" w:hAnsi="Book Antiqua"/>
        </w:rPr>
        <w:t xml:space="preserve">at </w:t>
      </w:r>
      <w:r w:rsidR="00614777" w:rsidRPr="0052664C">
        <w:rPr>
          <w:rFonts w:ascii="Book Antiqua" w:hAnsi="Book Antiqua"/>
        </w:rPr>
        <w:t>around 2</w:t>
      </w:r>
      <w:r w:rsidR="00664346" w:rsidRPr="0052664C">
        <w:rPr>
          <w:rFonts w:ascii="Book Antiqua" w:hAnsi="Book Antiqua"/>
        </w:rPr>
        <w:t xml:space="preserve"> cells/7.5 mL, with a</w:t>
      </w:r>
      <w:r w:rsidR="00614777" w:rsidRPr="0052664C">
        <w:rPr>
          <w:rFonts w:ascii="Book Antiqua" w:hAnsi="Book Antiqua"/>
        </w:rPr>
        <w:t xml:space="preserve"> CTC count of &gt;</w:t>
      </w:r>
      <w:r w:rsidR="00E11D9F" w:rsidRPr="0052664C">
        <w:rPr>
          <w:rFonts w:ascii="Book Antiqua" w:eastAsia="SimSun" w:hAnsi="Book Antiqua" w:hint="eastAsia"/>
          <w:lang w:eastAsia="zh-CN"/>
        </w:rPr>
        <w:t xml:space="preserve"> </w:t>
      </w:r>
      <w:r w:rsidR="00614777" w:rsidRPr="0052664C">
        <w:rPr>
          <w:rFonts w:ascii="Book Antiqua" w:hAnsi="Book Antiqua"/>
        </w:rPr>
        <w:t xml:space="preserve">50 </w:t>
      </w:r>
      <w:r w:rsidR="00664346" w:rsidRPr="0052664C">
        <w:rPr>
          <w:rFonts w:ascii="Book Antiqua" w:hAnsi="Book Antiqua"/>
        </w:rPr>
        <w:t xml:space="preserve">cells/7.5 mL only </w:t>
      </w:r>
      <w:r w:rsidR="00614777" w:rsidRPr="0052664C">
        <w:rPr>
          <w:rFonts w:ascii="Book Antiqua" w:hAnsi="Book Antiqua"/>
        </w:rPr>
        <w:t xml:space="preserve">seen in </w:t>
      </w:r>
      <w:r w:rsidR="00664346" w:rsidRPr="0052664C">
        <w:rPr>
          <w:rFonts w:ascii="Book Antiqua" w:hAnsi="Book Antiqua"/>
        </w:rPr>
        <w:t xml:space="preserve">approximately </w:t>
      </w:r>
      <w:r w:rsidR="00614777" w:rsidRPr="0052664C">
        <w:rPr>
          <w:rFonts w:ascii="Book Antiqua" w:hAnsi="Book Antiqua"/>
        </w:rPr>
        <w:t>8% of gastric cancer</w:t>
      </w:r>
      <w:r w:rsidR="00664346" w:rsidRPr="0052664C">
        <w:rPr>
          <w:rFonts w:ascii="Book Antiqua" w:hAnsi="Book Antiqua"/>
        </w:rPr>
        <w:t xml:space="preserve"> case</w:t>
      </w:r>
      <w:r w:rsidR="00614777" w:rsidRPr="0052664C">
        <w:rPr>
          <w:rFonts w:ascii="Book Antiqua" w:hAnsi="Book Antiqua"/>
        </w:rPr>
        <w:t>s</w:t>
      </w:r>
      <w:r w:rsidR="00E11D9F" w:rsidRPr="0052664C">
        <w:rPr>
          <w:rFonts w:ascii="Book Antiqua" w:hAnsi="Book Antiqua"/>
          <w:vertAlign w:val="superscript"/>
        </w:rPr>
        <w:t>[</w:t>
      </w:r>
      <w:r w:rsidR="00D57079" w:rsidRPr="0052664C">
        <w:rPr>
          <w:rFonts w:ascii="Book Antiqua" w:hAnsi="Book Antiqua"/>
          <w:vertAlign w:val="superscript"/>
        </w:rPr>
        <w:t>10</w:t>
      </w:r>
      <w:r w:rsidR="00E11D9F" w:rsidRPr="0052664C">
        <w:rPr>
          <w:rFonts w:ascii="Book Antiqua" w:eastAsia="SimSun" w:hAnsi="Book Antiqua" w:hint="eastAsia"/>
          <w:vertAlign w:val="superscript"/>
          <w:lang w:eastAsia="zh-CN"/>
        </w:rPr>
        <w:t>-</w:t>
      </w:r>
      <w:r w:rsidR="00D57079" w:rsidRPr="0052664C">
        <w:rPr>
          <w:rFonts w:ascii="Book Antiqua" w:hAnsi="Book Antiqua"/>
          <w:vertAlign w:val="superscript"/>
        </w:rPr>
        <w:t>12</w:t>
      </w:r>
      <w:r w:rsidR="002255AB" w:rsidRPr="0052664C">
        <w:rPr>
          <w:rFonts w:ascii="Book Antiqua" w:hAnsi="Book Antiqua"/>
          <w:vertAlign w:val="superscript"/>
        </w:rPr>
        <w:t>]</w:t>
      </w:r>
      <w:r w:rsidR="00614777" w:rsidRPr="0052664C">
        <w:rPr>
          <w:rFonts w:ascii="Book Antiqua" w:hAnsi="Book Antiqua"/>
        </w:rPr>
        <w:t>.</w:t>
      </w:r>
      <w:r w:rsidR="00614777" w:rsidRPr="0052664C">
        <w:rPr>
          <w:rFonts w:ascii="Book Antiqua" w:hAnsi="Book Antiqua"/>
          <w:vertAlign w:val="superscript"/>
        </w:rPr>
        <w:t xml:space="preserve"> </w:t>
      </w:r>
      <w:r w:rsidR="00664346" w:rsidRPr="0052664C">
        <w:rPr>
          <w:rFonts w:ascii="Book Antiqua" w:hAnsi="Book Antiqua"/>
        </w:rPr>
        <w:t xml:space="preserve">The characteristics </w:t>
      </w:r>
      <w:r w:rsidR="009D7B07" w:rsidRPr="0052664C">
        <w:rPr>
          <w:rFonts w:ascii="Book Antiqua" w:hAnsi="Book Antiqua"/>
        </w:rPr>
        <w:t xml:space="preserve">of diffuse bone metastases </w:t>
      </w:r>
      <w:r w:rsidR="00664346" w:rsidRPr="0052664C">
        <w:rPr>
          <w:rFonts w:ascii="Book Antiqua" w:hAnsi="Book Antiqua"/>
        </w:rPr>
        <w:t>with</w:t>
      </w:r>
      <w:r w:rsidR="009D7B07" w:rsidRPr="0052664C">
        <w:rPr>
          <w:rFonts w:ascii="Book Antiqua" w:hAnsi="Book Antiqua"/>
        </w:rPr>
        <w:t xml:space="preserve">in this subtype might reflect </w:t>
      </w:r>
      <w:r w:rsidR="00664346" w:rsidRPr="0052664C">
        <w:rPr>
          <w:rFonts w:ascii="Book Antiqua" w:hAnsi="Book Antiqua"/>
        </w:rPr>
        <w:t xml:space="preserve">an increased number </w:t>
      </w:r>
      <w:r w:rsidR="009D7B07" w:rsidRPr="0052664C">
        <w:rPr>
          <w:rFonts w:ascii="Book Antiqua" w:hAnsi="Book Antiqua"/>
        </w:rPr>
        <w:t xml:space="preserve">of CTCs. </w:t>
      </w:r>
      <w:r w:rsidR="00613082" w:rsidRPr="0052664C">
        <w:rPr>
          <w:rFonts w:ascii="Book Antiqua" w:hAnsi="Book Antiqua"/>
        </w:rPr>
        <w:t>Therefore</w:t>
      </w:r>
      <w:r w:rsidR="009D7B07" w:rsidRPr="0052664C">
        <w:rPr>
          <w:rFonts w:ascii="Book Antiqua" w:hAnsi="Book Antiqua"/>
        </w:rPr>
        <w:t>, we examine</w:t>
      </w:r>
      <w:r w:rsidR="000B7758" w:rsidRPr="0052664C">
        <w:rPr>
          <w:rFonts w:ascii="Book Antiqua" w:hAnsi="Book Antiqua"/>
        </w:rPr>
        <w:t>d</w:t>
      </w:r>
      <w:r w:rsidR="009D7B07" w:rsidRPr="0052664C">
        <w:rPr>
          <w:rFonts w:ascii="Book Antiqua" w:hAnsi="Book Antiqua"/>
        </w:rPr>
        <w:t xml:space="preserve"> the CTC count of this </w:t>
      </w:r>
      <w:r w:rsidR="00614777" w:rsidRPr="0052664C">
        <w:rPr>
          <w:rFonts w:ascii="Book Antiqua" w:hAnsi="Book Antiqua"/>
        </w:rPr>
        <w:t xml:space="preserve">specific </w:t>
      </w:r>
      <w:r w:rsidR="009D7B07" w:rsidRPr="0052664C">
        <w:rPr>
          <w:rFonts w:ascii="Book Antiqua" w:hAnsi="Book Antiqua"/>
        </w:rPr>
        <w:t xml:space="preserve">subtype. </w:t>
      </w:r>
      <w:r w:rsidR="00664346" w:rsidRPr="0052664C">
        <w:rPr>
          <w:rFonts w:ascii="Book Antiqua" w:hAnsi="Book Antiqua"/>
        </w:rPr>
        <w:t>W</w:t>
      </w:r>
      <w:r w:rsidR="000B7758" w:rsidRPr="0052664C">
        <w:rPr>
          <w:rFonts w:ascii="Book Antiqua" w:hAnsi="Book Antiqua"/>
        </w:rPr>
        <w:t>e have</w:t>
      </w:r>
      <w:r w:rsidR="00664346" w:rsidRPr="0052664C">
        <w:rPr>
          <w:rFonts w:ascii="Book Antiqua" w:hAnsi="Book Antiqua"/>
        </w:rPr>
        <w:t xml:space="preserve"> previously</w:t>
      </w:r>
      <w:r w:rsidR="007B187D" w:rsidRPr="0052664C">
        <w:rPr>
          <w:rFonts w:ascii="Book Antiqua" w:hAnsi="Book Antiqua"/>
        </w:rPr>
        <w:t xml:space="preserve"> reported </w:t>
      </w:r>
      <w:r w:rsidR="00ED6995" w:rsidRPr="0052664C">
        <w:rPr>
          <w:rFonts w:ascii="Book Antiqua" w:hAnsi="Book Antiqua"/>
        </w:rPr>
        <w:t xml:space="preserve">CTC counts </w:t>
      </w:r>
      <w:r w:rsidR="00664346" w:rsidRPr="0052664C">
        <w:rPr>
          <w:rFonts w:ascii="Book Antiqua" w:hAnsi="Book Antiqua"/>
        </w:rPr>
        <w:t xml:space="preserve">for </w:t>
      </w:r>
      <w:r w:rsidR="00613082" w:rsidRPr="0052664C">
        <w:rPr>
          <w:rFonts w:ascii="Book Antiqua" w:hAnsi="Book Antiqua"/>
        </w:rPr>
        <w:t>two</w:t>
      </w:r>
      <w:r w:rsidR="00356740" w:rsidRPr="0052664C">
        <w:rPr>
          <w:rFonts w:ascii="Book Antiqua" w:hAnsi="Book Antiqua"/>
        </w:rPr>
        <w:t xml:space="preserve"> </w:t>
      </w:r>
      <w:r w:rsidR="00664346" w:rsidRPr="0052664C">
        <w:rPr>
          <w:rFonts w:ascii="Book Antiqua" w:hAnsi="Book Antiqua"/>
        </w:rPr>
        <w:t xml:space="preserve">patients with </w:t>
      </w:r>
      <w:r w:rsidR="00ED6995" w:rsidRPr="0052664C">
        <w:rPr>
          <w:rFonts w:ascii="Book Antiqua" w:hAnsi="Book Antiqua"/>
        </w:rPr>
        <w:t>this</w:t>
      </w:r>
      <w:r w:rsidR="00664346" w:rsidRPr="0052664C">
        <w:rPr>
          <w:rFonts w:ascii="Book Antiqua" w:hAnsi="Book Antiqua"/>
        </w:rPr>
        <w:t xml:space="preserve"> gastric cancer</w:t>
      </w:r>
      <w:r w:rsidR="00ED6995" w:rsidRPr="0052664C">
        <w:rPr>
          <w:rFonts w:ascii="Book Antiqua" w:hAnsi="Book Antiqua"/>
        </w:rPr>
        <w:t xml:space="preserve"> subtype</w:t>
      </w:r>
      <w:r w:rsidR="00E11D9F" w:rsidRPr="0052664C">
        <w:rPr>
          <w:rFonts w:ascii="Book Antiqua" w:hAnsi="Book Antiqua"/>
          <w:vertAlign w:val="superscript"/>
        </w:rPr>
        <w:t>[</w:t>
      </w:r>
      <w:r w:rsidR="00D57079" w:rsidRPr="0052664C">
        <w:rPr>
          <w:rFonts w:ascii="Book Antiqua" w:hAnsi="Book Antiqua"/>
          <w:vertAlign w:val="superscript"/>
        </w:rPr>
        <w:t>13</w:t>
      </w:r>
      <w:r w:rsidR="009D6617" w:rsidRPr="0052664C">
        <w:rPr>
          <w:rFonts w:ascii="Book Antiqua" w:hAnsi="Book Antiqua"/>
          <w:vertAlign w:val="superscript"/>
        </w:rPr>
        <w:t>]</w:t>
      </w:r>
      <w:r w:rsidR="000B7758" w:rsidRPr="0052664C">
        <w:rPr>
          <w:rFonts w:ascii="Book Antiqua" w:hAnsi="Book Antiqua"/>
        </w:rPr>
        <w:t>.</w:t>
      </w:r>
      <w:r w:rsidR="00ED6995" w:rsidRPr="0052664C">
        <w:rPr>
          <w:rFonts w:ascii="Book Antiqua" w:hAnsi="Book Antiqua"/>
        </w:rPr>
        <w:t xml:space="preserve"> In this </w:t>
      </w:r>
      <w:r w:rsidR="000B7758" w:rsidRPr="0052664C">
        <w:rPr>
          <w:rFonts w:ascii="Book Antiqua" w:hAnsi="Book Antiqua"/>
        </w:rPr>
        <w:t>study</w:t>
      </w:r>
      <w:r w:rsidR="00ED6995" w:rsidRPr="0052664C">
        <w:rPr>
          <w:rFonts w:ascii="Book Antiqua" w:hAnsi="Book Antiqua"/>
        </w:rPr>
        <w:t xml:space="preserve">, we </w:t>
      </w:r>
      <w:r w:rsidR="00664346" w:rsidRPr="0052664C">
        <w:rPr>
          <w:rFonts w:ascii="Book Antiqua" w:hAnsi="Book Antiqua"/>
        </w:rPr>
        <w:t>report an additional</w:t>
      </w:r>
      <w:r w:rsidR="00ED6995" w:rsidRPr="0052664C">
        <w:rPr>
          <w:rFonts w:ascii="Book Antiqua" w:hAnsi="Book Antiqua"/>
        </w:rPr>
        <w:t xml:space="preserve"> three</w:t>
      </w:r>
      <w:r w:rsidR="009D7B07" w:rsidRPr="0052664C">
        <w:rPr>
          <w:rFonts w:ascii="Book Antiqua" w:hAnsi="Book Antiqua"/>
        </w:rPr>
        <w:t xml:space="preserve"> </w:t>
      </w:r>
      <w:r w:rsidR="00614777" w:rsidRPr="0052664C">
        <w:rPr>
          <w:rFonts w:ascii="Book Antiqua" w:hAnsi="Book Antiqua"/>
        </w:rPr>
        <w:t xml:space="preserve">cases </w:t>
      </w:r>
      <w:r w:rsidR="00664346" w:rsidRPr="0052664C">
        <w:rPr>
          <w:rFonts w:ascii="Book Antiqua" w:hAnsi="Book Antiqua"/>
        </w:rPr>
        <w:t xml:space="preserve">with </w:t>
      </w:r>
      <w:r w:rsidR="00ED6995" w:rsidRPr="0052664C">
        <w:rPr>
          <w:rFonts w:ascii="Book Antiqua" w:hAnsi="Book Antiqua"/>
        </w:rPr>
        <w:t>this subtype</w:t>
      </w:r>
      <w:r w:rsidR="00664346" w:rsidRPr="0052664C">
        <w:rPr>
          <w:rFonts w:ascii="Book Antiqua" w:hAnsi="Book Antiqua"/>
        </w:rPr>
        <w:t xml:space="preserve"> and substantiate</w:t>
      </w:r>
      <w:r w:rsidR="00ED6995" w:rsidRPr="0052664C">
        <w:rPr>
          <w:rFonts w:ascii="Book Antiqua" w:hAnsi="Book Antiqua"/>
        </w:rPr>
        <w:t xml:space="preserve"> </w:t>
      </w:r>
      <w:r w:rsidR="00743A76" w:rsidRPr="0052664C">
        <w:rPr>
          <w:rFonts w:ascii="Book Antiqua" w:hAnsi="Book Antiqua"/>
        </w:rPr>
        <w:t xml:space="preserve">the </w:t>
      </w:r>
      <w:r w:rsidR="00ED6995" w:rsidRPr="0052664C">
        <w:rPr>
          <w:rFonts w:ascii="Book Antiqua" w:hAnsi="Book Antiqua"/>
        </w:rPr>
        <w:t xml:space="preserve">clinical </w:t>
      </w:r>
      <w:r w:rsidR="0029451D" w:rsidRPr="0052664C">
        <w:rPr>
          <w:rFonts w:ascii="Book Antiqua" w:hAnsi="Book Antiqua"/>
        </w:rPr>
        <w:t xml:space="preserve">importance </w:t>
      </w:r>
      <w:r w:rsidR="00743A76" w:rsidRPr="0052664C">
        <w:rPr>
          <w:rFonts w:ascii="Book Antiqua" w:hAnsi="Book Antiqua"/>
        </w:rPr>
        <w:t>of CTC</w:t>
      </w:r>
      <w:r w:rsidR="000B7758" w:rsidRPr="0052664C">
        <w:rPr>
          <w:rFonts w:ascii="Book Antiqua" w:hAnsi="Book Antiqua"/>
        </w:rPr>
        <w:t>s</w:t>
      </w:r>
      <w:r w:rsidR="00ED6995" w:rsidRPr="0052664C">
        <w:rPr>
          <w:rFonts w:ascii="Book Antiqua" w:hAnsi="Book Antiqua"/>
        </w:rPr>
        <w:t>.</w:t>
      </w:r>
    </w:p>
    <w:p w14:paraId="56EEE5FD" w14:textId="77777777" w:rsidR="00F1201E" w:rsidRPr="0052664C" w:rsidRDefault="00F1201E" w:rsidP="00E11D9F">
      <w:pPr>
        <w:spacing w:line="360" w:lineRule="auto"/>
        <w:rPr>
          <w:rFonts w:ascii="Book Antiqua" w:hAnsi="Book Antiqua"/>
        </w:rPr>
      </w:pPr>
    </w:p>
    <w:p w14:paraId="25FA01A4" w14:textId="77777777" w:rsidR="0029719B" w:rsidRPr="0052664C" w:rsidRDefault="00E2149F" w:rsidP="00E11D9F">
      <w:pPr>
        <w:spacing w:line="360" w:lineRule="auto"/>
        <w:rPr>
          <w:rFonts w:ascii="Book Antiqua" w:hAnsi="Book Antiqua"/>
        </w:rPr>
      </w:pPr>
      <w:r w:rsidRPr="0052664C">
        <w:rPr>
          <w:rFonts w:ascii="Book Antiqua" w:hAnsi="Book Antiqua"/>
          <w:b/>
        </w:rPr>
        <w:t>MATERIALS AND METHODS</w:t>
      </w:r>
    </w:p>
    <w:p w14:paraId="031DA52F" w14:textId="77777777" w:rsidR="00C46629" w:rsidRPr="0052664C" w:rsidRDefault="00C46629" w:rsidP="00E11D9F">
      <w:pPr>
        <w:spacing w:line="360" w:lineRule="auto"/>
        <w:rPr>
          <w:rFonts w:ascii="Book Antiqua" w:hAnsi="Book Antiqua"/>
          <w:b/>
          <w:i/>
        </w:rPr>
      </w:pPr>
      <w:r w:rsidRPr="0052664C">
        <w:rPr>
          <w:rFonts w:ascii="Book Antiqua" w:hAnsi="Book Antiqua"/>
          <w:b/>
          <w:i/>
        </w:rPr>
        <w:t>Study population and data collection</w:t>
      </w:r>
    </w:p>
    <w:p w14:paraId="23569CD2" w14:textId="3EAC956B" w:rsidR="00C46629" w:rsidRPr="0052664C" w:rsidRDefault="003A30D0" w:rsidP="00E11D9F">
      <w:pPr>
        <w:spacing w:line="360" w:lineRule="auto"/>
        <w:rPr>
          <w:rFonts w:ascii="Book Antiqua" w:hAnsi="Book Antiqua"/>
        </w:rPr>
      </w:pPr>
      <w:r w:rsidRPr="0052664C">
        <w:rPr>
          <w:rFonts w:ascii="Book Antiqua" w:hAnsi="Book Antiqua"/>
        </w:rPr>
        <w:lastRenderedPageBreak/>
        <w:t>The</w:t>
      </w:r>
      <w:r w:rsidR="0029719B" w:rsidRPr="0052664C">
        <w:rPr>
          <w:rFonts w:ascii="Book Antiqua" w:hAnsi="Book Antiqua"/>
        </w:rPr>
        <w:t xml:space="preserve"> patients</w:t>
      </w:r>
      <w:r w:rsidRPr="0052664C">
        <w:rPr>
          <w:rFonts w:ascii="Book Antiqua" w:hAnsi="Book Antiqua"/>
        </w:rPr>
        <w:t>, who visited and were diagnosed as gastric cancer</w:t>
      </w:r>
      <w:r w:rsidR="0029719B" w:rsidRPr="0052664C">
        <w:rPr>
          <w:rFonts w:ascii="Book Antiqua" w:hAnsi="Book Antiqua"/>
        </w:rPr>
        <w:t xml:space="preserve"> at the Department of Clinical Oncology, Akita University Hospital</w:t>
      </w:r>
      <w:r w:rsidR="00830BE2" w:rsidRPr="0052664C">
        <w:rPr>
          <w:rFonts w:ascii="Book Antiqua" w:hAnsi="Book Antiqua"/>
        </w:rPr>
        <w:t>, from January 2014 to August 2015</w:t>
      </w:r>
      <w:r w:rsidRPr="0052664C">
        <w:rPr>
          <w:rFonts w:ascii="Book Antiqua" w:hAnsi="Book Antiqua"/>
        </w:rPr>
        <w:t>, were analyzed.</w:t>
      </w:r>
      <w:r w:rsidR="0029719B" w:rsidRPr="0052664C">
        <w:rPr>
          <w:rFonts w:ascii="Book Antiqua" w:hAnsi="Book Antiqua"/>
        </w:rPr>
        <w:t xml:space="preserve"> The </w:t>
      </w:r>
      <w:r w:rsidR="00CB6170" w:rsidRPr="0052664C">
        <w:rPr>
          <w:rFonts w:ascii="Book Antiqua" w:hAnsi="Book Antiqua"/>
        </w:rPr>
        <w:t xml:space="preserve">selection </w:t>
      </w:r>
      <w:r w:rsidRPr="0052664C">
        <w:rPr>
          <w:rFonts w:ascii="Book Antiqua" w:hAnsi="Book Antiqua"/>
        </w:rPr>
        <w:t>criterion</w:t>
      </w:r>
      <w:r w:rsidR="0029719B" w:rsidRPr="0052664C">
        <w:rPr>
          <w:rFonts w:ascii="Book Antiqua" w:hAnsi="Book Antiqua"/>
        </w:rPr>
        <w:t xml:space="preserve"> for </w:t>
      </w:r>
      <w:r w:rsidR="00863B0B" w:rsidRPr="0052664C">
        <w:rPr>
          <w:rFonts w:ascii="Book Antiqua" w:hAnsi="Book Antiqua"/>
        </w:rPr>
        <w:t xml:space="preserve">identifying patients with </w:t>
      </w:r>
      <w:r w:rsidR="0029719B" w:rsidRPr="0052664C">
        <w:rPr>
          <w:rFonts w:ascii="Book Antiqua" w:hAnsi="Book Antiqua"/>
        </w:rPr>
        <w:t xml:space="preserve">this </w:t>
      </w:r>
      <w:r w:rsidR="00863B0B" w:rsidRPr="0052664C">
        <w:rPr>
          <w:rFonts w:ascii="Book Antiqua" w:hAnsi="Book Antiqua"/>
        </w:rPr>
        <w:t xml:space="preserve">cancer </w:t>
      </w:r>
      <w:r w:rsidR="0029719B" w:rsidRPr="0052664C">
        <w:rPr>
          <w:rFonts w:ascii="Book Antiqua" w:hAnsi="Book Antiqua"/>
        </w:rPr>
        <w:t xml:space="preserve">subtype </w:t>
      </w:r>
      <w:r w:rsidR="00D8165E" w:rsidRPr="0052664C">
        <w:rPr>
          <w:rFonts w:ascii="Book Antiqua" w:hAnsi="Book Antiqua"/>
        </w:rPr>
        <w:t>are</w:t>
      </w:r>
      <w:r w:rsidR="00CB1F22" w:rsidRPr="0052664C">
        <w:rPr>
          <w:rFonts w:ascii="Book Antiqua" w:hAnsi="Book Antiqua"/>
        </w:rPr>
        <w:t xml:space="preserve"> as follows</w:t>
      </w:r>
      <w:r w:rsidR="00D8165E" w:rsidRPr="0052664C">
        <w:rPr>
          <w:rFonts w:ascii="Book Antiqua" w:hAnsi="Book Antiqua"/>
        </w:rPr>
        <w:t xml:space="preserve">: </w:t>
      </w:r>
      <w:r w:rsidR="003D53C5" w:rsidRPr="0052664C">
        <w:rPr>
          <w:rFonts w:ascii="Book Antiqua" w:eastAsia="SimSun" w:hAnsi="Book Antiqua" w:hint="eastAsia"/>
          <w:lang w:eastAsia="zh-CN"/>
        </w:rPr>
        <w:t>(</w:t>
      </w:r>
      <w:r w:rsidR="00D8165E" w:rsidRPr="0052664C">
        <w:rPr>
          <w:rFonts w:ascii="Book Antiqua" w:hAnsi="Book Antiqua"/>
        </w:rPr>
        <w:t xml:space="preserve">1) </w:t>
      </w:r>
      <w:r w:rsidR="00356740" w:rsidRPr="0052664C">
        <w:rPr>
          <w:rFonts w:ascii="Book Antiqua" w:hAnsi="Book Antiqua"/>
        </w:rPr>
        <w:t>histopathologically</w:t>
      </w:r>
      <w:r w:rsidR="00356740" w:rsidRPr="0052664C" w:rsidDel="00001F8B">
        <w:rPr>
          <w:rFonts w:ascii="Book Antiqua" w:hAnsi="Book Antiqua"/>
        </w:rPr>
        <w:t xml:space="preserve"> </w:t>
      </w:r>
      <w:r w:rsidR="005D38FC" w:rsidRPr="0052664C">
        <w:rPr>
          <w:rFonts w:ascii="Book Antiqua" w:hAnsi="Book Antiqua"/>
        </w:rPr>
        <w:t>confirmed</w:t>
      </w:r>
      <w:r w:rsidR="005D38FC" w:rsidRPr="0052664C" w:rsidDel="00001F8B">
        <w:rPr>
          <w:rFonts w:ascii="Book Antiqua" w:hAnsi="Book Antiqua"/>
        </w:rPr>
        <w:t xml:space="preserve"> </w:t>
      </w:r>
      <w:r w:rsidR="0029719B" w:rsidRPr="0052664C">
        <w:rPr>
          <w:rFonts w:ascii="Book Antiqua" w:hAnsi="Book Antiqua"/>
        </w:rPr>
        <w:t>gastric cancer</w:t>
      </w:r>
      <w:r w:rsidR="00863B0B" w:rsidRPr="0052664C">
        <w:rPr>
          <w:rFonts w:ascii="Book Antiqua" w:hAnsi="Book Antiqua"/>
        </w:rPr>
        <w:t xml:space="preserve">; </w:t>
      </w:r>
      <w:r w:rsidR="003D53C5" w:rsidRPr="0052664C">
        <w:rPr>
          <w:rFonts w:ascii="Book Antiqua" w:eastAsia="SimSun" w:hAnsi="Book Antiqua" w:hint="eastAsia"/>
          <w:lang w:eastAsia="zh-CN"/>
        </w:rPr>
        <w:t>(</w:t>
      </w:r>
      <w:r w:rsidR="00D8165E" w:rsidRPr="0052664C">
        <w:rPr>
          <w:rFonts w:ascii="Book Antiqua" w:hAnsi="Book Antiqua"/>
        </w:rPr>
        <w:t xml:space="preserve">2) </w:t>
      </w:r>
      <w:r w:rsidR="00356740" w:rsidRPr="0052664C">
        <w:rPr>
          <w:rFonts w:ascii="Book Antiqua" w:hAnsi="Book Antiqua"/>
        </w:rPr>
        <w:t xml:space="preserve">apparent </w:t>
      </w:r>
      <w:r w:rsidR="00D8165E" w:rsidRPr="0052664C">
        <w:rPr>
          <w:rFonts w:ascii="Book Antiqua" w:hAnsi="Book Antiqua"/>
        </w:rPr>
        <w:t>symptoms of diffuse bone metastases at onset</w:t>
      </w:r>
      <w:r w:rsidR="00863B0B" w:rsidRPr="0052664C">
        <w:rPr>
          <w:rFonts w:ascii="Book Antiqua" w:hAnsi="Book Antiqua"/>
        </w:rPr>
        <w:t xml:space="preserve">; </w:t>
      </w:r>
      <w:r w:rsidR="003D53C5" w:rsidRPr="0052664C">
        <w:rPr>
          <w:rFonts w:ascii="Book Antiqua" w:eastAsia="SimSun" w:hAnsi="Book Antiqua" w:hint="eastAsia"/>
          <w:lang w:eastAsia="zh-CN"/>
        </w:rPr>
        <w:t>(</w:t>
      </w:r>
      <w:r w:rsidR="00D8165E" w:rsidRPr="0052664C">
        <w:rPr>
          <w:rFonts w:ascii="Book Antiqua" w:hAnsi="Book Antiqua"/>
        </w:rPr>
        <w:t xml:space="preserve">3) </w:t>
      </w:r>
      <w:r w:rsidR="00356740" w:rsidRPr="0052664C">
        <w:rPr>
          <w:rFonts w:ascii="Book Antiqua" w:hAnsi="Book Antiqua"/>
        </w:rPr>
        <w:t xml:space="preserve">diffuse </w:t>
      </w:r>
      <w:r w:rsidR="00D8165E" w:rsidRPr="0052664C">
        <w:rPr>
          <w:rFonts w:ascii="Book Antiqua" w:hAnsi="Book Antiqua"/>
        </w:rPr>
        <w:t xml:space="preserve">bone metastases detected by bone scintigraphy (BS); </w:t>
      </w:r>
      <w:r w:rsidR="00863B0B" w:rsidRPr="0052664C">
        <w:rPr>
          <w:rFonts w:ascii="Book Antiqua" w:hAnsi="Book Antiqua"/>
        </w:rPr>
        <w:t xml:space="preserve">and </w:t>
      </w:r>
      <w:r w:rsidR="003D53C5" w:rsidRPr="0052664C">
        <w:rPr>
          <w:rFonts w:ascii="Book Antiqua" w:eastAsia="SimSun" w:hAnsi="Book Antiqua" w:hint="eastAsia"/>
          <w:lang w:eastAsia="zh-CN"/>
        </w:rPr>
        <w:t>(</w:t>
      </w:r>
      <w:r w:rsidR="00863B0B" w:rsidRPr="0052664C">
        <w:rPr>
          <w:rFonts w:ascii="Book Antiqua" w:hAnsi="Book Antiqua"/>
        </w:rPr>
        <w:t xml:space="preserve">4) a </w:t>
      </w:r>
      <w:r w:rsidR="00D8165E" w:rsidRPr="0052664C">
        <w:rPr>
          <w:rFonts w:ascii="Book Antiqua" w:hAnsi="Book Antiqua"/>
        </w:rPr>
        <w:t>hot spot number over 29</w:t>
      </w:r>
      <w:r w:rsidR="00B75269" w:rsidRPr="0052664C">
        <w:rPr>
          <w:rFonts w:ascii="Book Antiqua" w:hAnsi="Book Antiqua"/>
        </w:rPr>
        <w:t>; This is derived from the data that the</w:t>
      </w:r>
      <w:r w:rsidR="00D8165E" w:rsidRPr="0052664C">
        <w:rPr>
          <w:rFonts w:ascii="Book Antiqua" w:hAnsi="Book Antiqua"/>
        </w:rPr>
        <w:t xml:space="preserve"> reported </w:t>
      </w:r>
      <w:r w:rsidR="00863B0B" w:rsidRPr="0052664C">
        <w:rPr>
          <w:rFonts w:ascii="Book Antiqua" w:hAnsi="Book Antiqua"/>
        </w:rPr>
        <w:t>mean ±</w:t>
      </w:r>
      <w:r w:rsidR="003D53C5" w:rsidRPr="0052664C">
        <w:rPr>
          <w:rFonts w:ascii="Book Antiqua" w:eastAsia="SimSun" w:hAnsi="Book Antiqua" w:hint="eastAsia"/>
          <w:lang w:eastAsia="zh-CN"/>
        </w:rPr>
        <w:t xml:space="preserve"> </w:t>
      </w:r>
      <w:r w:rsidR="00863B0B" w:rsidRPr="0052664C">
        <w:rPr>
          <w:rFonts w:ascii="Book Antiqua" w:hAnsi="Book Antiqua"/>
        </w:rPr>
        <w:t xml:space="preserve">SD </w:t>
      </w:r>
      <w:r w:rsidR="00B75269" w:rsidRPr="0052664C">
        <w:rPr>
          <w:rFonts w:ascii="Book Antiqua" w:hAnsi="Book Antiqua"/>
        </w:rPr>
        <w:t xml:space="preserve">of </w:t>
      </w:r>
      <w:r w:rsidR="00863B0B" w:rsidRPr="0052664C">
        <w:rPr>
          <w:rFonts w:ascii="Book Antiqua" w:hAnsi="Book Antiqua"/>
        </w:rPr>
        <w:t>BS</w:t>
      </w:r>
      <w:r w:rsidR="00D8165E" w:rsidRPr="0052664C">
        <w:rPr>
          <w:rFonts w:ascii="Book Antiqua" w:hAnsi="Book Antiqua"/>
        </w:rPr>
        <w:t xml:space="preserve"> hot spot </w:t>
      </w:r>
      <w:r w:rsidR="00863B0B" w:rsidRPr="0052664C">
        <w:rPr>
          <w:rFonts w:ascii="Book Antiqua" w:hAnsi="Book Antiqua"/>
        </w:rPr>
        <w:t>number for</w:t>
      </w:r>
      <w:r w:rsidR="00D8165E" w:rsidRPr="0052664C">
        <w:rPr>
          <w:rFonts w:ascii="Book Antiqua" w:hAnsi="Book Antiqua"/>
        </w:rPr>
        <w:t xml:space="preserve"> gastr</w:t>
      </w:r>
      <w:r w:rsidR="00C603F9" w:rsidRPr="0052664C">
        <w:rPr>
          <w:rFonts w:ascii="Book Antiqua" w:hAnsi="Book Antiqua"/>
        </w:rPr>
        <w:t>ic cancer</w:t>
      </w:r>
      <w:r w:rsidR="00B75269" w:rsidRPr="0052664C">
        <w:rPr>
          <w:rFonts w:ascii="Book Antiqua" w:hAnsi="Book Antiqua"/>
        </w:rPr>
        <w:t xml:space="preserve"> was</w:t>
      </w:r>
      <w:r w:rsidR="00C603F9" w:rsidRPr="0052664C">
        <w:rPr>
          <w:rFonts w:ascii="Book Antiqua" w:hAnsi="Book Antiqua"/>
        </w:rPr>
        <w:t xml:space="preserve"> 16 ± 13</w:t>
      </w:r>
      <w:r w:rsidR="00E11D9F" w:rsidRPr="0052664C">
        <w:rPr>
          <w:rFonts w:ascii="Book Antiqua" w:hAnsi="Book Antiqua"/>
          <w:vertAlign w:val="superscript"/>
        </w:rPr>
        <w:t>[</w:t>
      </w:r>
      <w:r w:rsidR="00D57079" w:rsidRPr="0052664C">
        <w:rPr>
          <w:rFonts w:ascii="Book Antiqua" w:hAnsi="Book Antiqua"/>
          <w:vertAlign w:val="superscript"/>
        </w:rPr>
        <w:t>14</w:t>
      </w:r>
      <w:r w:rsidR="00D8165E" w:rsidRPr="0052664C">
        <w:rPr>
          <w:rFonts w:ascii="Book Antiqua" w:hAnsi="Book Antiqua"/>
          <w:vertAlign w:val="superscript"/>
        </w:rPr>
        <w:t>]</w:t>
      </w:r>
      <w:r w:rsidR="00C603F9" w:rsidRPr="0052664C">
        <w:rPr>
          <w:rFonts w:ascii="Book Antiqua" w:hAnsi="Book Antiqua"/>
        </w:rPr>
        <w:t xml:space="preserve"> (</w:t>
      </w:r>
      <w:r w:rsidR="002E66CD" w:rsidRPr="0052664C">
        <w:rPr>
          <w:rFonts w:ascii="Book Antiqua" w:hAnsi="Book Antiqua"/>
        </w:rPr>
        <w:t>Fig</w:t>
      </w:r>
      <w:r w:rsidR="003D53C5" w:rsidRPr="0052664C">
        <w:rPr>
          <w:rFonts w:ascii="Book Antiqua" w:eastAsia="SimSun" w:hAnsi="Book Antiqua" w:hint="eastAsia"/>
          <w:lang w:eastAsia="zh-CN"/>
        </w:rPr>
        <w:t>ure</w:t>
      </w:r>
      <w:r w:rsidR="002E66CD" w:rsidRPr="0052664C">
        <w:rPr>
          <w:rFonts w:ascii="Book Antiqua" w:hAnsi="Book Antiqua"/>
        </w:rPr>
        <w:t xml:space="preserve"> </w:t>
      </w:r>
      <w:r w:rsidR="00C603F9" w:rsidRPr="0052664C">
        <w:rPr>
          <w:rFonts w:ascii="Book Antiqua" w:hAnsi="Book Antiqua"/>
        </w:rPr>
        <w:t>1)</w:t>
      </w:r>
      <w:r w:rsidR="00D8165E" w:rsidRPr="0052664C">
        <w:rPr>
          <w:rFonts w:ascii="Book Antiqua" w:hAnsi="Book Antiqua"/>
        </w:rPr>
        <w:t xml:space="preserve">. </w:t>
      </w:r>
      <w:r w:rsidRPr="0052664C">
        <w:rPr>
          <w:rFonts w:ascii="Book Antiqua" w:hAnsi="Book Antiqua"/>
        </w:rPr>
        <w:t xml:space="preserve">This study was approved by the Akita University School of Medicine Ethics Committee (#828). </w:t>
      </w:r>
      <w:r w:rsidR="00C603F9" w:rsidRPr="0052664C">
        <w:rPr>
          <w:rFonts w:ascii="Book Antiqua" w:hAnsi="Book Antiqua"/>
        </w:rPr>
        <w:t>I</w:t>
      </w:r>
      <w:r w:rsidR="0029719B" w:rsidRPr="0052664C">
        <w:rPr>
          <w:rFonts w:ascii="Book Antiqua" w:hAnsi="Book Antiqua"/>
        </w:rPr>
        <w:t xml:space="preserve">nformed consent and an agreement to publish were obtained from </w:t>
      </w:r>
      <w:r w:rsidR="00C603F9" w:rsidRPr="0052664C">
        <w:rPr>
          <w:rFonts w:ascii="Book Antiqua" w:hAnsi="Book Antiqua"/>
        </w:rPr>
        <w:t xml:space="preserve">all </w:t>
      </w:r>
      <w:r w:rsidR="00863B0B" w:rsidRPr="0052664C">
        <w:rPr>
          <w:rFonts w:ascii="Book Antiqua" w:hAnsi="Book Antiqua"/>
        </w:rPr>
        <w:t>patients</w:t>
      </w:r>
      <w:r w:rsidR="0029719B" w:rsidRPr="0052664C">
        <w:rPr>
          <w:rFonts w:ascii="Book Antiqua" w:hAnsi="Book Antiqua"/>
        </w:rPr>
        <w:t>.</w:t>
      </w:r>
    </w:p>
    <w:p w14:paraId="4CCAE63A" w14:textId="77777777" w:rsidR="00C46629" w:rsidRPr="0052664C" w:rsidRDefault="00C46629" w:rsidP="00E11D9F">
      <w:pPr>
        <w:spacing w:line="360" w:lineRule="auto"/>
        <w:rPr>
          <w:rFonts w:ascii="Book Antiqua" w:hAnsi="Book Antiqua"/>
        </w:rPr>
      </w:pPr>
    </w:p>
    <w:p w14:paraId="1EEF29EC" w14:textId="77777777" w:rsidR="00863B0B" w:rsidRPr="0052664C" w:rsidRDefault="00C46629" w:rsidP="00E11D9F">
      <w:pPr>
        <w:spacing w:line="360" w:lineRule="auto"/>
        <w:rPr>
          <w:rFonts w:ascii="Book Antiqua" w:hAnsi="Book Antiqua"/>
          <w:b/>
          <w:i/>
        </w:rPr>
      </w:pPr>
      <w:r w:rsidRPr="0052664C">
        <w:rPr>
          <w:rFonts w:ascii="Book Antiqua" w:hAnsi="Book Antiqua"/>
          <w:b/>
          <w:i/>
        </w:rPr>
        <w:t>CTC collection</w:t>
      </w:r>
    </w:p>
    <w:p w14:paraId="5827F6F5" w14:textId="62B884E5" w:rsidR="00C46629" w:rsidRPr="0052664C" w:rsidRDefault="00A52DD0" w:rsidP="00E11D9F">
      <w:pPr>
        <w:spacing w:line="360" w:lineRule="auto"/>
        <w:rPr>
          <w:rFonts w:ascii="Book Antiqua" w:hAnsi="Book Antiqua"/>
        </w:rPr>
      </w:pPr>
      <w:r w:rsidRPr="0052664C">
        <w:rPr>
          <w:rFonts w:ascii="Book Antiqua" w:hAnsi="Book Antiqua"/>
        </w:rPr>
        <w:t>CTCs</w:t>
      </w:r>
      <w:r w:rsidRPr="0052664C" w:rsidDel="00CB6170">
        <w:rPr>
          <w:rFonts w:ascii="Book Antiqua" w:hAnsi="Book Antiqua"/>
        </w:rPr>
        <w:t xml:space="preserve"> </w:t>
      </w:r>
      <w:r w:rsidRPr="0052664C">
        <w:rPr>
          <w:rFonts w:ascii="Book Antiqua" w:hAnsi="Book Antiqua"/>
        </w:rPr>
        <w:t xml:space="preserve">were isolated </w:t>
      </w:r>
      <w:r w:rsidR="00863B0B" w:rsidRPr="0052664C">
        <w:rPr>
          <w:rFonts w:ascii="Book Antiqua" w:hAnsi="Book Antiqua"/>
        </w:rPr>
        <w:t>as</w:t>
      </w:r>
      <w:r w:rsidR="00CB6170" w:rsidRPr="0052664C">
        <w:rPr>
          <w:rFonts w:ascii="Book Antiqua" w:hAnsi="Book Antiqua"/>
        </w:rPr>
        <w:t xml:space="preserve"> previously described</w:t>
      </w:r>
      <w:r w:rsidR="00E11D9F" w:rsidRPr="0052664C">
        <w:rPr>
          <w:rFonts w:ascii="Book Antiqua" w:hAnsi="Book Antiqua"/>
          <w:vertAlign w:val="superscript"/>
        </w:rPr>
        <w:t>[</w:t>
      </w:r>
      <w:r w:rsidR="00D57079" w:rsidRPr="0052664C">
        <w:rPr>
          <w:rFonts w:ascii="Book Antiqua" w:hAnsi="Book Antiqua"/>
          <w:vertAlign w:val="superscript"/>
        </w:rPr>
        <w:t>15</w:t>
      </w:r>
      <w:r w:rsidR="00C603F9" w:rsidRPr="0052664C">
        <w:rPr>
          <w:rFonts w:ascii="Book Antiqua" w:hAnsi="Book Antiqua"/>
          <w:vertAlign w:val="superscript"/>
        </w:rPr>
        <w:t>]</w:t>
      </w:r>
      <w:r w:rsidR="00CB6170" w:rsidRPr="0052664C">
        <w:rPr>
          <w:rFonts w:ascii="Book Antiqua" w:hAnsi="Book Antiqua"/>
        </w:rPr>
        <w:t>.</w:t>
      </w:r>
      <w:r w:rsidR="0029719B" w:rsidRPr="0052664C">
        <w:rPr>
          <w:rFonts w:ascii="Book Antiqua" w:hAnsi="Book Antiqua"/>
        </w:rPr>
        <w:t xml:space="preserve"> </w:t>
      </w:r>
      <w:r w:rsidR="00863B0B" w:rsidRPr="0052664C">
        <w:rPr>
          <w:rFonts w:ascii="Book Antiqua" w:hAnsi="Book Antiqua"/>
        </w:rPr>
        <w:t>In brief</w:t>
      </w:r>
      <w:r w:rsidR="0029719B" w:rsidRPr="0052664C">
        <w:rPr>
          <w:rFonts w:ascii="Book Antiqua" w:hAnsi="Book Antiqua"/>
        </w:rPr>
        <w:t xml:space="preserve">, CTCs were isolated from 20 </w:t>
      </w:r>
      <w:r w:rsidR="00356740" w:rsidRPr="0052664C">
        <w:rPr>
          <w:rFonts w:ascii="Book Antiqua" w:hAnsi="Book Antiqua"/>
        </w:rPr>
        <w:t xml:space="preserve">mL </w:t>
      </w:r>
      <w:r w:rsidR="0029719B" w:rsidRPr="0052664C">
        <w:rPr>
          <w:rFonts w:ascii="Book Antiqua" w:hAnsi="Book Antiqua"/>
        </w:rPr>
        <w:t>of peripheral venous blood drawn using a CellSearch kit and a CellTracks AutoPrep system (</w:t>
      </w:r>
      <w:r w:rsidR="00F30738" w:rsidRPr="0052664C">
        <w:rPr>
          <w:rFonts w:ascii="Book Antiqua" w:hAnsi="Book Antiqua"/>
        </w:rPr>
        <w:t xml:space="preserve">Janssen Diagnostics, LLC, New Jersey, </w:t>
      </w:r>
      <w:r w:rsidR="003D53C5" w:rsidRPr="0052664C">
        <w:rPr>
          <w:rFonts w:ascii="Book Antiqua" w:hAnsi="Book Antiqua"/>
        </w:rPr>
        <w:t>United States</w:t>
      </w:r>
      <w:r w:rsidR="0029719B" w:rsidRPr="0052664C">
        <w:rPr>
          <w:rFonts w:ascii="Book Antiqua" w:hAnsi="Book Antiqua"/>
        </w:rPr>
        <w:t>). This procedure was outsourced to SRL, a clinical laboratory (Tokyo, Japan).</w:t>
      </w:r>
      <w:r w:rsidR="0052539A" w:rsidRPr="0052664C">
        <w:rPr>
          <w:rFonts w:ascii="Book Antiqua" w:hAnsi="Book Antiqua"/>
        </w:rPr>
        <w:t xml:space="preserve"> </w:t>
      </w:r>
    </w:p>
    <w:p w14:paraId="103A0600" w14:textId="77777777" w:rsidR="00C46629" w:rsidRPr="0052664C" w:rsidRDefault="00C46629" w:rsidP="00E11D9F">
      <w:pPr>
        <w:spacing w:line="360" w:lineRule="auto"/>
        <w:ind w:firstLine="284"/>
        <w:rPr>
          <w:rFonts w:ascii="Book Antiqua" w:hAnsi="Book Antiqua"/>
        </w:rPr>
      </w:pPr>
    </w:p>
    <w:p w14:paraId="1D04DE2E" w14:textId="77777777" w:rsidR="00C46629" w:rsidRPr="0052664C" w:rsidRDefault="00C46629" w:rsidP="00E11D9F">
      <w:pPr>
        <w:spacing w:line="360" w:lineRule="auto"/>
        <w:rPr>
          <w:rFonts w:ascii="Book Antiqua" w:hAnsi="Book Antiqua"/>
          <w:b/>
          <w:i/>
        </w:rPr>
      </w:pPr>
      <w:r w:rsidRPr="0052664C">
        <w:rPr>
          <w:rFonts w:ascii="Book Antiqua" w:hAnsi="Book Antiqua"/>
          <w:b/>
          <w:i/>
        </w:rPr>
        <w:t>Study endpoints</w:t>
      </w:r>
    </w:p>
    <w:p w14:paraId="5ECC5CAE" w14:textId="77777777" w:rsidR="00C46629" w:rsidRPr="0052664C" w:rsidRDefault="00B75269" w:rsidP="00E11D9F">
      <w:pPr>
        <w:spacing w:line="360" w:lineRule="auto"/>
        <w:rPr>
          <w:rFonts w:ascii="Book Antiqua" w:hAnsi="Book Antiqua"/>
        </w:rPr>
      </w:pPr>
      <w:r w:rsidRPr="0052664C">
        <w:rPr>
          <w:rFonts w:ascii="Book Antiqua" w:hAnsi="Book Antiqua"/>
        </w:rPr>
        <w:t xml:space="preserve">The primary endpoint of this study was CTC count and its change after chemotherapy. </w:t>
      </w:r>
      <w:r w:rsidR="00F64CE7" w:rsidRPr="0052664C">
        <w:rPr>
          <w:rFonts w:ascii="Book Antiqua" w:hAnsi="Book Antiqua"/>
        </w:rPr>
        <w:t xml:space="preserve">The secondary endpoints were correlations between CTC number and the therapeutic response, and between CTC number and survival. </w:t>
      </w:r>
      <w:r w:rsidR="0052539A" w:rsidRPr="0052664C">
        <w:rPr>
          <w:rFonts w:ascii="Book Antiqua" w:hAnsi="Book Antiqua"/>
        </w:rPr>
        <w:lastRenderedPageBreak/>
        <w:t xml:space="preserve">Evaluation of </w:t>
      </w:r>
      <w:r w:rsidR="00A82761" w:rsidRPr="0052664C">
        <w:rPr>
          <w:rFonts w:ascii="Book Antiqua" w:hAnsi="Book Antiqua"/>
        </w:rPr>
        <w:t xml:space="preserve">the </w:t>
      </w:r>
      <w:r w:rsidR="0052539A" w:rsidRPr="0052664C">
        <w:rPr>
          <w:rFonts w:ascii="Book Antiqua" w:hAnsi="Book Antiqua"/>
        </w:rPr>
        <w:t>therapeutic respons</w:t>
      </w:r>
      <w:r w:rsidR="00830BE2" w:rsidRPr="0052664C">
        <w:rPr>
          <w:rFonts w:ascii="Book Antiqua" w:hAnsi="Book Antiqua"/>
        </w:rPr>
        <w:t xml:space="preserve">e was </w:t>
      </w:r>
      <w:r w:rsidR="00AF7ED4" w:rsidRPr="0052664C">
        <w:rPr>
          <w:rFonts w:ascii="Book Antiqua" w:hAnsi="Book Antiqua"/>
        </w:rPr>
        <w:t xml:space="preserve">performed </w:t>
      </w:r>
      <w:r w:rsidR="00CB6170" w:rsidRPr="0052664C">
        <w:rPr>
          <w:rFonts w:ascii="Book Antiqua" w:hAnsi="Book Antiqua"/>
        </w:rPr>
        <w:t>using response evaluation criteria in solid tumors (</w:t>
      </w:r>
      <w:r w:rsidR="00830BE2" w:rsidRPr="0052664C">
        <w:rPr>
          <w:rFonts w:ascii="Book Antiqua" w:hAnsi="Book Antiqua"/>
        </w:rPr>
        <w:t>RECIST</w:t>
      </w:r>
      <w:r w:rsidR="00CB6170" w:rsidRPr="0052664C">
        <w:rPr>
          <w:rFonts w:ascii="Book Antiqua" w:hAnsi="Book Antiqua"/>
        </w:rPr>
        <w:t>,</w:t>
      </w:r>
      <w:r w:rsidR="00C7201F" w:rsidRPr="0052664C">
        <w:rPr>
          <w:rFonts w:ascii="Book Antiqua" w:hAnsi="Book Antiqua"/>
        </w:rPr>
        <w:t xml:space="preserve"> </w:t>
      </w:r>
      <w:r w:rsidR="00830BE2" w:rsidRPr="0052664C">
        <w:rPr>
          <w:rFonts w:ascii="Book Antiqua" w:hAnsi="Book Antiqua"/>
        </w:rPr>
        <w:t>ver</w:t>
      </w:r>
      <w:r w:rsidR="00CB6170" w:rsidRPr="0052664C">
        <w:rPr>
          <w:rFonts w:ascii="Book Antiqua" w:hAnsi="Book Antiqua"/>
        </w:rPr>
        <w:t>sion</w:t>
      </w:r>
      <w:r w:rsidR="00830BE2" w:rsidRPr="0052664C">
        <w:rPr>
          <w:rFonts w:ascii="Book Antiqua" w:hAnsi="Book Antiqua"/>
        </w:rPr>
        <w:t xml:space="preserve"> 1.1</w:t>
      </w:r>
      <w:r w:rsidR="00CB6170" w:rsidRPr="0052664C">
        <w:rPr>
          <w:rFonts w:ascii="Book Antiqua" w:hAnsi="Book Antiqua"/>
        </w:rPr>
        <w:t>)</w:t>
      </w:r>
      <w:r w:rsidR="0052539A" w:rsidRPr="0052664C">
        <w:rPr>
          <w:rFonts w:ascii="Book Antiqua" w:hAnsi="Book Antiqua"/>
        </w:rPr>
        <w:t>.</w:t>
      </w:r>
    </w:p>
    <w:p w14:paraId="610C7479" w14:textId="77777777" w:rsidR="00C46629" w:rsidRPr="0052664C" w:rsidRDefault="00C46629" w:rsidP="00E11D9F">
      <w:pPr>
        <w:spacing w:line="360" w:lineRule="auto"/>
        <w:rPr>
          <w:rFonts w:ascii="Book Antiqua" w:hAnsi="Book Antiqua"/>
        </w:rPr>
      </w:pPr>
    </w:p>
    <w:p w14:paraId="35DD2A10" w14:textId="77777777" w:rsidR="00C46629" w:rsidRPr="0052664C" w:rsidRDefault="00C46629" w:rsidP="00E11D9F">
      <w:pPr>
        <w:spacing w:line="360" w:lineRule="auto"/>
        <w:rPr>
          <w:rFonts w:ascii="Book Antiqua" w:hAnsi="Book Antiqua"/>
          <w:b/>
          <w:i/>
        </w:rPr>
      </w:pPr>
      <w:r w:rsidRPr="0052664C">
        <w:rPr>
          <w:rFonts w:ascii="Book Antiqua" w:hAnsi="Book Antiqua"/>
          <w:b/>
          <w:i/>
        </w:rPr>
        <w:t>Statistical analysis</w:t>
      </w:r>
    </w:p>
    <w:p w14:paraId="00A37511" w14:textId="072D8193" w:rsidR="00045B24" w:rsidRPr="0052664C" w:rsidRDefault="00045B24" w:rsidP="00E11D9F">
      <w:pPr>
        <w:spacing w:line="360" w:lineRule="auto"/>
        <w:rPr>
          <w:rFonts w:ascii="Book Antiqua" w:hAnsi="Book Antiqua" w:cstheme="majorBidi"/>
        </w:rPr>
      </w:pPr>
      <w:r w:rsidRPr="0052664C">
        <w:rPr>
          <w:rFonts w:ascii="Book Antiqua" w:hAnsi="Book Antiqua" w:cstheme="majorBidi"/>
        </w:rPr>
        <w:t xml:space="preserve">The values are shown as means ± </w:t>
      </w:r>
      <w:r w:rsidR="001D6715" w:rsidRPr="0052664C">
        <w:rPr>
          <w:rFonts w:ascii="Book Antiqua" w:eastAsia="SimSun" w:hAnsi="Book Antiqua" w:cstheme="majorBidi" w:hint="eastAsia"/>
          <w:lang w:eastAsia="zh-CN"/>
        </w:rPr>
        <w:t>SD</w:t>
      </w:r>
      <w:r w:rsidRPr="0052664C">
        <w:rPr>
          <w:rFonts w:ascii="Book Antiqua" w:hAnsi="Book Antiqua" w:cstheme="majorBidi"/>
        </w:rPr>
        <w:t xml:space="preserve">. </w:t>
      </w:r>
      <w:r w:rsidR="006922FF" w:rsidRPr="0052664C">
        <w:rPr>
          <w:rFonts w:ascii="Book Antiqua" w:hAnsi="Book Antiqua" w:cstheme="majorBidi"/>
        </w:rPr>
        <w:t xml:space="preserve">Simple regression analysis </w:t>
      </w:r>
      <w:r w:rsidRPr="0052664C">
        <w:rPr>
          <w:rFonts w:ascii="Book Antiqua" w:hAnsi="Book Antiqua" w:cstheme="majorBidi"/>
        </w:rPr>
        <w:t xml:space="preserve">was performed using StatMate III, version 3.14 (ATMS, Tokyo, Japan). </w:t>
      </w:r>
      <w:r w:rsidR="00DC7CC2" w:rsidRPr="0052664C">
        <w:rPr>
          <w:rFonts w:ascii="Book Antiqua" w:hAnsi="Book Antiqua" w:cstheme="majorBidi"/>
        </w:rPr>
        <w:t xml:space="preserve">This statistical method was reviewed by Professor Katsuyuki Murata from Department of Environmental Health Sciences, Graduate School of Medicine, Akita University.    </w:t>
      </w:r>
    </w:p>
    <w:p w14:paraId="2D51265E" w14:textId="77777777" w:rsidR="00F64CE7" w:rsidRPr="00363698" w:rsidRDefault="00F64CE7" w:rsidP="00363698">
      <w:pPr>
        <w:spacing w:line="360" w:lineRule="auto"/>
        <w:rPr>
          <w:rFonts w:ascii="Book Antiqua" w:eastAsia="SimSun" w:hAnsi="Book Antiqua"/>
          <w:lang w:eastAsia="zh-CN"/>
        </w:rPr>
      </w:pPr>
    </w:p>
    <w:p w14:paraId="1D39A54D" w14:textId="77777777" w:rsidR="00F1201E" w:rsidRPr="0052664C" w:rsidRDefault="00E2149F" w:rsidP="00E11D9F">
      <w:pPr>
        <w:spacing w:line="360" w:lineRule="auto"/>
        <w:rPr>
          <w:rFonts w:ascii="Book Antiqua" w:hAnsi="Book Antiqua"/>
          <w:b/>
        </w:rPr>
      </w:pPr>
      <w:r w:rsidRPr="0052664C">
        <w:rPr>
          <w:rFonts w:ascii="Book Antiqua" w:hAnsi="Book Antiqua"/>
          <w:b/>
        </w:rPr>
        <w:t>RESULTS</w:t>
      </w:r>
    </w:p>
    <w:p w14:paraId="47873F32" w14:textId="77777777" w:rsidR="00F64CE7" w:rsidRPr="0052664C" w:rsidRDefault="00C46629" w:rsidP="00E11D9F">
      <w:pPr>
        <w:spacing w:line="360" w:lineRule="auto"/>
        <w:rPr>
          <w:rFonts w:ascii="Book Antiqua" w:hAnsi="Book Antiqua"/>
          <w:b/>
          <w:i/>
        </w:rPr>
      </w:pPr>
      <w:r w:rsidRPr="0052664C">
        <w:rPr>
          <w:rFonts w:ascii="Book Antiqua" w:hAnsi="Book Antiqua"/>
          <w:b/>
          <w:i/>
        </w:rPr>
        <w:t>Characteristics of a specific subtype of gastric cancer with diffuse bone metastasis at diagnosis</w:t>
      </w:r>
    </w:p>
    <w:p w14:paraId="2A90368C" w14:textId="77777777" w:rsidR="00FD3943" w:rsidRPr="0052664C" w:rsidRDefault="00C46629" w:rsidP="00E11D9F">
      <w:pPr>
        <w:spacing w:line="360" w:lineRule="auto"/>
        <w:rPr>
          <w:rFonts w:ascii="Book Antiqua" w:hAnsi="Book Antiqua"/>
        </w:rPr>
      </w:pPr>
      <w:r w:rsidRPr="0052664C">
        <w:rPr>
          <w:rFonts w:ascii="Book Antiqua" w:hAnsi="Book Antiqua"/>
        </w:rPr>
        <w:t xml:space="preserve">During this period, 39 patients with gastric cancer (28 males and 11 females) visited our department. Five patients met the criterion, and were diagnosed as this subtype. </w:t>
      </w:r>
      <w:r w:rsidR="00CB2196" w:rsidRPr="0052664C">
        <w:rPr>
          <w:rFonts w:ascii="Book Antiqua" w:hAnsi="Book Antiqua"/>
        </w:rPr>
        <w:t xml:space="preserve">The incidence of this subtype was </w:t>
      </w:r>
      <w:r w:rsidR="00FC2381" w:rsidRPr="0052664C">
        <w:rPr>
          <w:rFonts w:ascii="Book Antiqua" w:hAnsi="Book Antiqua"/>
        </w:rPr>
        <w:t>12.8 %. They</w:t>
      </w:r>
      <w:r w:rsidR="00863B0B" w:rsidRPr="0052664C">
        <w:rPr>
          <w:rFonts w:ascii="Book Antiqua" w:hAnsi="Book Antiqua"/>
        </w:rPr>
        <w:t xml:space="preserve"> included </w:t>
      </w:r>
      <w:r w:rsidR="006D2BD7" w:rsidRPr="0052664C">
        <w:rPr>
          <w:rFonts w:ascii="Book Antiqua" w:hAnsi="Book Antiqua"/>
        </w:rPr>
        <w:t>four</w:t>
      </w:r>
      <w:r w:rsidR="002C5EAF" w:rsidRPr="0052664C">
        <w:rPr>
          <w:rFonts w:ascii="Book Antiqua" w:hAnsi="Book Antiqua"/>
        </w:rPr>
        <w:t xml:space="preserve"> males and one femal</w:t>
      </w:r>
      <w:r w:rsidR="0080556C" w:rsidRPr="0052664C">
        <w:rPr>
          <w:rFonts w:ascii="Book Antiqua" w:hAnsi="Book Antiqua"/>
        </w:rPr>
        <w:t>e</w:t>
      </w:r>
      <w:r w:rsidR="001247E5" w:rsidRPr="0052664C">
        <w:rPr>
          <w:rFonts w:ascii="Book Antiqua" w:hAnsi="Book Antiqua"/>
        </w:rPr>
        <w:t>,</w:t>
      </w:r>
      <w:r w:rsidR="00617055" w:rsidRPr="0052664C">
        <w:rPr>
          <w:rFonts w:ascii="Book Antiqua" w:hAnsi="Book Antiqua"/>
        </w:rPr>
        <w:t xml:space="preserve"> </w:t>
      </w:r>
      <w:r w:rsidR="00FC2381" w:rsidRPr="0052664C">
        <w:rPr>
          <w:rFonts w:ascii="Book Antiqua" w:hAnsi="Book Antiqua"/>
        </w:rPr>
        <w:t xml:space="preserve">who </w:t>
      </w:r>
      <w:r w:rsidR="00617055" w:rsidRPr="0052664C">
        <w:rPr>
          <w:rFonts w:ascii="Book Antiqua" w:hAnsi="Book Antiqua"/>
        </w:rPr>
        <w:t xml:space="preserve">aged </w:t>
      </w:r>
      <w:r w:rsidR="0080556C" w:rsidRPr="0052664C">
        <w:rPr>
          <w:rFonts w:ascii="Book Antiqua" w:hAnsi="Book Antiqua"/>
        </w:rPr>
        <w:t>24</w:t>
      </w:r>
      <w:r w:rsidR="007E6900" w:rsidRPr="0052664C">
        <w:rPr>
          <w:rFonts w:ascii="Book Antiqua" w:hAnsi="Book Antiqua"/>
        </w:rPr>
        <w:t>–</w:t>
      </w:r>
      <w:r w:rsidR="0080556C" w:rsidRPr="0052664C">
        <w:rPr>
          <w:rFonts w:ascii="Book Antiqua" w:hAnsi="Book Antiqua"/>
        </w:rPr>
        <w:t>78</w:t>
      </w:r>
      <w:r w:rsidR="002C5EAF" w:rsidRPr="0052664C">
        <w:rPr>
          <w:rFonts w:ascii="Book Antiqua" w:hAnsi="Book Antiqua"/>
        </w:rPr>
        <w:t xml:space="preserve"> </w:t>
      </w:r>
      <w:r w:rsidR="0080556C" w:rsidRPr="0052664C">
        <w:rPr>
          <w:rFonts w:ascii="Book Antiqua" w:hAnsi="Book Antiqua"/>
        </w:rPr>
        <w:t>years (median</w:t>
      </w:r>
      <w:r w:rsidR="00863B0B" w:rsidRPr="0052664C">
        <w:rPr>
          <w:rFonts w:ascii="Book Antiqua" w:hAnsi="Book Antiqua"/>
        </w:rPr>
        <w:t>,</w:t>
      </w:r>
      <w:r w:rsidR="001A5FEE" w:rsidRPr="0052664C">
        <w:rPr>
          <w:rFonts w:ascii="Book Antiqua" w:hAnsi="Book Antiqua"/>
        </w:rPr>
        <w:t xml:space="preserve"> </w:t>
      </w:r>
      <w:r w:rsidR="0080556C" w:rsidRPr="0052664C">
        <w:rPr>
          <w:rFonts w:ascii="Book Antiqua" w:hAnsi="Book Antiqua"/>
        </w:rPr>
        <w:t>50</w:t>
      </w:r>
      <w:r w:rsidR="00617055" w:rsidRPr="0052664C">
        <w:rPr>
          <w:rFonts w:ascii="Book Antiqua" w:hAnsi="Book Antiqua"/>
        </w:rPr>
        <w:t xml:space="preserve"> </w:t>
      </w:r>
      <w:r w:rsidR="00C914D8" w:rsidRPr="0052664C">
        <w:rPr>
          <w:rFonts w:ascii="Book Antiqua" w:hAnsi="Book Antiqua"/>
        </w:rPr>
        <w:t>yea</w:t>
      </w:r>
      <w:r w:rsidR="00617055" w:rsidRPr="0052664C">
        <w:rPr>
          <w:rFonts w:ascii="Book Antiqua" w:hAnsi="Book Antiqua"/>
        </w:rPr>
        <w:t>rs</w:t>
      </w:r>
      <w:r w:rsidR="007E6900" w:rsidRPr="0052664C">
        <w:rPr>
          <w:rFonts w:ascii="Book Antiqua" w:hAnsi="Book Antiqua"/>
        </w:rPr>
        <w:t>) (Table 1)</w:t>
      </w:r>
      <w:r w:rsidR="008B4CCC" w:rsidRPr="0052664C">
        <w:rPr>
          <w:rFonts w:ascii="Book Antiqua" w:hAnsi="Book Antiqua"/>
        </w:rPr>
        <w:t xml:space="preserve">. </w:t>
      </w:r>
      <w:r w:rsidR="00863B0B" w:rsidRPr="0052664C">
        <w:rPr>
          <w:rFonts w:ascii="Book Antiqua" w:hAnsi="Book Antiqua"/>
        </w:rPr>
        <w:t xml:space="preserve">Patients were histopathologically diagnosed with </w:t>
      </w:r>
      <w:r w:rsidR="00335B90" w:rsidRPr="0052664C">
        <w:rPr>
          <w:rFonts w:ascii="Book Antiqua" w:hAnsi="Book Antiqua"/>
        </w:rPr>
        <w:t xml:space="preserve">adenocarcinomas, </w:t>
      </w:r>
      <w:r w:rsidR="008B4CCC" w:rsidRPr="0052664C">
        <w:rPr>
          <w:rFonts w:ascii="Book Antiqua" w:hAnsi="Book Antiqua"/>
        </w:rPr>
        <w:t>signet ring cell carcinomas</w:t>
      </w:r>
      <w:r w:rsidR="000E2C42" w:rsidRPr="0052664C">
        <w:rPr>
          <w:rFonts w:ascii="Book Antiqua" w:hAnsi="Book Antiqua"/>
        </w:rPr>
        <w:t>,</w:t>
      </w:r>
      <w:r w:rsidR="00335B90" w:rsidRPr="0052664C">
        <w:rPr>
          <w:rFonts w:ascii="Book Antiqua" w:hAnsi="Book Antiqua"/>
        </w:rPr>
        <w:t xml:space="preserve"> or mixed</w:t>
      </w:r>
      <w:r w:rsidR="00863B0B" w:rsidRPr="0052664C">
        <w:rPr>
          <w:rFonts w:ascii="Book Antiqua" w:hAnsi="Book Antiqua"/>
        </w:rPr>
        <w:t xml:space="preserve"> cancers</w:t>
      </w:r>
      <w:r w:rsidR="008B4CCC" w:rsidRPr="0052664C">
        <w:rPr>
          <w:rFonts w:ascii="Book Antiqua" w:hAnsi="Book Antiqua"/>
        </w:rPr>
        <w:t xml:space="preserve">. </w:t>
      </w:r>
      <w:r w:rsidR="00743A76" w:rsidRPr="0052664C">
        <w:rPr>
          <w:rFonts w:ascii="Book Antiqua" w:hAnsi="Book Antiqua"/>
        </w:rPr>
        <w:t xml:space="preserve">Distant metastases </w:t>
      </w:r>
      <w:r w:rsidR="00617055" w:rsidRPr="0052664C">
        <w:rPr>
          <w:rFonts w:ascii="Book Antiqua" w:hAnsi="Book Antiqua"/>
        </w:rPr>
        <w:t>other than</w:t>
      </w:r>
      <w:r w:rsidR="00743A76" w:rsidRPr="0052664C">
        <w:rPr>
          <w:rFonts w:ascii="Book Antiqua" w:hAnsi="Book Antiqua"/>
        </w:rPr>
        <w:t xml:space="preserve"> bone</w:t>
      </w:r>
      <w:r w:rsidR="00617055" w:rsidRPr="0052664C">
        <w:rPr>
          <w:rFonts w:ascii="Book Antiqua" w:hAnsi="Book Antiqua"/>
        </w:rPr>
        <w:t xml:space="preserve"> metastases</w:t>
      </w:r>
      <w:r w:rsidR="00743A76" w:rsidRPr="0052664C">
        <w:rPr>
          <w:rFonts w:ascii="Book Antiqua" w:hAnsi="Book Antiqua"/>
        </w:rPr>
        <w:t xml:space="preserve"> are </w:t>
      </w:r>
      <w:r w:rsidR="00863B0B" w:rsidRPr="0052664C">
        <w:rPr>
          <w:rFonts w:ascii="Book Antiqua" w:hAnsi="Book Antiqua"/>
        </w:rPr>
        <w:t xml:space="preserve">reported </w:t>
      </w:r>
      <w:r w:rsidR="00743A76" w:rsidRPr="0052664C">
        <w:rPr>
          <w:rFonts w:ascii="Book Antiqua" w:hAnsi="Book Antiqua"/>
        </w:rPr>
        <w:t>in Table</w:t>
      </w:r>
      <w:r w:rsidR="00D538BC" w:rsidRPr="0052664C">
        <w:rPr>
          <w:rFonts w:ascii="Book Antiqua" w:hAnsi="Book Antiqua"/>
        </w:rPr>
        <w:t xml:space="preserve"> </w:t>
      </w:r>
      <w:r w:rsidR="0080556C" w:rsidRPr="0052664C">
        <w:rPr>
          <w:rFonts w:ascii="Book Antiqua" w:hAnsi="Book Antiqua"/>
        </w:rPr>
        <w:t>1</w:t>
      </w:r>
      <w:r w:rsidR="00743A76" w:rsidRPr="0052664C">
        <w:rPr>
          <w:rFonts w:ascii="Book Antiqua" w:hAnsi="Book Antiqua"/>
        </w:rPr>
        <w:t>.</w:t>
      </w:r>
      <w:r w:rsidR="00B84041" w:rsidRPr="0052664C">
        <w:rPr>
          <w:rFonts w:ascii="Book Antiqua" w:hAnsi="Book Antiqua"/>
        </w:rPr>
        <w:t xml:space="preserve"> DIC </w:t>
      </w:r>
      <w:r w:rsidR="00617055" w:rsidRPr="0052664C">
        <w:rPr>
          <w:rFonts w:ascii="Book Antiqua" w:hAnsi="Book Antiqua"/>
        </w:rPr>
        <w:t>was observed in</w:t>
      </w:r>
      <w:r w:rsidR="00B84041" w:rsidRPr="0052664C">
        <w:rPr>
          <w:rFonts w:ascii="Book Antiqua" w:hAnsi="Book Antiqua"/>
        </w:rPr>
        <w:t xml:space="preserve"> two cases.</w:t>
      </w:r>
    </w:p>
    <w:p w14:paraId="79895EB0" w14:textId="77777777" w:rsidR="00FD3943" w:rsidRPr="0052664C" w:rsidRDefault="00FD3943" w:rsidP="00E11D9F">
      <w:pPr>
        <w:spacing w:line="360" w:lineRule="auto"/>
        <w:rPr>
          <w:rFonts w:ascii="Book Antiqua" w:hAnsi="Book Antiqua"/>
        </w:rPr>
      </w:pPr>
    </w:p>
    <w:p w14:paraId="2602913B" w14:textId="77777777" w:rsidR="008B4CCC" w:rsidRPr="0052664C" w:rsidRDefault="00E248B1" w:rsidP="00E11D9F">
      <w:pPr>
        <w:spacing w:line="360" w:lineRule="auto"/>
        <w:rPr>
          <w:rFonts w:ascii="Book Antiqua" w:hAnsi="Book Antiqua"/>
          <w:b/>
          <w:i/>
        </w:rPr>
      </w:pPr>
      <w:r w:rsidRPr="0052664C">
        <w:rPr>
          <w:rFonts w:ascii="Book Antiqua" w:hAnsi="Book Antiqua"/>
          <w:b/>
          <w:i/>
        </w:rPr>
        <w:t>CTC counts of this subtype</w:t>
      </w:r>
    </w:p>
    <w:p w14:paraId="4B8A51AF" w14:textId="6C041AEB" w:rsidR="00E248B1" w:rsidRPr="0052664C" w:rsidRDefault="00401C24" w:rsidP="00E11D9F">
      <w:pPr>
        <w:spacing w:line="360" w:lineRule="auto"/>
        <w:rPr>
          <w:rFonts w:ascii="Book Antiqua" w:hAnsi="Book Antiqua"/>
        </w:rPr>
      </w:pPr>
      <w:r w:rsidRPr="0052664C">
        <w:rPr>
          <w:rFonts w:ascii="Book Antiqua" w:hAnsi="Book Antiqua"/>
        </w:rPr>
        <w:lastRenderedPageBreak/>
        <w:t xml:space="preserve">CTC counts </w:t>
      </w:r>
      <w:r w:rsidR="00B04435" w:rsidRPr="0052664C">
        <w:rPr>
          <w:rFonts w:ascii="Book Antiqua" w:hAnsi="Book Antiqua"/>
        </w:rPr>
        <w:t xml:space="preserve">before chemotherapy </w:t>
      </w:r>
      <w:r w:rsidR="0080556C" w:rsidRPr="0052664C">
        <w:rPr>
          <w:rFonts w:ascii="Book Antiqua" w:hAnsi="Book Antiqua"/>
        </w:rPr>
        <w:t>range</w:t>
      </w:r>
      <w:r w:rsidR="00E8484B" w:rsidRPr="0052664C">
        <w:rPr>
          <w:rFonts w:ascii="Book Antiqua" w:hAnsi="Book Antiqua"/>
        </w:rPr>
        <w:t>d</w:t>
      </w:r>
      <w:r w:rsidR="001D6715" w:rsidRPr="0052664C">
        <w:rPr>
          <w:rFonts w:ascii="Book Antiqua" w:hAnsi="Book Antiqua"/>
        </w:rPr>
        <w:t xml:space="preserve"> from 235 to 6</w:t>
      </w:r>
      <w:r w:rsidR="0080556C" w:rsidRPr="0052664C">
        <w:rPr>
          <w:rFonts w:ascii="Book Antiqua" w:hAnsi="Book Antiqua"/>
        </w:rPr>
        <w:t>440</w:t>
      </w:r>
      <w:r w:rsidRPr="0052664C">
        <w:rPr>
          <w:rFonts w:ascii="Book Antiqua" w:hAnsi="Book Antiqua"/>
        </w:rPr>
        <w:t xml:space="preserve"> </w:t>
      </w:r>
      <w:r w:rsidR="0080556C" w:rsidRPr="0052664C">
        <w:rPr>
          <w:rFonts w:ascii="Book Antiqua" w:hAnsi="Book Antiqua"/>
        </w:rPr>
        <w:t>cells</w:t>
      </w:r>
      <w:r w:rsidR="001B3E37" w:rsidRPr="0052664C">
        <w:rPr>
          <w:rFonts w:ascii="Book Antiqua" w:hAnsi="Book Antiqua"/>
        </w:rPr>
        <w:t>/</w:t>
      </w:r>
      <w:r w:rsidR="0080556C" w:rsidRPr="0052664C">
        <w:rPr>
          <w:rFonts w:ascii="Book Antiqua" w:hAnsi="Book Antiqua"/>
        </w:rPr>
        <w:t xml:space="preserve">7.5 </w:t>
      </w:r>
      <w:r w:rsidR="00356740" w:rsidRPr="0052664C">
        <w:rPr>
          <w:rFonts w:ascii="Book Antiqua" w:hAnsi="Book Antiqua"/>
        </w:rPr>
        <w:t xml:space="preserve">mL </w:t>
      </w:r>
      <w:r w:rsidR="00863B0B" w:rsidRPr="0052664C">
        <w:rPr>
          <w:rFonts w:ascii="Book Antiqua" w:hAnsi="Book Antiqua"/>
        </w:rPr>
        <w:t xml:space="preserve">of </w:t>
      </w:r>
      <w:r w:rsidR="0080556C" w:rsidRPr="0052664C">
        <w:rPr>
          <w:rFonts w:ascii="Book Antiqua" w:hAnsi="Book Antiqua"/>
        </w:rPr>
        <w:t>peripheral blood (median</w:t>
      </w:r>
      <w:r w:rsidR="00863B0B" w:rsidRPr="0052664C">
        <w:rPr>
          <w:rFonts w:ascii="Book Antiqua" w:hAnsi="Book Antiqua"/>
        </w:rPr>
        <w:t xml:space="preserve"> of</w:t>
      </w:r>
      <w:r w:rsidR="00E8484B" w:rsidRPr="0052664C">
        <w:rPr>
          <w:rFonts w:ascii="Book Antiqua" w:hAnsi="Book Antiqua"/>
        </w:rPr>
        <w:t xml:space="preserve"> </w:t>
      </w:r>
      <w:r w:rsidR="0080556C" w:rsidRPr="0052664C">
        <w:rPr>
          <w:rFonts w:ascii="Book Antiqua" w:hAnsi="Book Antiqua"/>
        </w:rPr>
        <w:t>1724</w:t>
      </w:r>
      <w:r w:rsidR="001D6715" w:rsidRPr="0052664C">
        <w:rPr>
          <w:rFonts w:ascii="Book Antiqua" w:eastAsia="SimSun" w:hAnsi="Book Antiqua" w:hint="eastAsia"/>
          <w:lang w:eastAsia="zh-CN"/>
        </w:rPr>
        <w:t>;</w:t>
      </w:r>
      <w:r w:rsidR="00BA0C8C" w:rsidRPr="0052664C">
        <w:rPr>
          <w:rFonts w:ascii="Book Antiqua" w:hAnsi="Book Antiqua"/>
        </w:rPr>
        <w:t xml:space="preserve"> Table 2</w:t>
      </w:r>
      <w:r w:rsidRPr="0052664C">
        <w:rPr>
          <w:rFonts w:ascii="Book Antiqua" w:hAnsi="Book Antiqua"/>
        </w:rPr>
        <w:t>)</w:t>
      </w:r>
      <w:r w:rsidR="00863B0B" w:rsidRPr="0052664C">
        <w:rPr>
          <w:rFonts w:ascii="Book Antiqua" w:hAnsi="Book Antiqua"/>
        </w:rPr>
        <w:t>, which is considered to be a characteristic of this gastric cancer subtype</w:t>
      </w:r>
      <w:r w:rsidRPr="0052664C">
        <w:rPr>
          <w:rFonts w:ascii="Book Antiqua" w:hAnsi="Book Antiqua"/>
        </w:rPr>
        <w:t xml:space="preserve">. </w:t>
      </w:r>
      <w:r w:rsidR="00863B0B" w:rsidRPr="0052664C">
        <w:rPr>
          <w:rFonts w:ascii="Book Antiqua" w:hAnsi="Book Antiqua"/>
        </w:rPr>
        <w:t xml:space="preserve">These </w:t>
      </w:r>
      <w:r w:rsidRPr="0052664C">
        <w:rPr>
          <w:rFonts w:ascii="Book Antiqua" w:hAnsi="Book Antiqua"/>
        </w:rPr>
        <w:t>value</w:t>
      </w:r>
      <w:r w:rsidR="00863B0B" w:rsidRPr="0052664C">
        <w:rPr>
          <w:rFonts w:ascii="Book Antiqua" w:hAnsi="Book Antiqua"/>
        </w:rPr>
        <w:t>s</w:t>
      </w:r>
      <w:r w:rsidRPr="0052664C">
        <w:rPr>
          <w:rFonts w:ascii="Book Antiqua" w:hAnsi="Book Antiqua"/>
        </w:rPr>
        <w:t xml:space="preserve"> </w:t>
      </w:r>
      <w:r w:rsidR="00863B0B" w:rsidRPr="0052664C">
        <w:rPr>
          <w:rFonts w:ascii="Book Antiqua" w:hAnsi="Book Antiqua"/>
        </w:rPr>
        <w:t xml:space="preserve">were </w:t>
      </w:r>
      <w:r w:rsidR="00E8484B" w:rsidRPr="0052664C">
        <w:rPr>
          <w:rFonts w:ascii="Book Antiqua" w:hAnsi="Book Antiqua"/>
        </w:rPr>
        <w:t xml:space="preserve">considerably </w:t>
      </w:r>
      <w:r w:rsidRPr="0052664C">
        <w:rPr>
          <w:rFonts w:ascii="Book Antiqua" w:hAnsi="Book Antiqua"/>
        </w:rPr>
        <w:t xml:space="preserve">higher than </w:t>
      </w:r>
      <w:r w:rsidR="00863B0B" w:rsidRPr="0052664C">
        <w:rPr>
          <w:rFonts w:ascii="Book Antiqua" w:hAnsi="Book Antiqua"/>
        </w:rPr>
        <w:t xml:space="preserve">is typically found with more </w:t>
      </w:r>
      <w:r w:rsidR="00E8484B" w:rsidRPr="0052664C">
        <w:rPr>
          <w:rFonts w:ascii="Book Antiqua" w:hAnsi="Book Antiqua"/>
        </w:rPr>
        <w:t>common</w:t>
      </w:r>
      <w:r w:rsidRPr="0052664C">
        <w:rPr>
          <w:rFonts w:ascii="Book Antiqua" w:hAnsi="Book Antiqua"/>
        </w:rPr>
        <w:t xml:space="preserve"> gastric cancer</w:t>
      </w:r>
      <w:r w:rsidR="00E8484B" w:rsidRPr="0052664C">
        <w:rPr>
          <w:rFonts w:ascii="Book Antiqua" w:hAnsi="Book Antiqua"/>
        </w:rPr>
        <w:t>s</w:t>
      </w:r>
      <w:r w:rsidRPr="0052664C">
        <w:rPr>
          <w:rFonts w:ascii="Book Antiqua" w:hAnsi="Book Antiqua"/>
        </w:rPr>
        <w:t xml:space="preserve">, </w:t>
      </w:r>
      <w:r w:rsidR="00863B0B" w:rsidRPr="0052664C">
        <w:rPr>
          <w:rFonts w:ascii="Book Antiqua" w:hAnsi="Book Antiqua"/>
        </w:rPr>
        <w:t xml:space="preserve">which have </w:t>
      </w:r>
      <w:r w:rsidRPr="0052664C">
        <w:rPr>
          <w:rFonts w:ascii="Book Antiqua" w:hAnsi="Book Antiqua"/>
        </w:rPr>
        <w:t>a</w:t>
      </w:r>
      <w:r w:rsidR="00863B0B" w:rsidRPr="0052664C">
        <w:rPr>
          <w:rFonts w:ascii="Book Antiqua" w:hAnsi="Book Antiqua"/>
        </w:rPr>
        <w:t xml:space="preserve"> reported </w:t>
      </w:r>
      <w:r w:rsidRPr="0052664C">
        <w:rPr>
          <w:rFonts w:ascii="Book Antiqua" w:hAnsi="Book Antiqua"/>
        </w:rPr>
        <w:t>median</w:t>
      </w:r>
      <w:r w:rsidR="00E8484B" w:rsidRPr="0052664C">
        <w:rPr>
          <w:rFonts w:ascii="Book Antiqua" w:hAnsi="Book Antiqua"/>
        </w:rPr>
        <w:t xml:space="preserve"> </w:t>
      </w:r>
      <w:r w:rsidR="00863B0B" w:rsidRPr="0052664C">
        <w:rPr>
          <w:rFonts w:ascii="Book Antiqua" w:hAnsi="Book Antiqua"/>
        </w:rPr>
        <w:t xml:space="preserve">value of </w:t>
      </w:r>
      <w:r w:rsidRPr="0052664C">
        <w:rPr>
          <w:rFonts w:ascii="Book Antiqua" w:hAnsi="Book Antiqua"/>
        </w:rPr>
        <w:t xml:space="preserve">2 cells/7.5 </w:t>
      </w:r>
      <w:r w:rsidR="00356740" w:rsidRPr="0052664C">
        <w:rPr>
          <w:rFonts w:ascii="Book Antiqua" w:hAnsi="Book Antiqua"/>
        </w:rPr>
        <w:t>mL</w:t>
      </w:r>
      <w:r w:rsidRPr="0052664C">
        <w:rPr>
          <w:rFonts w:ascii="Book Antiqua" w:hAnsi="Book Antiqua"/>
        </w:rPr>
        <w:t>)</w:t>
      </w:r>
      <w:r w:rsidR="00E11D9F" w:rsidRPr="0052664C">
        <w:rPr>
          <w:rFonts w:ascii="Book Antiqua" w:hAnsi="Book Antiqua"/>
          <w:vertAlign w:val="superscript"/>
        </w:rPr>
        <w:t>[</w:t>
      </w:r>
      <w:r w:rsidR="00D57079" w:rsidRPr="0052664C">
        <w:rPr>
          <w:rFonts w:ascii="Book Antiqua" w:hAnsi="Book Antiqua"/>
          <w:vertAlign w:val="superscript"/>
        </w:rPr>
        <w:t>11</w:t>
      </w:r>
      <w:r w:rsidR="00781CE9" w:rsidRPr="0052664C">
        <w:rPr>
          <w:rFonts w:ascii="Book Antiqua" w:hAnsi="Book Antiqua"/>
          <w:vertAlign w:val="superscript"/>
        </w:rPr>
        <w:t>]</w:t>
      </w:r>
      <w:r w:rsidRPr="0052664C">
        <w:rPr>
          <w:rFonts w:ascii="Book Antiqua" w:hAnsi="Book Antiqua"/>
        </w:rPr>
        <w:t>.</w:t>
      </w:r>
    </w:p>
    <w:p w14:paraId="146C8AD5" w14:textId="77777777" w:rsidR="00E248B1" w:rsidRPr="0052664C" w:rsidRDefault="00E248B1" w:rsidP="00E11D9F">
      <w:pPr>
        <w:spacing w:line="360" w:lineRule="auto"/>
        <w:rPr>
          <w:rFonts w:ascii="Book Antiqua" w:hAnsi="Book Antiqua"/>
          <w:b/>
        </w:rPr>
      </w:pPr>
    </w:p>
    <w:p w14:paraId="2316C235" w14:textId="07574925" w:rsidR="00AD5218" w:rsidRPr="0052664C" w:rsidRDefault="001D6715" w:rsidP="00E11D9F">
      <w:pPr>
        <w:spacing w:line="360" w:lineRule="auto"/>
        <w:rPr>
          <w:rFonts w:ascii="Book Antiqua" w:hAnsi="Book Antiqua"/>
          <w:b/>
          <w:i/>
        </w:rPr>
      </w:pPr>
      <w:r w:rsidRPr="0052664C">
        <w:rPr>
          <w:rFonts w:ascii="Book Antiqua" w:hAnsi="Book Antiqua"/>
          <w:b/>
          <w:i/>
        </w:rPr>
        <w:t xml:space="preserve">Change </w:t>
      </w:r>
      <w:r w:rsidR="00E248B1" w:rsidRPr="0052664C">
        <w:rPr>
          <w:rFonts w:ascii="Book Antiqua" w:hAnsi="Book Antiqua"/>
          <w:b/>
          <w:i/>
        </w:rPr>
        <w:t>of CTC count and therapeutic response</w:t>
      </w:r>
    </w:p>
    <w:p w14:paraId="3B2520E7" w14:textId="6B8138A3" w:rsidR="006A0B17" w:rsidRPr="0052664C" w:rsidRDefault="00681868" w:rsidP="00E11D9F">
      <w:pPr>
        <w:spacing w:line="360" w:lineRule="auto"/>
        <w:rPr>
          <w:rFonts w:ascii="Book Antiqua" w:hAnsi="Book Antiqua"/>
        </w:rPr>
      </w:pPr>
      <w:r w:rsidRPr="0052664C">
        <w:rPr>
          <w:rFonts w:ascii="Book Antiqua" w:hAnsi="Book Antiqua"/>
        </w:rPr>
        <w:t xml:space="preserve">The therapeutic course </w:t>
      </w:r>
      <w:r w:rsidR="00677F12" w:rsidRPr="0052664C">
        <w:rPr>
          <w:rFonts w:ascii="Book Antiqua" w:hAnsi="Book Antiqua"/>
        </w:rPr>
        <w:t xml:space="preserve">for </w:t>
      </w:r>
      <w:r w:rsidRPr="0052664C">
        <w:rPr>
          <w:rFonts w:ascii="Book Antiqua" w:hAnsi="Book Antiqua"/>
        </w:rPr>
        <w:t>each case</w:t>
      </w:r>
      <w:r w:rsidR="0077048C" w:rsidRPr="0052664C">
        <w:rPr>
          <w:rFonts w:ascii="Book Antiqua" w:hAnsi="Book Antiqua"/>
        </w:rPr>
        <w:t xml:space="preserve"> is presented in Table 2</w:t>
      </w:r>
      <w:r w:rsidRPr="0052664C">
        <w:rPr>
          <w:rFonts w:ascii="Book Antiqua" w:hAnsi="Book Antiqua"/>
        </w:rPr>
        <w:t xml:space="preserve">. </w:t>
      </w:r>
      <w:r w:rsidR="008E5C7A" w:rsidRPr="0052664C">
        <w:rPr>
          <w:rFonts w:ascii="Book Antiqua" w:hAnsi="Book Antiqua"/>
        </w:rPr>
        <w:t>Case</w:t>
      </w:r>
      <w:r w:rsidR="00677F12" w:rsidRPr="0052664C">
        <w:rPr>
          <w:rFonts w:ascii="Book Antiqua" w:hAnsi="Book Antiqua"/>
        </w:rPr>
        <w:t>s</w:t>
      </w:r>
      <w:r w:rsidR="008E5C7A" w:rsidRPr="0052664C">
        <w:rPr>
          <w:rFonts w:ascii="Book Antiqua" w:hAnsi="Book Antiqua"/>
        </w:rPr>
        <w:t xml:space="preserve"> 1 and 2 were </w:t>
      </w:r>
      <w:r w:rsidR="00781CE9" w:rsidRPr="0052664C">
        <w:rPr>
          <w:rFonts w:ascii="Book Antiqua" w:hAnsi="Book Antiqua"/>
        </w:rPr>
        <w:t>described in detail</w:t>
      </w:r>
      <w:r w:rsidR="00677F12" w:rsidRPr="0052664C">
        <w:rPr>
          <w:rFonts w:ascii="Book Antiqua" w:hAnsi="Book Antiqua"/>
        </w:rPr>
        <w:t xml:space="preserve"> elsewhere</w:t>
      </w:r>
      <w:r w:rsidR="00E11D9F" w:rsidRPr="0052664C">
        <w:rPr>
          <w:rFonts w:ascii="Book Antiqua" w:hAnsi="Book Antiqua"/>
          <w:vertAlign w:val="superscript"/>
        </w:rPr>
        <w:t>[</w:t>
      </w:r>
      <w:r w:rsidR="00D57079" w:rsidRPr="0052664C">
        <w:rPr>
          <w:rFonts w:ascii="Book Antiqua" w:hAnsi="Book Antiqua"/>
          <w:vertAlign w:val="superscript"/>
        </w:rPr>
        <w:t>13</w:t>
      </w:r>
      <w:r w:rsidR="008E5C7A" w:rsidRPr="0052664C">
        <w:rPr>
          <w:rFonts w:ascii="Book Antiqua" w:hAnsi="Book Antiqua"/>
          <w:vertAlign w:val="superscript"/>
        </w:rPr>
        <w:t>]</w:t>
      </w:r>
      <w:r w:rsidR="008E5C7A" w:rsidRPr="0052664C">
        <w:rPr>
          <w:rFonts w:ascii="Book Antiqua" w:hAnsi="Book Antiqua"/>
        </w:rPr>
        <w:t xml:space="preserve">. </w:t>
      </w:r>
      <w:r w:rsidR="00677F12" w:rsidRPr="0052664C">
        <w:rPr>
          <w:rFonts w:ascii="Book Antiqua" w:hAnsi="Book Antiqua"/>
        </w:rPr>
        <w:t xml:space="preserve">With </w:t>
      </w:r>
      <w:r w:rsidR="006D2BD7" w:rsidRPr="0052664C">
        <w:rPr>
          <w:rFonts w:ascii="Book Antiqua" w:hAnsi="Book Antiqua"/>
        </w:rPr>
        <w:t>three</w:t>
      </w:r>
      <w:r w:rsidR="00677F12" w:rsidRPr="0052664C">
        <w:rPr>
          <w:rFonts w:ascii="Book Antiqua" w:hAnsi="Book Antiqua"/>
        </w:rPr>
        <w:t xml:space="preserve"> </w:t>
      </w:r>
      <w:r w:rsidRPr="0052664C">
        <w:rPr>
          <w:rFonts w:ascii="Book Antiqua" w:hAnsi="Book Antiqua"/>
        </w:rPr>
        <w:t>cases</w:t>
      </w:r>
      <w:r w:rsidR="00627B17" w:rsidRPr="0052664C">
        <w:rPr>
          <w:rFonts w:ascii="Book Antiqua" w:hAnsi="Book Antiqua"/>
        </w:rPr>
        <w:t xml:space="preserve"> (cases 1, 2</w:t>
      </w:r>
      <w:r w:rsidR="00FE4C4B" w:rsidRPr="0052664C">
        <w:rPr>
          <w:rFonts w:ascii="Book Antiqua" w:hAnsi="Book Antiqua"/>
        </w:rPr>
        <w:t>,</w:t>
      </w:r>
      <w:r w:rsidR="00627B17" w:rsidRPr="0052664C">
        <w:rPr>
          <w:rFonts w:ascii="Book Antiqua" w:hAnsi="Book Antiqua"/>
        </w:rPr>
        <w:t xml:space="preserve"> and 4)</w:t>
      </w:r>
      <w:r w:rsidR="00677F12" w:rsidRPr="0052664C">
        <w:rPr>
          <w:rFonts w:ascii="Book Antiqua" w:hAnsi="Book Antiqua"/>
        </w:rPr>
        <w:t>,</w:t>
      </w:r>
      <w:r w:rsidRPr="0052664C">
        <w:rPr>
          <w:rFonts w:ascii="Book Antiqua" w:hAnsi="Book Antiqua"/>
        </w:rPr>
        <w:t xml:space="preserve"> </w:t>
      </w:r>
      <w:r w:rsidR="00677F12" w:rsidRPr="0052664C">
        <w:rPr>
          <w:rFonts w:ascii="Book Antiqua" w:hAnsi="Book Antiqua"/>
        </w:rPr>
        <w:t xml:space="preserve">tumors </w:t>
      </w:r>
      <w:r w:rsidRPr="0052664C">
        <w:rPr>
          <w:rFonts w:ascii="Book Antiqua" w:hAnsi="Book Antiqua"/>
        </w:rPr>
        <w:t xml:space="preserve">were </w:t>
      </w:r>
      <w:r w:rsidR="00B04435" w:rsidRPr="0052664C">
        <w:rPr>
          <w:rFonts w:ascii="Book Antiqua" w:hAnsi="Book Antiqua"/>
        </w:rPr>
        <w:t xml:space="preserve">sensitive </w:t>
      </w:r>
      <w:r w:rsidR="00F30A2D" w:rsidRPr="0052664C">
        <w:rPr>
          <w:rFonts w:ascii="Book Antiqua" w:hAnsi="Book Antiqua"/>
        </w:rPr>
        <w:t>to</w:t>
      </w:r>
      <w:r w:rsidRPr="0052664C">
        <w:rPr>
          <w:rFonts w:ascii="Book Antiqua" w:hAnsi="Book Antiqua"/>
        </w:rPr>
        <w:t xml:space="preserve"> chemotherapy </w:t>
      </w:r>
      <w:r w:rsidR="00677F12" w:rsidRPr="0052664C">
        <w:rPr>
          <w:rFonts w:ascii="Book Antiqua" w:hAnsi="Book Antiqua"/>
        </w:rPr>
        <w:t xml:space="preserve">administered </w:t>
      </w:r>
      <w:r w:rsidR="00F30A2D" w:rsidRPr="0052664C">
        <w:rPr>
          <w:rFonts w:ascii="Book Antiqua" w:hAnsi="Book Antiqua"/>
        </w:rPr>
        <w:t xml:space="preserve">immediately </w:t>
      </w:r>
      <w:r w:rsidRPr="0052664C">
        <w:rPr>
          <w:rFonts w:ascii="Book Antiqua" w:hAnsi="Book Antiqua"/>
        </w:rPr>
        <w:t xml:space="preserve">after </w:t>
      </w:r>
      <w:r w:rsidR="00677F12" w:rsidRPr="0052664C">
        <w:rPr>
          <w:rFonts w:ascii="Book Antiqua" w:hAnsi="Book Antiqua"/>
        </w:rPr>
        <w:t xml:space="preserve">the </w:t>
      </w:r>
      <w:r w:rsidRPr="0052664C">
        <w:rPr>
          <w:rFonts w:ascii="Book Antiqua" w:hAnsi="Book Antiqua"/>
        </w:rPr>
        <w:t xml:space="preserve">CTC examination. </w:t>
      </w:r>
      <w:r w:rsidR="00677F12" w:rsidRPr="0052664C">
        <w:rPr>
          <w:rFonts w:ascii="Book Antiqua" w:hAnsi="Book Antiqua"/>
        </w:rPr>
        <w:t xml:space="preserve">Tumor </w:t>
      </w:r>
      <w:r w:rsidR="00781CE9" w:rsidRPr="0052664C">
        <w:rPr>
          <w:rFonts w:ascii="Book Antiqua" w:hAnsi="Book Antiqua"/>
        </w:rPr>
        <w:t>response was evaluated</w:t>
      </w:r>
      <w:r w:rsidR="00F30A2D" w:rsidRPr="0052664C">
        <w:rPr>
          <w:rFonts w:ascii="Book Antiqua" w:hAnsi="Book Antiqua"/>
        </w:rPr>
        <w:t xml:space="preserve"> </w:t>
      </w:r>
      <w:r w:rsidRPr="0052664C">
        <w:rPr>
          <w:rFonts w:ascii="Book Antiqua" w:hAnsi="Book Antiqua"/>
        </w:rPr>
        <w:t xml:space="preserve">by computed tomography (CT) imaging </w:t>
      </w:r>
      <w:r w:rsidR="00677F12" w:rsidRPr="0052664C">
        <w:rPr>
          <w:rFonts w:ascii="Book Antiqua" w:hAnsi="Book Antiqua"/>
        </w:rPr>
        <w:t>performed nearly</w:t>
      </w:r>
      <w:r w:rsidRPr="0052664C">
        <w:rPr>
          <w:rFonts w:ascii="Book Antiqua" w:hAnsi="Book Antiqua"/>
        </w:rPr>
        <w:t xml:space="preserve"> </w:t>
      </w:r>
      <w:r w:rsidR="00467190" w:rsidRPr="0052664C">
        <w:rPr>
          <w:rFonts w:ascii="Book Antiqua" w:hAnsi="Book Antiqua"/>
        </w:rPr>
        <w:t xml:space="preserve">3 </w:t>
      </w:r>
      <w:r w:rsidR="001D6715" w:rsidRPr="0052664C">
        <w:rPr>
          <w:rFonts w:ascii="Book Antiqua" w:eastAsia="SimSun" w:hAnsi="Book Antiqua" w:hint="eastAsia"/>
          <w:lang w:eastAsia="zh-CN"/>
        </w:rPr>
        <w:t>mo</w:t>
      </w:r>
      <w:r w:rsidRPr="0052664C">
        <w:rPr>
          <w:rFonts w:ascii="Book Antiqua" w:hAnsi="Book Antiqua"/>
        </w:rPr>
        <w:t xml:space="preserve"> </w:t>
      </w:r>
      <w:r w:rsidR="00677F12" w:rsidRPr="0052664C">
        <w:rPr>
          <w:rFonts w:ascii="Book Antiqua" w:hAnsi="Book Antiqua"/>
        </w:rPr>
        <w:t xml:space="preserve">after </w:t>
      </w:r>
      <w:r w:rsidR="006D2BD7" w:rsidRPr="0052664C">
        <w:rPr>
          <w:rFonts w:ascii="Book Antiqua" w:hAnsi="Book Antiqua"/>
        </w:rPr>
        <w:t xml:space="preserve">the </w:t>
      </w:r>
      <w:r w:rsidR="00677F12" w:rsidRPr="0052664C">
        <w:rPr>
          <w:rFonts w:ascii="Book Antiqua" w:hAnsi="Book Antiqua"/>
        </w:rPr>
        <w:t>initiation of chemotherapy</w:t>
      </w:r>
      <w:r w:rsidRPr="0052664C">
        <w:rPr>
          <w:rFonts w:ascii="Book Antiqua" w:hAnsi="Book Antiqua"/>
        </w:rPr>
        <w:t xml:space="preserve">. </w:t>
      </w:r>
      <w:r w:rsidR="006D2BD7" w:rsidRPr="0052664C">
        <w:rPr>
          <w:rFonts w:ascii="Book Antiqua" w:hAnsi="Book Antiqua"/>
        </w:rPr>
        <w:t xml:space="preserve">The patient </w:t>
      </w:r>
      <w:r w:rsidRPr="0052664C">
        <w:rPr>
          <w:rFonts w:ascii="Book Antiqua" w:hAnsi="Book Antiqua"/>
        </w:rPr>
        <w:t>CTC</w:t>
      </w:r>
      <w:r w:rsidR="00C87005" w:rsidRPr="0052664C">
        <w:rPr>
          <w:rFonts w:ascii="Book Antiqua" w:hAnsi="Book Antiqua"/>
        </w:rPr>
        <w:t xml:space="preserve"> count</w:t>
      </w:r>
      <w:r w:rsidRPr="0052664C">
        <w:rPr>
          <w:rFonts w:ascii="Book Antiqua" w:hAnsi="Book Antiqua"/>
        </w:rPr>
        <w:t xml:space="preserve"> </w:t>
      </w:r>
      <w:r w:rsidR="00467190" w:rsidRPr="0052664C">
        <w:rPr>
          <w:rFonts w:ascii="Book Antiqua" w:hAnsi="Book Antiqua"/>
        </w:rPr>
        <w:t xml:space="preserve">was </w:t>
      </w:r>
      <w:r w:rsidR="00677F12" w:rsidRPr="0052664C">
        <w:rPr>
          <w:rFonts w:ascii="Book Antiqua" w:hAnsi="Book Antiqua"/>
        </w:rPr>
        <w:t xml:space="preserve">reassessed </w:t>
      </w:r>
      <w:r w:rsidR="00F30A2D" w:rsidRPr="0052664C">
        <w:rPr>
          <w:rFonts w:ascii="Book Antiqua" w:hAnsi="Book Antiqua"/>
        </w:rPr>
        <w:t xml:space="preserve">at a median </w:t>
      </w:r>
      <w:r w:rsidR="00467190" w:rsidRPr="0052664C">
        <w:rPr>
          <w:rFonts w:ascii="Book Antiqua" w:hAnsi="Book Antiqua"/>
        </w:rPr>
        <w:t xml:space="preserve">of </w:t>
      </w:r>
      <w:r w:rsidR="00F30A2D" w:rsidRPr="0052664C">
        <w:rPr>
          <w:rFonts w:ascii="Book Antiqua" w:hAnsi="Book Antiqua"/>
        </w:rPr>
        <w:t>14 days</w:t>
      </w:r>
      <w:r w:rsidR="0077048C" w:rsidRPr="0052664C">
        <w:rPr>
          <w:rFonts w:ascii="Book Antiqua" w:hAnsi="Book Antiqua"/>
        </w:rPr>
        <w:t xml:space="preserve"> after chemotherapy (</w:t>
      </w:r>
      <w:r w:rsidR="00F30A2D" w:rsidRPr="0052664C">
        <w:rPr>
          <w:rFonts w:ascii="Book Antiqua" w:hAnsi="Book Antiqua"/>
        </w:rPr>
        <w:t>rang</w:t>
      </w:r>
      <w:r w:rsidR="00D94E48" w:rsidRPr="0052664C">
        <w:rPr>
          <w:rFonts w:ascii="Book Antiqua" w:hAnsi="Book Antiqua"/>
        </w:rPr>
        <w:t>e</w:t>
      </w:r>
      <w:r w:rsidR="00677F12" w:rsidRPr="0052664C">
        <w:rPr>
          <w:rFonts w:ascii="Book Antiqua" w:hAnsi="Book Antiqua"/>
        </w:rPr>
        <w:t>,</w:t>
      </w:r>
      <w:r w:rsidR="0077048C" w:rsidRPr="0052664C">
        <w:rPr>
          <w:rFonts w:ascii="Book Antiqua" w:hAnsi="Book Antiqua"/>
        </w:rPr>
        <w:t xml:space="preserve"> 11</w:t>
      </w:r>
      <w:r w:rsidR="00D94E48" w:rsidRPr="0052664C">
        <w:rPr>
          <w:rFonts w:ascii="Book Antiqua" w:hAnsi="Book Antiqua"/>
        </w:rPr>
        <w:t>–</w:t>
      </w:r>
      <w:r w:rsidR="0077048C" w:rsidRPr="0052664C">
        <w:rPr>
          <w:rFonts w:ascii="Book Antiqua" w:hAnsi="Book Antiqua"/>
        </w:rPr>
        <w:t>16</w:t>
      </w:r>
      <w:r w:rsidRPr="0052664C">
        <w:rPr>
          <w:rFonts w:ascii="Book Antiqua" w:hAnsi="Book Antiqua"/>
        </w:rPr>
        <w:t xml:space="preserve"> </w:t>
      </w:r>
      <w:r w:rsidR="001D6715" w:rsidRPr="0052664C">
        <w:rPr>
          <w:rFonts w:ascii="Book Antiqua" w:eastAsia="SimSun" w:hAnsi="Book Antiqua" w:hint="eastAsia"/>
          <w:lang w:eastAsia="zh-CN"/>
        </w:rPr>
        <w:t>d</w:t>
      </w:r>
      <w:r w:rsidRPr="0052664C">
        <w:rPr>
          <w:rFonts w:ascii="Book Antiqua" w:hAnsi="Book Antiqua"/>
        </w:rPr>
        <w:t xml:space="preserve">). </w:t>
      </w:r>
      <w:r w:rsidR="00677F12" w:rsidRPr="0052664C">
        <w:rPr>
          <w:rFonts w:ascii="Book Antiqua" w:hAnsi="Book Antiqua"/>
        </w:rPr>
        <w:t xml:space="preserve">A change in </w:t>
      </w:r>
      <w:r w:rsidR="006D2BD7" w:rsidRPr="0052664C">
        <w:rPr>
          <w:rFonts w:ascii="Book Antiqua" w:hAnsi="Book Antiqua"/>
        </w:rPr>
        <w:t xml:space="preserve">the </w:t>
      </w:r>
      <w:r w:rsidR="00C4004B" w:rsidRPr="0052664C">
        <w:rPr>
          <w:rFonts w:ascii="Book Antiqua" w:hAnsi="Book Antiqua"/>
        </w:rPr>
        <w:t xml:space="preserve">CTC count </w:t>
      </w:r>
      <w:r w:rsidR="00677F12" w:rsidRPr="0052664C">
        <w:rPr>
          <w:rFonts w:ascii="Book Antiqua" w:hAnsi="Book Antiqua"/>
        </w:rPr>
        <w:t xml:space="preserve">may </w:t>
      </w:r>
      <w:r w:rsidR="00C4004B" w:rsidRPr="0052664C">
        <w:rPr>
          <w:rFonts w:ascii="Book Antiqua" w:hAnsi="Book Antiqua"/>
        </w:rPr>
        <w:t xml:space="preserve">be an earlier indicator of </w:t>
      </w:r>
      <w:r w:rsidR="00424BCF" w:rsidRPr="0052664C">
        <w:rPr>
          <w:rFonts w:ascii="Book Antiqua" w:hAnsi="Book Antiqua"/>
        </w:rPr>
        <w:t xml:space="preserve">the </w:t>
      </w:r>
      <w:r w:rsidR="00C4004B" w:rsidRPr="0052664C">
        <w:rPr>
          <w:rFonts w:ascii="Book Antiqua" w:hAnsi="Book Antiqua"/>
        </w:rPr>
        <w:t xml:space="preserve">therapeutic outcome than </w:t>
      </w:r>
      <w:r w:rsidR="00677F12" w:rsidRPr="0052664C">
        <w:rPr>
          <w:rFonts w:ascii="Book Antiqua" w:hAnsi="Book Antiqua"/>
        </w:rPr>
        <w:t xml:space="preserve">changes visible upon </w:t>
      </w:r>
      <w:r w:rsidR="00C4004B" w:rsidRPr="0052664C">
        <w:rPr>
          <w:rFonts w:ascii="Book Antiqua" w:hAnsi="Book Antiqua"/>
        </w:rPr>
        <w:t xml:space="preserve">imaging. </w:t>
      </w:r>
      <w:r w:rsidR="00677F12" w:rsidRPr="0052664C">
        <w:rPr>
          <w:rFonts w:ascii="Book Antiqua" w:hAnsi="Book Antiqua"/>
        </w:rPr>
        <w:t>E</w:t>
      </w:r>
      <w:r w:rsidR="00C4004B" w:rsidRPr="0052664C">
        <w:rPr>
          <w:rFonts w:ascii="Book Antiqua" w:hAnsi="Book Antiqua"/>
        </w:rPr>
        <w:t xml:space="preserve">arlier detection could be </w:t>
      </w:r>
      <w:r w:rsidR="00677F12" w:rsidRPr="0052664C">
        <w:rPr>
          <w:rFonts w:ascii="Book Antiqua" w:hAnsi="Book Antiqua"/>
        </w:rPr>
        <w:t>critical</w:t>
      </w:r>
      <w:r w:rsidR="00C4004B" w:rsidRPr="0052664C">
        <w:rPr>
          <w:rFonts w:ascii="Book Antiqua" w:hAnsi="Book Antiqua"/>
        </w:rPr>
        <w:t xml:space="preserve"> because </w:t>
      </w:r>
      <w:r w:rsidR="00677F12" w:rsidRPr="0052664C">
        <w:rPr>
          <w:rFonts w:ascii="Book Antiqua" w:hAnsi="Book Antiqua"/>
        </w:rPr>
        <w:t xml:space="preserve">the </w:t>
      </w:r>
      <w:r w:rsidR="00C4004B" w:rsidRPr="0052664C">
        <w:rPr>
          <w:rFonts w:ascii="Book Antiqua" w:hAnsi="Book Antiqua"/>
        </w:rPr>
        <w:t xml:space="preserve">progression of this </w:t>
      </w:r>
      <w:r w:rsidR="00677F12" w:rsidRPr="0052664C">
        <w:rPr>
          <w:rFonts w:ascii="Book Antiqua" w:hAnsi="Book Antiqua"/>
        </w:rPr>
        <w:t xml:space="preserve">gastric cancer </w:t>
      </w:r>
      <w:r w:rsidR="00C4004B" w:rsidRPr="0052664C">
        <w:rPr>
          <w:rFonts w:ascii="Book Antiqua" w:hAnsi="Book Antiqua"/>
        </w:rPr>
        <w:t xml:space="preserve">subtype tends to be very rapid. If a </w:t>
      </w:r>
      <w:r w:rsidR="00677F12" w:rsidRPr="0052664C">
        <w:rPr>
          <w:rFonts w:ascii="Book Antiqua" w:hAnsi="Book Antiqua"/>
        </w:rPr>
        <w:t xml:space="preserve">tumor </w:t>
      </w:r>
      <w:r w:rsidR="00C4004B" w:rsidRPr="0052664C">
        <w:rPr>
          <w:rFonts w:ascii="Book Antiqua" w:hAnsi="Book Antiqua"/>
        </w:rPr>
        <w:t>is insensitive</w:t>
      </w:r>
      <w:r w:rsidR="00677F12" w:rsidRPr="0052664C">
        <w:rPr>
          <w:rFonts w:ascii="Book Antiqua" w:hAnsi="Book Antiqua"/>
        </w:rPr>
        <w:t xml:space="preserve"> to treatment</w:t>
      </w:r>
      <w:r w:rsidR="00C4004B" w:rsidRPr="0052664C">
        <w:rPr>
          <w:rFonts w:ascii="Book Antiqua" w:hAnsi="Book Antiqua"/>
        </w:rPr>
        <w:t xml:space="preserve">, an alternative chemotherapeutic agent may be substituted after </w:t>
      </w:r>
      <w:r w:rsidR="00677F12" w:rsidRPr="0052664C">
        <w:rPr>
          <w:rFonts w:ascii="Book Antiqua" w:hAnsi="Book Antiqua"/>
        </w:rPr>
        <w:t xml:space="preserve">only </w:t>
      </w:r>
      <w:r w:rsidR="00C4004B" w:rsidRPr="0052664C">
        <w:rPr>
          <w:rFonts w:ascii="Book Antiqua" w:hAnsi="Book Antiqua"/>
        </w:rPr>
        <w:t>one cycle</w:t>
      </w:r>
      <w:r w:rsidR="00677F12" w:rsidRPr="0052664C">
        <w:rPr>
          <w:rFonts w:ascii="Book Antiqua" w:hAnsi="Book Antiqua"/>
        </w:rPr>
        <w:t>,</w:t>
      </w:r>
      <w:r w:rsidR="00C4004B" w:rsidRPr="0052664C">
        <w:rPr>
          <w:rFonts w:ascii="Book Antiqua" w:hAnsi="Book Antiqua"/>
        </w:rPr>
        <w:t xml:space="preserve"> </w:t>
      </w:r>
      <w:r w:rsidR="00677F12" w:rsidRPr="0052664C">
        <w:rPr>
          <w:rFonts w:ascii="Book Antiqua" w:hAnsi="Book Antiqua"/>
        </w:rPr>
        <w:t xml:space="preserve">eliminating the need to continue </w:t>
      </w:r>
      <w:r w:rsidR="00C4004B" w:rsidRPr="0052664C">
        <w:rPr>
          <w:rFonts w:ascii="Book Antiqua" w:hAnsi="Book Antiqua"/>
        </w:rPr>
        <w:t>a</w:t>
      </w:r>
      <w:r w:rsidR="00677F12" w:rsidRPr="0052664C">
        <w:rPr>
          <w:rFonts w:ascii="Book Antiqua" w:hAnsi="Book Antiqua"/>
        </w:rPr>
        <w:t>n ineffective</w:t>
      </w:r>
      <w:r w:rsidR="00C4004B" w:rsidRPr="0052664C">
        <w:rPr>
          <w:rFonts w:ascii="Book Antiqua" w:hAnsi="Book Antiqua"/>
        </w:rPr>
        <w:t xml:space="preserve"> </w:t>
      </w:r>
      <w:r w:rsidR="00677F12" w:rsidRPr="0052664C">
        <w:rPr>
          <w:rFonts w:ascii="Book Antiqua" w:hAnsi="Book Antiqua"/>
        </w:rPr>
        <w:t xml:space="preserve">systemically administered </w:t>
      </w:r>
      <w:r w:rsidR="00C4004B" w:rsidRPr="0052664C">
        <w:rPr>
          <w:rFonts w:ascii="Book Antiqua" w:hAnsi="Book Antiqua"/>
        </w:rPr>
        <w:t xml:space="preserve">treatment for </w:t>
      </w:r>
      <w:r w:rsidR="00677F12" w:rsidRPr="0052664C">
        <w:rPr>
          <w:rFonts w:ascii="Book Antiqua" w:hAnsi="Book Antiqua"/>
        </w:rPr>
        <w:t>several</w:t>
      </w:r>
      <w:r w:rsidR="00C4004B" w:rsidRPr="0052664C">
        <w:rPr>
          <w:rFonts w:ascii="Book Antiqua" w:hAnsi="Book Antiqua"/>
        </w:rPr>
        <w:t xml:space="preserve"> months</w:t>
      </w:r>
      <w:r w:rsidR="00424BCF" w:rsidRPr="0052664C">
        <w:rPr>
          <w:rFonts w:ascii="Book Antiqua" w:hAnsi="Book Antiqua"/>
        </w:rPr>
        <w:t>,</w:t>
      </w:r>
      <w:r w:rsidR="00677F12" w:rsidRPr="0052664C">
        <w:rPr>
          <w:rFonts w:ascii="Book Antiqua" w:hAnsi="Book Antiqua"/>
        </w:rPr>
        <w:t xml:space="preserve"> as is </w:t>
      </w:r>
      <w:r w:rsidR="00C4004B" w:rsidRPr="0052664C">
        <w:rPr>
          <w:rFonts w:ascii="Book Antiqua" w:hAnsi="Book Antiqua"/>
        </w:rPr>
        <w:t xml:space="preserve">necessary </w:t>
      </w:r>
      <w:r w:rsidR="00677F12" w:rsidRPr="0052664C">
        <w:rPr>
          <w:rFonts w:ascii="Book Antiqua" w:hAnsi="Book Antiqua"/>
        </w:rPr>
        <w:t xml:space="preserve">to detect </w:t>
      </w:r>
      <w:r w:rsidR="00C4004B" w:rsidRPr="0052664C">
        <w:rPr>
          <w:rFonts w:ascii="Book Antiqua" w:hAnsi="Book Antiqua"/>
        </w:rPr>
        <w:t>imaging</w:t>
      </w:r>
      <w:r w:rsidR="00677F12" w:rsidRPr="0052664C">
        <w:rPr>
          <w:rFonts w:ascii="Book Antiqua" w:hAnsi="Book Antiqua"/>
        </w:rPr>
        <w:t xml:space="preserve"> changes</w:t>
      </w:r>
      <w:r w:rsidR="00C4004B" w:rsidRPr="0052664C">
        <w:rPr>
          <w:rFonts w:ascii="Book Antiqua" w:hAnsi="Book Antiqua"/>
        </w:rPr>
        <w:t>.</w:t>
      </w:r>
      <w:r w:rsidR="00D93BB6" w:rsidRPr="0052664C">
        <w:rPr>
          <w:rFonts w:ascii="Book Antiqua" w:hAnsi="Book Antiqua"/>
        </w:rPr>
        <w:t xml:space="preserve"> </w:t>
      </w:r>
      <w:r w:rsidR="00781CE9" w:rsidRPr="0052664C">
        <w:rPr>
          <w:rFonts w:ascii="Book Antiqua" w:hAnsi="Book Antiqua"/>
        </w:rPr>
        <w:t xml:space="preserve">Moreover, this </w:t>
      </w:r>
      <w:r w:rsidR="00677F12" w:rsidRPr="0052664C">
        <w:rPr>
          <w:rFonts w:ascii="Book Antiqua" w:hAnsi="Book Antiqua"/>
        </w:rPr>
        <w:t xml:space="preserve">cancer </w:t>
      </w:r>
      <w:r w:rsidR="00781CE9" w:rsidRPr="0052664C">
        <w:rPr>
          <w:rFonts w:ascii="Book Antiqua" w:hAnsi="Book Antiqua"/>
        </w:rPr>
        <w:t>subtype often lacks measurable targets</w:t>
      </w:r>
      <w:r w:rsidR="00650818" w:rsidRPr="0052664C">
        <w:rPr>
          <w:rFonts w:ascii="Book Antiqua" w:hAnsi="Book Antiqua"/>
        </w:rPr>
        <w:t xml:space="preserve"> except lymph node metastases</w:t>
      </w:r>
      <w:r w:rsidR="00781CE9" w:rsidRPr="0052664C">
        <w:rPr>
          <w:rFonts w:ascii="Book Antiqua" w:hAnsi="Book Antiqua"/>
        </w:rPr>
        <w:t xml:space="preserve">, </w:t>
      </w:r>
      <w:r w:rsidR="00677F12" w:rsidRPr="0052664C">
        <w:rPr>
          <w:rFonts w:ascii="Book Antiqua" w:hAnsi="Book Antiqua"/>
        </w:rPr>
        <w:t>making imaging evaluation</w:t>
      </w:r>
      <w:r w:rsidR="00781CE9" w:rsidRPr="0052664C">
        <w:rPr>
          <w:rFonts w:ascii="Book Antiqua" w:hAnsi="Book Antiqua"/>
        </w:rPr>
        <w:t xml:space="preserve"> difficult. Further</w:t>
      </w:r>
      <w:r w:rsidR="00677F12" w:rsidRPr="0052664C">
        <w:rPr>
          <w:rFonts w:ascii="Book Antiqua" w:hAnsi="Book Antiqua"/>
        </w:rPr>
        <w:t>more</w:t>
      </w:r>
      <w:r w:rsidR="00781CE9" w:rsidRPr="0052664C">
        <w:rPr>
          <w:rFonts w:ascii="Book Antiqua" w:hAnsi="Book Antiqua"/>
        </w:rPr>
        <w:t>, c</w:t>
      </w:r>
      <w:r w:rsidR="00881B23" w:rsidRPr="0052664C">
        <w:rPr>
          <w:rFonts w:ascii="Book Antiqua" w:hAnsi="Book Antiqua"/>
        </w:rPr>
        <w:t xml:space="preserve">oncurrent </w:t>
      </w:r>
      <w:r w:rsidR="00FF643D" w:rsidRPr="0052664C">
        <w:rPr>
          <w:rFonts w:ascii="Book Antiqua" w:hAnsi="Book Antiqua"/>
        </w:rPr>
        <w:t xml:space="preserve">measurement </w:t>
      </w:r>
      <w:r w:rsidR="00881B23" w:rsidRPr="0052664C">
        <w:rPr>
          <w:rFonts w:ascii="Book Antiqua" w:hAnsi="Book Antiqua"/>
        </w:rPr>
        <w:t xml:space="preserve">of </w:t>
      </w:r>
      <w:r w:rsidR="00FF643D" w:rsidRPr="0052664C">
        <w:rPr>
          <w:rFonts w:ascii="Book Antiqua" w:hAnsi="Book Antiqua"/>
        </w:rPr>
        <w:t>the</w:t>
      </w:r>
      <w:r w:rsidR="00677F12" w:rsidRPr="0052664C">
        <w:rPr>
          <w:rFonts w:ascii="Book Antiqua" w:hAnsi="Book Antiqua"/>
        </w:rPr>
        <w:t xml:space="preserve"> </w:t>
      </w:r>
      <w:r w:rsidR="00677F12" w:rsidRPr="0052664C">
        <w:rPr>
          <w:rFonts w:ascii="Book Antiqua" w:hAnsi="Book Antiqua"/>
        </w:rPr>
        <w:lastRenderedPageBreak/>
        <w:t>serum</w:t>
      </w:r>
      <w:r w:rsidR="00FF643D" w:rsidRPr="0052664C">
        <w:rPr>
          <w:rFonts w:ascii="Book Antiqua" w:hAnsi="Book Antiqua"/>
        </w:rPr>
        <w:t xml:space="preserve"> </w:t>
      </w:r>
      <w:r w:rsidR="00881B23" w:rsidRPr="0052664C">
        <w:rPr>
          <w:rFonts w:ascii="Book Antiqua" w:hAnsi="Book Antiqua"/>
        </w:rPr>
        <w:t xml:space="preserve">tumor markers </w:t>
      </w:r>
      <w:r w:rsidR="009C21AC" w:rsidRPr="0052664C">
        <w:rPr>
          <w:rFonts w:ascii="Book Antiqua" w:hAnsi="Book Antiqua"/>
        </w:rPr>
        <w:t xml:space="preserve">carcinoembryonic antigen (CEA) </w:t>
      </w:r>
      <w:r w:rsidR="00881B23" w:rsidRPr="0052664C">
        <w:rPr>
          <w:rFonts w:ascii="Book Antiqua" w:hAnsi="Book Antiqua"/>
        </w:rPr>
        <w:t xml:space="preserve">and </w:t>
      </w:r>
      <w:r w:rsidR="009C21AC" w:rsidRPr="0052664C">
        <w:rPr>
          <w:rFonts w:ascii="Book Antiqua" w:hAnsi="Book Antiqua"/>
        </w:rPr>
        <w:t xml:space="preserve">carbohydrate antigen 19-9 (CA19-9) </w:t>
      </w:r>
      <w:r w:rsidR="00677F12" w:rsidRPr="0052664C">
        <w:rPr>
          <w:rFonts w:ascii="Book Antiqua" w:hAnsi="Book Antiqua"/>
        </w:rPr>
        <w:t xml:space="preserve">produced </w:t>
      </w:r>
      <w:r w:rsidR="004A6FA6" w:rsidRPr="0052664C">
        <w:rPr>
          <w:rFonts w:ascii="Book Antiqua" w:hAnsi="Book Antiqua"/>
        </w:rPr>
        <w:t xml:space="preserve">considerably </w:t>
      </w:r>
      <w:r w:rsidR="00677F12" w:rsidRPr="0052664C">
        <w:rPr>
          <w:rFonts w:ascii="Book Antiqua" w:hAnsi="Book Antiqua"/>
        </w:rPr>
        <w:t xml:space="preserve">different results in </w:t>
      </w:r>
      <w:r w:rsidR="00424BCF" w:rsidRPr="0052664C">
        <w:rPr>
          <w:rFonts w:ascii="Book Antiqua" w:hAnsi="Book Antiqua"/>
        </w:rPr>
        <w:t>two</w:t>
      </w:r>
      <w:r w:rsidR="00300EF4" w:rsidRPr="0052664C">
        <w:rPr>
          <w:rFonts w:ascii="Book Antiqua" w:hAnsi="Book Antiqua"/>
        </w:rPr>
        <w:t xml:space="preserve"> cases</w:t>
      </w:r>
      <w:r w:rsidR="0077048C" w:rsidRPr="0052664C">
        <w:rPr>
          <w:rFonts w:ascii="Book Antiqua" w:hAnsi="Book Antiqua"/>
        </w:rPr>
        <w:t xml:space="preserve"> (</w:t>
      </w:r>
      <w:r w:rsidR="00356740" w:rsidRPr="0052664C">
        <w:rPr>
          <w:rFonts w:ascii="Book Antiqua" w:hAnsi="Book Antiqua"/>
        </w:rPr>
        <w:t xml:space="preserve">cases </w:t>
      </w:r>
      <w:r w:rsidR="0077048C" w:rsidRPr="0052664C">
        <w:rPr>
          <w:rFonts w:ascii="Book Antiqua" w:hAnsi="Book Antiqua"/>
        </w:rPr>
        <w:t>1 and 2</w:t>
      </w:r>
      <w:r w:rsidR="001D6715" w:rsidRPr="0052664C">
        <w:rPr>
          <w:rFonts w:ascii="Book Antiqua" w:eastAsia="SimSun" w:hAnsi="Book Antiqua" w:hint="eastAsia"/>
          <w:lang w:eastAsia="zh-CN"/>
        </w:rPr>
        <w:t>;</w:t>
      </w:r>
      <w:r w:rsidR="0077048C" w:rsidRPr="0052664C">
        <w:rPr>
          <w:rFonts w:ascii="Book Antiqua" w:hAnsi="Book Antiqua"/>
        </w:rPr>
        <w:t xml:space="preserve"> Table 2</w:t>
      </w:r>
      <w:r w:rsidR="00B04435" w:rsidRPr="0052664C">
        <w:rPr>
          <w:rFonts w:ascii="Book Antiqua" w:hAnsi="Book Antiqua"/>
        </w:rPr>
        <w:t>)</w:t>
      </w:r>
      <w:r w:rsidR="00300EF4" w:rsidRPr="0052664C">
        <w:rPr>
          <w:rFonts w:ascii="Book Antiqua" w:hAnsi="Book Antiqua"/>
        </w:rPr>
        <w:t xml:space="preserve">. </w:t>
      </w:r>
      <w:r w:rsidR="00677F12" w:rsidRPr="0052664C">
        <w:rPr>
          <w:rFonts w:ascii="Book Antiqua" w:hAnsi="Book Antiqua"/>
        </w:rPr>
        <w:t xml:space="preserve">For these cases, it </w:t>
      </w:r>
      <w:r w:rsidR="004A6FA6" w:rsidRPr="0052664C">
        <w:rPr>
          <w:rFonts w:ascii="Book Antiqua" w:hAnsi="Book Antiqua"/>
        </w:rPr>
        <w:t>was not possible to</w:t>
      </w:r>
      <w:r w:rsidR="00300EF4" w:rsidRPr="0052664C">
        <w:rPr>
          <w:rFonts w:ascii="Book Antiqua" w:hAnsi="Book Antiqua"/>
        </w:rPr>
        <w:t xml:space="preserve"> </w:t>
      </w:r>
      <w:r w:rsidR="00484512" w:rsidRPr="0052664C">
        <w:rPr>
          <w:rFonts w:ascii="Book Antiqua" w:hAnsi="Book Antiqua"/>
        </w:rPr>
        <w:t xml:space="preserve">predict </w:t>
      </w:r>
      <w:r w:rsidR="00300EF4" w:rsidRPr="0052664C">
        <w:rPr>
          <w:rFonts w:ascii="Book Antiqua" w:hAnsi="Book Antiqua"/>
        </w:rPr>
        <w:t xml:space="preserve">the therapeutic responses </w:t>
      </w:r>
      <w:r w:rsidR="00677F12" w:rsidRPr="0052664C">
        <w:rPr>
          <w:rFonts w:ascii="Book Antiqua" w:hAnsi="Book Antiqua"/>
        </w:rPr>
        <w:t xml:space="preserve">based on </w:t>
      </w:r>
      <w:r w:rsidR="00300EF4" w:rsidRPr="0052664C">
        <w:rPr>
          <w:rFonts w:ascii="Book Antiqua" w:hAnsi="Book Antiqua"/>
        </w:rPr>
        <w:t xml:space="preserve">changes </w:t>
      </w:r>
      <w:r w:rsidR="004A6FA6" w:rsidRPr="0052664C">
        <w:rPr>
          <w:rFonts w:ascii="Book Antiqua" w:hAnsi="Book Antiqua"/>
        </w:rPr>
        <w:t>in</w:t>
      </w:r>
      <w:r w:rsidR="00300EF4" w:rsidRPr="0052664C">
        <w:rPr>
          <w:rFonts w:ascii="Book Antiqua" w:hAnsi="Book Antiqua"/>
        </w:rPr>
        <w:t xml:space="preserve"> these markers. </w:t>
      </w:r>
      <w:r w:rsidR="00424BCF" w:rsidRPr="0052664C">
        <w:rPr>
          <w:rFonts w:ascii="Book Antiqua" w:hAnsi="Book Antiqua"/>
        </w:rPr>
        <w:t>Nevertheless</w:t>
      </w:r>
      <w:r w:rsidR="00FF4A62" w:rsidRPr="0052664C">
        <w:rPr>
          <w:rFonts w:ascii="Book Antiqua" w:hAnsi="Book Antiqua"/>
        </w:rPr>
        <w:t xml:space="preserve">, </w:t>
      </w:r>
      <w:r w:rsidR="00424BCF" w:rsidRPr="0052664C">
        <w:rPr>
          <w:rFonts w:ascii="Book Antiqua" w:hAnsi="Book Antiqua"/>
        </w:rPr>
        <w:t xml:space="preserve">the </w:t>
      </w:r>
      <w:r w:rsidR="00A94374" w:rsidRPr="0052664C">
        <w:rPr>
          <w:rFonts w:ascii="Book Antiqua" w:hAnsi="Book Antiqua"/>
        </w:rPr>
        <w:t xml:space="preserve">CTC count can be </w:t>
      </w:r>
      <w:r w:rsidR="00E17D59" w:rsidRPr="0052664C">
        <w:rPr>
          <w:rFonts w:ascii="Book Antiqua" w:hAnsi="Book Antiqua"/>
        </w:rPr>
        <w:t xml:space="preserve">used as </w:t>
      </w:r>
      <w:r w:rsidR="00A94374" w:rsidRPr="0052664C">
        <w:rPr>
          <w:rFonts w:ascii="Book Antiqua" w:hAnsi="Book Antiqua"/>
        </w:rPr>
        <w:t>a direct and definitive indicator of therapeutic outcome</w:t>
      </w:r>
      <w:r w:rsidR="00484512" w:rsidRPr="0052664C">
        <w:rPr>
          <w:rFonts w:ascii="Book Antiqua" w:hAnsi="Book Antiqua"/>
        </w:rPr>
        <w:t xml:space="preserve"> in this </w:t>
      </w:r>
      <w:r w:rsidR="00F71C77" w:rsidRPr="0052664C">
        <w:rPr>
          <w:rFonts w:ascii="Book Antiqua" w:hAnsi="Book Antiqua"/>
        </w:rPr>
        <w:t xml:space="preserve">gastric cancer </w:t>
      </w:r>
      <w:r w:rsidR="00484512" w:rsidRPr="0052664C">
        <w:rPr>
          <w:rFonts w:ascii="Book Antiqua" w:hAnsi="Book Antiqua"/>
        </w:rPr>
        <w:t>subtype</w:t>
      </w:r>
      <w:r w:rsidR="00A94374" w:rsidRPr="0052664C">
        <w:rPr>
          <w:rFonts w:ascii="Book Antiqua" w:hAnsi="Book Antiqua"/>
        </w:rPr>
        <w:t>.</w:t>
      </w:r>
      <w:r w:rsidR="002D75AE" w:rsidRPr="0052664C">
        <w:rPr>
          <w:rFonts w:ascii="Book Antiqua" w:hAnsi="Book Antiqua"/>
        </w:rPr>
        <w:t xml:space="preserve"> Alternatively</w:t>
      </w:r>
      <w:r w:rsidR="00F71C77" w:rsidRPr="0052664C">
        <w:rPr>
          <w:rFonts w:ascii="Book Antiqua" w:hAnsi="Book Antiqua"/>
        </w:rPr>
        <w:t>,</w:t>
      </w:r>
      <w:r w:rsidR="00627B17" w:rsidRPr="0052664C">
        <w:rPr>
          <w:rFonts w:ascii="Book Antiqua" w:hAnsi="Book Antiqua"/>
        </w:rPr>
        <w:t xml:space="preserve"> </w:t>
      </w:r>
      <w:r w:rsidR="00390ADB" w:rsidRPr="0052664C">
        <w:rPr>
          <w:rFonts w:ascii="Book Antiqua" w:hAnsi="Book Antiqua"/>
        </w:rPr>
        <w:t xml:space="preserve">CTC counts were </w:t>
      </w:r>
      <w:r w:rsidR="00F055C3" w:rsidRPr="0052664C">
        <w:rPr>
          <w:rFonts w:ascii="Book Antiqua" w:hAnsi="Book Antiqua"/>
        </w:rPr>
        <w:t xml:space="preserve">increased in cases 1 and 2 </w:t>
      </w:r>
      <w:r w:rsidR="00F71C77" w:rsidRPr="0052664C">
        <w:rPr>
          <w:rFonts w:ascii="Book Antiqua" w:hAnsi="Book Antiqua"/>
        </w:rPr>
        <w:t>upon</w:t>
      </w:r>
      <w:r w:rsidR="00390ADB" w:rsidRPr="0052664C">
        <w:rPr>
          <w:rFonts w:ascii="Book Antiqua" w:hAnsi="Book Antiqua"/>
        </w:rPr>
        <w:t xml:space="preserve"> treatment</w:t>
      </w:r>
      <w:r w:rsidR="00F055C3" w:rsidRPr="0052664C">
        <w:rPr>
          <w:rFonts w:ascii="Book Antiqua" w:hAnsi="Book Antiqua"/>
        </w:rPr>
        <w:t xml:space="preserve"> </w:t>
      </w:r>
      <w:r w:rsidR="00F71C77" w:rsidRPr="0052664C">
        <w:rPr>
          <w:rFonts w:ascii="Book Antiqua" w:hAnsi="Book Antiqua"/>
        </w:rPr>
        <w:t>failure</w:t>
      </w:r>
      <w:r w:rsidR="00390ADB" w:rsidRPr="0052664C">
        <w:rPr>
          <w:rFonts w:ascii="Book Antiqua" w:hAnsi="Book Antiqua"/>
        </w:rPr>
        <w:t xml:space="preserve">. </w:t>
      </w:r>
      <w:r w:rsidR="00E17D59" w:rsidRPr="0052664C">
        <w:rPr>
          <w:rFonts w:ascii="Book Antiqua" w:hAnsi="Book Antiqua"/>
        </w:rPr>
        <w:t>For those cases</w:t>
      </w:r>
      <w:r w:rsidR="00484512" w:rsidRPr="0052664C">
        <w:rPr>
          <w:rFonts w:ascii="Book Antiqua" w:hAnsi="Book Antiqua"/>
        </w:rPr>
        <w:t>, CTC counts increased to 787 and 513 cells</w:t>
      </w:r>
      <w:r w:rsidR="001B3E37" w:rsidRPr="0052664C">
        <w:rPr>
          <w:rFonts w:ascii="Book Antiqua" w:hAnsi="Book Antiqua"/>
        </w:rPr>
        <w:t>/</w:t>
      </w:r>
      <w:r w:rsidR="00484512" w:rsidRPr="0052664C">
        <w:rPr>
          <w:rFonts w:ascii="Book Antiqua" w:hAnsi="Book Antiqua"/>
        </w:rPr>
        <w:t xml:space="preserve">7.5 </w:t>
      </w:r>
      <w:r w:rsidR="00356740" w:rsidRPr="0052664C">
        <w:rPr>
          <w:rFonts w:ascii="Book Antiqua" w:hAnsi="Book Antiqua"/>
        </w:rPr>
        <w:t xml:space="preserve">mL </w:t>
      </w:r>
      <w:r w:rsidR="00484512" w:rsidRPr="0052664C">
        <w:rPr>
          <w:rFonts w:ascii="Book Antiqua" w:hAnsi="Book Antiqua"/>
        </w:rPr>
        <w:t xml:space="preserve">peripheral blood, respectively. </w:t>
      </w:r>
      <w:r w:rsidR="002D75AE" w:rsidRPr="0052664C">
        <w:rPr>
          <w:rFonts w:ascii="Book Antiqua" w:hAnsi="Book Antiqua"/>
        </w:rPr>
        <w:t>A</w:t>
      </w:r>
      <w:r w:rsidR="00F71C77" w:rsidRPr="0052664C">
        <w:rPr>
          <w:rFonts w:ascii="Book Antiqua" w:hAnsi="Book Antiqua"/>
        </w:rPr>
        <w:t>n a</w:t>
      </w:r>
      <w:r w:rsidR="002D75AE" w:rsidRPr="0052664C">
        <w:rPr>
          <w:rFonts w:ascii="Book Antiqua" w:hAnsi="Book Antiqua"/>
        </w:rPr>
        <w:t>dditional</w:t>
      </w:r>
      <w:r w:rsidR="00627B17" w:rsidRPr="0052664C">
        <w:rPr>
          <w:rFonts w:ascii="Book Antiqua" w:hAnsi="Book Antiqua"/>
        </w:rPr>
        <w:t xml:space="preserve"> </w:t>
      </w:r>
      <w:r w:rsidR="00F71C77" w:rsidRPr="0052664C">
        <w:rPr>
          <w:rFonts w:ascii="Book Antiqua" w:hAnsi="Book Antiqua"/>
        </w:rPr>
        <w:t xml:space="preserve">patient </w:t>
      </w:r>
      <w:r w:rsidR="00627B17" w:rsidRPr="0052664C">
        <w:rPr>
          <w:rFonts w:ascii="Book Antiqua" w:hAnsi="Book Antiqua"/>
        </w:rPr>
        <w:t>(</w:t>
      </w:r>
      <w:r w:rsidR="00356740" w:rsidRPr="0052664C">
        <w:rPr>
          <w:rFonts w:ascii="Book Antiqua" w:hAnsi="Book Antiqua"/>
        </w:rPr>
        <w:t xml:space="preserve">case </w:t>
      </w:r>
      <w:r w:rsidR="00627B17" w:rsidRPr="0052664C">
        <w:rPr>
          <w:rFonts w:ascii="Book Antiqua" w:hAnsi="Book Antiqua"/>
        </w:rPr>
        <w:t xml:space="preserve">3) </w:t>
      </w:r>
      <w:r w:rsidR="00F71C77" w:rsidRPr="0052664C">
        <w:rPr>
          <w:rFonts w:ascii="Book Antiqua" w:hAnsi="Book Antiqua"/>
        </w:rPr>
        <w:t xml:space="preserve">who </w:t>
      </w:r>
      <w:r w:rsidR="00627B17" w:rsidRPr="0052664C">
        <w:rPr>
          <w:rFonts w:ascii="Book Antiqua" w:hAnsi="Book Antiqua"/>
        </w:rPr>
        <w:t xml:space="preserve">was </w:t>
      </w:r>
      <w:r w:rsidR="00E17D59" w:rsidRPr="0052664C">
        <w:rPr>
          <w:rFonts w:ascii="Book Antiqua" w:hAnsi="Book Antiqua"/>
        </w:rPr>
        <w:t>in</w:t>
      </w:r>
      <w:r w:rsidR="00627B17" w:rsidRPr="0052664C">
        <w:rPr>
          <w:rFonts w:ascii="Book Antiqua" w:hAnsi="Book Antiqua"/>
        </w:rPr>
        <w:t xml:space="preserve">sensitive </w:t>
      </w:r>
      <w:r w:rsidR="00E17D59" w:rsidRPr="0052664C">
        <w:rPr>
          <w:rFonts w:ascii="Book Antiqua" w:hAnsi="Book Antiqua"/>
        </w:rPr>
        <w:t xml:space="preserve">to </w:t>
      </w:r>
      <w:r w:rsidR="004E2EA1" w:rsidRPr="0052664C">
        <w:rPr>
          <w:rFonts w:ascii="Book Antiqua" w:hAnsi="Book Antiqua"/>
        </w:rPr>
        <w:t xml:space="preserve">the </w:t>
      </w:r>
      <w:r w:rsidR="00627B17" w:rsidRPr="0052664C">
        <w:rPr>
          <w:rFonts w:ascii="Book Antiqua" w:hAnsi="Book Antiqua"/>
        </w:rPr>
        <w:t>initial treatment</w:t>
      </w:r>
      <w:r w:rsidR="00F71C77" w:rsidRPr="0052664C">
        <w:rPr>
          <w:rFonts w:ascii="Book Antiqua" w:hAnsi="Book Antiqua"/>
        </w:rPr>
        <w:t xml:space="preserve"> </w:t>
      </w:r>
      <w:r w:rsidR="0031301A" w:rsidRPr="0052664C">
        <w:rPr>
          <w:rFonts w:ascii="Book Antiqua" w:hAnsi="Book Antiqua"/>
        </w:rPr>
        <w:t>showed</w:t>
      </w:r>
      <w:r w:rsidR="00F71C77" w:rsidRPr="0052664C">
        <w:rPr>
          <w:rFonts w:ascii="Book Antiqua" w:hAnsi="Book Antiqua"/>
        </w:rPr>
        <w:t xml:space="preserve"> an increase in</w:t>
      </w:r>
      <w:r w:rsidR="00C4004B" w:rsidRPr="0052664C">
        <w:rPr>
          <w:rFonts w:ascii="Book Antiqua" w:hAnsi="Book Antiqua"/>
        </w:rPr>
        <w:t xml:space="preserve"> </w:t>
      </w:r>
      <w:r w:rsidR="0031301A" w:rsidRPr="0052664C">
        <w:rPr>
          <w:rFonts w:ascii="Book Antiqua" w:hAnsi="Book Antiqua"/>
        </w:rPr>
        <w:t xml:space="preserve">the </w:t>
      </w:r>
      <w:r w:rsidR="00C4004B" w:rsidRPr="0052664C">
        <w:rPr>
          <w:rFonts w:ascii="Book Antiqua" w:hAnsi="Book Antiqua"/>
        </w:rPr>
        <w:t>CTC count from 6440 to 7885 cells</w:t>
      </w:r>
      <w:r w:rsidR="00F71C77" w:rsidRPr="0052664C">
        <w:rPr>
          <w:rFonts w:ascii="Book Antiqua" w:hAnsi="Book Antiqua"/>
        </w:rPr>
        <w:t>/7.5 mL peripheral blood</w:t>
      </w:r>
      <w:r w:rsidR="00C4004B" w:rsidRPr="0052664C">
        <w:rPr>
          <w:rFonts w:ascii="Book Antiqua" w:hAnsi="Book Antiqua"/>
        </w:rPr>
        <w:t xml:space="preserve">. </w:t>
      </w:r>
      <w:r w:rsidR="00390ADB" w:rsidRPr="0052664C">
        <w:rPr>
          <w:rFonts w:ascii="Book Antiqua" w:hAnsi="Book Antiqua"/>
        </w:rPr>
        <w:t xml:space="preserve">A second </w:t>
      </w:r>
      <w:r w:rsidR="00F71C77" w:rsidRPr="0052664C">
        <w:rPr>
          <w:rFonts w:ascii="Book Antiqua" w:hAnsi="Book Antiqua"/>
        </w:rPr>
        <w:t xml:space="preserve">course of </w:t>
      </w:r>
      <w:r w:rsidR="00390ADB" w:rsidRPr="0052664C">
        <w:rPr>
          <w:rFonts w:ascii="Book Antiqua" w:hAnsi="Book Antiqua"/>
        </w:rPr>
        <w:t>chemotherapy</w:t>
      </w:r>
      <w:r w:rsidR="00E17D59" w:rsidRPr="0052664C">
        <w:rPr>
          <w:rFonts w:ascii="Book Antiqua" w:hAnsi="Book Antiqua"/>
        </w:rPr>
        <w:t xml:space="preserve"> </w:t>
      </w:r>
      <w:r w:rsidR="00390ADB" w:rsidRPr="0052664C">
        <w:rPr>
          <w:rFonts w:ascii="Book Antiqua" w:hAnsi="Book Antiqua"/>
        </w:rPr>
        <w:t xml:space="preserve">was not </w:t>
      </w:r>
      <w:r w:rsidR="00F71C77" w:rsidRPr="0052664C">
        <w:rPr>
          <w:rFonts w:ascii="Book Antiqua" w:hAnsi="Book Antiqua"/>
        </w:rPr>
        <w:t xml:space="preserve">initiated </w:t>
      </w:r>
      <w:r w:rsidR="0031301A" w:rsidRPr="0052664C">
        <w:rPr>
          <w:rFonts w:ascii="Book Antiqua" w:hAnsi="Book Antiqua"/>
        </w:rPr>
        <w:t>because of</w:t>
      </w:r>
      <w:r w:rsidR="00390ADB" w:rsidRPr="0052664C">
        <w:rPr>
          <w:rFonts w:ascii="Book Antiqua" w:hAnsi="Book Antiqua"/>
        </w:rPr>
        <w:t xml:space="preserve"> a worsened general con</w:t>
      </w:r>
      <w:r w:rsidR="00415AE5" w:rsidRPr="0052664C">
        <w:rPr>
          <w:rFonts w:ascii="Book Antiqua" w:hAnsi="Book Antiqua"/>
        </w:rPr>
        <w:t>dition.</w:t>
      </w:r>
    </w:p>
    <w:p w14:paraId="1A6C19DC" w14:textId="77777777" w:rsidR="006A0B17" w:rsidRPr="0052664C" w:rsidRDefault="006A0B17" w:rsidP="00E11D9F">
      <w:pPr>
        <w:spacing w:line="360" w:lineRule="auto"/>
        <w:rPr>
          <w:rFonts w:ascii="Book Antiqua" w:hAnsi="Book Antiqua"/>
        </w:rPr>
      </w:pPr>
    </w:p>
    <w:p w14:paraId="4028BB87" w14:textId="77777777" w:rsidR="009C183D" w:rsidRPr="0052664C" w:rsidRDefault="004879AA" w:rsidP="00E11D9F">
      <w:pPr>
        <w:spacing w:line="360" w:lineRule="auto"/>
        <w:rPr>
          <w:rFonts w:ascii="Book Antiqua" w:hAnsi="Book Antiqua"/>
          <w:b/>
          <w:i/>
        </w:rPr>
      </w:pPr>
      <w:r w:rsidRPr="0052664C">
        <w:rPr>
          <w:rFonts w:ascii="Book Antiqua" w:hAnsi="Book Antiqua"/>
          <w:b/>
          <w:i/>
        </w:rPr>
        <w:t>Correlation between CTC count and survival</w:t>
      </w:r>
    </w:p>
    <w:p w14:paraId="75AF0321" w14:textId="1D91D610" w:rsidR="00681868" w:rsidRPr="0052664C" w:rsidRDefault="0031301A" w:rsidP="00E11D9F">
      <w:pPr>
        <w:spacing w:line="360" w:lineRule="auto"/>
        <w:rPr>
          <w:rFonts w:ascii="Book Antiqua" w:hAnsi="Book Antiqua"/>
        </w:rPr>
      </w:pPr>
      <w:r w:rsidRPr="0052664C">
        <w:rPr>
          <w:rFonts w:ascii="Book Antiqua" w:hAnsi="Book Antiqua"/>
        </w:rPr>
        <w:t xml:space="preserve">The peripheral </w:t>
      </w:r>
      <w:r w:rsidR="00F71C77" w:rsidRPr="0052664C">
        <w:rPr>
          <w:rFonts w:ascii="Book Antiqua" w:hAnsi="Book Antiqua"/>
        </w:rPr>
        <w:t xml:space="preserve">blood </w:t>
      </w:r>
      <w:r w:rsidR="00415AE5" w:rsidRPr="0052664C">
        <w:rPr>
          <w:rFonts w:ascii="Book Antiqua" w:hAnsi="Book Antiqua"/>
        </w:rPr>
        <w:t xml:space="preserve">CTC count also </w:t>
      </w:r>
      <w:r w:rsidR="00B2198B" w:rsidRPr="0052664C">
        <w:rPr>
          <w:rFonts w:ascii="Book Antiqua" w:hAnsi="Book Antiqua"/>
        </w:rPr>
        <w:t xml:space="preserve">can </w:t>
      </w:r>
      <w:r w:rsidR="00415AE5" w:rsidRPr="0052664C">
        <w:rPr>
          <w:rFonts w:ascii="Book Antiqua" w:hAnsi="Book Antiqua"/>
        </w:rPr>
        <w:t>predi</w:t>
      </w:r>
      <w:r w:rsidR="00F055C3" w:rsidRPr="0052664C">
        <w:rPr>
          <w:rFonts w:ascii="Book Antiqua" w:hAnsi="Book Antiqua"/>
        </w:rPr>
        <w:t>ct</w:t>
      </w:r>
      <w:r w:rsidR="00F71C77" w:rsidRPr="0052664C">
        <w:rPr>
          <w:rFonts w:ascii="Book Antiqua" w:hAnsi="Book Antiqua"/>
        </w:rPr>
        <w:t xml:space="preserve"> patient</w:t>
      </w:r>
      <w:r w:rsidR="002D75AE" w:rsidRPr="0052664C">
        <w:rPr>
          <w:rFonts w:ascii="Book Antiqua" w:hAnsi="Book Antiqua"/>
        </w:rPr>
        <w:t xml:space="preserve"> survival</w:t>
      </w:r>
      <w:r w:rsidR="00390ADB" w:rsidRPr="0052664C">
        <w:rPr>
          <w:rFonts w:ascii="Book Antiqua" w:hAnsi="Book Antiqua"/>
        </w:rPr>
        <w:t xml:space="preserve">. </w:t>
      </w:r>
      <w:r w:rsidR="009C183D" w:rsidRPr="0052664C">
        <w:rPr>
          <w:rFonts w:ascii="Book Antiqua" w:hAnsi="Book Antiqua"/>
        </w:rPr>
        <w:t xml:space="preserve">For </w:t>
      </w:r>
      <w:r w:rsidR="00390ADB" w:rsidRPr="0052664C">
        <w:rPr>
          <w:rFonts w:ascii="Book Antiqua" w:hAnsi="Book Antiqua"/>
        </w:rPr>
        <w:t xml:space="preserve">case 5, chemotherapy was only </w:t>
      </w:r>
      <w:r w:rsidR="00F71C77" w:rsidRPr="0052664C">
        <w:rPr>
          <w:rFonts w:ascii="Book Antiqua" w:hAnsi="Book Antiqua"/>
        </w:rPr>
        <w:t xml:space="preserve">administered </w:t>
      </w:r>
      <w:r w:rsidR="00390ADB" w:rsidRPr="0052664C">
        <w:rPr>
          <w:rFonts w:ascii="Book Antiqua" w:hAnsi="Book Antiqua"/>
        </w:rPr>
        <w:t xml:space="preserve">for 3 </w:t>
      </w:r>
      <w:r w:rsidR="001D6715" w:rsidRPr="0052664C">
        <w:rPr>
          <w:rFonts w:ascii="Book Antiqua" w:eastAsia="SimSun" w:hAnsi="Book Antiqua" w:hint="eastAsia"/>
          <w:lang w:eastAsia="zh-CN"/>
        </w:rPr>
        <w:t>d</w:t>
      </w:r>
      <w:r w:rsidR="00390ADB" w:rsidRPr="0052664C">
        <w:rPr>
          <w:rFonts w:ascii="Book Antiqua" w:hAnsi="Book Antiqua"/>
        </w:rPr>
        <w:t xml:space="preserve"> </w:t>
      </w:r>
      <w:r w:rsidRPr="0052664C">
        <w:rPr>
          <w:rFonts w:ascii="Book Antiqua" w:hAnsi="Book Antiqua"/>
        </w:rPr>
        <w:t>because of</w:t>
      </w:r>
      <w:r w:rsidR="009C183D" w:rsidRPr="0052664C">
        <w:rPr>
          <w:rFonts w:ascii="Book Antiqua" w:hAnsi="Book Antiqua"/>
        </w:rPr>
        <w:t xml:space="preserve"> the patient’s </w:t>
      </w:r>
      <w:r w:rsidR="00F71C77" w:rsidRPr="0052664C">
        <w:rPr>
          <w:rFonts w:ascii="Book Antiqua" w:hAnsi="Book Antiqua"/>
        </w:rPr>
        <w:t xml:space="preserve">rapidly </w:t>
      </w:r>
      <w:r w:rsidR="009C183D" w:rsidRPr="0052664C">
        <w:rPr>
          <w:rFonts w:ascii="Book Antiqua" w:hAnsi="Book Antiqua"/>
        </w:rPr>
        <w:t xml:space="preserve">worsening </w:t>
      </w:r>
      <w:r w:rsidR="00390ADB" w:rsidRPr="0052664C">
        <w:rPr>
          <w:rFonts w:ascii="Book Antiqua" w:hAnsi="Book Antiqua"/>
        </w:rPr>
        <w:t xml:space="preserve">condition. </w:t>
      </w:r>
      <w:r w:rsidR="00F71C77" w:rsidRPr="0052664C">
        <w:rPr>
          <w:rFonts w:ascii="Book Antiqua" w:hAnsi="Book Antiqua"/>
        </w:rPr>
        <w:t xml:space="preserve">With the </w:t>
      </w:r>
      <w:r w:rsidR="002D75AE" w:rsidRPr="0052664C">
        <w:rPr>
          <w:rFonts w:ascii="Book Antiqua" w:hAnsi="Book Antiqua"/>
        </w:rPr>
        <w:t>except</w:t>
      </w:r>
      <w:r w:rsidR="00F71C77" w:rsidRPr="0052664C">
        <w:rPr>
          <w:rFonts w:ascii="Book Antiqua" w:hAnsi="Book Antiqua"/>
        </w:rPr>
        <w:t>ion of</w:t>
      </w:r>
      <w:r w:rsidR="002D75AE" w:rsidRPr="0052664C">
        <w:rPr>
          <w:rFonts w:ascii="Book Antiqua" w:hAnsi="Book Antiqua"/>
        </w:rPr>
        <w:t xml:space="preserve"> case 4 (still alive for &gt; 180 </w:t>
      </w:r>
      <w:r w:rsidR="001D6715" w:rsidRPr="0052664C">
        <w:rPr>
          <w:rFonts w:ascii="Book Antiqua" w:eastAsia="SimSun" w:hAnsi="Book Antiqua" w:hint="eastAsia"/>
          <w:lang w:eastAsia="zh-CN"/>
        </w:rPr>
        <w:t>d</w:t>
      </w:r>
      <w:r w:rsidR="002D75AE" w:rsidRPr="0052664C">
        <w:rPr>
          <w:rFonts w:ascii="Book Antiqua" w:hAnsi="Book Antiqua"/>
        </w:rPr>
        <w:t>)</w:t>
      </w:r>
      <w:r w:rsidR="00F71C77" w:rsidRPr="0052664C">
        <w:rPr>
          <w:rFonts w:ascii="Book Antiqua" w:hAnsi="Book Antiqua"/>
        </w:rPr>
        <w:t>, the survival times for the other 4 cases</w:t>
      </w:r>
      <w:r w:rsidR="002D75AE" w:rsidRPr="0052664C">
        <w:rPr>
          <w:rFonts w:ascii="Book Antiqua" w:hAnsi="Book Antiqua"/>
        </w:rPr>
        <w:t xml:space="preserve"> </w:t>
      </w:r>
      <w:r w:rsidR="00703C0D" w:rsidRPr="0052664C">
        <w:rPr>
          <w:rFonts w:ascii="Book Antiqua" w:hAnsi="Book Antiqua"/>
        </w:rPr>
        <w:t xml:space="preserve">appeared </w:t>
      </w:r>
      <w:r w:rsidR="00390ADB" w:rsidRPr="0052664C">
        <w:rPr>
          <w:rFonts w:ascii="Book Antiqua" w:hAnsi="Book Antiqua"/>
        </w:rPr>
        <w:t>to correlate with the</w:t>
      </w:r>
      <w:r w:rsidR="00F71C77" w:rsidRPr="0052664C">
        <w:rPr>
          <w:rFonts w:ascii="Book Antiqua" w:hAnsi="Book Antiqua"/>
        </w:rPr>
        <w:t>ir</w:t>
      </w:r>
      <w:r w:rsidR="00390ADB" w:rsidRPr="0052664C">
        <w:rPr>
          <w:rFonts w:ascii="Book Antiqua" w:hAnsi="Book Antiqua"/>
        </w:rPr>
        <w:t xml:space="preserve"> initial CTC </w:t>
      </w:r>
      <w:r w:rsidR="006640B8" w:rsidRPr="0052664C">
        <w:rPr>
          <w:rFonts w:ascii="Book Antiqua" w:hAnsi="Book Antiqua"/>
        </w:rPr>
        <w:t>count</w:t>
      </w:r>
      <w:r w:rsidR="002D75AE" w:rsidRPr="0052664C">
        <w:rPr>
          <w:rFonts w:ascii="Book Antiqua" w:hAnsi="Book Antiqua"/>
        </w:rPr>
        <w:t xml:space="preserve"> (</w:t>
      </w:r>
      <w:r w:rsidR="002E66CD" w:rsidRPr="0052664C">
        <w:rPr>
          <w:rFonts w:ascii="Book Antiqua" w:hAnsi="Book Antiqua"/>
        </w:rPr>
        <w:t>Fig</w:t>
      </w:r>
      <w:r w:rsidR="001D6715" w:rsidRPr="0052664C">
        <w:rPr>
          <w:rFonts w:ascii="Book Antiqua" w:eastAsia="SimSun" w:hAnsi="Book Antiqua" w:hint="eastAsia"/>
          <w:lang w:eastAsia="zh-CN"/>
        </w:rPr>
        <w:t>ure</w:t>
      </w:r>
      <w:r w:rsidR="002E66CD" w:rsidRPr="0052664C">
        <w:rPr>
          <w:rFonts w:ascii="Book Antiqua" w:hAnsi="Book Antiqua"/>
        </w:rPr>
        <w:t xml:space="preserve"> </w:t>
      </w:r>
      <w:r w:rsidR="002D75AE" w:rsidRPr="0052664C">
        <w:rPr>
          <w:rFonts w:ascii="Book Antiqua" w:hAnsi="Book Antiqua"/>
        </w:rPr>
        <w:t>2)</w:t>
      </w:r>
      <w:r w:rsidR="00390ADB" w:rsidRPr="0052664C">
        <w:rPr>
          <w:rFonts w:ascii="Book Antiqua" w:hAnsi="Book Antiqua"/>
        </w:rPr>
        <w:t xml:space="preserve">. </w:t>
      </w:r>
      <w:r w:rsidR="00F71C77" w:rsidRPr="0052664C">
        <w:rPr>
          <w:rFonts w:ascii="Book Antiqua" w:hAnsi="Book Antiqua"/>
        </w:rPr>
        <w:t xml:space="preserve">The initial </w:t>
      </w:r>
      <w:r w:rsidR="00C77470" w:rsidRPr="0052664C">
        <w:rPr>
          <w:rFonts w:ascii="Book Antiqua" w:hAnsi="Book Antiqua"/>
        </w:rPr>
        <w:t xml:space="preserve">CTC counts </w:t>
      </w:r>
      <w:r w:rsidR="00F71C77" w:rsidRPr="0052664C">
        <w:rPr>
          <w:rFonts w:ascii="Book Antiqua" w:hAnsi="Book Antiqua"/>
        </w:rPr>
        <w:t xml:space="preserve">were high for the </w:t>
      </w:r>
      <w:r w:rsidRPr="0052664C">
        <w:rPr>
          <w:rFonts w:ascii="Book Antiqua" w:hAnsi="Book Antiqua"/>
        </w:rPr>
        <w:t>two</w:t>
      </w:r>
      <w:r w:rsidR="00F71C77" w:rsidRPr="0052664C">
        <w:rPr>
          <w:rFonts w:ascii="Book Antiqua" w:hAnsi="Book Antiqua"/>
        </w:rPr>
        <w:t xml:space="preserve"> </w:t>
      </w:r>
      <w:r w:rsidR="00E8484B" w:rsidRPr="0052664C">
        <w:rPr>
          <w:rFonts w:ascii="Book Antiqua" w:hAnsi="Book Antiqua"/>
        </w:rPr>
        <w:t>short-term</w:t>
      </w:r>
      <w:r w:rsidR="00C77470" w:rsidRPr="0052664C">
        <w:rPr>
          <w:rFonts w:ascii="Book Antiqua" w:hAnsi="Book Antiqua"/>
        </w:rPr>
        <w:t xml:space="preserve"> survivors (cases 3 and 5) who </w:t>
      </w:r>
      <w:r w:rsidR="004029C2" w:rsidRPr="0052664C">
        <w:rPr>
          <w:rFonts w:ascii="Book Antiqua" w:hAnsi="Book Antiqua"/>
        </w:rPr>
        <w:t>lived</w:t>
      </w:r>
      <w:r w:rsidR="00E8484B" w:rsidRPr="0052664C">
        <w:rPr>
          <w:rFonts w:ascii="Book Antiqua" w:hAnsi="Book Antiqua"/>
        </w:rPr>
        <w:t xml:space="preserve"> until</w:t>
      </w:r>
      <w:r w:rsidR="00C77470" w:rsidRPr="0052664C">
        <w:rPr>
          <w:rFonts w:ascii="Book Antiqua" w:hAnsi="Book Antiqua"/>
        </w:rPr>
        <w:t xml:space="preserve"> 30 </w:t>
      </w:r>
      <w:r w:rsidR="001D6715" w:rsidRPr="0052664C">
        <w:rPr>
          <w:rFonts w:ascii="Book Antiqua" w:eastAsia="SimSun" w:hAnsi="Book Antiqua" w:hint="eastAsia"/>
          <w:lang w:eastAsia="zh-CN"/>
        </w:rPr>
        <w:t>d</w:t>
      </w:r>
      <w:r w:rsidR="00C77470" w:rsidRPr="0052664C">
        <w:rPr>
          <w:rFonts w:ascii="Book Antiqua" w:hAnsi="Book Antiqua"/>
        </w:rPr>
        <w:t xml:space="preserve"> after</w:t>
      </w:r>
      <w:r w:rsidR="00F71C77" w:rsidRPr="0052664C">
        <w:rPr>
          <w:rFonts w:ascii="Book Antiqua" w:hAnsi="Book Antiqua"/>
        </w:rPr>
        <w:t xml:space="preserve"> their initial</w:t>
      </w:r>
      <w:r w:rsidR="00C77470" w:rsidRPr="0052664C">
        <w:rPr>
          <w:rFonts w:ascii="Book Antiqua" w:hAnsi="Book Antiqua"/>
        </w:rPr>
        <w:t xml:space="preserve"> diagnosis</w:t>
      </w:r>
      <w:r w:rsidR="004029C2" w:rsidRPr="0052664C">
        <w:rPr>
          <w:rFonts w:ascii="Book Antiqua" w:hAnsi="Book Antiqua"/>
        </w:rPr>
        <w:t xml:space="preserve"> </w:t>
      </w:r>
      <w:r w:rsidR="00C77470" w:rsidRPr="0052664C">
        <w:rPr>
          <w:rFonts w:ascii="Book Antiqua" w:hAnsi="Book Antiqua"/>
        </w:rPr>
        <w:t>(6440 and 4197 cells</w:t>
      </w:r>
      <w:r w:rsidR="00F71C77" w:rsidRPr="0052664C">
        <w:rPr>
          <w:rFonts w:ascii="Book Antiqua" w:hAnsi="Book Antiqua"/>
        </w:rPr>
        <w:t>/7.5 mL peripheral blood</w:t>
      </w:r>
      <w:r w:rsidR="00C77470" w:rsidRPr="0052664C">
        <w:rPr>
          <w:rFonts w:ascii="Book Antiqua" w:hAnsi="Book Antiqua"/>
        </w:rPr>
        <w:t>, respectively)</w:t>
      </w:r>
      <w:r w:rsidR="004029C2" w:rsidRPr="0052664C">
        <w:rPr>
          <w:rFonts w:ascii="Book Antiqua" w:hAnsi="Book Antiqua"/>
        </w:rPr>
        <w:t>.</w:t>
      </w:r>
      <w:r w:rsidR="00E8484B" w:rsidRPr="0052664C">
        <w:rPr>
          <w:rFonts w:ascii="Book Antiqua" w:hAnsi="Book Antiqua"/>
        </w:rPr>
        <w:t xml:space="preserve"> </w:t>
      </w:r>
      <w:r w:rsidR="00F71C77" w:rsidRPr="0052664C">
        <w:rPr>
          <w:rFonts w:ascii="Book Antiqua" w:hAnsi="Book Antiqua"/>
        </w:rPr>
        <w:t>The long</w:t>
      </w:r>
      <w:r w:rsidR="004029C2" w:rsidRPr="0052664C">
        <w:rPr>
          <w:rFonts w:ascii="Book Antiqua" w:hAnsi="Book Antiqua"/>
        </w:rPr>
        <w:t>-</w:t>
      </w:r>
      <w:r w:rsidR="00E8484B" w:rsidRPr="0052664C">
        <w:rPr>
          <w:rFonts w:ascii="Book Antiqua" w:hAnsi="Book Antiqua"/>
        </w:rPr>
        <w:t>term</w:t>
      </w:r>
      <w:r w:rsidR="00C77470" w:rsidRPr="0052664C">
        <w:rPr>
          <w:rFonts w:ascii="Book Antiqua" w:hAnsi="Book Antiqua"/>
        </w:rPr>
        <w:t xml:space="preserve"> survivors </w:t>
      </w:r>
      <w:r w:rsidR="003526E1" w:rsidRPr="0052664C">
        <w:rPr>
          <w:rFonts w:ascii="Book Antiqua" w:hAnsi="Book Antiqua"/>
        </w:rPr>
        <w:t>who lived for more than 16</w:t>
      </w:r>
      <w:r w:rsidR="00C77470" w:rsidRPr="0052664C">
        <w:rPr>
          <w:rFonts w:ascii="Book Antiqua" w:hAnsi="Book Antiqua"/>
        </w:rPr>
        <w:t xml:space="preserve">0 </w:t>
      </w:r>
      <w:r w:rsidR="001D6715" w:rsidRPr="0052664C">
        <w:rPr>
          <w:rFonts w:ascii="Book Antiqua" w:eastAsia="SimSun" w:hAnsi="Book Antiqua" w:hint="eastAsia"/>
          <w:lang w:eastAsia="zh-CN"/>
        </w:rPr>
        <w:t>d</w:t>
      </w:r>
      <w:r w:rsidR="00F71C77" w:rsidRPr="0052664C">
        <w:rPr>
          <w:rFonts w:ascii="Book Antiqua" w:hAnsi="Book Antiqua"/>
        </w:rPr>
        <w:t xml:space="preserve"> (cases 1, 2, and 4)</w:t>
      </w:r>
      <w:r w:rsidR="00C77470" w:rsidRPr="0052664C">
        <w:rPr>
          <w:rFonts w:ascii="Book Antiqua" w:hAnsi="Book Antiqua"/>
        </w:rPr>
        <w:t xml:space="preserve"> </w:t>
      </w:r>
      <w:r w:rsidR="004029C2" w:rsidRPr="0052664C">
        <w:rPr>
          <w:rFonts w:ascii="Book Antiqua" w:hAnsi="Book Antiqua"/>
        </w:rPr>
        <w:t xml:space="preserve">had considerably </w:t>
      </w:r>
      <w:r w:rsidR="00C77470" w:rsidRPr="0052664C">
        <w:rPr>
          <w:rFonts w:ascii="Book Antiqua" w:hAnsi="Book Antiqua"/>
        </w:rPr>
        <w:t>lower</w:t>
      </w:r>
      <w:r w:rsidR="004029C2" w:rsidRPr="0052664C">
        <w:rPr>
          <w:rFonts w:ascii="Book Antiqua" w:hAnsi="Book Antiqua"/>
        </w:rPr>
        <w:t xml:space="preserve"> </w:t>
      </w:r>
      <w:r w:rsidR="00F71C77" w:rsidRPr="0052664C">
        <w:rPr>
          <w:rFonts w:ascii="Book Antiqua" w:hAnsi="Book Antiqua"/>
        </w:rPr>
        <w:t xml:space="preserve">initial </w:t>
      </w:r>
      <w:r w:rsidR="004029C2" w:rsidRPr="0052664C">
        <w:rPr>
          <w:rFonts w:ascii="Book Antiqua" w:hAnsi="Book Antiqua"/>
        </w:rPr>
        <w:lastRenderedPageBreak/>
        <w:t>CTC counts</w:t>
      </w:r>
      <w:r w:rsidR="00C77470" w:rsidRPr="0052664C">
        <w:rPr>
          <w:rFonts w:ascii="Book Antiqua" w:hAnsi="Book Antiqua"/>
        </w:rPr>
        <w:t xml:space="preserve"> (235, 275, and 1724 cells</w:t>
      </w:r>
      <w:r w:rsidR="00F71C77" w:rsidRPr="0052664C">
        <w:rPr>
          <w:rFonts w:ascii="Book Antiqua" w:hAnsi="Book Antiqua"/>
        </w:rPr>
        <w:t>/7.5 mL peripheral blood</w:t>
      </w:r>
      <w:r w:rsidR="00C77470" w:rsidRPr="0052664C">
        <w:rPr>
          <w:rFonts w:ascii="Book Antiqua" w:hAnsi="Book Antiqua"/>
        </w:rPr>
        <w:t xml:space="preserve">, respectively). </w:t>
      </w:r>
      <w:r w:rsidR="003526E1" w:rsidRPr="0052664C">
        <w:rPr>
          <w:rFonts w:ascii="Book Antiqua" w:hAnsi="Book Antiqua"/>
        </w:rPr>
        <w:t xml:space="preserve">Although </w:t>
      </w:r>
      <w:r w:rsidR="00F71C77" w:rsidRPr="0052664C">
        <w:rPr>
          <w:rFonts w:ascii="Book Antiqua" w:hAnsi="Book Antiqua"/>
        </w:rPr>
        <w:t>case 4</w:t>
      </w:r>
      <w:r w:rsidR="003526E1" w:rsidRPr="0052664C">
        <w:rPr>
          <w:rFonts w:ascii="Book Antiqua" w:hAnsi="Book Antiqua"/>
        </w:rPr>
        <w:t xml:space="preserve"> is still alive (over 263 </w:t>
      </w:r>
      <w:r w:rsidR="001D6715" w:rsidRPr="0052664C">
        <w:rPr>
          <w:rFonts w:ascii="Book Antiqua" w:eastAsia="SimSun" w:hAnsi="Book Antiqua" w:hint="eastAsia"/>
          <w:lang w:eastAsia="zh-CN"/>
        </w:rPr>
        <w:t>d</w:t>
      </w:r>
      <w:r w:rsidR="003526E1" w:rsidRPr="0052664C">
        <w:rPr>
          <w:rFonts w:ascii="Book Antiqua" w:hAnsi="Book Antiqua"/>
        </w:rPr>
        <w:t>)</w:t>
      </w:r>
      <w:r w:rsidR="00F71C77" w:rsidRPr="0052664C">
        <w:rPr>
          <w:rFonts w:ascii="Book Antiqua" w:hAnsi="Book Antiqua"/>
        </w:rPr>
        <w:t xml:space="preserve">, </w:t>
      </w:r>
      <w:r w:rsidR="00CD5AAB" w:rsidRPr="0052664C">
        <w:rPr>
          <w:rFonts w:ascii="Book Antiqua" w:hAnsi="Book Antiqua"/>
        </w:rPr>
        <w:t xml:space="preserve">the </w:t>
      </w:r>
      <w:r w:rsidR="006922FF" w:rsidRPr="0052664C">
        <w:rPr>
          <w:rFonts w:ascii="Book Antiqua" w:hAnsi="Book Antiqua"/>
        </w:rPr>
        <w:t xml:space="preserve">relationship </w:t>
      </w:r>
      <w:r w:rsidR="002D75AE" w:rsidRPr="0052664C">
        <w:rPr>
          <w:rFonts w:ascii="Book Antiqua" w:hAnsi="Book Antiqua"/>
        </w:rPr>
        <w:t xml:space="preserve">between CTC count and survival time </w:t>
      </w:r>
      <w:r w:rsidR="00356740" w:rsidRPr="0052664C">
        <w:rPr>
          <w:rFonts w:ascii="Book Antiqua" w:hAnsi="Book Antiqua"/>
        </w:rPr>
        <w:t xml:space="preserve">showed a </w:t>
      </w:r>
      <w:r w:rsidR="006922FF" w:rsidRPr="0052664C">
        <w:rPr>
          <w:rFonts w:ascii="Book Antiqua" w:hAnsi="Book Antiqua"/>
        </w:rPr>
        <w:t xml:space="preserve">negative </w:t>
      </w:r>
      <w:r w:rsidR="00356740" w:rsidRPr="0052664C">
        <w:rPr>
          <w:rFonts w:ascii="Book Antiqua" w:hAnsi="Book Antiqua"/>
        </w:rPr>
        <w:t>trend</w:t>
      </w:r>
      <w:r w:rsidR="002D75AE" w:rsidRPr="0052664C">
        <w:rPr>
          <w:rFonts w:ascii="Book Antiqua" w:hAnsi="Book Antiqua"/>
        </w:rPr>
        <w:t xml:space="preserve"> but </w:t>
      </w:r>
      <w:r w:rsidR="00F71C77" w:rsidRPr="0052664C">
        <w:rPr>
          <w:rFonts w:ascii="Book Antiqua" w:hAnsi="Book Antiqua"/>
        </w:rPr>
        <w:t>did</w:t>
      </w:r>
      <w:r w:rsidR="00356740" w:rsidRPr="0052664C">
        <w:rPr>
          <w:rFonts w:ascii="Book Antiqua" w:hAnsi="Book Antiqua"/>
        </w:rPr>
        <w:t xml:space="preserve"> </w:t>
      </w:r>
      <w:r w:rsidR="002D75AE" w:rsidRPr="0052664C">
        <w:rPr>
          <w:rFonts w:ascii="Book Antiqua" w:hAnsi="Book Antiqua"/>
        </w:rPr>
        <w:t xml:space="preserve">not </w:t>
      </w:r>
      <w:r w:rsidR="00F71C77" w:rsidRPr="0052664C">
        <w:rPr>
          <w:rFonts w:ascii="Book Antiqua" w:hAnsi="Book Antiqua"/>
        </w:rPr>
        <w:t xml:space="preserve">reach significance </w:t>
      </w:r>
      <w:r w:rsidR="002D75AE" w:rsidRPr="0052664C">
        <w:rPr>
          <w:rFonts w:ascii="Book Antiqua" w:hAnsi="Book Antiqua"/>
        </w:rPr>
        <w:t>(</w:t>
      </w:r>
      <w:r w:rsidR="003526E1" w:rsidRPr="0052664C">
        <w:rPr>
          <w:rFonts w:ascii="Book Antiqua" w:hAnsi="Book Antiqua"/>
        </w:rPr>
        <w:t xml:space="preserve">Y = 234.6 − 0.03X, </w:t>
      </w:r>
      <w:r w:rsidR="003526E1" w:rsidRPr="0052664C">
        <w:rPr>
          <w:rFonts w:ascii="Book Antiqua" w:hAnsi="Book Antiqua"/>
          <w:i/>
        </w:rPr>
        <w:t xml:space="preserve">P </w:t>
      </w:r>
      <w:r w:rsidR="003526E1" w:rsidRPr="0052664C">
        <w:rPr>
          <w:rFonts w:ascii="Book Antiqua" w:hAnsi="Book Antiqua"/>
        </w:rPr>
        <w:t>= 0.085</w:t>
      </w:r>
      <w:r w:rsidR="001D6715" w:rsidRPr="0052664C">
        <w:rPr>
          <w:rFonts w:ascii="Book Antiqua" w:eastAsia="SimSun" w:hAnsi="Book Antiqua" w:hint="eastAsia"/>
          <w:lang w:eastAsia="zh-CN"/>
        </w:rPr>
        <w:t>;</w:t>
      </w:r>
      <w:r w:rsidR="001D6715" w:rsidRPr="0052664C">
        <w:rPr>
          <w:rFonts w:ascii="Book Antiqua" w:hAnsi="Book Antiqua"/>
        </w:rPr>
        <w:t xml:space="preserve"> Fig</w:t>
      </w:r>
      <w:r w:rsidR="001D6715" w:rsidRPr="0052664C">
        <w:rPr>
          <w:rFonts w:ascii="Book Antiqua" w:eastAsia="SimSun" w:hAnsi="Book Antiqua" w:hint="eastAsia"/>
          <w:lang w:eastAsia="zh-CN"/>
        </w:rPr>
        <w:t>ure</w:t>
      </w:r>
      <w:r w:rsidR="001D6715" w:rsidRPr="0052664C">
        <w:rPr>
          <w:rFonts w:ascii="Book Antiqua" w:hAnsi="Book Antiqua"/>
        </w:rPr>
        <w:t xml:space="preserve"> 2</w:t>
      </w:r>
      <w:r w:rsidR="002D75AE" w:rsidRPr="0052664C">
        <w:rPr>
          <w:rFonts w:ascii="Book Antiqua" w:hAnsi="Book Antiqua"/>
        </w:rPr>
        <w:t xml:space="preserve">). </w:t>
      </w:r>
      <w:r w:rsidR="0084492A" w:rsidRPr="0052664C">
        <w:rPr>
          <w:rFonts w:ascii="Book Antiqua" w:hAnsi="Book Antiqua"/>
        </w:rPr>
        <w:t xml:space="preserve">Concerning case 4, the CTC was additionally examined 2 times during this period. Those are suppressed, and they were 33 and 60 cells/7.5 mL, respectively. That indicates the first line chemotherapy S1 plus cis-platinum is still effective for case 4. </w:t>
      </w:r>
      <w:r w:rsidR="006640B8" w:rsidRPr="0052664C">
        <w:rPr>
          <w:rFonts w:ascii="Book Antiqua" w:hAnsi="Book Antiqua"/>
        </w:rPr>
        <w:t>The</w:t>
      </w:r>
      <w:r w:rsidR="004029C2" w:rsidRPr="0052664C">
        <w:rPr>
          <w:rFonts w:ascii="Book Antiqua" w:hAnsi="Book Antiqua"/>
        </w:rPr>
        <w:t>se observations suggest</w:t>
      </w:r>
      <w:r w:rsidR="00F71C77" w:rsidRPr="0052664C">
        <w:rPr>
          <w:rFonts w:ascii="Book Antiqua" w:hAnsi="Book Antiqua"/>
        </w:rPr>
        <w:t xml:space="preserve"> that</w:t>
      </w:r>
      <w:r w:rsidR="006640B8" w:rsidRPr="0052664C">
        <w:rPr>
          <w:rFonts w:ascii="Book Antiqua" w:hAnsi="Book Antiqua"/>
        </w:rPr>
        <w:t xml:space="preserve"> </w:t>
      </w:r>
      <w:r w:rsidR="00CD5AAB" w:rsidRPr="0052664C">
        <w:rPr>
          <w:rFonts w:ascii="Book Antiqua" w:hAnsi="Book Antiqua"/>
        </w:rPr>
        <w:t xml:space="preserve">the </w:t>
      </w:r>
      <w:r w:rsidR="006640B8" w:rsidRPr="0052664C">
        <w:rPr>
          <w:rFonts w:ascii="Book Antiqua" w:hAnsi="Book Antiqua"/>
        </w:rPr>
        <w:t>initial CTC</w:t>
      </w:r>
      <w:r w:rsidR="00C43891" w:rsidRPr="0052664C">
        <w:rPr>
          <w:rFonts w:ascii="Book Antiqua" w:hAnsi="Book Antiqua"/>
        </w:rPr>
        <w:t>,</w:t>
      </w:r>
      <w:r w:rsidR="006640B8" w:rsidRPr="0052664C">
        <w:rPr>
          <w:rFonts w:ascii="Book Antiqua" w:hAnsi="Book Antiqua"/>
        </w:rPr>
        <w:t xml:space="preserve"> count </w:t>
      </w:r>
      <w:r w:rsidR="00CD5AAB" w:rsidRPr="0052664C">
        <w:rPr>
          <w:rFonts w:ascii="Book Antiqua" w:hAnsi="Book Antiqua"/>
        </w:rPr>
        <w:t>is</w:t>
      </w:r>
      <w:r w:rsidR="006640B8" w:rsidRPr="0052664C">
        <w:rPr>
          <w:rFonts w:ascii="Book Antiqua" w:hAnsi="Book Antiqua"/>
        </w:rPr>
        <w:t xml:space="preserve"> a </w:t>
      </w:r>
      <w:r w:rsidR="004029C2" w:rsidRPr="0052664C">
        <w:rPr>
          <w:rFonts w:ascii="Book Antiqua" w:hAnsi="Book Antiqua"/>
        </w:rPr>
        <w:t xml:space="preserve">useful prognostic </w:t>
      </w:r>
      <w:r w:rsidR="006640B8" w:rsidRPr="0052664C">
        <w:rPr>
          <w:rFonts w:ascii="Book Antiqua" w:hAnsi="Book Antiqua"/>
        </w:rPr>
        <w:t>biomarker</w:t>
      </w:r>
      <w:r w:rsidR="00F71C77" w:rsidRPr="0052664C">
        <w:rPr>
          <w:rFonts w:ascii="Book Antiqua" w:hAnsi="Book Antiqua"/>
        </w:rPr>
        <w:t xml:space="preserve"> for patients with this disease</w:t>
      </w:r>
      <w:r w:rsidR="006640B8" w:rsidRPr="0052664C">
        <w:rPr>
          <w:rFonts w:ascii="Book Antiqua" w:hAnsi="Book Antiqua"/>
        </w:rPr>
        <w:t>.</w:t>
      </w:r>
    </w:p>
    <w:p w14:paraId="56180811" w14:textId="77777777" w:rsidR="00881B23" w:rsidRPr="0052664C" w:rsidRDefault="00881B23" w:rsidP="00E11D9F">
      <w:pPr>
        <w:spacing w:line="360" w:lineRule="auto"/>
        <w:rPr>
          <w:rFonts w:ascii="Book Antiqua" w:hAnsi="Book Antiqua"/>
        </w:rPr>
      </w:pPr>
    </w:p>
    <w:p w14:paraId="72FA5069" w14:textId="77777777" w:rsidR="00242953" w:rsidRPr="0052664C" w:rsidRDefault="00D675F5" w:rsidP="00E11D9F">
      <w:pPr>
        <w:spacing w:line="360" w:lineRule="auto"/>
        <w:rPr>
          <w:rFonts w:ascii="Book Antiqua" w:hAnsi="Book Antiqua"/>
          <w:b/>
        </w:rPr>
      </w:pPr>
      <w:r w:rsidRPr="0052664C">
        <w:rPr>
          <w:rFonts w:ascii="Book Antiqua" w:hAnsi="Book Antiqua"/>
          <w:b/>
        </w:rPr>
        <w:t xml:space="preserve">DISCUSSION </w:t>
      </w:r>
    </w:p>
    <w:p w14:paraId="07EBBCFE" w14:textId="072B9008" w:rsidR="00D7143B" w:rsidRPr="0052664C" w:rsidRDefault="00B2669E" w:rsidP="00E11D9F">
      <w:pPr>
        <w:spacing w:line="360" w:lineRule="auto"/>
        <w:rPr>
          <w:rFonts w:ascii="Book Antiqua" w:hAnsi="Book Antiqua"/>
        </w:rPr>
      </w:pPr>
      <w:r w:rsidRPr="0052664C">
        <w:rPr>
          <w:rFonts w:ascii="Book Antiqua" w:hAnsi="Book Antiqua"/>
        </w:rPr>
        <w:t xml:space="preserve">Our </w:t>
      </w:r>
      <w:r w:rsidR="00FF4A62" w:rsidRPr="0052664C">
        <w:rPr>
          <w:rFonts w:ascii="Book Antiqua" w:hAnsi="Book Antiqua"/>
        </w:rPr>
        <w:t>results indicate that</w:t>
      </w:r>
      <w:r w:rsidR="00F71C77" w:rsidRPr="0052664C">
        <w:rPr>
          <w:rFonts w:ascii="Book Antiqua" w:hAnsi="Book Antiqua"/>
        </w:rPr>
        <w:t>, unlike typical gastric cancer,</w:t>
      </w:r>
      <w:r w:rsidR="00FF4A62" w:rsidRPr="0052664C">
        <w:rPr>
          <w:rFonts w:ascii="Book Antiqua" w:hAnsi="Book Antiqua"/>
        </w:rPr>
        <w:t xml:space="preserve"> </w:t>
      </w:r>
      <w:r w:rsidR="00D87F36" w:rsidRPr="0052664C">
        <w:rPr>
          <w:rFonts w:ascii="Book Antiqua" w:hAnsi="Book Antiqua"/>
        </w:rPr>
        <w:t>the</w:t>
      </w:r>
      <w:r w:rsidR="006B256E" w:rsidRPr="0052664C">
        <w:rPr>
          <w:rFonts w:ascii="Book Antiqua" w:hAnsi="Book Antiqua"/>
        </w:rPr>
        <w:t xml:space="preserve"> subtype of gastric cancer </w:t>
      </w:r>
      <w:r w:rsidR="00F71C77" w:rsidRPr="0052664C">
        <w:rPr>
          <w:rFonts w:ascii="Book Antiqua" w:hAnsi="Book Antiqua"/>
        </w:rPr>
        <w:t xml:space="preserve">that presents with </w:t>
      </w:r>
      <w:r w:rsidR="006B256E" w:rsidRPr="0052664C">
        <w:rPr>
          <w:rFonts w:ascii="Book Antiqua" w:hAnsi="Book Antiqua"/>
        </w:rPr>
        <w:t xml:space="preserve">diffuse bone metastases can be characterized </w:t>
      </w:r>
      <w:r w:rsidR="00F71C77" w:rsidRPr="0052664C">
        <w:rPr>
          <w:rFonts w:ascii="Book Antiqua" w:hAnsi="Book Antiqua"/>
        </w:rPr>
        <w:t xml:space="preserve">as having </w:t>
      </w:r>
      <w:r w:rsidRPr="0052664C">
        <w:rPr>
          <w:rFonts w:ascii="Book Antiqua" w:hAnsi="Book Antiqua"/>
        </w:rPr>
        <w:t>a high</w:t>
      </w:r>
      <w:r w:rsidR="006B256E" w:rsidRPr="0052664C">
        <w:rPr>
          <w:rFonts w:ascii="Book Antiqua" w:hAnsi="Book Antiqua"/>
        </w:rPr>
        <w:t xml:space="preserve"> CTC count</w:t>
      </w:r>
      <w:r w:rsidR="00614777" w:rsidRPr="0052664C">
        <w:rPr>
          <w:rFonts w:ascii="Book Antiqua" w:hAnsi="Book Antiqua"/>
        </w:rPr>
        <w:t>.</w:t>
      </w:r>
      <w:r w:rsidR="00233D2C" w:rsidRPr="0052664C">
        <w:rPr>
          <w:rFonts w:ascii="Book Antiqua" w:hAnsi="Book Antiqua"/>
        </w:rPr>
        <w:t xml:space="preserve"> </w:t>
      </w:r>
      <w:r w:rsidR="00A823F7" w:rsidRPr="0052664C">
        <w:rPr>
          <w:rFonts w:ascii="Book Antiqua" w:hAnsi="Book Antiqua"/>
        </w:rPr>
        <w:t xml:space="preserve">Therefore, we propose this subtype of gastric cancer as circulating gastric cancer (cGC). </w:t>
      </w:r>
      <w:r w:rsidR="00572255" w:rsidRPr="0052664C">
        <w:rPr>
          <w:rFonts w:ascii="Book Antiqua" w:hAnsi="Book Antiqua"/>
        </w:rPr>
        <w:t>The incidence of cGC is roughly estima</w:t>
      </w:r>
      <w:r w:rsidR="00363698">
        <w:rPr>
          <w:rFonts w:ascii="Book Antiqua" w:hAnsi="Book Antiqua"/>
        </w:rPr>
        <w:t>ted to range from 1.5% to 11.9</w:t>
      </w:r>
      <w:r w:rsidR="00572255" w:rsidRPr="0052664C">
        <w:rPr>
          <w:rFonts w:ascii="Book Antiqua" w:hAnsi="Book Antiqua"/>
        </w:rPr>
        <w:t>% of gastric cancer in the literature</w:t>
      </w:r>
      <w:r w:rsidR="00E11D9F" w:rsidRPr="0052664C">
        <w:rPr>
          <w:rFonts w:ascii="Book Antiqua" w:hAnsi="Book Antiqua"/>
          <w:vertAlign w:val="superscript"/>
        </w:rPr>
        <w:t>[</w:t>
      </w:r>
      <w:r w:rsidR="001D6715" w:rsidRPr="0052664C">
        <w:rPr>
          <w:rFonts w:ascii="Book Antiqua" w:hAnsi="Book Antiqua"/>
          <w:vertAlign w:val="superscript"/>
        </w:rPr>
        <w:t>3,</w:t>
      </w:r>
      <w:r w:rsidR="00572255" w:rsidRPr="0052664C">
        <w:rPr>
          <w:rFonts w:ascii="Book Antiqua" w:hAnsi="Book Antiqua"/>
          <w:vertAlign w:val="superscript"/>
        </w:rPr>
        <w:t>4]</w:t>
      </w:r>
      <w:r w:rsidR="00572255" w:rsidRPr="0052664C">
        <w:rPr>
          <w:rFonts w:ascii="Book Antiqua" w:hAnsi="Book Antiqua"/>
        </w:rPr>
        <w:t xml:space="preserve">. However, if CTC count is characteristics of this subtype, we can estimate the incidence more precisely. </w:t>
      </w:r>
      <w:r w:rsidR="00A823F7" w:rsidRPr="0052664C">
        <w:rPr>
          <w:rFonts w:ascii="Book Antiqua" w:hAnsi="Book Antiqua"/>
        </w:rPr>
        <w:t xml:space="preserve">One of the reasons why cGC metastasizes to bone with high frequency is due to the blood stream from stomach, we considered. </w:t>
      </w:r>
      <w:r w:rsidR="00F93463" w:rsidRPr="0052664C">
        <w:rPr>
          <w:rFonts w:ascii="Book Antiqua" w:hAnsi="Book Antiqua"/>
        </w:rPr>
        <w:t xml:space="preserve">The blood stream from almost digestive tracts other than upper stomach and lower rectum flows into portal vein. </w:t>
      </w:r>
      <w:r w:rsidR="000118CC" w:rsidRPr="0052664C">
        <w:rPr>
          <w:rFonts w:ascii="Book Antiqua" w:hAnsi="Book Antiqua"/>
        </w:rPr>
        <w:t>However, a</w:t>
      </w:r>
      <w:r w:rsidR="00F93463" w:rsidRPr="0052664C">
        <w:rPr>
          <w:rFonts w:ascii="Book Antiqua" w:hAnsi="Book Antiqua"/>
        </w:rPr>
        <w:t xml:space="preserve"> part of the blood stream from the proxima</w:t>
      </w:r>
      <w:r w:rsidR="0055004E" w:rsidRPr="0052664C">
        <w:rPr>
          <w:rFonts w:ascii="Book Antiqua" w:hAnsi="Book Antiqua"/>
        </w:rPr>
        <w:t xml:space="preserve">l region of stomach flows into connecting vein between left gastric vein and </w:t>
      </w:r>
      <w:r w:rsidR="0055004E" w:rsidRPr="0052664C">
        <w:rPr>
          <w:rFonts w:ascii="Book Antiqua" w:hAnsi="Book Antiqua"/>
        </w:rPr>
        <w:lastRenderedPageBreak/>
        <w:t>esophageal vein,</w:t>
      </w:r>
      <w:r w:rsidR="00F93463" w:rsidRPr="0052664C">
        <w:rPr>
          <w:rFonts w:ascii="Book Antiqua" w:hAnsi="Book Antiqua"/>
        </w:rPr>
        <w:t xml:space="preserve"> an</w:t>
      </w:r>
      <w:r w:rsidR="009B1BF2" w:rsidRPr="0052664C">
        <w:rPr>
          <w:rFonts w:ascii="Book Antiqua" w:hAnsi="Book Antiqua"/>
        </w:rPr>
        <w:t>d leads to valveless Batson venous plexus</w:t>
      </w:r>
      <w:r w:rsidR="00F93463" w:rsidRPr="0052664C">
        <w:rPr>
          <w:rFonts w:ascii="Book Antiqua" w:hAnsi="Book Antiqua"/>
        </w:rPr>
        <w:t>, which forms venous plexus penetrating spines via azygous and hemiazygous veins</w:t>
      </w:r>
      <w:r w:rsidR="00E11D9F" w:rsidRPr="0052664C">
        <w:rPr>
          <w:rFonts w:ascii="Book Antiqua" w:hAnsi="Book Antiqua"/>
          <w:vertAlign w:val="superscript"/>
        </w:rPr>
        <w:t>[</w:t>
      </w:r>
      <w:r w:rsidR="00D57079" w:rsidRPr="0052664C">
        <w:rPr>
          <w:rFonts w:ascii="Book Antiqua" w:hAnsi="Book Antiqua"/>
          <w:vertAlign w:val="superscript"/>
        </w:rPr>
        <w:t>16</w:t>
      </w:r>
      <w:r w:rsidR="0055004E" w:rsidRPr="0052664C">
        <w:rPr>
          <w:rFonts w:ascii="Book Antiqua" w:hAnsi="Book Antiqua"/>
          <w:vertAlign w:val="superscript"/>
        </w:rPr>
        <w:t>]</w:t>
      </w:r>
      <w:r w:rsidR="00F93463" w:rsidRPr="0052664C">
        <w:rPr>
          <w:rFonts w:ascii="Book Antiqua" w:hAnsi="Book Antiqua"/>
        </w:rPr>
        <w:t>.</w:t>
      </w:r>
      <w:r w:rsidR="000118CC" w:rsidRPr="0052664C">
        <w:rPr>
          <w:rFonts w:ascii="Book Antiqua" w:hAnsi="Book Antiqua"/>
        </w:rPr>
        <w:t xml:space="preserve"> This situation is similar to the blood stream from prostate, breast and lung. </w:t>
      </w:r>
      <w:r w:rsidR="005E022A" w:rsidRPr="0052664C">
        <w:rPr>
          <w:rFonts w:ascii="Book Antiqua" w:hAnsi="Book Antiqua"/>
        </w:rPr>
        <w:t xml:space="preserve">These </w:t>
      </w:r>
      <w:r w:rsidR="005232A4" w:rsidRPr="0052664C">
        <w:rPr>
          <w:rFonts w:ascii="Book Antiqua" w:hAnsi="Book Antiqua"/>
        </w:rPr>
        <w:t>high</w:t>
      </w:r>
      <w:r w:rsidR="00F624F2" w:rsidRPr="0052664C">
        <w:rPr>
          <w:rFonts w:ascii="Book Antiqua" w:hAnsi="Book Antiqua"/>
        </w:rPr>
        <w:t xml:space="preserve"> CTC </w:t>
      </w:r>
      <w:r w:rsidR="003230A9" w:rsidRPr="0052664C">
        <w:rPr>
          <w:rFonts w:ascii="Book Antiqua" w:hAnsi="Book Antiqua"/>
        </w:rPr>
        <w:t>count</w:t>
      </w:r>
      <w:r w:rsidR="005E022A" w:rsidRPr="0052664C">
        <w:rPr>
          <w:rFonts w:ascii="Book Antiqua" w:hAnsi="Book Antiqua"/>
        </w:rPr>
        <w:t>s</w:t>
      </w:r>
      <w:r w:rsidR="003230A9" w:rsidRPr="0052664C">
        <w:rPr>
          <w:rFonts w:ascii="Book Antiqua" w:hAnsi="Book Antiqua"/>
        </w:rPr>
        <w:t xml:space="preserve"> </w:t>
      </w:r>
      <w:r w:rsidR="005232A4" w:rsidRPr="0052664C">
        <w:rPr>
          <w:rFonts w:ascii="Book Antiqua" w:hAnsi="Book Antiqua"/>
        </w:rPr>
        <w:t xml:space="preserve">may </w:t>
      </w:r>
      <w:r w:rsidR="005E022A" w:rsidRPr="0052664C">
        <w:rPr>
          <w:rFonts w:ascii="Book Antiqua" w:hAnsi="Book Antiqua"/>
        </w:rPr>
        <w:t>have contributed to the</w:t>
      </w:r>
      <w:r w:rsidR="005232A4" w:rsidRPr="0052664C">
        <w:rPr>
          <w:rFonts w:ascii="Book Antiqua" w:hAnsi="Book Antiqua"/>
        </w:rPr>
        <w:t xml:space="preserve"> </w:t>
      </w:r>
      <w:r w:rsidR="00F624F2" w:rsidRPr="0052664C">
        <w:rPr>
          <w:rFonts w:ascii="Book Antiqua" w:hAnsi="Book Antiqua"/>
        </w:rPr>
        <w:t xml:space="preserve">diffuse </w:t>
      </w:r>
      <w:r w:rsidR="00435254" w:rsidRPr="0052664C">
        <w:rPr>
          <w:rFonts w:ascii="Book Antiqua" w:hAnsi="Book Antiqua"/>
        </w:rPr>
        <w:t xml:space="preserve">bone </w:t>
      </w:r>
      <w:r w:rsidR="005E022A" w:rsidRPr="0052664C">
        <w:rPr>
          <w:rFonts w:ascii="Book Antiqua" w:hAnsi="Book Antiqua"/>
        </w:rPr>
        <w:t xml:space="preserve">metastases observed with </w:t>
      </w:r>
      <w:r w:rsidR="00435254" w:rsidRPr="0052664C">
        <w:rPr>
          <w:rFonts w:ascii="Book Antiqua" w:hAnsi="Book Antiqua"/>
        </w:rPr>
        <w:t xml:space="preserve">this subtype. </w:t>
      </w:r>
      <w:r w:rsidR="005232A4" w:rsidRPr="0052664C">
        <w:rPr>
          <w:rFonts w:ascii="Book Antiqua" w:hAnsi="Book Antiqua"/>
        </w:rPr>
        <w:t>B</w:t>
      </w:r>
      <w:r w:rsidR="00AF44A4" w:rsidRPr="0052664C">
        <w:rPr>
          <w:rFonts w:ascii="Book Antiqua" w:hAnsi="Book Antiqua"/>
        </w:rPr>
        <w:t xml:space="preserve">one marrow </w:t>
      </w:r>
      <w:r w:rsidR="005232A4" w:rsidRPr="0052664C">
        <w:rPr>
          <w:rFonts w:ascii="Book Antiqua" w:hAnsi="Book Antiqua"/>
        </w:rPr>
        <w:t xml:space="preserve">is considered to be </w:t>
      </w:r>
      <w:r w:rsidR="00AF44A4" w:rsidRPr="0052664C">
        <w:rPr>
          <w:rFonts w:ascii="Book Antiqua" w:hAnsi="Book Antiqua"/>
        </w:rPr>
        <w:t>a common</w:t>
      </w:r>
      <w:r w:rsidR="005E022A" w:rsidRPr="0052664C">
        <w:rPr>
          <w:rFonts w:ascii="Book Antiqua" w:hAnsi="Book Antiqua"/>
        </w:rPr>
        <w:t xml:space="preserve"> and </w:t>
      </w:r>
      <w:r w:rsidR="00AF44A4" w:rsidRPr="0052664C">
        <w:rPr>
          <w:rFonts w:ascii="Book Antiqua" w:hAnsi="Book Antiqua"/>
        </w:rPr>
        <w:t xml:space="preserve">easily </w:t>
      </w:r>
      <w:r w:rsidR="005E022A" w:rsidRPr="0052664C">
        <w:rPr>
          <w:rFonts w:ascii="Book Antiqua" w:hAnsi="Book Antiqua"/>
        </w:rPr>
        <w:t xml:space="preserve">accessed </w:t>
      </w:r>
      <w:r w:rsidR="00AF44A4" w:rsidRPr="0052664C">
        <w:rPr>
          <w:rFonts w:ascii="Book Antiqua" w:hAnsi="Book Antiqua"/>
        </w:rPr>
        <w:t xml:space="preserve">homing organ for </w:t>
      </w:r>
      <w:r w:rsidR="005E022A" w:rsidRPr="0052664C">
        <w:rPr>
          <w:rFonts w:ascii="Book Antiqua" w:hAnsi="Book Antiqua"/>
        </w:rPr>
        <w:t xml:space="preserve">tumor </w:t>
      </w:r>
      <w:r w:rsidR="00AF44A4" w:rsidRPr="0052664C">
        <w:rPr>
          <w:rFonts w:ascii="Book Antiqua" w:hAnsi="Book Antiqua"/>
        </w:rPr>
        <w:t xml:space="preserve">cells </w:t>
      </w:r>
      <w:r w:rsidR="005E022A" w:rsidRPr="0052664C">
        <w:rPr>
          <w:rFonts w:ascii="Book Antiqua" w:hAnsi="Book Antiqua"/>
        </w:rPr>
        <w:t>that escape</w:t>
      </w:r>
      <w:r w:rsidR="00AF44A4" w:rsidRPr="0052664C">
        <w:rPr>
          <w:rFonts w:ascii="Book Antiqua" w:hAnsi="Book Antiqua"/>
        </w:rPr>
        <w:t xml:space="preserve"> epithelial tumors</w:t>
      </w:r>
      <w:r w:rsidR="00E11D9F" w:rsidRPr="0052664C">
        <w:rPr>
          <w:rFonts w:ascii="Book Antiqua" w:hAnsi="Book Antiqua"/>
          <w:vertAlign w:val="superscript"/>
        </w:rPr>
        <w:t>[</w:t>
      </w:r>
      <w:r w:rsidR="00D57079" w:rsidRPr="0052664C">
        <w:rPr>
          <w:rFonts w:ascii="Book Antiqua" w:hAnsi="Book Antiqua"/>
          <w:vertAlign w:val="superscript"/>
        </w:rPr>
        <w:t>17</w:t>
      </w:r>
      <w:r w:rsidR="00DA41D6" w:rsidRPr="0052664C">
        <w:rPr>
          <w:rFonts w:ascii="Book Antiqua" w:hAnsi="Book Antiqua"/>
          <w:vertAlign w:val="superscript"/>
        </w:rPr>
        <w:t>]</w:t>
      </w:r>
      <w:r w:rsidR="00950059" w:rsidRPr="0052664C">
        <w:rPr>
          <w:rFonts w:ascii="Book Antiqua" w:hAnsi="Book Antiqua"/>
        </w:rPr>
        <w:t>.</w:t>
      </w:r>
      <w:r w:rsidR="00AF44A4" w:rsidRPr="0052664C">
        <w:rPr>
          <w:rFonts w:ascii="Book Antiqua" w:hAnsi="Book Antiqua"/>
        </w:rPr>
        <w:t xml:space="preserve"> </w:t>
      </w:r>
      <w:r w:rsidR="0055004E" w:rsidRPr="0052664C">
        <w:rPr>
          <w:rFonts w:ascii="Book Antiqua" w:hAnsi="Book Antiqua"/>
        </w:rPr>
        <w:t>As the other factor for CTC to metastasize to bone, it</w:t>
      </w:r>
      <w:r w:rsidR="00C4004B" w:rsidRPr="0052664C">
        <w:rPr>
          <w:rFonts w:ascii="Book Antiqua" w:hAnsi="Book Antiqua"/>
        </w:rPr>
        <w:t xml:space="preserve"> is thought there are niches in </w:t>
      </w:r>
      <w:r w:rsidR="005E022A" w:rsidRPr="0052664C">
        <w:rPr>
          <w:rFonts w:ascii="Book Antiqua" w:hAnsi="Book Antiqua"/>
        </w:rPr>
        <w:t xml:space="preserve">the </w:t>
      </w:r>
      <w:r w:rsidR="00C4004B" w:rsidRPr="0052664C">
        <w:rPr>
          <w:rFonts w:ascii="Book Antiqua" w:hAnsi="Book Antiqua"/>
        </w:rPr>
        <w:t>bone marrow where CTCs can easily reside</w:t>
      </w:r>
      <w:r w:rsidR="0062439A" w:rsidRPr="0052664C">
        <w:rPr>
          <w:rFonts w:ascii="Book Antiqua" w:hAnsi="Book Antiqua"/>
        </w:rPr>
        <w:t>,</w:t>
      </w:r>
      <w:r w:rsidR="005E022A" w:rsidRPr="0052664C">
        <w:rPr>
          <w:rFonts w:ascii="Book Antiqua" w:hAnsi="Book Antiqua"/>
        </w:rPr>
        <w:t xml:space="preserve"> and the</w:t>
      </w:r>
      <w:r w:rsidR="007C38C2" w:rsidRPr="0052664C">
        <w:rPr>
          <w:rFonts w:ascii="Book Antiqua" w:hAnsi="Book Antiqua"/>
        </w:rPr>
        <w:t xml:space="preserve"> bone marrow is considered to be a reservoir for dis</w:t>
      </w:r>
      <w:r w:rsidR="00DA41D6" w:rsidRPr="0052664C">
        <w:rPr>
          <w:rFonts w:ascii="Book Antiqua" w:hAnsi="Book Antiqua"/>
        </w:rPr>
        <w:t>seminated tumor cells</w:t>
      </w:r>
      <w:r w:rsidR="00E11D9F" w:rsidRPr="0052664C">
        <w:rPr>
          <w:rFonts w:ascii="Book Antiqua" w:hAnsi="Book Antiqua"/>
          <w:vertAlign w:val="superscript"/>
        </w:rPr>
        <w:t>[</w:t>
      </w:r>
      <w:r w:rsidR="001D6715" w:rsidRPr="0052664C">
        <w:rPr>
          <w:rFonts w:ascii="Book Antiqua" w:hAnsi="Book Antiqua"/>
          <w:vertAlign w:val="superscript"/>
        </w:rPr>
        <w:t>4,</w:t>
      </w:r>
      <w:r w:rsidR="00D57079" w:rsidRPr="0052664C">
        <w:rPr>
          <w:rFonts w:ascii="Book Antiqua" w:hAnsi="Book Antiqua"/>
          <w:vertAlign w:val="superscript"/>
        </w:rPr>
        <w:t>18</w:t>
      </w:r>
      <w:r w:rsidR="007C38C2" w:rsidRPr="0052664C">
        <w:rPr>
          <w:rFonts w:ascii="Book Antiqua" w:hAnsi="Book Antiqua"/>
          <w:vertAlign w:val="superscript"/>
        </w:rPr>
        <w:t>]</w:t>
      </w:r>
      <w:r w:rsidR="007C38C2" w:rsidRPr="0052664C">
        <w:rPr>
          <w:rFonts w:ascii="Book Antiqua" w:hAnsi="Book Antiqua"/>
        </w:rPr>
        <w:t>. I</w:t>
      </w:r>
      <w:r w:rsidR="00603368" w:rsidRPr="0052664C">
        <w:rPr>
          <w:rFonts w:ascii="Book Antiqua" w:hAnsi="Book Antiqua"/>
        </w:rPr>
        <w:t xml:space="preserve">t </w:t>
      </w:r>
      <w:r w:rsidR="005E022A" w:rsidRPr="0052664C">
        <w:rPr>
          <w:rFonts w:ascii="Book Antiqua" w:hAnsi="Book Antiqua"/>
        </w:rPr>
        <w:t xml:space="preserve">has </w:t>
      </w:r>
      <w:r w:rsidR="00603368" w:rsidRPr="0052664C">
        <w:rPr>
          <w:rFonts w:ascii="Book Antiqua" w:hAnsi="Book Antiqua"/>
        </w:rPr>
        <w:t xml:space="preserve">also </w:t>
      </w:r>
      <w:r w:rsidR="005E022A" w:rsidRPr="0052664C">
        <w:rPr>
          <w:rFonts w:ascii="Book Antiqua" w:hAnsi="Book Antiqua"/>
        </w:rPr>
        <w:t xml:space="preserve">been </w:t>
      </w:r>
      <w:r w:rsidR="00610660" w:rsidRPr="0052664C">
        <w:rPr>
          <w:rFonts w:ascii="Book Antiqua" w:hAnsi="Book Antiqua"/>
        </w:rPr>
        <w:t>suggested that cancer cell</w:t>
      </w:r>
      <w:r w:rsidR="005E022A" w:rsidRPr="0052664C">
        <w:rPr>
          <w:rFonts w:ascii="Book Antiqua" w:hAnsi="Book Antiqua"/>
        </w:rPr>
        <w:t>s</w:t>
      </w:r>
      <w:r w:rsidR="00610660" w:rsidRPr="0052664C">
        <w:rPr>
          <w:rFonts w:ascii="Book Antiqua" w:hAnsi="Book Antiqua"/>
        </w:rPr>
        <w:t xml:space="preserve"> metastasize to the bone </w:t>
      </w:r>
      <w:r w:rsidR="005E022A" w:rsidRPr="0052664C">
        <w:rPr>
          <w:rFonts w:ascii="Book Antiqua" w:hAnsi="Book Antiqua"/>
        </w:rPr>
        <w:t xml:space="preserve">through </w:t>
      </w:r>
      <w:r w:rsidR="00610660" w:rsidRPr="0052664C">
        <w:rPr>
          <w:rFonts w:ascii="Book Antiqua" w:hAnsi="Book Antiqua"/>
        </w:rPr>
        <w:t>a multistep process</w:t>
      </w:r>
      <w:r w:rsidR="00E11D9F" w:rsidRPr="0052664C">
        <w:rPr>
          <w:rFonts w:ascii="Book Antiqua" w:hAnsi="Book Antiqua"/>
          <w:vertAlign w:val="superscript"/>
        </w:rPr>
        <w:t>[</w:t>
      </w:r>
      <w:r w:rsidR="00D57079" w:rsidRPr="0052664C">
        <w:rPr>
          <w:rFonts w:ascii="Book Antiqua" w:hAnsi="Book Antiqua"/>
          <w:vertAlign w:val="superscript"/>
        </w:rPr>
        <w:t>18</w:t>
      </w:r>
      <w:r w:rsidR="00DA41D6" w:rsidRPr="0052664C">
        <w:rPr>
          <w:rFonts w:ascii="Book Antiqua" w:hAnsi="Book Antiqua"/>
          <w:vertAlign w:val="superscript"/>
        </w:rPr>
        <w:t>]</w:t>
      </w:r>
      <w:r w:rsidR="00950059" w:rsidRPr="0052664C">
        <w:rPr>
          <w:rFonts w:ascii="Book Antiqua" w:hAnsi="Book Antiqua"/>
        </w:rPr>
        <w:t>.</w:t>
      </w:r>
      <w:r w:rsidR="00610660" w:rsidRPr="0052664C">
        <w:rPr>
          <w:rFonts w:ascii="Book Antiqua" w:hAnsi="Book Antiqua"/>
        </w:rPr>
        <w:t xml:space="preserve"> </w:t>
      </w:r>
      <w:r w:rsidR="005E022A" w:rsidRPr="0052664C">
        <w:rPr>
          <w:rFonts w:ascii="Book Antiqua" w:hAnsi="Book Antiqua"/>
        </w:rPr>
        <w:t>Ongoing research efforts may define</w:t>
      </w:r>
      <w:r w:rsidR="00435254" w:rsidRPr="0052664C">
        <w:rPr>
          <w:rFonts w:ascii="Book Antiqua" w:hAnsi="Book Antiqua"/>
        </w:rPr>
        <w:t xml:space="preserve"> the molecular </w:t>
      </w:r>
      <w:r w:rsidR="005E022A" w:rsidRPr="0052664C">
        <w:rPr>
          <w:rFonts w:ascii="Book Antiqua" w:hAnsi="Book Antiqua"/>
        </w:rPr>
        <w:t xml:space="preserve">basis </w:t>
      </w:r>
      <w:r w:rsidR="00435254" w:rsidRPr="0052664C">
        <w:rPr>
          <w:rFonts w:ascii="Book Antiqua" w:hAnsi="Book Antiqua"/>
        </w:rPr>
        <w:t>of this subtype</w:t>
      </w:r>
      <w:r w:rsidR="005E022A" w:rsidRPr="0052664C">
        <w:rPr>
          <w:rFonts w:ascii="Book Antiqua" w:hAnsi="Book Antiqua"/>
        </w:rPr>
        <w:t xml:space="preserve"> in the near future</w:t>
      </w:r>
      <w:r w:rsidR="00435254" w:rsidRPr="0052664C">
        <w:rPr>
          <w:rFonts w:ascii="Book Antiqua" w:hAnsi="Book Antiqua"/>
        </w:rPr>
        <w:t xml:space="preserve">. </w:t>
      </w:r>
      <w:r w:rsidR="00610660" w:rsidRPr="0052664C">
        <w:rPr>
          <w:rFonts w:ascii="Book Antiqua" w:hAnsi="Book Antiqua"/>
        </w:rPr>
        <w:t>T</w:t>
      </w:r>
      <w:r w:rsidR="00F63217" w:rsidRPr="0052664C">
        <w:rPr>
          <w:rFonts w:ascii="Book Antiqua" w:hAnsi="Book Antiqua"/>
        </w:rPr>
        <w:t xml:space="preserve">here </w:t>
      </w:r>
      <w:r w:rsidR="00410467" w:rsidRPr="0052664C">
        <w:rPr>
          <w:rFonts w:ascii="Book Antiqua" w:hAnsi="Book Antiqua"/>
        </w:rPr>
        <w:t xml:space="preserve">may </w:t>
      </w:r>
      <w:r w:rsidR="00F63217" w:rsidRPr="0052664C">
        <w:rPr>
          <w:rFonts w:ascii="Book Antiqua" w:hAnsi="Book Antiqua"/>
        </w:rPr>
        <w:t xml:space="preserve">be </w:t>
      </w:r>
      <w:r w:rsidR="005E022A" w:rsidRPr="0052664C">
        <w:rPr>
          <w:rFonts w:ascii="Book Antiqua" w:hAnsi="Book Antiqua"/>
        </w:rPr>
        <w:t xml:space="preserve">specific </w:t>
      </w:r>
      <w:r w:rsidR="00603368" w:rsidRPr="0052664C">
        <w:rPr>
          <w:rFonts w:ascii="Book Antiqua" w:hAnsi="Book Antiqua"/>
        </w:rPr>
        <w:t>genetic mutation</w:t>
      </w:r>
      <w:r w:rsidR="00F63217" w:rsidRPr="0052664C">
        <w:rPr>
          <w:rFonts w:ascii="Book Antiqua" w:hAnsi="Book Antiqua"/>
        </w:rPr>
        <w:t>s</w:t>
      </w:r>
      <w:r w:rsidR="00603368" w:rsidRPr="0052664C">
        <w:rPr>
          <w:rFonts w:ascii="Book Antiqua" w:hAnsi="Book Antiqua"/>
        </w:rPr>
        <w:t xml:space="preserve"> </w:t>
      </w:r>
      <w:r w:rsidR="005E022A" w:rsidRPr="0052664C">
        <w:rPr>
          <w:rFonts w:ascii="Book Antiqua" w:hAnsi="Book Antiqua"/>
        </w:rPr>
        <w:t xml:space="preserve">present </w:t>
      </w:r>
      <w:r w:rsidR="00603368" w:rsidRPr="0052664C">
        <w:rPr>
          <w:rFonts w:ascii="Book Antiqua" w:hAnsi="Book Antiqua"/>
        </w:rPr>
        <w:t xml:space="preserve">in CTCs </w:t>
      </w:r>
      <w:r w:rsidR="005E022A" w:rsidRPr="0052664C">
        <w:rPr>
          <w:rFonts w:ascii="Book Antiqua" w:hAnsi="Book Antiqua"/>
        </w:rPr>
        <w:t xml:space="preserve">that </w:t>
      </w:r>
      <w:r w:rsidR="00603368" w:rsidRPr="0052664C">
        <w:rPr>
          <w:rFonts w:ascii="Book Antiqua" w:hAnsi="Book Antiqua"/>
        </w:rPr>
        <w:t xml:space="preserve">confer the </w:t>
      </w:r>
      <w:r w:rsidR="00DA41D6" w:rsidRPr="0052664C">
        <w:rPr>
          <w:rFonts w:ascii="Book Antiqua" w:hAnsi="Book Antiqua"/>
        </w:rPr>
        <w:t xml:space="preserve">specific </w:t>
      </w:r>
      <w:r w:rsidR="00603368" w:rsidRPr="0052664C">
        <w:rPr>
          <w:rFonts w:ascii="Book Antiqua" w:hAnsi="Book Antiqua"/>
        </w:rPr>
        <w:t>phenotype</w:t>
      </w:r>
      <w:r w:rsidR="00F63217" w:rsidRPr="0052664C">
        <w:rPr>
          <w:rFonts w:ascii="Book Antiqua" w:hAnsi="Book Antiqua"/>
        </w:rPr>
        <w:t xml:space="preserve">s </w:t>
      </w:r>
      <w:r w:rsidR="00410467" w:rsidRPr="0052664C">
        <w:rPr>
          <w:rFonts w:ascii="Book Antiqua" w:hAnsi="Book Antiqua"/>
        </w:rPr>
        <w:t>that enable bone metastasis</w:t>
      </w:r>
      <w:r w:rsidR="00603368" w:rsidRPr="0052664C">
        <w:rPr>
          <w:rFonts w:ascii="Book Antiqua" w:hAnsi="Book Antiqua"/>
        </w:rPr>
        <w:t>.</w:t>
      </w:r>
      <w:r w:rsidR="00F63217" w:rsidRPr="0052664C">
        <w:rPr>
          <w:rFonts w:ascii="Book Antiqua" w:hAnsi="Book Antiqua"/>
        </w:rPr>
        <w:t xml:space="preserve"> </w:t>
      </w:r>
      <w:r w:rsidR="005E022A" w:rsidRPr="0052664C">
        <w:rPr>
          <w:rFonts w:ascii="Book Antiqua" w:hAnsi="Book Antiqua"/>
        </w:rPr>
        <w:t xml:space="preserve">In addition, these </w:t>
      </w:r>
      <w:r w:rsidR="00F63217" w:rsidRPr="0052664C">
        <w:rPr>
          <w:rFonts w:ascii="Book Antiqua" w:hAnsi="Book Antiqua"/>
        </w:rPr>
        <w:t xml:space="preserve">mutations </w:t>
      </w:r>
      <w:r w:rsidR="005E022A" w:rsidRPr="0052664C">
        <w:rPr>
          <w:rFonts w:ascii="Book Antiqua" w:hAnsi="Book Antiqua"/>
        </w:rPr>
        <w:t xml:space="preserve">may represent </w:t>
      </w:r>
      <w:r w:rsidR="007A0DD1" w:rsidRPr="0052664C">
        <w:rPr>
          <w:rFonts w:ascii="Book Antiqua" w:hAnsi="Book Antiqua"/>
        </w:rPr>
        <w:t xml:space="preserve">the </w:t>
      </w:r>
      <w:r w:rsidR="00F63217" w:rsidRPr="0052664C">
        <w:rPr>
          <w:rFonts w:ascii="Book Antiqua" w:hAnsi="Book Antiqua"/>
        </w:rPr>
        <w:t xml:space="preserve">characteristic features of this subtype </w:t>
      </w:r>
      <w:r w:rsidR="005E022A" w:rsidRPr="0052664C">
        <w:rPr>
          <w:rFonts w:ascii="Book Antiqua" w:hAnsi="Book Antiqua"/>
        </w:rPr>
        <w:t>that facilitate</w:t>
      </w:r>
      <w:r w:rsidR="00410467" w:rsidRPr="0052664C">
        <w:rPr>
          <w:rFonts w:ascii="Book Antiqua" w:hAnsi="Book Antiqua"/>
        </w:rPr>
        <w:t xml:space="preserve"> </w:t>
      </w:r>
      <w:r w:rsidR="007A0DD1" w:rsidRPr="0052664C">
        <w:rPr>
          <w:rFonts w:ascii="Book Antiqua" w:hAnsi="Book Antiqua"/>
        </w:rPr>
        <w:t xml:space="preserve">the </w:t>
      </w:r>
      <w:r w:rsidR="00F63217" w:rsidRPr="0052664C">
        <w:rPr>
          <w:rFonts w:ascii="Book Antiqua" w:hAnsi="Book Antiqua"/>
        </w:rPr>
        <w:t xml:space="preserve">rapid progression </w:t>
      </w:r>
      <w:r w:rsidR="005E022A" w:rsidRPr="0052664C">
        <w:rPr>
          <w:rFonts w:ascii="Book Antiqua" w:hAnsi="Book Antiqua"/>
        </w:rPr>
        <w:t xml:space="preserve">of circulating cells </w:t>
      </w:r>
      <w:r w:rsidR="00F63217" w:rsidRPr="0052664C">
        <w:rPr>
          <w:rFonts w:ascii="Book Antiqua" w:hAnsi="Book Antiqua"/>
        </w:rPr>
        <w:t xml:space="preserve">to the bone. </w:t>
      </w:r>
      <w:r w:rsidR="005E022A" w:rsidRPr="0052664C">
        <w:rPr>
          <w:rFonts w:ascii="Book Antiqua" w:hAnsi="Book Antiqua"/>
        </w:rPr>
        <w:t>Thus</w:t>
      </w:r>
      <w:r w:rsidR="007A0DD1" w:rsidRPr="0052664C">
        <w:rPr>
          <w:rFonts w:ascii="Book Antiqua" w:hAnsi="Book Antiqua"/>
        </w:rPr>
        <w:t>,</w:t>
      </w:r>
      <w:r w:rsidR="005E022A" w:rsidRPr="0052664C">
        <w:rPr>
          <w:rFonts w:ascii="Book Antiqua" w:hAnsi="Book Antiqua"/>
        </w:rPr>
        <w:t xml:space="preserve"> </w:t>
      </w:r>
      <w:r w:rsidR="009D52E6" w:rsidRPr="0052664C">
        <w:rPr>
          <w:rFonts w:ascii="Book Antiqua" w:hAnsi="Book Antiqua"/>
        </w:rPr>
        <w:t xml:space="preserve">CTC analysis might </w:t>
      </w:r>
      <w:r w:rsidR="00A057B4" w:rsidRPr="0052664C">
        <w:rPr>
          <w:rFonts w:ascii="Book Antiqua" w:hAnsi="Book Antiqua"/>
        </w:rPr>
        <w:t xml:space="preserve">establish </w:t>
      </w:r>
      <w:r w:rsidR="007A0DD1" w:rsidRPr="0052664C">
        <w:rPr>
          <w:rFonts w:ascii="Book Antiqua" w:hAnsi="Book Antiqua"/>
        </w:rPr>
        <w:t xml:space="preserve">the </w:t>
      </w:r>
      <w:r w:rsidR="009D52E6" w:rsidRPr="0052664C">
        <w:rPr>
          <w:rFonts w:ascii="Book Antiqua" w:hAnsi="Book Antiqua"/>
        </w:rPr>
        <w:t xml:space="preserve">molecular pathogenesis of this specific </w:t>
      </w:r>
      <w:r w:rsidR="00A057B4" w:rsidRPr="0052664C">
        <w:rPr>
          <w:rFonts w:ascii="Book Antiqua" w:hAnsi="Book Antiqua"/>
        </w:rPr>
        <w:t xml:space="preserve">cancer </w:t>
      </w:r>
      <w:r w:rsidR="009D52E6" w:rsidRPr="0052664C">
        <w:rPr>
          <w:rFonts w:ascii="Book Antiqua" w:hAnsi="Book Antiqua"/>
        </w:rPr>
        <w:t>subtype.</w:t>
      </w:r>
      <w:r w:rsidR="0055004E" w:rsidRPr="0052664C">
        <w:rPr>
          <w:rFonts w:ascii="Book Antiqua" w:hAnsi="Book Antiqua"/>
        </w:rPr>
        <w:t xml:space="preserve"> </w:t>
      </w:r>
      <w:r w:rsidR="00A057B4" w:rsidRPr="0052664C">
        <w:rPr>
          <w:rFonts w:ascii="Book Antiqua" w:hAnsi="Book Antiqua"/>
        </w:rPr>
        <w:t xml:space="preserve">Within </w:t>
      </w:r>
      <w:r w:rsidR="00F63217" w:rsidRPr="0052664C">
        <w:rPr>
          <w:rFonts w:ascii="Book Antiqua" w:hAnsi="Book Antiqua"/>
        </w:rPr>
        <w:t xml:space="preserve">this subtype, </w:t>
      </w:r>
      <w:r w:rsidR="00A057B4" w:rsidRPr="0052664C">
        <w:rPr>
          <w:rFonts w:ascii="Book Antiqua" w:hAnsi="Book Antiqua"/>
        </w:rPr>
        <w:t xml:space="preserve">in all practicality, </w:t>
      </w:r>
      <w:r w:rsidR="007A0DD1" w:rsidRPr="0052664C">
        <w:rPr>
          <w:rFonts w:ascii="Book Antiqua" w:hAnsi="Book Antiqua"/>
        </w:rPr>
        <w:t xml:space="preserve">the </w:t>
      </w:r>
      <w:r w:rsidR="00603368" w:rsidRPr="0052664C">
        <w:rPr>
          <w:rFonts w:ascii="Book Antiqua" w:hAnsi="Book Antiqua"/>
        </w:rPr>
        <w:t xml:space="preserve">CTC count </w:t>
      </w:r>
      <w:r w:rsidR="00410467" w:rsidRPr="0052664C">
        <w:rPr>
          <w:rFonts w:ascii="Book Antiqua" w:hAnsi="Book Antiqua"/>
        </w:rPr>
        <w:t xml:space="preserve">may </w:t>
      </w:r>
      <w:r w:rsidR="00A057B4" w:rsidRPr="0052664C">
        <w:rPr>
          <w:rFonts w:ascii="Book Antiqua" w:hAnsi="Book Antiqua"/>
        </w:rPr>
        <w:t>serve</w:t>
      </w:r>
      <w:r w:rsidR="007A0DD1" w:rsidRPr="0052664C">
        <w:rPr>
          <w:rFonts w:ascii="Book Antiqua" w:hAnsi="Book Antiqua"/>
        </w:rPr>
        <w:t>s</w:t>
      </w:r>
      <w:r w:rsidR="00A057B4" w:rsidRPr="0052664C">
        <w:rPr>
          <w:rFonts w:ascii="Book Antiqua" w:hAnsi="Book Antiqua"/>
        </w:rPr>
        <w:t xml:space="preserve"> as </w:t>
      </w:r>
      <w:r w:rsidR="00603368" w:rsidRPr="0052664C">
        <w:rPr>
          <w:rFonts w:ascii="Book Antiqua" w:hAnsi="Book Antiqua"/>
        </w:rPr>
        <w:t xml:space="preserve">a definitive biomarker </w:t>
      </w:r>
      <w:r w:rsidR="007A0DD1" w:rsidRPr="0052664C">
        <w:rPr>
          <w:rFonts w:ascii="Book Antiqua" w:hAnsi="Book Antiqua"/>
        </w:rPr>
        <w:t>for</w:t>
      </w:r>
      <w:r w:rsidR="00A057B4" w:rsidRPr="0052664C">
        <w:rPr>
          <w:rFonts w:ascii="Book Antiqua" w:hAnsi="Book Antiqua"/>
        </w:rPr>
        <w:t xml:space="preserve"> evaluating </w:t>
      </w:r>
      <w:r w:rsidR="00603368" w:rsidRPr="0052664C">
        <w:rPr>
          <w:rFonts w:ascii="Book Antiqua" w:hAnsi="Book Antiqua"/>
        </w:rPr>
        <w:t>therapeutic effects</w:t>
      </w:r>
      <w:r w:rsidR="00A057B4" w:rsidRPr="0052664C">
        <w:rPr>
          <w:rFonts w:ascii="Book Antiqua" w:hAnsi="Book Antiqua"/>
        </w:rPr>
        <w:t>,</w:t>
      </w:r>
      <w:r w:rsidR="00F63217" w:rsidRPr="0052664C">
        <w:rPr>
          <w:rFonts w:ascii="Book Antiqua" w:hAnsi="Book Antiqua"/>
        </w:rPr>
        <w:t xml:space="preserve"> </w:t>
      </w:r>
      <w:r w:rsidR="00C4004B" w:rsidRPr="0052664C">
        <w:rPr>
          <w:rFonts w:ascii="Book Antiqua" w:hAnsi="Book Antiqua"/>
        </w:rPr>
        <w:t xml:space="preserve">as </w:t>
      </w:r>
      <w:r w:rsidR="00A057B4" w:rsidRPr="0052664C">
        <w:rPr>
          <w:rFonts w:ascii="Book Antiqua" w:hAnsi="Book Antiqua"/>
        </w:rPr>
        <w:t>has been</w:t>
      </w:r>
      <w:r w:rsidR="00C4004B" w:rsidRPr="0052664C">
        <w:rPr>
          <w:rFonts w:ascii="Book Antiqua" w:hAnsi="Book Antiqua"/>
        </w:rPr>
        <w:t xml:space="preserve"> previous</w:t>
      </w:r>
      <w:r w:rsidR="00A057B4" w:rsidRPr="0052664C">
        <w:rPr>
          <w:rFonts w:ascii="Book Antiqua" w:hAnsi="Book Antiqua"/>
        </w:rPr>
        <w:t>ly suggested</w:t>
      </w:r>
      <w:r w:rsidR="00E11D9F" w:rsidRPr="0052664C">
        <w:rPr>
          <w:rFonts w:ascii="Book Antiqua" w:hAnsi="Book Antiqua"/>
          <w:vertAlign w:val="superscript"/>
        </w:rPr>
        <w:t>[</w:t>
      </w:r>
      <w:r w:rsidR="001D6715" w:rsidRPr="0052664C">
        <w:rPr>
          <w:rFonts w:ascii="Book Antiqua" w:hAnsi="Book Antiqua"/>
          <w:vertAlign w:val="superscript"/>
        </w:rPr>
        <w:t>19,</w:t>
      </w:r>
      <w:r w:rsidR="00D57079" w:rsidRPr="0052664C">
        <w:rPr>
          <w:rFonts w:ascii="Book Antiqua" w:hAnsi="Book Antiqua"/>
          <w:vertAlign w:val="superscript"/>
        </w:rPr>
        <w:t>20</w:t>
      </w:r>
      <w:r w:rsidR="00DA41D6" w:rsidRPr="0052664C">
        <w:rPr>
          <w:rFonts w:ascii="Book Antiqua" w:hAnsi="Book Antiqua"/>
          <w:vertAlign w:val="superscript"/>
        </w:rPr>
        <w:t>]</w:t>
      </w:r>
      <w:r w:rsidR="00C4004B" w:rsidRPr="0052664C">
        <w:rPr>
          <w:rFonts w:ascii="Book Antiqua" w:hAnsi="Book Antiqua"/>
        </w:rPr>
        <w:t>.</w:t>
      </w:r>
      <w:r w:rsidR="00603368" w:rsidRPr="0052664C">
        <w:rPr>
          <w:rFonts w:ascii="Book Antiqua" w:hAnsi="Book Antiqua"/>
        </w:rPr>
        <w:t xml:space="preserve"> </w:t>
      </w:r>
      <w:r w:rsidR="009F2440" w:rsidRPr="0052664C">
        <w:rPr>
          <w:rFonts w:ascii="Book Antiqua" w:hAnsi="Book Antiqua"/>
        </w:rPr>
        <w:t xml:space="preserve">The </w:t>
      </w:r>
      <w:r w:rsidR="00921A54" w:rsidRPr="0052664C">
        <w:rPr>
          <w:rFonts w:ascii="Book Antiqua" w:hAnsi="Book Antiqua"/>
        </w:rPr>
        <w:t xml:space="preserve">CTC count has </w:t>
      </w:r>
      <w:r w:rsidR="00410467" w:rsidRPr="0052664C">
        <w:rPr>
          <w:rFonts w:ascii="Book Antiqua" w:hAnsi="Book Antiqua"/>
        </w:rPr>
        <w:t xml:space="preserve">the </w:t>
      </w:r>
      <w:r w:rsidR="00A057B4" w:rsidRPr="0052664C">
        <w:rPr>
          <w:rFonts w:ascii="Book Antiqua" w:hAnsi="Book Antiqua"/>
        </w:rPr>
        <w:t xml:space="preserve">further </w:t>
      </w:r>
      <w:r w:rsidR="00921A54" w:rsidRPr="0052664C">
        <w:rPr>
          <w:rFonts w:ascii="Book Antiqua" w:hAnsi="Book Antiqua"/>
        </w:rPr>
        <w:t xml:space="preserve">advantage </w:t>
      </w:r>
      <w:r w:rsidR="00410467" w:rsidRPr="0052664C">
        <w:rPr>
          <w:rFonts w:ascii="Book Antiqua" w:hAnsi="Book Antiqua"/>
        </w:rPr>
        <w:t xml:space="preserve">of </w:t>
      </w:r>
      <w:r w:rsidR="00A057B4" w:rsidRPr="0052664C">
        <w:rPr>
          <w:rFonts w:ascii="Book Antiqua" w:hAnsi="Book Antiqua"/>
        </w:rPr>
        <w:t>allowing the evaluation of chemotherapeutic benefit</w:t>
      </w:r>
      <w:r w:rsidR="00410467" w:rsidRPr="0052664C">
        <w:rPr>
          <w:rFonts w:ascii="Book Antiqua" w:hAnsi="Book Antiqua"/>
        </w:rPr>
        <w:t xml:space="preserve"> earlier than</w:t>
      </w:r>
      <w:r w:rsidR="00921A54" w:rsidRPr="0052664C">
        <w:rPr>
          <w:rFonts w:ascii="Book Antiqua" w:hAnsi="Book Antiqua"/>
        </w:rPr>
        <w:t xml:space="preserve"> </w:t>
      </w:r>
      <w:r w:rsidR="00DA41D6" w:rsidRPr="0052664C">
        <w:rPr>
          <w:rFonts w:ascii="Book Antiqua" w:hAnsi="Book Antiqua"/>
        </w:rPr>
        <w:t xml:space="preserve">imaging </w:t>
      </w:r>
      <w:r w:rsidR="00921A54" w:rsidRPr="0052664C">
        <w:rPr>
          <w:rFonts w:ascii="Book Antiqua" w:hAnsi="Book Antiqua"/>
        </w:rPr>
        <w:t>measures</w:t>
      </w:r>
      <w:r w:rsidR="00603368" w:rsidRPr="0052664C">
        <w:rPr>
          <w:rFonts w:ascii="Book Antiqua" w:hAnsi="Book Antiqua"/>
        </w:rPr>
        <w:t xml:space="preserve">. Furthermore, </w:t>
      </w:r>
      <w:r w:rsidR="00410467" w:rsidRPr="0052664C">
        <w:rPr>
          <w:rFonts w:ascii="Book Antiqua" w:hAnsi="Book Antiqua"/>
        </w:rPr>
        <w:t xml:space="preserve">CTC </w:t>
      </w:r>
      <w:r w:rsidR="00A057B4" w:rsidRPr="0052664C">
        <w:rPr>
          <w:rFonts w:ascii="Book Antiqua" w:hAnsi="Book Antiqua"/>
        </w:rPr>
        <w:t xml:space="preserve">measurement </w:t>
      </w:r>
      <w:r w:rsidR="00410467" w:rsidRPr="0052664C">
        <w:rPr>
          <w:rFonts w:ascii="Book Antiqua" w:hAnsi="Book Antiqua"/>
        </w:rPr>
        <w:t>may assist in</w:t>
      </w:r>
      <w:r w:rsidR="003F08B8" w:rsidRPr="0052664C">
        <w:rPr>
          <w:rFonts w:ascii="Book Antiqua" w:hAnsi="Book Antiqua"/>
        </w:rPr>
        <w:t xml:space="preserve"> </w:t>
      </w:r>
      <w:r w:rsidR="00FF0990" w:rsidRPr="0052664C">
        <w:rPr>
          <w:rFonts w:ascii="Book Antiqua" w:hAnsi="Book Antiqua"/>
        </w:rPr>
        <w:t>predict</w:t>
      </w:r>
      <w:r w:rsidR="00410467" w:rsidRPr="0052664C">
        <w:rPr>
          <w:rFonts w:ascii="Book Antiqua" w:hAnsi="Book Antiqua"/>
        </w:rPr>
        <w:t>ing</w:t>
      </w:r>
      <w:r w:rsidR="00FF0990" w:rsidRPr="0052664C">
        <w:rPr>
          <w:rFonts w:ascii="Book Antiqua" w:hAnsi="Book Antiqua"/>
        </w:rPr>
        <w:t xml:space="preserve"> patient</w:t>
      </w:r>
      <w:r w:rsidR="00DA41D6" w:rsidRPr="0052664C">
        <w:rPr>
          <w:rFonts w:ascii="Book Antiqua" w:hAnsi="Book Antiqua"/>
        </w:rPr>
        <w:t xml:space="preserve"> survival</w:t>
      </w:r>
      <w:r w:rsidR="00FF0990" w:rsidRPr="0052664C">
        <w:rPr>
          <w:rFonts w:ascii="Book Antiqua" w:hAnsi="Book Antiqua"/>
        </w:rPr>
        <w:t>.</w:t>
      </w:r>
      <w:r w:rsidR="001369B8" w:rsidRPr="0052664C">
        <w:rPr>
          <w:rFonts w:ascii="Book Antiqua" w:hAnsi="Book Antiqua"/>
        </w:rPr>
        <w:t xml:space="preserve"> In spite of rareness of the incidence of cGC</w:t>
      </w:r>
      <w:r w:rsidR="00363698">
        <w:rPr>
          <w:rFonts w:ascii="Book Antiqua" w:hAnsi="Book Antiqua"/>
        </w:rPr>
        <w:t xml:space="preserve"> as low as 10</w:t>
      </w:r>
      <w:r w:rsidR="001369B8" w:rsidRPr="0052664C">
        <w:rPr>
          <w:rFonts w:ascii="Book Antiqua" w:hAnsi="Book Antiqua"/>
        </w:rPr>
        <w:t xml:space="preserve">%, further and larger study </w:t>
      </w:r>
      <w:r w:rsidR="001369B8" w:rsidRPr="0052664C">
        <w:rPr>
          <w:rFonts w:ascii="Book Antiqua" w:hAnsi="Book Antiqua"/>
        </w:rPr>
        <w:lastRenderedPageBreak/>
        <w:t xml:space="preserve">should be warranted in near future. </w:t>
      </w:r>
    </w:p>
    <w:p w14:paraId="79BDFEAA" w14:textId="77777777" w:rsidR="00D7143B" w:rsidRPr="0052664C" w:rsidRDefault="00D7143B" w:rsidP="00E11D9F">
      <w:pPr>
        <w:spacing w:line="360" w:lineRule="auto"/>
        <w:rPr>
          <w:rFonts w:ascii="Book Antiqua" w:hAnsi="Book Antiqua"/>
        </w:rPr>
      </w:pPr>
    </w:p>
    <w:p w14:paraId="08DFA7E9" w14:textId="74F819DA" w:rsidR="004F418E" w:rsidRPr="0052664C" w:rsidRDefault="001D6715" w:rsidP="00E11D9F">
      <w:pPr>
        <w:spacing w:line="360" w:lineRule="auto"/>
        <w:rPr>
          <w:rFonts w:ascii="Book Antiqua" w:hAnsi="Book Antiqua"/>
          <w:b/>
        </w:rPr>
      </w:pPr>
      <w:r w:rsidRPr="0052664C">
        <w:rPr>
          <w:rFonts w:ascii="Book Antiqua" w:hAnsi="Book Antiqua"/>
          <w:b/>
        </w:rPr>
        <w:t>ACKNOWLEDGEMENT</w:t>
      </w:r>
    </w:p>
    <w:p w14:paraId="07395BB5" w14:textId="77777777" w:rsidR="004F418E" w:rsidRPr="0052664C" w:rsidRDefault="004F418E" w:rsidP="00E11D9F">
      <w:pPr>
        <w:spacing w:line="360" w:lineRule="auto"/>
        <w:rPr>
          <w:rFonts w:ascii="Book Antiqua" w:hAnsi="Book Antiqua"/>
        </w:rPr>
      </w:pPr>
      <w:r w:rsidRPr="0052664C">
        <w:rPr>
          <w:rFonts w:ascii="Book Antiqua" w:hAnsi="Book Antiqua"/>
        </w:rPr>
        <w:t xml:space="preserve">The authors would like to thank Enago (http://www.enago.jp) for </w:t>
      </w:r>
      <w:r w:rsidR="00F803E2" w:rsidRPr="0052664C">
        <w:rPr>
          <w:rFonts w:ascii="Book Antiqua" w:hAnsi="Book Antiqua"/>
        </w:rPr>
        <w:t xml:space="preserve">the </w:t>
      </w:r>
      <w:r w:rsidRPr="0052664C">
        <w:rPr>
          <w:rFonts w:ascii="Book Antiqua" w:hAnsi="Book Antiqua"/>
        </w:rPr>
        <w:t>English</w:t>
      </w:r>
    </w:p>
    <w:p w14:paraId="3E7FDBDC" w14:textId="77777777" w:rsidR="004F418E" w:rsidRPr="0052664C" w:rsidRDefault="004F418E" w:rsidP="00E11D9F">
      <w:pPr>
        <w:spacing w:line="360" w:lineRule="auto"/>
        <w:rPr>
          <w:rFonts w:ascii="Book Antiqua" w:hAnsi="Book Antiqua"/>
        </w:rPr>
      </w:pPr>
      <w:r w:rsidRPr="0052664C">
        <w:rPr>
          <w:rFonts w:ascii="Book Antiqua" w:hAnsi="Book Antiqua"/>
        </w:rPr>
        <w:t>language review.</w:t>
      </w:r>
    </w:p>
    <w:p w14:paraId="25E6937E" w14:textId="77777777" w:rsidR="00522F39" w:rsidRPr="006B376B" w:rsidRDefault="00522F39" w:rsidP="00E11D9F">
      <w:pPr>
        <w:spacing w:line="360" w:lineRule="auto"/>
        <w:rPr>
          <w:rFonts w:ascii="Book Antiqua" w:eastAsia="SimSun" w:hAnsi="Book Antiqua"/>
          <w:lang w:eastAsia="zh-CN"/>
        </w:rPr>
      </w:pPr>
    </w:p>
    <w:p w14:paraId="0A084B43" w14:textId="77777777" w:rsidR="001D6715" w:rsidRPr="00363698" w:rsidRDefault="001D6715" w:rsidP="001D6715">
      <w:pPr>
        <w:spacing w:line="360" w:lineRule="auto"/>
        <w:rPr>
          <w:rFonts w:ascii="Book Antiqua" w:hAnsi="Book Antiqua"/>
          <w:b/>
        </w:rPr>
      </w:pPr>
      <w:r w:rsidRPr="00363698">
        <w:rPr>
          <w:rFonts w:ascii="Book Antiqua" w:hAnsi="Book Antiqua"/>
          <w:b/>
        </w:rPr>
        <w:t>COMMENTS</w:t>
      </w:r>
    </w:p>
    <w:p w14:paraId="49E8525F" w14:textId="6311CBD2" w:rsidR="001D6715" w:rsidRPr="00363698" w:rsidRDefault="001D6715" w:rsidP="001D6715">
      <w:pPr>
        <w:spacing w:line="360" w:lineRule="auto"/>
        <w:rPr>
          <w:rFonts w:ascii="Book Antiqua" w:hAnsi="Book Antiqua"/>
          <w:b/>
          <w:bCs/>
        </w:rPr>
      </w:pPr>
      <w:r w:rsidRPr="00363698">
        <w:rPr>
          <w:rFonts w:ascii="Book Antiqua" w:hAnsi="Book Antiqua"/>
          <w:b/>
          <w:bCs/>
          <w:i/>
        </w:rPr>
        <w:t>Background</w:t>
      </w:r>
    </w:p>
    <w:p w14:paraId="7AE721FF" w14:textId="1DE90E17" w:rsidR="00F22253" w:rsidRPr="00363698" w:rsidRDefault="00F22253" w:rsidP="001D6715">
      <w:pPr>
        <w:spacing w:line="360" w:lineRule="auto"/>
        <w:rPr>
          <w:rFonts w:ascii="Book Antiqua" w:hAnsi="Book Antiqua"/>
        </w:rPr>
      </w:pPr>
      <w:r w:rsidRPr="00363698">
        <w:rPr>
          <w:rFonts w:ascii="Book Antiqua" w:hAnsi="Book Antiqua"/>
        </w:rPr>
        <w:t xml:space="preserve">The incidence of subtype of gastric cancer that presents with diffuse bone metastases at onset is roughly estimated as 10% or less of gastric cancer. However, the biological natures of this disease are not identified, and </w:t>
      </w:r>
      <w:r w:rsidR="00232950" w:rsidRPr="00363698">
        <w:rPr>
          <w:rFonts w:ascii="Book Antiqua" w:hAnsi="Book Antiqua"/>
        </w:rPr>
        <w:t xml:space="preserve">also </w:t>
      </w:r>
      <w:r w:rsidRPr="00363698">
        <w:rPr>
          <w:rFonts w:ascii="Book Antiqua" w:hAnsi="Book Antiqua"/>
        </w:rPr>
        <w:t xml:space="preserve">this situation is not clearly defined.  </w:t>
      </w:r>
    </w:p>
    <w:p w14:paraId="317E4182" w14:textId="77777777" w:rsidR="001D6715" w:rsidRPr="00363698" w:rsidRDefault="001D6715" w:rsidP="001D6715">
      <w:pPr>
        <w:spacing w:line="360" w:lineRule="auto"/>
        <w:rPr>
          <w:rFonts w:ascii="Book Antiqua" w:hAnsi="Book Antiqua"/>
          <w:b/>
          <w:bCs/>
        </w:rPr>
      </w:pPr>
    </w:p>
    <w:p w14:paraId="53A3EDB8" w14:textId="3CC51FBE" w:rsidR="001D6715" w:rsidRPr="00363698" w:rsidRDefault="001D6715" w:rsidP="001D6715">
      <w:pPr>
        <w:spacing w:line="360" w:lineRule="auto"/>
        <w:rPr>
          <w:rFonts w:ascii="Book Antiqua" w:hAnsi="Book Antiqua"/>
          <w:b/>
          <w:bCs/>
        </w:rPr>
      </w:pPr>
      <w:r w:rsidRPr="00363698">
        <w:rPr>
          <w:rFonts w:ascii="Book Antiqua" w:hAnsi="Book Antiqua"/>
          <w:b/>
          <w:bCs/>
          <w:i/>
        </w:rPr>
        <w:t>Research frontiers</w:t>
      </w:r>
    </w:p>
    <w:p w14:paraId="7469A0EE" w14:textId="5568E1A7" w:rsidR="00F22253" w:rsidRPr="00363698" w:rsidRDefault="00F22253" w:rsidP="001D6715">
      <w:pPr>
        <w:spacing w:line="360" w:lineRule="auto"/>
        <w:rPr>
          <w:rFonts w:ascii="Book Antiqua" w:hAnsi="Book Antiqua"/>
        </w:rPr>
      </w:pPr>
      <w:r w:rsidRPr="00363698">
        <w:rPr>
          <w:rFonts w:ascii="Book Antiqua" w:hAnsi="Book Antiqua"/>
        </w:rPr>
        <w:t xml:space="preserve">Recently to examine cancer patients, liquid biopsy is very accessible and becomes a reliable way in which we can get DNA and RNA of cancer cells or even capture themselves from blood drawn. By this easy way, we can get any biological information of </w:t>
      </w:r>
      <w:r w:rsidR="00232950" w:rsidRPr="00363698">
        <w:rPr>
          <w:rFonts w:ascii="Book Antiqua" w:hAnsi="Book Antiqua"/>
        </w:rPr>
        <w:t xml:space="preserve">the </w:t>
      </w:r>
      <w:r w:rsidRPr="00363698">
        <w:rPr>
          <w:rFonts w:ascii="Book Antiqua" w:hAnsi="Book Antiqua"/>
        </w:rPr>
        <w:t xml:space="preserve">cancer cells’ situation at real time.         </w:t>
      </w:r>
    </w:p>
    <w:p w14:paraId="7EFF2B8F" w14:textId="77777777" w:rsidR="001D6715" w:rsidRPr="00363698" w:rsidRDefault="001D6715" w:rsidP="001D6715">
      <w:pPr>
        <w:spacing w:line="360" w:lineRule="auto"/>
        <w:rPr>
          <w:rFonts w:ascii="Book Antiqua" w:hAnsi="Book Antiqua"/>
          <w:b/>
        </w:rPr>
      </w:pPr>
    </w:p>
    <w:p w14:paraId="41C0FA2D" w14:textId="715F8E71" w:rsidR="001D6715" w:rsidRPr="00363698" w:rsidRDefault="001D6715" w:rsidP="001D6715">
      <w:pPr>
        <w:spacing w:line="360" w:lineRule="auto"/>
        <w:rPr>
          <w:rFonts w:ascii="Book Antiqua" w:hAnsi="Book Antiqua"/>
          <w:b/>
          <w:bCs/>
        </w:rPr>
      </w:pPr>
      <w:r w:rsidRPr="00363698">
        <w:rPr>
          <w:rFonts w:ascii="Book Antiqua" w:hAnsi="Book Antiqua"/>
          <w:b/>
          <w:bCs/>
          <w:i/>
        </w:rPr>
        <w:t>Innovations and breakthroughs</w:t>
      </w:r>
    </w:p>
    <w:p w14:paraId="234A622C" w14:textId="48E1B098" w:rsidR="001D6715" w:rsidRPr="00363698" w:rsidRDefault="00F22253" w:rsidP="001D6715">
      <w:pPr>
        <w:spacing w:line="360" w:lineRule="auto"/>
        <w:rPr>
          <w:rFonts w:ascii="Book Antiqua" w:hAnsi="Book Antiqua"/>
        </w:rPr>
      </w:pPr>
      <w:r w:rsidRPr="00363698">
        <w:rPr>
          <w:rFonts w:ascii="Book Antiqua" w:hAnsi="Book Antiqua"/>
        </w:rPr>
        <w:t xml:space="preserve">Concerning this subtype of gastric cancer, no one argues the high number or importance of </w:t>
      </w:r>
      <w:r w:rsidR="006B376B" w:rsidRPr="00363698">
        <w:rPr>
          <w:rFonts w:ascii="Book Antiqua" w:hAnsi="Book Antiqua"/>
        </w:rPr>
        <w:t>circulation tumor cell (CTC)</w:t>
      </w:r>
      <w:r w:rsidR="006B376B" w:rsidRPr="00363698">
        <w:rPr>
          <w:rFonts w:ascii="Book Antiqua" w:eastAsia="SimSun" w:hAnsi="Book Antiqua" w:hint="eastAsia"/>
          <w:lang w:eastAsia="zh-CN"/>
        </w:rPr>
        <w:t xml:space="preserve"> </w:t>
      </w:r>
      <w:r w:rsidR="00232950" w:rsidRPr="00363698">
        <w:rPr>
          <w:rFonts w:ascii="Book Antiqua" w:hAnsi="Book Antiqua"/>
        </w:rPr>
        <w:t>for diagnosis</w:t>
      </w:r>
      <w:r w:rsidRPr="00363698">
        <w:rPr>
          <w:rFonts w:ascii="Book Antiqua" w:hAnsi="Book Antiqua"/>
        </w:rPr>
        <w:t xml:space="preserve">. We also claim that </w:t>
      </w:r>
      <w:r w:rsidRPr="00363698">
        <w:rPr>
          <w:rFonts w:ascii="Book Antiqua" w:hAnsi="Book Antiqua"/>
        </w:rPr>
        <w:lastRenderedPageBreak/>
        <w:t xml:space="preserve">CTC of this subtype is very useful as predictive and prognosis biomarkers. </w:t>
      </w:r>
    </w:p>
    <w:p w14:paraId="33A59FD5" w14:textId="77777777" w:rsidR="00232950" w:rsidRPr="00363698" w:rsidRDefault="00232950" w:rsidP="001D6715">
      <w:pPr>
        <w:spacing w:line="360" w:lineRule="auto"/>
        <w:rPr>
          <w:rFonts w:ascii="Book Antiqua" w:hAnsi="Book Antiqua"/>
        </w:rPr>
      </w:pPr>
    </w:p>
    <w:p w14:paraId="77A4F2F2" w14:textId="79E87DC2" w:rsidR="001D6715" w:rsidRPr="00363698" w:rsidRDefault="001D6715" w:rsidP="001D6715">
      <w:pPr>
        <w:spacing w:line="360" w:lineRule="auto"/>
        <w:rPr>
          <w:rFonts w:ascii="Book Antiqua" w:hAnsi="Book Antiqua"/>
          <w:b/>
          <w:bCs/>
        </w:rPr>
      </w:pPr>
      <w:r w:rsidRPr="00363698">
        <w:rPr>
          <w:rFonts w:ascii="Book Antiqua" w:hAnsi="Book Antiqua"/>
          <w:b/>
          <w:bCs/>
          <w:i/>
        </w:rPr>
        <w:t>Applications</w:t>
      </w:r>
    </w:p>
    <w:p w14:paraId="0E4148D8" w14:textId="5C0727AF" w:rsidR="001D6715" w:rsidRPr="00363698" w:rsidRDefault="00232950" w:rsidP="001D6715">
      <w:pPr>
        <w:spacing w:line="360" w:lineRule="auto"/>
        <w:rPr>
          <w:rFonts w:ascii="Book Antiqua" w:hAnsi="Book Antiqua" w:cs="Arial"/>
          <w:bCs/>
        </w:rPr>
      </w:pPr>
      <w:r w:rsidRPr="00363698">
        <w:rPr>
          <w:rFonts w:ascii="Book Antiqua" w:hAnsi="Book Antiqua" w:cs="Arial"/>
          <w:bCs/>
        </w:rPr>
        <w:t xml:space="preserve">The CTC count of this subtype should be measured prior to administration of chemotherapeutic agents. Then it should be reexamined just after one cycle of chemotherapy, and compared them to evaluate the sensitivity of the drugs used. That could result in a better outcome to the patient.   </w:t>
      </w:r>
    </w:p>
    <w:p w14:paraId="1B064EBB" w14:textId="77777777" w:rsidR="00232950" w:rsidRPr="00363698" w:rsidRDefault="00232950" w:rsidP="001D6715">
      <w:pPr>
        <w:spacing w:line="360" w:lineRule="auto"/>
        <w:rPr>
          <w:rFonts w:ascii="Book Antiqua" w:hAnsi="Book Antiqua" w:cs="Arial"/>
          <w:bCs/>
        </w:rPr>
      </w:pPr>
    </w:p>
    <w:p w14:paraId="491D8C74" w14:textId="672D6D4A" w:rsidR="001D6715" w:rsidRPr="00363698" w:rsidRDefault="001D6715" w:rsidP="001D6715">
      <w:pPr>
        <w:spacing w:line="360" w:lineRule="auto"/>
        <w:rPr>
          <w:rFonts w:ascii="Book Antiqua" w:hAnsi="Book Antiqua" w:cs="Arial"/>
          <w:b/>
          <w:bCs/>
        </w:rPr>
      </w:pPr>
      <w:r w:rsidRPr="00363698">
        <w:rPr>
          <w:rFonts w:ascii="Book Antiqua" w:hAnsi="Book Antiqua" w:cs="Arial"/>
          <w:b/>
          <w:bCs/>
          <w:i/>
        </w:rPr>
        <w:t>Terminology</w:t>
      </w:r>
    </w:p>
    <w:p w14:paraId="0DA2167C" w14:textId="5845BEA4" w:rsidR="001D6715" w:rsidRDefault="00232950" w:rsidP="001D6715">
      <w:pPr>
        <w:spacing w:line="360" w:lineRule="auto"/>
        <w:rPr>
          <w:rFonts w:ascii="Book Antiqua" w:hAnsi="Book Antiqua"/>
        </w:rPr>
      </w:pPr>
      <w:bookmarkStart w:id="16" w:name="OLE_LINK13"/>
      <w:bookmarkStart w:id="17" w:name="OLE_LINK323"/>
      <w:bookmarkStart w:id="18" w:name="OLE_LINK349"/>
      <w:bookmarkStart w:id="19" w:name="OLE_LINK377"/>
      <w:bookmarkStart w:id="20" w:name="OLE_LINK386"/>
      <w:bookmarkStart w:id="21" w:name="OLE_LINK400"/>
      <w:bookmarkStart w:id="22" w:name="OLE_LINK416"/>
      <w:bookmarkStart w:id="23" w:name="OLE_LINK512"/>
      <w:r w:rsidRPr="00363698">
        <w:rPr>
          <w:rFonts w:ascii="Book Antiqua" w:hAnsi="Book Antiqua"/>
        </w:rPr>
        <w:t>Circulation tumor cell (CTC) is a living cancer cell in the patient’s blood flow. It can be captured by immunomagnetic beads coated suitable antibodies.</w:t>
      </w:r>
      <w:r>
        <w:rPr>
          <w:rFonts w:ascii="Book Antiqua" w:hAnsi="Book Antiqua"/>
        </w:rPr>
        <w:t xml:space="preserve">    </w:t>
      </w:r>
      <w:r w:rsidRPr="00232950">
        <w:rPr>
          <w:rFonts w:ascii="Book Antiqua" w:hAnsi="Book Antiqua"/>
        </w:rPr>
        <w:t xml:space="preserve"> </w:t>
      </w:r>
    </w:p>
    <w:p w14:paraId="198A56EB" w14:textId="77777777" w:rsidR="00232950" w:rsidRPr="00232950" w:rsidRDefault="00232950" w:rsidP="001D6715">
      <w:pPr>
        <w:spacing w:line="360" w:lineRule="auto"/>
        <w:rPr>
          <w:rFonts w:ascii="Book Antiqua" w:hAnsi="Book Antiqua"/>
        </w:rPr>
      </w:pPr>
    </w:p>
    <w:p w14:paraId="1E454C72" w14:textId="77777777" w:rsidR="001D6715" w:rsidRPr="0052664C" w:rsidRDefault="001D6715" w:rsidP="001D6715">
      <w:pPr>
        <w:spacing w:line="360" w:lineRule="auto"/>
        <w:rPr>
          <w:rFonts w:ascii="Book Antiqua" w:hAnsi="Book Antiqua"/>
          <w:b/>
          <w:i/>
        </w:rPr>
      </w:pPr>
      <w:bookmarkStart w:id="24" w:name="OLE_LINK598"/>
      <w:bookmarkStart w:id="25" w:name="OLE_LINK599"/>
      <w:r w:rsidRPr="006B376B">
        <w:rPr>
          <w:rFonts w:ascii="Book Antiqua" w:hAnsi="Book Antiqua"/>
          <w:b/>
          <w:i/>
        </w:rPr>
        <w:t>Peer</w:t>
      </w:r>
      <w:r w:rsidRPr="006B376B">
        <w:rPr>
          <w:rFonts w:ascii="Book Antiqua" w:hAnsi="Book Antiqua" w:hint="eastAsia"/>
          <w:b/>
          <w:i/>
        </w:rPr>
        <w:t>-</w:t>
      </w:r>
      <w:r w:rsidRPr="006B376B">
        <w:rPr>
          <w:rFonts w:ascii="Book Antiqua" w:hAnsi="Book Antiqua"/>
          <w:b/>
          <w:i/>
        </w:rPr>
        <w:t>review</w:t>
      </w:r>
    </w:p>
    <w:bookmarkEnd w:id="16"/>
    <w:bookmarkEnd w:id="17"/>
    <w:bookmarkEnd w:id="18"/>
    <w:bookmarkEnd w:id="19"/>
    <w:bookmarkEnd w:id="20"/>
    <w:bookmarkEnd w:id="21"/>
    <w:bookmarkEnd w:id="22"/>
    <w:bookmarkEnd w:id="23"/>
    <w:bookmarkEnd w:id="24"/>
    <w:bookmarkEnd w:id="25"/>
    <w:p w14:paraId="5AC98C08" w14:textId="29369E7C" w:rsidR="00814882" w:rsidRPr="0052664C" w:rsidRDefault="006B376B" w:rsidP="00543CB7">
      <w:pPr>
        <w:spacing w:line="360" w:lineRule="auto"/>
        <w:rPr>
          <w:rFonts w:ascii="Book Antiqua" w:eastAsia="SimSun" w:hAnsi="Book Antiqua"/>
          <w:lang w:eastAsia="zh-CN"/>
        </w:rPr>
      </w:pPr>
      <w:r w:rsidRPr="006B376B">
        <w:rPr>
          <w:rFonts w:ascii="Book Antiqua" w:hAnsi="Book Antiqua"/>
        </w:rPr>
        <w:t xml:space="preserve">Kazuhiro Shimazu </w:t>
      </w:r>
      <w:r w:rsidRPr="006B376B">
        <w:rPr>
          <w:rFonts w:ascii="Book Antiqua" w:hAnsi="Book Antiqua"/>
          <w:i/>
        </w:rPr>
        <w:t xml:space="preserve">et al </w:t>
      </w:r>
      <w:r w:rsidRPr="006B376B">
        <w:rPr>
          <w:rFonts w:ascii="Book Antiqua" w:hAnsi="Book Antiqua"/>
        </w:rPr>
        <w:t xml:space="preserve">described their clinical experience with 5 cases of a rare type of gastric cancer characterized by diffuse bone metastases at diagnosis, rapid progression and poor prognosis. They identified high number of </w:t>
      </w:r>
      <w:r>
        <w:rPr>
          <w:rFonts w:ascii="Book Antiqua" w:hAnsi="Book Antiqua"/>
        </w:rPr>
        <w:t>CTC</w:t>
      </w:r>
      <w:r w:rsidRPr="006B376B">
        <w:rPr>
          <w:rFonts w:ascii="Book Antiqua" w:hAnsi="Book Antiqua"/>
        </w:rPr>
        <w:t xml:space="preserve"> in this type of cancer, and considered that CTC is responsible for the clinical features. This is also an extension of their previous report on 2 cases included in the study.</w:t>
      </w:r>
      <w:r w:rsidR="001D6715" w:rsidRPr="0052664C">
        <w:rPr>
          <w:rFonts w:ascii="Book Antiqua" w:hAnsi="Book Antiqua"/>
          <w:b/>
        </w:rPr>
        <w:br w:type="page"/>
      </w:r>
      <w:r w:rsidR="001D6715" w:rsidRPr="0052664C">
        <w:rPr>
          <w:rFonts w:ascii="Book Antiqua" w:hAnsi="Book Antiqua"/>
          <w:b/>
        </w:rPr>
        <w:lastRenderedPageBreak/>
        <w:t>REFERENCES</w:t>
      </w:r>
    </w:p>
    <w:p w14:paraId="270BE04C"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1</w:t>
      </w:r>
      <w:r w:rsidRPr="0052664C">
        <w:rPr>
          <w:rFonts w:ascii="Book Antiqua" w:eastAsia="SimSun" w:hAnsi="Book Antiqua" w:cs="SimSun"/>
          <w:kern w:val="0"/>
        </w:rPr>
        <w:t> </w:t>
      </w:r>
      <w:r w:rsidRPr="00087F3D">
        <w:rPr>
          <w:rFonts w:ascii="Book Antiqua" w:eastAsia="SimSun" w:hAnsi="Book Antiqua" w:cs="SimSun"/>
          <w:b/>
          <w:bCs/>
          <w:kern w:val="0"/>
        </w:rPr>
        <w:t>Etoh T</w:t>
      </w:r>
      <w:r w:rsidRPr="00087F3D">
        <w:rPr>
          <w:rFonts w:ascii="Book Antiqua" w:eastAsia="SimSun" w:hAnsi="Book Antiqua" w:cs="SimSun"/>
          <w:kern w:val="0"/>
        </w:rPr>
        <w:t>, Baba H, Taketomi A, Nakashima H, Kohnoe S, Seo Y, Fukuda T, Tomoda H. Diffuse bone metastasis with hematologic disorders from gastric cancer: clinicopathological features and prognosis.</w:t>
      </w:r>
      <w:r w:rsidRPr="0052664C">
        <w:rPr>
          <w:rFonts w:ascii="Book Antiqua" w:eastAsia="SimSun" w:hAnsi="Book Antiqua" w:cs="SimSun"/>
          <w:kern w:val="0"/>
        </w:rPr>
        <w:t> </w:t>
      </w:r>
      <w:r w:rsidRPr="00087F3D">
        <w:rPr>
          <w:rFonts w:ascii="Book Antiqua" w:eastAsia="SimSun" w:hAnsi="Book Antiqua" w:cs="SimSun"/>
          <w:i/>
          <w:iCs/>
          <w:kern w:val="0"/>
        </w:rPr>
        <w:t>Oncol Rep</w:t>
      </w:r>
      <w:r w:rsidRPr="0052664C">
        <w:rPr>
          <w:rFonts w:ascii="Book Antiqua" w:eastAsia="SimSun" w:hAnsi="Book Antiqua" w:cs="SimSun"/>
          <w:kern w:val="0"/>
        </w:rPr>
        <w:t> </w:t>
      </w:r>
      <w:r w:rsidRPr="0052664C">
        <w:rPr>
          <w:rFonts w:ascii="Book Antiqua" w:eastAsia="SimSun" w:hAnsi="Book Antiqua" w:cs="SimSun" w:hint="eastAsia"/>
          <w:kern w:val="0"/>
        </w:rPr>
        <w:t>1999</w:t>
      </w:r>
      <w:r w:rsidRPr="00087F3D">
        <w:rPr>
          <w:rFonts w:ascii="Book Antiqua" w:eastAsia="SimSun" w:hAnsi="Book Antiqua" w:cs="SimSun"/>
          <w:kern w:val="0"/>
        </w:rPr>
        <w:t>;</w:t>
      </w:r>
      <w:r w:rsidRPr="0052664C">
        <w:rPr>
          <w:rFonts w:ascii="Book Antiqua" w:eastAsia="SimSun" w:hAnsi="Book Antiqua" w:cs="SimSun"/>
          <w:kern w:val="0"/>
        </w:rPr>
        <w:t> </w:t>
      </w:r>
      <w:r w:rsidRPr="00087F3D">
        <w:rPr>
          <w:rFonts w:ascii="Book Antiqua" w:eastAsia="SimSun" w:hAnsi="Book Antiqua" w:cs="SimSun"/>
          <w:b/>
          <w:bCs/>
          <w:kern w:val="0"/>
        </w:rPr>
        <w:t>6</w:t>
      </w:r>
      <w:r w:rsidRPr="00087F3D">
        <w:rPr>
          <w:rFonts w:ascii="Book Antiqua" w:eastAsia="SimSun" w:hAnsi="Book Antiqua" w:cs="SimSun"/>
          <w:kern w:val="0"/>
        </w:rPr>
        <w:t>: 601-605 [PMID: 10203599 DOI: 10.3892/or.6.3.601]</w:t>
      </w:r>
    </w:p>
    <w:p w14:paraId="0DA889BF"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2</w:t>
      </w:r>
      <w:r w:rsidRPr="0052664C">
        <w:rPr>
          <w:rFonts w:ascii="Book Antiqua" w:eastAsia="SimSun" w:hAnsi="Book Antiqua" w:cs="SimSun"/>
          <w:kern w:val="0"/>
        </w:rPr>
        <w:t> </w:t>
      </w:r>
      <w:r w:rsidRPr="00087F3D">
        <w:rPr>
          <w:rFonts w:ascii="Book Antiqua" w:eastAsia="SimSun" w:hAnsi="Book Antiqua" w:cs="SimSun"/>
          <w:b/>
          <w:bCs/>
          <w:kern w:val="0"/>
        </w:rPr>
        <w:t>Takashima A</w:t>
      </w:r>
      <w:r w:rsidRPr="00087F3D">
        <w:rPr>
          <w:rFonts w:ascii="Book Antiqua" w:eastAsia="SimSun" w:hAnsi="Book Antiqua" w:cs="SimSun"/>
          <w:kern w:val="0"/>
        </w:rPr>
        <w:t>, Shirao K, Hirashima Y, Takahari D, Okita NT, Nakajima TE, Kato K, Hamaguchi T, Yamada Y, Shimada Y. Sequential chemotherapy with methotrexate and 5-fluorouracil for chemotherapy-naive advanced gastric cancer with disseminated intravascular coagulation at initial diagnosis.</w:t>
      </w:r>
      <w:r w:rsidRPr="0052664C">
        <w:rPr>
          <w:rFonts w:ascii="Book Antiqua" w:eastAsia="SimSun" w:hAnsi="Book Antiqua" w:cs="SimSun"/>
          <w:kern w:val="0"/>
        </w:rPr>
        <w:t> </w:t>
      </w:r>
      <w:r w:rsidRPr="00087F3D">
        <w:rPr>
          <w:rFonts w:ascii="Book Antiqua" w:eastAsia="SimSun" w:hAnsi="Book Antiqua" w:cs="SimSun"/>
          <w:i/>
          <w:iCs/>
          <w:kern w:val="0"/>
        </w:rPr>
        <w:t>J Cancer Res Clin Oncol</w:t>
      </w:r>
      <w:r w:rsidRPr="0052664C">
        <w:rPr>
          <w:rFonts w:ascii="Book Antiqua" w:eastAsia="SimSun" w:hAnsi="Book Antiqua" w:cs="SimSun"/>
          <w:kern w:val="0"/>
        </w:rPr>
        <w:t> </w:t>
      </w:r>
      <w:r w:rsidRPr="00087F3D">
        <w:rPr>
          <w:rFonts w:ascii="Book Antiqua" w:eastAsia="SimSun" w:hAnsi="Book Antiqua" w:cs="SimSun"/>
          <w:kern w:val="0"/>
        </w:rPr>
        <w:t>2010;</w:t>
      </w:r>
      <w:r w:rsidRPr="0052664C">
        <w:rPr>
          <w:rFonts w:ascii="Book Antiqua" w:eastAsia="SimSun" w:hAnsi="Book Antiqua" w:cs="SimSun"/>
          <w:kern w:val="0"/>
        </w:rPr>
        <w:t> </w:t>
      </w:r>
      <w:r w:rsidRPr="00087F3D">
        <w:rPr>
          <w:rFonts w:ascii="Book Antiqua" w:eastAsia="SimSun" w:hAnsi="Book Antiqua" w:cs="SimSun"/>
          <w:b/>
          <w:bCs/>
          <w:kern w:val="0"/>
        </w:rPr>
        <w:t>136</w:t>
      </w:r>
      <w:r w:rsidRPr="00087F3D">
        <w:rPr>
          <w:rFonts w:ascii="Book Antiqua" w:eastAsia="SimSun" w:hAnsi="Book Antiqua" w:cs="SimSun"/>
          <w:kern w:val="0"/>
        </w:rPr>
        <w:t>: 243-248 [PMID: 19727819 DOI: 10.1007/s00432-009-0655-8]</w:t>
      </w:r>
    </w:p>
    <w:p w14:paraId="15B91877" w14:textId="76A93EFA"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3</w:t>
      </w:r>
      <w:r w:rsidRPr="0052664C">
        <w:rPr>
          <w:rFonts w:ascii="Book Antiqua" w:eastAsia="SimSun" w:hAnsi="Book Antiqua" w:cs="SimSun"/>
          <w:kern w:val="0"/>
        </w:rPr>
        <w:t> </w:t>
      </w:r>
      <w:r w:rsidRPr="00087F3D">
        <w:rPr>
          <w:rFonts w:ascii="Book Antiqua" w:eastAsia="SimSun" w:hAnsi="Book Antiqua" w:cs="SimSun"/>
          <w:b/>
          <w:bCs/>
          <w:kern w:val="0"/>
        </w:rPr>
        <w:t>Rhee J</w:t>
      </w:r>
      <w:r w:rsidRPr="00087F3D">
        <w:rPr>
          <w:rFonts w:ascii="Book Antiqua" w:eastAsia="SimSun" w:hAnsi="Book Antiqua" w:cs="SimSun"/>
          <w:kern w:val="0"/>
        </w:rPr>
        <w:t>, Han SW, Oh DY, Im SA, Kim TY, Bang YJ. Clinicopathologic features and clinical outcomes of gastric cancer that initially presents with disseminated intravascular coagulation: a retrospective study.</w:t>
      </w:r>
      <w:r w:rsidRPr="0052664C">
        <w:rPr>
          <w:rFonts w:ascii="Book Antiqua" w:eastAsia="SimSun" w:hAnsi="Book Antiqua" w:cs="SimSun"/>
          <w:kern w:val="0"/>
        </w:rPr>
        <w:t> </w:t>
      </w:r>
      <w:r w:rsidRPr="00087F3D">
        <w:rPr>
          <w:rFonts w:ascii="Book Antiqua" w:eastAsia="SimSun" w:hAnsi="Book Antiqua" w:cs="SimSun"/>
          <w:i/>
          <w:iCs/>
          <w:kern w:val="0"/>
        </w:rPr>
        <w:t>J Gastroenterol Hepatol</w:t>
      </w:r>
      <w:r w:rsidRPr="0052664C">
        <w:rPr>
          <w:rFonts w:ascii="Book Antiqua" w:eastAsia="SimSun" w:hAnsi="Book Antiqua" w:cs="SimSun"/>
          <w:kern w:val="0"/>
        </w:rPr>
        <w:t> </w:t>
      </w:r>
      <w:r w:rsidRPr="00087F3D">
        <w:rPr>
          <w:rFonts w:ascii="Book Antiqua" w:eastAsia="SimSun" w:hAnsi="Book Antiqua" w:cs="SimSun"/>
          <w:kern w:val="0"/>
        </w:rPr>
        <w:t>2010;</w:t>
      </w:r>
      <w:r w:rsidRPr="0052664C">
        <w:rPr>
          <w:rFonts w:ascii="Book Antiqua" w:eastAsia="SimSun" w:hAnsi="Book Antiqua" w:cs="SimSun"/>
          <w:kern w:val="0"/>
        </w:rPr>
        <w:t> </w:t>
      </w:r>
      <w:r w:rsidRPr="00087F3D">
        <w:rPr>
          <w:rFonts w:ascii="Book Antiqua" w:eastAsia="SimSun" w:hAnsi="Book Antiqua" w:cs="SimSun"/>
          <w:b/>
          <w:bCs/>
          <w:kern w:val="0"/>
        </w:rPr>
        <w:t>25</w:t>
      </w:r>
      <w:r w:rsidRPr="00087F3D">
        <w:rPr>
          <w:rFonts w:ascii="Book Antiqua" w:eastAsia="SimSun" w:hAnsi="Book Antiqua" w:cs="SimSun"/>
          <w:kern w:val="0"/>
        </w:rPr>
        <w:t>: 1537-1542 [PMID: 20796152 DOI: 1</w:t>
      </w:r>
      <w:r w:rsidR="00363698">
        <w:rPr>
          <w:rFonts w:ascii="Book Antiqua" w:eastAsia="SimSun" w:hAnsi="Book Antiqua" w:cs="SimSun"/>
          <w:kern w:val="0"/>
        </w:rPr>
        <w:t>0.1111/j.1440-1746.2010.06289.x</w:t>
      </w:r>
      <w:r w:rsidRPr="00087F3D">
        <w:rPr>
          <w:rFonts w:ascii="Book Antiqua" w:eastAsia="SimSun" w:hAnsi="Book Antiqua" w:cs="SimSun"/>
          <w:kern w:val="0"/>
        </w:rPr>
        <w:t>]</w:t>
      </w:r>
    </w:p>
    <w:p w14:paraId="78EC49EB"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4</w:t>
      </w:r>
      <w:r w:rsidRPr="0052664C">
        <w:rPr>
          <w:rFonts w:ascii="Book Antiqua" w:eastAsia="SimSun" w:hAnsi="Book Antiqua" w:cs="SimSun"/>
          <w:kern w:val="0"/>
        </w:rPr>
        <w:t> </w:t>
      </w:r>
      <w:r w:rsidRPr="00087F3D">
        <w:rPr>
          <w:rFonts w:ascii="Book Antiqua" w:eastAsia="SimSun" w:hAnsi="Book Antiqua" w:cs="SimSun"/>
          <w:b/>
          <w:bCs/>
          <w:kern w:val="0"/>
        </w:rPr>
        <w:t>Toyoshima K</w:t>
      </w:r>
      <w:r w:rsidRPr="00087F3D">
        <w:rPr>
          <w:rFonts w:ascii="Book Antiqua" w:eastAsia="SimSun" w:hAnsi="Book Antiqua" w:cs="SimSun"/>
          <w:kern w:val="0"/>
        </w:rPr>
        <w:t>, Hayashi A, Kashiwagi M, Hayashi N, Iwatsuki M, Ishimoto T, Baba Y, Baba H, Ohta Y. Analysis of circulating tumor cells derived from advanced gastric cancer.</w:t>
      </w:r>
      <w:r w:rsidRPr="0052664C">
        <w:rPr>
          <w:rFonts w:ascii="Book Antiqua" w:eastAsia="SimSun" w:hAnsi="Book Antiqua" w:cs="SimSun"/>
          <w:kern w:val="0"/>
        </w:rPr>
        <w:t> </w:t>
      </w:r>
      <w:r w:rsidRPr="00087F3D">
        <w:rPr>
          <w:rFonts w:ascii="Book Antiqua" w:eastAsia="SimSun" w:hAnsi="Book Antiqua" w:cs="SimSun"/>
          <w:i/>
          <w:iCs/>
          <w:kern w:val="0"/>
        </w:rPr>
        <w:t>Int J Cancer</w:t>
      </w:r>
      <w:r w:rsidRPr="0052664C">
        <w:rPr>
          <w:rFonts w:ascii="Book Antiqua" w:eastAsia="SimSun" w:hAnsi="Book Antiqua" w:cs="SimSun"/>
          <w:kern w:val="0"/>
        </w:rPr>
        <w:t> </w:t>
      </w:r>
      <w:r w:rsidRPr="00087F3D">
        <w:rPr>
          <w:rFonts w:ascii="Book Antiqua" w:eastAsia="SimSun" w:hAnsi="Book Antiqua" w:cs="SimSun"/>
          <w:kern w:val="0"/>
        </w:rPr>
        <w:t>2015;</w:t>
      </w:r>
      <w:r w:rsidRPr="0052664C">
        <w:rPr>
          <w:rFonts w:ascii="Book Antiqua" w:eastAsia="SimSun" w:hAnsi="Book Antiqua" w:cs="SimSun"/>
          <w:kern w:val="0"/>
        </w:rPr>
        <w:t> </w:t>
      </w:r>
      <w:r w:rsidRPr="00087F3D">
        <w:rPr>
          <w:rFonts w:ascii="Book Antiqua" w:eastAsia="SimSun" w:hAnsi="Book Antiqua" w:cs="SimSun"/>
          <w:b/>
          <w:bCs/>
          <w:kern w:val="0"/>
        </w:rPr>
        <w:t>137</w:t>
      </w:r>
      <w:r w:rsidRPr="00087F3D">
        <w:rPr>
          <w:rFonts w:ascii="Book Antiqua" w:eastAsia="SimSun" w:hAnsi="Book Antiqua" w:cs="SimSun"/>
          <w:kern w:val="0"/>
        </w:rPr>
        <w:t>: 991-998 [PMID: 25622566 DOI: 10.1002/ijc.29455]</w:t>
      </w:r>
    </w:p>
    <w:p w14:paraId="1BDCC185"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5</w:t>
      </w:r>
      <w:r w:rsidRPr="0052664C">
        <w:rPr>
          <w:rFonts w:ascii="Book Antiqua" w:eastAsia="SimSun" w:hAnsi="Book Antiqua" w:cs="SimSun"/>
          <w:kern w:val="0"/>
        </w:rPr>
        <w:t> </w:t>
      </w:r>
      <w:r w:rsidRPr="00087F3D">
        <w:rPr>
          <w:rFonts w:ascii="Book Antiqua" w:eastAsia="SimSun" w:hAnsi="Book Antiqua" w:cs="SimSun"/>
          <w:b/>
          <w:bCs/>
          <w:kern w:val="0"/>
        </w:rPr>
        <w:t>Etoh T</w:t>
      </w:r>
      <w:r w:rsidRPr="00087F3D">
        <w:rPr>
          <w:rFonts w:ascii="Book Antiqua" w:eastAsia="SimSun" w:hAnsi="Book Antiqua" w:cs="SimSun"/>
          <w:kern w:val="0"/>
        </w:rPr>
        <w:t xml:space="preserve">, Baba H, Taketomi A, Nakashima H, Kohnoe S, Seo Y, Saito T, Tomoda H. Sequential methothrextate and 5-fruororacil therapy for diffuse bone </w:t>
      </w:r>
      <w:r w:rsidRPr="00087F3D">
        <w:rPr>
          <w:rFonts w:ascii="Book Antiqua" w:eastAsia="SimSun" w:hAnsi="Book Antiqua" w:cs="SimSun"/>
          <w:kern w:val="0"/>
        </w:rPr>
        <w:lastRenderedPageBreak/>
        <w:t>metastasis from gastric cancer.</w:t>
      </w:r>
      <w:r w:rsidRPr="0052664C">
        <w:rPr>
          <w:rFonts w:ascii="Book Antiqua" w:eastAsia="SimSun" w:hAnsi="Book Antiqua" w:cs="SimSun"/>
          <w:kern w:val="0"/>
        </w:rPr>
        <w:t> </w:t>
      </w:r>
      <w:r w:rsidRPr="00087F3D">
        <w:rPr>
          <w:rFonts w:ascii="Book Antiqua" w:eastAsia="SimSun" w:hAnsi="Book Antiqua" w:cs="SimSun"/>
          <w:i/>
          <w:iCs/>
          <w:kern w:val="0"/>
        </w:rPr>
        <w:t>Anticancer Res</w:t>
      </w:r>
      <w:r w:rsidRPr="0052664C">
        <w:rPr>
          <w:rFonts w:ascii="Book Antiqua" w:eastAsia="SimSun" w:hAnsi="Book Antiqua" w:cs="SimSun"/>
          <w:kern w:val="0"/>
        </w:rPr>
        <w:t> </w:t>
      </w:r>
      <w:r w:rsidRPr="0052664C">
        <w:rPr>
          <w:rFonts w:ascii="Book Antiqua" w:eastAsia="SimSun" w:hAnsi="Book Antiqua" w:cs="SimSun" w:hint="eastAsia"/>
          <w:kern w:val="0"/>
        </w:rPr>
        <w:t>1998</w:t>
      </w:r>
      <w:r w:rsidRPr="00087F3D">
        <w:rPr>
          <w:rFonts w:ascii="Book Antiqua" w:eastAsia="SimSun" w:hAnsi="Book Antiqua" w:cs="SimSun"/>
          <w:kern w:val="0"/>
        </w:rPr>
        <w:t>;</w:t>
      </w:r>
      <w:r w:rsidRPr="0052664C">
        <w:rPr>
          <w:rFonts w:ascii="Book Antiqua" w:eastAsia="SimSun" w:hAnsi="Book Antiqua" w:cs="SimSun"/>
          <w:kern w:val="0"/>
        </w:rPr>
        <w:t> </w:t>
      </w:r>
      <w:r w:rsidRPr="00087F3D">
        <w:rPr>
          <w:rFonts w:ascii="Book Antiqua" w:eastAsia="SimSun" w:hAnsi="Book Antiqua" w:cs="SimSun"/>
          <w:b/>
          <w:bCs/>
          <w:kern w:val="0"/>
        </w:rPr>
        <w:t>18</w:t>
      </w:r>
      <w:r w:rsidRPr="00087F3D">
        <w:rPr>
          <w:rFonts w:ascii="Book Antiqua" w:eastAsia="SimSun" w:hAnsi="Book Antiqua" w:cs="SimSun"/>
          <w:kern w:val="0"/>
        </w:rPr>
        <w:t>: 2085-2088 [PMID: 9677472]</w:t>
      </w:r>
    </w:p>
    <w:p w14:paraId="7EF8DC9C" w14:textId="79A4608F"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6</w:t>
      </w:r>
      <w:r w:rsidRPr="0052664C">
        <w:rPr>
          <w:rFonts w:ascii="Book Antiqua" w:eastAsia="SimSun" w:hAnsi="Book Antiqua" w:cs="SimSun"/>
          <w:kern w:val="0"/>
        </w:rPr>
        <w:t> </w:t>
      </w:r>
      <w:r w:rsidRPr="00087F3D">
        <w:rPr>
          <w:rFonts w:ascii="Book Antiqua" w:eastAsia="SimSun" w:hAnsi="Book Antiqua" w:cs="SimSun"/>
          <w:b/>
          <w:bCs/>
          <w:kern w:val="0"/>
        </w:rPr>
        <w:t>Bang YJ</w:t>
      </w:r>
      <w:r w:rsidRPr="00087F3D">
        <w:rPr>
          <w:rFonts w:ascii="Book Antiqua" w:eastAsia="SimSun" w:hAnsi="Book Antiqua" w:cs="SimSun"/>
          <w:kern w:val="0"/>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w:t>
      </w:r>
      <w:r w:rsidRPr="0052664C">
        <w:rPr>
          <w:rFonts w:ascii="Book Antiqua" w:eastAsia="SimSun" w:hAnsi="Book Antiqua" w:cs="SimSun"/>
          <w:kern w:val="0"/>
        </w:rPr>
        <w:t> </w:t>
      </w:r>
      <w:r w:rsidRPr="00087F3D">
        <w:rPr>
          <w:rFonts w:ascii="Book Antiqua" w:eastAsia="SimSun" w:hAnsi="Book Antiqua" w:cs="SimSun"/>
          <w:i/>
          <w:iCs/>
          <w:kern w:val="0"/>
        </w:rPr>
        <w:t>Lancet</w:t>
      </w:r>
      <w:r w:rsidRPr="0052664C">
        <w:rPr>
          <w:rFonts w:ascii="Book Antiqua" w:eastAsia="SimSun" w:hAnsi="Book Antiqua" w:cs="SimSun"/>
          <w:kern w:val="0"/>
        </w:rPr>
        <w:t> </w:t>
      </w:r>
      <w:r w:rsidRPr="00087F3D">
        <w:rPr>
          <w:rFonts w:ascii="Book Antiqua" w:eastAsia="SimSun" w:hAnsi="Book Antiqua" w:cs="SimSun"/>
          <w:kern w:val="0"/>
        </w:rPr>
        <w:t>2010;</w:t>
      </w:r>
      <w:r w:rsidRPr="0052664C">
        <w:rPr>
          <w:rFonts w:ascii="Book Antiqua" w:eastAsia="SimSun" w:hAnsi="Book Antiqua" w:cs="SimSun"/>
          <w:kern w:val="0"/>
        </w:rPr>
        <w:t> </w:t>
      </w:r>
      <w:r w:rsidRPr="00087F3D">
        <w:rPr>
          <w:rFonts w:ascii="Book Antiqua" w:eastAsia="SimSun" w:hAnsi="Book Antiqua" w:cs="SimSun"/>
          <w:b/>
          <w:bCs/>
          <w:kern w:val="0"/>
        </w:rPr>
        <w:t>376</w:t>
      </w:r>
      <w:r w:rsidRPr="00087F3D">
        <w:rPr>
          <w:rFonts w:ascii="Book Antiqua" w:eastAsia="SimSun" w:hAnsi="Book Antiqua" w:cs="SimSun"/>
          <w:kern w:val="0"/>
        </w:rPr>
        <w:t>: 687-697 [PMID: 20728210 DOI: 10.1016/S0140-6736(10)61121-X</w:t>
      </w:r>
      <w:r w:rsidR="00363698">
        <w:rPr>
          <w:rFonts w:ascii="Book Antiqua" w:eastAsia="SimSun" w:hAnsi="Book Antiqua" w:cs="SimSun"/>
          <w:kern w:val="0"/>
        </w:rPr>
        <w:t>]</w:t>
      </w:r>
    </w:p>
    <w:p w14:paraId="2C344FF3"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7</w:t>
      </w:r>
      <w:r w:rsidRPr="0052664C">
        <w:rPr>
          <w:rFonts w:ascii="Book Antiqua" w:eastAsia="SimSun" w:hAnsi="Book Antiqua" w:cs="SimSun"/>
          <w:kern w:val="0"/>
        </w:rPr>
        <w:t> </w:t>
      </w:r>
      <w:r w:rsidRPr="00087F3D">
        <w:rPr>
          <w:rFonts w:ascii="Book Antiqua" w:eastAsia="SimSun" w:hAnsi="Book Antiqua" w:cs="SimSun"/>
          <w:b/>
          <w:bCs/>
          <w:kern w:val="0"/>
        </w:rPr>
        <w:t>Yoshikawa K</w:t>
      </w:r>
      <w:r w:rsidRPr="00087F3D">
        <w:rPr>
          <w:rFonts w:ascii="Book Antiqua" w:eastAsia="SimSun" w:hAnsi="Book Antiqua" w:cs="SimSun"/>
          <w:kern w:val="0"/>
        </w:rPr>
        <w:t>, Kitaoka H. Bone metastasis of gastric cancer.</w:t>
      </w:r>
      <w:r w:rsidRPr="0052664C">
        <w:rPr>
          <w:rFonts w:ascii="Book Antiqua" w:eastAsia="SimSun" w:hAnsi="Book Antiqua" w:cs="SimSun"/>
          <w:kern w:val="0"/>
        </w:rPr>
        <w:t> </w:t>
      </w:r>
      <w:r w:rsidRPr="00087F3D">
        <w:rPr>
          <w:rFonts w:ascii="Book Antiqua" w:eastAsia="SimSun" w:hAnsi="Book Antiqua" w:cs="SimSun"/>
          <w:i/>
          <w:iCs/>
          <w:kern w:val="0"/>
        </w:rPr>
        <w:t>Jpn J Surg</w:t>
      </w:r>
      <w:r w:rsidRPr="0052664C">
        <w:rPr>
          <w:rFonts w:ascii="Book Antiqua" w:eastAsia="SimSun" w:hAnsi="Book Antiqua" w:cs="SimSun"/>
          <w:kern w:val="0"/>
        </w:rPr>
        <w:t> </w:t>
      </w:r>
      <w:r w:rsidRPr="00087F3D">
        <w:rPr>
          <w:rFonts w:ascii="Book Antiqua" w:eastAsia="SimSun" w:hAnsi="Book Antiqua" w:cs="SimSun"/>
          <w:kern w:val="0"/>
        </w:rPr>
        <w:t>1983;</w:t>
      </w:r>
      <w:r w:rsidRPr="0052664C">
        <w:rPr>
          <w:rFonts w:ascii="Book Antiqua" w:eastAsia="SimSun" w:hAnsi="Book Antiqua" w:cs="SimSun"/>
          <w:kern w:val="0"/>
        </w:rPr>
        <w:t> </w:t>
      </w:r>
      <w:r w:rsidRPr="00087F3D">
        <w:rPr>
          <w:rFonts w:ascii="Book Antiqua" w:eastAsia="SimSun" w:hAnsi="Book Antiqua" w:cs="SimSun"/>
          <w:b/>
          <w:bCs/>
          <w:kern w:val="0"/>
        </w:rPr>
        <w:t>13</w:t>
      </w:r>
      <w:r w:rsidRPr="00087F3D">
        <w:rPr>
          <w:rFonts w:ascii="Book Antiqua" w:eastAsia="SimSun" w:hAnsi="Book Antiqua" w:cs="SimSun"/>
          <w:kern w:val="0"/>
        </w:rPr>
        <w:t>: 173-176 [PMID: 6632389 DOI: 10.1007/BF02469472]</w:t>
      </w:r>
    </w:p>
    <w:p w14:paraId="6DEBD9BE" w14:textId="0F39E6F5"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8</w:t>
      </w:r>
      <w:r w:rsidRPr="0052664C">
        <w:rPr>
          <w:rFonts w:ascii="Book Antiqua" w:eastAsia="SimSun" w:hAnsi="Book Antiqua" w:cs="SimSun"/>
          <w:kern w:val="0"/>
        </w:rPr>
        <w:t> </w:t>
      </w:r>
      <w:r w:rsidRPr="00087F3D">
        <w:rPr>
          <w:rFonts w:ascii="Book Antiqua" w:eastAsia="SimSun" w:hAnsi="Book Antiqua" w:cs="SimSun"/>
          <w:b/>
          <w:bCs/>
          <w:kern w:val="0"/>
        </w:rPr>
        <w:t>Silvestris N</w:t>
      </w:r>
      <w:r w:rsidRPr="00087F3D">
        <w:rPr>
          <w:rFonts w:ascii="Book Antiqua" w:eastAsia="SimSun" w:hAnsi="Book Antiqua" w:cs="SimSun"/>
          <w:kern w:val="0"/>
        </w:rPr>
        <w:t>, Pantano F, Ibrahim T, Gamucci T, De Vita F, Di Palma T, Pedrazzoli P, Barni S, Bernardo A, Febbraro A, Satolli MA, Bertocchi P, Catalano V, Giommoni E, Comandone A, Maiello E, Riccardi F, Ferrara R, Trogu A, Berardi R, Leo S, Bertolini A, Angelini F, Cinieri S, Russo A, Pisconti S, Brunetti AE, Azzariti A, Santini D. Natural history of malignant bone disease in gastric cancer: final results of a multicenter bone metastasis survey.</w:t>
      </w:r>
      <w:r w:rsidRPr="0052664C">
        <w:rPr>
          <w:rFonts w:ascii="Book Antiqua" w:eastAsia="SimSun" w:hAnsi="Book Antiqua" w:cs="SimSun"/>
          <w:kern w:val="0"/>
        </w:rPr>
        <w:t> </w:t>
      </w:r>
      <w:r w:rsidRPr="00087F3D">
        <w:rPr>
          <w:rFonts w:ascii="Book Antiqua" w:eastAsia="SimSun" w:hAnsi="Book Antiqua" w:cs="SimSun"/>
          <w:i/>
          <w:iCs/>
          <w:kern w:val="0"/>
        </w:rPr>
        <w:t>PLoS One</w:t>
      </w:r>
      <w:r w:rsidRPr="0052664C">
        <w:rPr>
          <w:rFonts w:ascii="Book Antiqua" w:eastAsia="SimSun" w:hAnsi="Book Antiqua" w:cs="SimSun"/>
          <w:kern w:val="0"/>
        </w:rPr>
        <w:t> </w:t>
      </w:r>
      <w:r w:rsidRPr="00087F3D">
        <w:rPr>
          <w:rFonts w:ascii="Book Antiqua" w:eastAsia="SimSun" w:hAnsi="Book Antiqua" w:cs="SimSun"/>
          <w:kern w:val="0"/>
        </w:rPr>
        <w:t>2013;</w:t>
      </w:r>
      <w:r w:rsidRPr="0052664C">
        <w:rPr>
          <w:rFonts w:ascii="Book Antiqua" w:eastAsia="SimSun" w:hAnsi="Book Antiqua" w:cs="SimSun"/>
          <w:kern w:val="0"/>
        </w:rPr>
        <w:t> </w:t>
      </w:r>
      <w:r w:rsidRPr="00087F3D">
        <w:rPr>
          <w:rFonts w:ascii="Book Antiqua" w:eastAsia="SimSun" w:hAnsi="Book Antiqua" w:cs="SimSun"/>
          <w:b/>
          <w:bCs/>
          <w:kern w:val="0"/>
        </w:rPr>
        <w:t>8</w:t>
      </w:r>
      <w:r w:rsidRPr="00087F3D">
        <w:rPr>
          <w:rFonts w:ascii="Book Antiqua" w:eastAsia="SimSun" w:hAnsi="Book Antiqua" w:cs="SimSun"/>
          <w:kern w:val="0"/>
        </w:rPr>
        <w:t>: e74402 [PMID: 24204569 DOI: 10.1371/journal.pone.0074402</w:t>
      </w:r>
      <w:r w:rsidR="00363698">
        <w:rPr>
          <w:rFonts w:ascii="Book Antiqua" w:eastAsia="SimSun" w:hAnsi="Book Antiqua" w:cs="SimSun"/>
          <w:kern w:val="0"/>
        </w:rPr>
        <w:t>]</w:t>
      </w:r>
    </w:p>
    <w:p w14:paraId="0C0D3E45" w14:textId="77777777" w:rsidR="00543CB7" w:rsidRPr="00087F3D" w:rsidRDefault="00543CB7" w:rsidP="00543CB7">
      <w:pPr>
        <w:widowControl/>
        <w:spacing w:line="360" w:lineRule="auto"/>
        <w:rPr>
          <w:rFonts w:ascii="Book Antiqua" w:eastAsia="SimSun" w:hAnsi="Book Antiqua" w:cs="SimSun"/>
          <w:kern w:val="0"/>
        </w:rPr>
      </w:pPr>
      <w:r w:rsidRPr="0052664C">
        <w:rPr>
          <w:rFonts w:ascii="Book Antiqua" w:eastAsia="SimSun" w:hAnsi="Book Antiqua" w:cs="SimSun"/>
          <w:kern w:val="0"/>
        </w:rPr>
        <w:t xml:space="preserve">9 </w:t>
      </w:r>
      <w:r w:rsidRPr="00087F3D">
        <w:rPr>
          <w:rFonts w:ascii="Book Antiqua" w:eastAsia="SimSun" w:hAnsi="Book Antiqua" w:cs="SimSun"/>
          <w:b/>
          <w:kern w:val="0"/>
        </w:rPr>
        <w:t>Galasko C</w:t>
      </w:r>
      <w:r w:rsidRPr="00087F3D">
        <w:rPr>
          <w:rFonts w:ascii="Book Antiqua" w:eastAsia="SimSun" w:hAnsi="Book Antiqua" w:cs="SimSun"/>
          <w:kern w:val="0"/>
        </w:rPr>
        <w:t>. The anatomy and pathways of skeletal metastases. In: Weiss L, Gilbert A. Bone metastases. Boston: GK Hall; 1981: 49–63.</w:t>
      </w:r>
    </w:p>
    <w:p w14:paraId="731A9449"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10</w:t>
      </w:r>
      <w:r w:rsidRPr="0052664C">
        <w:rPr>
          <w:rFonts w:ascii="Book Antiqua" w:eastAsia="SimSun" w:hAnsi="Book Antiqua" w:cs="SimSun"/>
          <w:kern w:val="0"/>
        </w:rPr>
        <w:t> </w:t>
      </w:r>
      <w:r w:rsidRPr="00087F3D">
        <w:rPr>
          <w:rFonts w:ascii="Book Antiqua" w:eastAsia="SimSun" w:hAnsi="Book Antiqua" w:cs="SimSun"/>
          <w:b/>
          <w:bCs/>
          <w:kern w:val="0"/>
        </w:rPr>
        <w:t>Allard WJ</w:t>
      </w:r>
      <w:r w:rsidRPr="00087F3D">
        <w:rPr>
          <w:rFonts w:ascii="Book Antiqua" w:eastAsia="SimSun" w:hAnsi="Book Antiqua" w:cs="SimSun"/>
          <w:kern w:val="0"/>
        </w:rPr>
        <w:t xml:space="preserve">, Matera J, Miller MC, Repollet M, Connelly MC, Rao C, Tibbe AG, Uhr JW, Terstappen LW. Tumor cells circulate in the peripheral blood of all </w:t>
      </w:r>
      <w:r w:rsidRPr="00087F3D">
        <w:rPr>
          <w:rFonts w:ascii="Book Antiqua" w:eastAsia="SimSun" w:hAnsi="Book Antiqua" w:cs="SimSun"/>
          <w:kern w:val="0"/>
        </w:rPr>
        <w:lastRenderedPageBreak/>
        <w:t>major carcinomas but not in healthy subjects or patients with nonmalignant diseases.</w:t>
      </w:r>
      <w:r w:rsidRPr="0052664C">
        <w:rPr>
          <w:rFonts w:ascii="Book Antiqua" w:eastAsia="SimSun" w:hAnsi="Book Antiqua" w:cs="SimSun"/>
          <w:kern w:val="0"/>
        </w:rPr>
        <w:t> </w:t>
      </w:r>
      <w:r w:rsidRPr="00087F3D">
        <w:rPr>
          <w:rFonts w:ascii="Book Antiqua" w:eastAsia="SimSun" w:hAnsi="Book Antiqua" w:cs="SimSun"/>
          <w:i/>
          <w:iCs/>
          <w:kern w:val="0"/>
        </w:rPr>
        <w:t>Clin Cancer Res</w:t>
      </w:r>
      <w:r w:rsidRPr="0052664C">
        <w:rPr>
          <w:rFonts w:ascii="Book Antiqua" w:eastAsia="SimSun" w:hAnsi="Book Antiqua" w:cs="SimSun"/>
          <w:kern w:val="0"/>
        </w:rPr>
        <w:t> </w:t>
      </w:r>
      <w:r w:rsidRPr="00087F3D">
        <w:rPr>
          <w:rFonts w:ascii="Book Antiqua" w:eastAsia="SimSun" w:hAnsi="Book Antiqua" w:cs="SimSun"/>
          <w:kern w:val="0"/>
        </w:rPr>
        <w:t>2004;</w:t>
      </w:r>
      <w:r w:rsidRPr="0052664C">
        <w:rPr>
          <w:rFonts w:ascii="Book Antiqua" w:eastAsia="SimSun" w:hAnsi="Book Antiqua" w:cs="SimSun"/>
          <w:kern w:val="0"/>
        </w:rPr>
        <w:t> </w:t>
      </w:r>
      <w:r w:rsidRPr="00087F3D">
        <w:rPr>
          <w:rFonts w:ascii="Book Antiqua" w:eastAsia="SimSun" w:hAnsi="Book Antiqua" w:cs="SimSun"/>
          <w:b/>
          <w:bCs/>
          <w:kern w:val="0"/>
        </w:rPr>
        <w:t>10</w:t>
      </w:r>
      <w:r w:rsidRPr="00087F3D">
        <w:rPr>
          <w:rFonts w:ascii="Book Antiqua" w:eastAsia="SimSun" w:hAnsi="Book Antiqua" w:cs="SimSun"/>
          <w:kern w:val="0"/>
        </w:rPr>
        <w:t>: 6897-6904 [PMID: 15501967 DOI: 10.1158/1078-0432.CCR-04-0378]</w:t>
      </w:r>
    </w:p>
    <w:p w14:paraId="5DB7AFB3"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11</w:t>
      </w:r>
      <w:r w:rsidRPr="0052664C">
        <w:rPr>
          <w:rFonts w:ascii="Book Antiqua" w:eastAsia="SimSun" w:hAnsi="Book Antiqua" w:cs="SimSun"/>
          <w:kern w:val="0"/>
        </w:rPr>
        <w:t> </w:t>
      </w:r>
      <w:r w:rsidRPr="00087F3D">
        <w:rPr>
          <w:rFonts w:ascii="Book Antiqua" w:eastAsia="SimSun" w:hAnsi="Book Antiqua" w:cs="SimSun"/>
          <w:b/>
          <w:bCs/>
          <w:kern w:val="0"/>
        </w:rPr>
        <w:t>Hiraiwa K</w:t>
      </w:r>
      <w:r w:rsidRPr="00087F3D">
        <w:rPr>
          <w:rFonts w:ascii="Book Antiqua" w:eastAsia="SimSun" w:hAnsi="Book Antiqua" w:cs="SimSun"/>
          <w:kern w:val="0"/>
        </w:rPr>
        <w:t>, Takeuchi H, Hasegawa H, Saikawa Y, Suda K, Ando T, Kumagai K, Irino T, Yoshikawa T, Matsuda S, Kitajima M, Kitagawa Y. Clinical significance of circulating tumor cells in blood from patients with gastrointestinal cancers.</w:t>
      </w:r>
      <w:r w:rsidRPr="0052664C">
        <w:rPr>
          <w:rFonts w:ascii="Book Antiqua" w:eastAsia="SimSun" w:hAnsi="Book Antiqua" w:cs="SimSun"/>
          <w:kern w:val="0"/>
        </w:rPr>
        <w:t> </w:t>
      </w:r>
      <w:r w:rsidRPr="00087F3D">
        <w:rPr>
          <w:rFonts w:ascii="Book Antiqua" w:eastAsia="SimSun" w:hAnsi="Book Antiqua" w:cs="SimSun"/>
          <w:i/>
          <w:iCs/>
          <w:kern w:val="0"/>
        </w:rPr>
        <w:t>Ann Surg Oncol</w:t>
      </w:r>
      <w:r w:rsidRPr="0052664C">
        <w:rPr>
          <w:rFonts w:ascii="Book Antiqua" w:eastAsia="SimSun" w:hAnsi="Book Antiqua" w:cs="SimSun"/>
          <w:kern w:val="0"/>
        </w:rPr>
        <w:t> </w:t>
      </w:r>
      <w:r w:rsidRPr="00087F3D">
        <w:rPr>
          <w:rFonts w:ascii="Book Antiqua" w:eastAsia="SimSun" w:hAnsi="Book Antiqua" w:cs="SimSun"/>
          <w:kern w:val="0"/>
        </w:rPr>
        <w:t>2008;</w:t>
      </w:r>
      <w:r w:rsidRPr="0052664C">
        <w:rPr>
          <w:rFonts w:ascii="Book Antiqua" w:eastAsia="SimSun" w:hAnsi="Book Antiqua" w:cs="SimSun"/>
          <w:kern w:val="0"/>
        </w:rPr>
        <w:t> </w:t>
      </w:r>
      <w:r w:rsidRPr="00087F3D">
        <w:rPr>
          <w:rFonts w:ascii="Book Antiqua" w:eastAsia="SimSun" w:hAnsi="Book Antiqua" w:cs="SimSun"/>
          <w:b/>
          <w:bCs/>
          <w:kern w:val="0"/>
        </w:rPr>
        <w:t>15</w:t>
      </w:r>
      <w:r w:rsidRPr="00087F3D">
        <w:rPr>
          <w:rFonts w:ascii="Book Antiqua" w:eastAsia="SimSun" w:hAnsi="Book Antiqua" w:cs="SimSun"/>
          <w:kern w:val="0"/>
        </w:rPr>
        <w:t>: 3092-3100 [PMID: 18766405 DOI: 10.1245/s10434-008-0122-9]</w:t>
      </w:r>
    </w:p>
    <w:p w14:paraId="6ADC578B"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12</w:t>
      </w:r>
      <w:r w:rsidRPr="0052664C">
        <w:rPr>
          <w:rFonts w:ascii="Book Antiqua" w:eastAsia="SimSun" w:hAnsi="Book Antiqua" w:cs="SimSun"/>
          <w:kern w:val="0"/>
        </w:rPr>
        <w:t> </w:t>
      </w:r>
      <w:r w:rsidRPr="00087F3D">
        <w:rPr>
          <w:rFonts w:ascii="Book Antiqua" w:eastAsia="SimSun" w:hAnsi="Book Antiqua" w:cs="SimSun"/>
          <w:b/>
          <w:bCs/>
          <w:kern w:val="0"/>
        </w:rPr>
        <w:t>Matsusaka S</w:t>
      </w:r>
      <w:r w:rsidRPr="00087F3D">
        <w:rPr>
          <w:rFonts w:ascii="Book Antiqua" w:eastAsia="SimSun" w:hAnsi="Book Antiqua" w:cs="SimSun"/>
          <w:kern w:val="0"/>
        </w:rPr>
        <w:t>, Chìn K, Ogura M, Suenaga M, Shinozaki E, Mishima Y, Terui Y, Mizunuma N, Hatake K. Circulating tumor cells as a surrogate marker for determining response to chemotherapy in patients with advanced gastric cancer.</w:t>
      </w:r>
      <w:r w:rsidRPr="0052664C">
        <w:rPr>
          <w:rFonts w:ascii="Book Antiqua" w:eastAsia="SimSun" w:hAnsi="Book Antiqua" w:cs="SimSun"/>
          <w:kern w:val="0"/>
        </w:rPr>
        <w:t> </w:t>
      </w:r>
      <w:r w:rsidRPr="00087F3D">
        <w:rPr>
          <w:rFonts w:ascii="Book Antiqua" w:eastAsia="SimSun" w:hAnsi="Book Antiqua" w:cs="SimSun"/>
          <w:i/>
          <w:iCs/>
          <w:kern w:val="0"/>
        </w:rPr>
        <w:t>Cancer Sci</w:t>
      </w:r>
      <w:r w:rsidRPr="0052664C">
        <w:rPr>
          <w:rFonts w:ascii="Book Antiqua" w:eastAsia="SimSun" w:hAnsi="Book Antiqua" w:cs="SimSun"/>
          <w:kern w:val="0"/>
        </w:rPr>
        <w:t> </w:t>
      </w:r>
      <w:r w:rsidRPr="00087F3D">
        <w:rPr>
          <w:rFonts w:ascii="Book Antiqua" w:eastAsia="SimSun" w:hAnsi="Book Antiqua" w:cs="SimSun"/>
          <w:kern w:val="0"/>
        </w:rPr>
        <w:t>2010;</w:t>
      </w:r>
      <w:r w:rsidRPr="0052664C">
        <w:rPr>
          <w:rFonts w:ascii="Book Antiqua" w:eastAsia="SimSun" w:hAnsi="Book Antiqua" w:cs="SimSun"/>
          <w:kern w:val="0"/>
        </w:rPr>
        <w:t> </w:t>
      </w:r>
      <w:r w:rsidRPr="00087F3D">
        <w:rPr>
          <w:rFonts w:ascii="Book Antiqua" w:eastAsia="SimSun" w:hAnsi="Book Antiqua" w:cs="SimSun"/>
          <w:b/>
          <w:bCs/>
          <w:kern w:val="0"/>
        </w:rPr>
        <w:t>101</w:t>
      </w:r>
      <w:r w:rsidRPr="00087F3D">
        <w:rPr>
          <w:rFonts w:ascii="Book Antiqua" w:eastAsia="SimSun" w:hAnsi="Book Antiqua" w:cs="SimSun"/>
          <w:kern w:val="0"/>
        </w:rPr>
        <w:t>: 1067-1071 [PMID: 20219073 DOI: 10.1111/j.1349-7006.2010.01492.x]</w:t>
      </w:r>
    </w:p>
    <w:p w14:paraId="22175075" w14:textId="1E79FF36" w:rsidR="00543CB7" w:rsidRPr="00087F3D" w:rsidRDefault="00543CB7" w:rsidP="00543CB7">
      <w:pPr>
        <w:widowControl/>
        <w:spacing w:line="360" w:lineRule="auto"/>
        <w:rPr>
          <w:rFonts w:ascii="Book Antiqua" w:eastAsia="SimSun" w:hAnsi="Book Antiqua" w:cs="SimSun"/>
          <w:kern w:val="0"/>
        </w:rPr>
      </w:pPr>
      <w:r w:rsidRPr="0052664C">
        <w:rPr>
          <w:rFonts w:ascii="Book Antiqua" w:eastAsia="SimSun" w:hAnsi="Book Antiqua" w:cs="SimSun"/>
          <w:kern w:val="0"/>
        </w:rPr>
        <w:t xml:space="preserve">13 </w:t>
      </w:r>
      <w:r w:rsidRPr="00087F3D">
        <w:rPr>
          <w:rFonts w:ascii="Book Antiqua" w:eastAsia="SimSun" w:hAnsi="Book Antiqua" w:cs="SimSun"/>
          <w:b/>
          <w:kern w:val="0"/>
        </w:rPr>
        <w:t xml:space="preserve">Inoue M, </w:t>
      </w:r>
      <w:r w:rsidRPr="00087F3D">
        <w:rPr>
          <w:rFonts w:ascii="Book Antiqua" w:eastAsia="SimSun" w:hAnsi="Book Antiqua" w:cs="SimSun"/>
          <w:kern w:val="0"/>
        </w:rPr>
        <w:t xml:space="preserve">Otsuka K, Shibata H. Circulating tumor cell count as a biomarker of a specific gastric cancer subgroup characterized by bone metastasis and/or disseminated intravascular coagulation - an early indicator of chemotherapeutic response. </w:t>
      </w:r>
      <w:r w:rsidRPr="00087F3D">
        <w:rPr>
          <w:rFonts w:ascii="Book Antiqua" w:eastAsia="SimSun" w:hAnsi="Book Antiqua" w:cs="SimSun"/>
          <w:i/>
          <w:kern w:val="0"/>
        </w:rPr>
        <w:t xml:space="preserve">Oncol </w:t>
      </w:r>
      <w:r w:rsidRPr="0052664C">
        <w:rPr>
          <w:rFonts w:ascii="Book Antiqua" w:eastAsia="SimSun" w:hAnsi="Book Antiqua" w:cs="SimSun"/>
          <w:i/>
          <w:kern w:val="0"/>
        </w:rPr>
        <w:t>Lett</w:t>
      </w:r>
      <w:r w:rsidRPr="0052664C">
        <w:rPr>
          <w:rFonts w:ascii="Book Antiqua" w:eastAsia="SimSun" w:hAnsi="Book Antiqua" w:cs="SimSun"/>
          <w:kern w:val="0"/>
        </w:rPr>
        <w:t xml:space="preserve"> </w:t>
      </w:r>
      <w:r w:rsidRPr="00087F3D">
        <w:rPr>
          <w:rFonts w:ascii="Book Antiqua" w:eastAsia="SimSun" w:hAnsi="Book Antiqua" w:cs="SimSun"/>
          <w:kern w:val="0"/>
        </w:rPr>
        <w:t xml:space="preserve">2016; </w:t>
      </w:r>
      <w:r w:rsidRPr="00087F3D">
        <w:rPr>
          <w:rFonts w:ascii="Book Antiqua" w:eastAsia="SimSun" w:hAnsi="Book Antiqua" w:cs="SimSun"/>
          <w:b/>
          <w:kern w:val="0"/>
        </w:rPr>
        <w:t>11</w:t>
      </w:r>
      <w:r w:rsidRPr="00087F3D">
        <w:rPr>
          <w:rFonts w:ascii="Book Antiqua" w:eastAsia="SimSun" w:hAnsi="Book Antiqua" w:cs="SimSun"/>
          <w:kern w:val="0"/>
        </w:rPr>
        <w:t>: 1294-1298</w:t>
      </w:r>
      <w:r w:rsidRPr="0052664C">
        <w:rPr>
          <w:rFonts w:ascii="Book Antiqua" w:eastAsia="SimSun" w:hAnsi="Book Antiqua" w:cs="SimSun" w:hint="eastAsia"/>
          <w:kern w:val="0"/>
        </w:rPr>
        <w:t xml:space="preserve"> </w:t>
      </w:r>
      <w:r w:rsidRPr="00087F3D">
        <w:rPr>
          <w:rFonts w:ascii="Book Antiqua" w:eastAsia="SimSun" w:hAnsi="Book Antiqua" w:cs="SimSun"/>
          <w:kern w:val="0"/>
        </w:rPr>
        <w:t>[</w:t>
      </w:r>
      <w:r w:rsidR="00363698">
        <w:rPr>
          <w:rFonts w:ascii="Book Antiqua" w:eastAsia="SimSun" w:hAnsi="Book Antiqua" w:cs="SimSun"/>
          <w:kern w:val="0"/>
        </w:rPr>
        <w:t>PMID: 26893733</w:t>
      </w:r>
      <w:r w:rsidRPr="0052664C">
        <w:rPr>
          <w:rFonts w:ascii="Book Antiqua" w:eastAsia="SimSun" w:hAnsi="Book Antiqua" w:cs="SimSun" w:hint="eastAsia"/>
          <w:kern w:val="0"/>
        </w:rPr>
        <w:t xml:space="preserve"> </w:t>
      </w:r>
      <w:r w:rsidRPr="0052664C">
        <w:rPr>
          <w:rFonts w:ascii="Book Antiqua" w:eastAsia="SimSun" w:hAnsi="Book Antiqua" w:cs="SimSun"/>
          <w:kern w:val="0"/>
        </w:rPr>
        <w:t>DOI</w:t>
      </w:r>
      <w:r w:rsidRPr="00087F3D">
        <w:rPr>
          <w:rFonts w:ascii="Book Antiqua" w:eastAsia="SimSun" w:hAnsi="Book Antiqua" w:cs="SimSun"/>
          <w:kern w:val="0"/>
        </w:rPr>
        <w:t xml:space="preserve">: 10.3892/ol.2015.4056] </w:t>
      </w:r>
    </w:p>
    <w:p w14:paraId="73764DA0"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14</w:t>
      </w:r>
      <w:r w:rsidRPr="0052664C">
        <w:rPr>
          <w:rFonts w:ascii="Book Antiqua" w:eastAsia="SimSun" w:hAnsi="Book Antiqua" w:cs="SimSun"/>
          <w:kern w:val="0"/>
        </w:rPr>
        <w:t> </w:t>
      </w:r>
      <w:r w:rsidRPr="00087F3D">
        <w:rPr>
          <w:rFonts w:ascii="Book Antiqua" w:eastAsia="SimSun" w:hAnsi="Book Antiqua" w:cs="SimSun"/>
          <w:b/>
          <w:bCs/>
          <w:kern w:val="0"/>
        </w:rPr>
        <w:t>Ohmori K</w:t>
      </w:r>
      <w:r w:rsidRPr="00087F3D">
        <w:rPr>
          <w:rFonts w:ascii="Book Antiqua" w:eastAsia="SimSun" w:hAnsi="Book Antiqua" w:cs="SimSun"/>
          <w:kern w:val="0"/>
        </w:rPr>
        <w:t>, Matsui H, Yasuda T, Kanamori M, Yudoh K, Seto H, Tsuji H. Evaluation of the prognosis of cancer patients with metastatic bone tumors based on serial bone scintigrams.</w:t>
      </w:r>
      <w:r w:rsidRPr="0052664C">
        <w:rPr>
          <w:rFonts w:ascii="Book Antiqua" w:eastAsia="SimSun" w:hAnsi="Book Antiqua" w:cs="SimSun"/>
          <w:kern w:val="0"/>
        </w:rPr>
        <w:t> </w:t>
      </w:r>
      <w:r w:rsidRPr="00087F3D">
        <w:rPr>
          <w:rFonts w:ascii="Book Antiqua" w:eastAsia="SimSun" w:hAnsi="Book Antiqua" w:cs="SimSun"/>
          <w:i/>
          <w:iCs/>
          <w:kern w:val="0"/>
        </w:rPr>
        <w:t>Jpn J Clin Oncol</w:t>
      </w:r>
      <w:r w:rsidRPr="0052664C">
        <w:rPr>
          <w:rFonts w:ascii="Book Antiqua" w:eastAsia="SimSun" w:hAnsi="Book Antiqua" w:cs="SimSun"/>
          <w:kern w:val="0"/>
        </w:rPr>
        <w:t> </w:t>
      </w:r>
      <w:r w:rsidRPr="00087F3D">
        <w:rPr>
          <w:rFonts w:ascii="Book Antiqua" w:eastAsia="SimSun" w:hAnsi="Book Antiqua" w:cs="SimSun"/>
          <w:kern w:val="0"/>
        </w:rPr>
        <w:t>1997;</w:t>
      </w:r>
      <w:r w:rsidRPr="0052664C">
        <w:rPr>
          <w:rFonts w:ascii="Book Antiqua" w:eastAsia="SimSun" w:hAnsi="Book Antiqua" w:cs="SimSun"/>
          <w:kern w:val="0"/>
        </w:rPr>
        <w:t> </w:t>
      </w:r>
      <w:r w:rsidRPr="00087F3D">
        <w:rPr>
          <w:rFonts w:ascii="Book Antiqua" w:eastAsia="SimSun" w:hAnsi="Book Antiqua" w:cs="SimSun"/>
          <w:b/>
          <w:bCs/>
          <w:kern w:val="0"/>
        </w:rPr>
        <w:t>27</w:t>
      </w:r>
      <w:r w:rsidRPr="00087F3D">
        <w:rPr>
          <w:rFonts w:ascii="Book Antiqua" w:eastAsia="SimSun" w:hAnsi="Book Antiqua" w:cs="SimSun"/>
          <w:kern w:val="0"/>
        </w:rPr>
        <w:t>: 263-267 [PMID: 9379516 DOI: 10.1093/jjco/27.4.263]</w:t>
      </w:r>
    </w:p>
    <w:p w14:paraId="1C8CEB03"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lastRenderedPageBreak/>
        <w:t>15</w:t>
      </w:r>
      <w:r w:rsidRPr="0052664C">
        <w:rPr>
          <w:rFonts w:ascii="Book Antiqua" w:eastAsia="SimSun" w:hAnsi="Book Antiqua" w:cs="SimSun"/>
          <w:kern w:val="0"/>
        </w:rPr>
        <w:t> </w:t>
      </w:r>
      <w:r w:rsidRPr="00087F3D">
        <w:rPr>
          <w:rFonts w:ascii="Book Antiqua" w:eastAsia="SimSun" w:hAnsi="Book Antiqua" w:cs="SimSun"/>
          <w:b/>
          <w:bCs/>
          <w:kern w:val="0"/>
        </w:rPr>
        <w:t>Otsuka K</w:t>
      </w:r>
      <w:r w:rsidRPr="00087F3D">
        <w:rPr>
          <w:rFonts w:ascii="Book Antiqua" w:eastAsia="SimSun" w:hAnsi="Book Antiqua" w:cs="SimSun"/>
          <w:kern w:val="0"/>
        </w:rPr>
        <w:t>, Imai H, Soeda H, Komine K, Ishioka C, Shibata H. Practical utility of circulating tumour cells as biomarkers in cancer chemotherapy for advanced colorectal cancer.</w:t>
      </w:r>
      <w:r w:rsidRPr="0052664C">
        <w:rPr>
          <w:rFonts w:ascii="Book Antiqua" w:eastAsia="SimSun" w:hAnsi="Book Antiqua" w:cs="SimSun"/>
          <w:kern w:val="0"/>
        </w:rPr>
        <w:t> </w:t>
      </w:r>
      <w:r w:rsidRPr="00087F3D">
        <w:rPr>
          <w:rFonts w:ascii="Book Antiqua" w:eastAsia="SimSun" w:hAnsi="Book Antiqua" w:cs="SimSun"/>
          <w:i/>
          <w:iCs/>
          <w:kern w:val="0"/>
        </w:rPr>
        <w:t>Anticancer Res</w:t>
      </w:r>
      <w:r w:rsidRPr="0052664C">
        <w:rPr>
          <w:rFonts w:ascii="Book Antiqua" w:eastAsia="SimSun" w:hAnsi="Book Antiqua" w:cs="SimSun"/>
          <w:kern w:val="0"/>
        </w:rPr>
        <w:t> </w:t>
      </w:r>
      <w:r w:rsidRPr="00087F3D">
        <w:rPr>
          <w:rFonts w:ascii="Book Antiqua" w:eastAsia="SimSun" w:hAnsi="Book Antiqua" w:cs="SimSun"/>
          <w:kern w:val="0"/>
        </w:rPr>
        <w:t>2013;</w:t>
      </w:r>
      <w:r w:rsidRPr="0052664C">
        <w:rPr>
          <w:rFonts w:ascii="Book Antiqua" w:eastAsia="SimSun" w:hAnsi="Book Antiqua" w:cs="SimSun"/>
          <w:kern w:val="0"/>
        </w:rPr>
        <w:t> </w:t>
      </w:r>
      <w:r w:rsidRPr="00087F3D">
        <w:rPr>
          <w:rFonts w:ascii="Book Antiqua" w:eastAsia="SimSun" w:hAnsi="Book Antiqua" w:cs="SimSun"/>
          <w:b/>
          <w:bCs/>
          <w:kern w:val="0"/>
        </w:rPr>
        <w:t>33</w:t>
      </w:r>
      <w:r w:rsidRPr="00087F3D">
        <w:rPr>
          <w:rFonts w:ascii="Book Antiqua" w:eastAsia="SimSun" w:hAnsi="Book Antiqua" w:cs="SimSun"/>
          <w:kern w:val="0"/>
        </w:rPr>
        <w:t>: 625-629 [PMID: 23393358]</w:t>
      </w:r>
    </w:p>
    <w:p w14:paraId="65209D8A"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16</w:t>
      </w:r>
      <w:r w:rsidRPr="0052664C">
        <w:rPr>
          <w:rFonts w:ascii="Book Antiqua" w:eastAsia="SimSun" w:hAnsi="Book Antiqua" w:cs="SimSun"/>
          <w:kern w:val="0"/>
        </w:rPr>
        <w:t> </w:t>
      </w:r>
      <w:r w:rsidRPr="00087F3D">
        <w:rPr>
          <w:rFonts w:ascii="Book Antiqua" w:eastAsia="SimSun" w:hAnsi="Book Antiqua" w:cs="SimSun"/>
          <w:b/>
          <w:bCs/>
          <w:kern w:val="0"/>
        </w:rPr>
        <w:t>Maccauro G</w:t>
      </w:r>
      <w:r w:rsidRPr="00087F3D">
        <w:rPr>
          <w:rFonts w:ascii="Book Antiqua" w:eastAsia="SimSun" w:hAnsi="Book Antiqua" w:cs="SimSun"/>
          <w:kern w:val="0"/>
        </w:rPr>
        <w:t>, Spinelli MS, Mauro S, Perisano C, Graci C, Rosa MA. Physiopathology of spine metastasis.</w:t>
      </w:r>
      <w:r w:rsidRPr="0052664C">
        <w:rPr>
          <w:rFonts w:ascii="Book Antiqua" w:eastAsia="SimSun" w:hAnsi="Book Antiqua" w:cs="SimSun"/>
          <w:kern w:val="0"/>
        </w:rPr>
        <w:t> </w:t>
      </w:r>
      <w:r w:rsidRPr="00087F3D">
        <w:rPr>
          <w:rFonts w:ascii="Book Antiqua" w:eastAsia="SimSun" w:hAnsi="Book Antiqua" w:cs="SimSun"/>
          <w:i/>
          <w:iCs/>
          <w:kern w:val="0"/>
        </w:rPr>
        <w:t>Int J Surg Oncol</w:t>
      </w:r>
      <w:r w:rsidRPr="0052664C">
        <w:rPr>
          <w:rFonts w:ascii="Book Antiqua" w:eastAsia="SimSun" w:hAnsi="Book Antiqua" w:cs="SimSun"/>
          <w:kern w:val="0"/>
        </w:rPr>
        <w:t> </w:t>
      </w:r>
      <w:r w:rsidRPr="00087F3D">
        <w:rPr>
          <w:rFonts w:ascii="Book Antiqua" w:eastAsia="SimSun" w:hAnsi="Book Antiqua" w:cs="SimSun"/>
          <w:kern w:val="0"/>
        </w:rPr>
        <w:t>2011;</w:t>
      </w:r>
      <w:r w:rsidRPr="0052664C">
        <w:rPr>
          <w:rFonts w:ascii="Book Antiqua" w:eastAsia="SimSun" w:hAnsi="Book Antiqua" w:cs="SimSun"/>
          <w:kern w:val="0"/>
        </w:rPr>
        <w:t> </w:t>
      </w:r>
      <w:r w:rsidRPr="00087F3D">
        <w:rPr>
          <w:rFonts w:ascii="Book Antiqua" w:eastAsia="SimSun" w:hAnsi="Book Antiqua" w:cs="SimSun"/>
          <w:b/>
          <w:bCs/>
          <w:kern w:val="0"/>
        </w:rPr>
        <w:t>2011</w:t>
      </w:r>
      <w:r w:rsidRPr="00087F3D">
        <w:rPr>
          <w:rFonts w:ascii="Book Antiqua" w:eastAsia="SimSun" w:hAnsi="Book Antiqua" w:cs="SimSun"/>
          <w:kern w:val="0"/>
        </w:rPr>
        <w:t>: 107969 [PMID: 22312491 DOI: 10.1155/2011/107969]</w:t>
      </w:r>
    </w:p>
    <w:p w14:paraId="2F48B3F7"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17</w:t>
      </w:r>
      <w:r w:rsidRPr="0052664C">
        <w:rPr>
          <w:rFonts w:ascii="Book Antiqua" w:eastAsia="SimSun" w:hAnsi="Book Antiqua" w:cs="SimSun"/>
          <w:kern w:val="0"/>
        </w:rPr>
        <w:t> </w:t>
      </w:r>
      <w:r w:rsidRPr="00087F3D">
        <w:rPr>
          <w:rFonts w:ascii="Book Antiqua" w:eastAsia="SimSun" w:hAnsi="Book Antiqua" w:cs="SimSun"/>
          <w:b/>
          <w:bCs/>
          <w:kern w:val="0"/>
        </w:rPr>
        <w:t>Alix-Panabières C</w:t>
      </w:r>
      <w:r w:rsidRPr="00087F3D">
        <w:rPr>
          <w:rFonts w:ascii="Book Antiqua" w:eastAsia="SimSun" w:hAnsi="Book Antiqua" w:cs="SimSun"/>
          <w:kern w:val="0"/>
        </w:rPr>
        <w:t>, Riethdorf S, Pantel K. Circulating tumor cells and bone marrow micrometastasis.</w:t>
      </w:r>
      <w:r w:rsidRPr="0052664C">
        <w:rPr>
          <w:rFonts w:ascii="Book Antiqua" w:eastAsia="SimSun" w:hAnsi="Book Antiqua" w:cs="SimSun"/>
          <w:kern w:val="0"/>
        </w:rPr>
        <w:t> </w:t>
      </w:r>
      <w:r w:rsidRPr="00087F3D">
        <w:rPr>
          <w:rFonts w:ascii="Book Antiqua" w:eastAsia="SimSun" w:hAnsi="Book Antiqua" w:cs="SimSun"/>
          <w:i/>
          <w:iCs/>
          <w:kern w:val="0"/>
        </w:rPr>
        <w:t>Clin Cancer Res</w:t>
      </w:r>
      <w:r w:rsidRPr="0052664C">
        <w:rPr>
          <w:rFonts w:ascii="Book Antiqua" w:eastAsia="SimSun" w:hAnsi="Book Antiqua" w:cs="SimSun"/>
          <w:kern w:val="0"/>
        </w:rPr>
        <w:t> </w:t>
      </w:r>
      <w:r w:rsidRPr="00087F3D">
        <w:rPr>
          <w:rFonts w:ascii="Book Antiqua" w:eastAsia="SimSun" w:hAnsi="Book Antiqua" w:cs="SimSun"/>
          <w:kern w:val="0"/>
        </w:rPr>
        <w:t>2008;</w:t>
      </w:r>
      <w:r w:rsidRPr="0052664C">
        <w:rPr>
          <w:rFonts w:ascii="Book Antiqua" w:eastAsia="SimSun" w:hAnsi="Book Antiqua" w:cs="SimSun"/>
          <w:kern w:val="0"/>
        </w:rPr>
        <w:t> </w:t>
      </w:r>
      <w:r w:rsidRPr="00087F3D">
        <w:rPr>
          <w:rFonts w:ascii="Book Antiqua" w:eastAsia="SimSun" w:hAnsi="Book Antiqua" w:cs="SimSun"/>
          <w:b/>
          <w:bCs/>
          <w:kern w:val="0"/>
        </w:rPr>
        <w:t>14</w:t>
      </w:r>
      <w:r w:rsidRPr="00087F3D">
        <w:rPr>
          <w:rFonts w:ascii="Book Antiqua" w:eastAsia="SimSun" w:hAnsi="Book Antiqua" w:cs="SimSun"/>
          <w:kern w:val="0"/>
        </w:rPr>
        <w:t>: 5013-5021 [PMID: 18698019 DOI: 10.1158/1078-0432.CCR-07-5125]</w:t>
      </w:r>
    </w:p>
    <w:p w14:paraId="132CD5BD"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18</w:t>
      </w:r>
      <w:r w:rsidRPr="0052664C">
        <w:rPr>
          <w:rFonts w:ascii="Book Antiqua" w:eastAsia="SimSun" w:hAnsi="Book Antiqua" w:cs="SimSun"/>
          <w:kern w:val="0"/>
        </w:rPr>
        <w:t> </w:t>
      </w:r>
      <w:r w:rsidRPr="00087F3D">
        <w:rPr>
          <w:rFonts w:ascii="Book Antiqua" w:eastAsia="SimSun" w:hAnsi="Book Antiqua" w:cs="SimSun"/>
          <w:b/>
          <w:bCs/>
          <w:kern w:val="0"/>
        </w:rPr>
        <w:t>Patel LR</w:t>
      </w:r>
      <w:r w:rsidRPr="00087F3D">
        <w:rPr>
          <w:rFonts w:ascii="Book Antiqua" w:eastAsia="SimSun" w:hAnsi="Book Antiqua" w:cs="SimSun"/>
          <w:kern w:val="0"/>
        </w:rPr>
        <w:t>, Camacho DF, Shiozawa Y, Pienta KJ, Taichman RS. Mechanisms of cancer cell metastasis to the bone: a multistep process.</w:t>
      </w:r>
      <w:r w:rsidRPr="0052664C">
        <w:rPr>
          <w:rFonts w:ascii="Book Antiqua" w:eastAsia="SimSun" w:hAnsi="Book Antiqua" w:cs="SimSun"/>
          <w:kern w:val="0"/>
        </w:rPr>
        <w:t> </w:t>
      </w:r>
      <w:r w:rsidRPr="00087F3D">
        <w:rPr>
          <w:rFonts w:ascii="Book Antiqua" w:eastAsia="SimSun" w:hAnsi="Book Antiqua" w:cs="SimSun"/>
          <w:i/>
          <w:iCs/>
          <w:kern w:val="0"/>
        </w:rPr>
        <w:t>Future Oncol</w:t>
      </w:r>
      <w:r w:rsidRPr="0052664C">
        <w:rPr>
          <w:rFonts w:ascii="Book Antiqua" w:eastAsia="SimSun" w:hAnsi="Book Antiqua" w:cs="SimSun"/>
          <w:kern w:val="0"/>
        </w:rPr>
        <w:t> </w:t>
      </w:r>
      <w:r w:rsidRPr="00087F3D">
        <w:rPr>
          <w:rFonts w:ascii="Book Antiqua" w:eastAsia="SimSun" w:hAnsi="Book Antiqua" w:cs="SimSun"/>
          <w:kern w:val="0"/>
        </w:rPr>
        <w:t>2011;</w:t>
      </w:r>
      <w:r w:rsidRPr="0052664C">
        <w:rPr>
          <w:rFonts w:ascii="Book Antiqua" w:eastAsia="SimSun" w:hAnsi="Book Antiqua" w:cs="SimSun"/>
          <w:kern w:val="0"/>
        </w:rPr>
        <w:t> </w:t>
      </w:r>
      <w:r w:rsidRPr="00087F3D">
        <w:rPr>
          <w:rFonts w:ascii="Book Antiqua" w:eastAsia="SimSun" w:hAnsi="Book Antiqua" w:cs="SimSun"/>
          <w:b/>
          <w:bCs/>
          <w:kern w:val="0"/>
        </w:rPr>
        <w:t>7</w:t>
      </w:r>
      <w:r w:rsidRPr="00087F3D">
        <w:rPr>
          <w:rFonts w:ascii="Book Antiqua" w:eastAsia="SimSun" w:hAnsi="Book Antiqua" w:cs="SimSun"/>
          <w:kern w:val="0"/>
        </w:rPr>
        <w:t>: 1285-1297 [PMID: 22044203 DOI: 10.2217/fon.11.112]</w:t>
      </w:r>
    </w:p>
    <w:p w14:paraId="3A106051" w14:textId="77777777" w:rsidR="00543CB7" w:rsidRPr="00087F3D" w:rsidRDefault="00543CB7" w:rsidP="00543CB7">
      <w:pPr>
        <w:widowControl/>
        <w:spacing w:line="360" w:lineRule="auto"/>
        <w:rPr>
          <w:rFonts w:ascii="Book Antiqua" w:eastAsia="SimSun" w:hAnsi="Book Antiqua" w:cs="SimSun"/>
          <w:kern w:val="0"/>
        </w:rPr>
      </w:pPr>
      <w:r w:rsidRPr="00087F3D">
        <w:rPr>
          <w:rFonts w:ascii="Book Antiqua" w:eastAsia="SimSun" w:hAnsi="Book Antiqua" w:cs="SimSun"/>
          <w:kern w:val="0"/>
        </w:rPr>
        <w:t>19</w:t>
      </w:r>
      <w:r w:rsidRPr="0052664C">
        <w:rPr>
          <w:rFonts w:ascii="Book Antiqua" w:eastAsia="SimSun" w:hAnsi="Book Antiqua" w:cs="SimSun"/>
          <w:kern w:val="0"/>
        </w:rPr>
        <w:t> </w:t>
      </w:r>
      <w:r w:rsidRPr="00087F3D">
        <w:rPr>
          <w:rFonts w:ascii="Book Antiqua" w:eastAsia="SimSun" w:hAnsi="Book Antiqua" w:cs="SimSun"/>
          <w:b/>
          <w:bCs/>
          <w:kern w:val="0"/>
        </w:rPr>
        <w:t>Cristofanilli M</w:t>
      </w:r>
      <w:r w:rsidRPr="00087F3D">
        <w:rPr>
          <w:rFonts w:ascii="Book Antiqua" w:eastAsia="SimSun" w:hAnsi="Book Antiqua" w:cs="SimSun"/>
          <w:kern w:val="0"/>
        </w:rPr>
        <w:t>, Budd GT, Ellis MJ, Stopeck A, Matera J, Miller MC, Reuben JM, Doyle GV, Allard WJ, Terstappen LW, Hayes DF. Circulating tumor cells, disease progression, and survival in metastatic breast cancer.</w:t>
      </w:r>
      <w:r w:rsidRPr="0052664C">
        <w:rPr>
          <w:rFonts w:ascii="Book Antiqua" w:eastAsia="SimSun" w:hAnsi="Book Antiqua" w:cs="SimSun"/>
          <w:kern w:val="0"/>
        </w:rPr>
        <w:t> </w:t>
      </w:r>
      <w:r w:rsidRPr="00087F3D">
        <w:rPr>
          <w:rFonts w:ascii="Book Antiqua" w:eastAsia="SimSun" w:hAnsi="Book Antiqua" w:cs="SimSun"/>
          <w:i/>
          <w:iCs/>
          <w:kern w:val="0"/>
        </w:rPr>
        <w:t>N Engl J Med</w:t>
      </w:r>
      <w:r w:rsidRPr="0052664C">
        <w:rPr>
          <w:rFonts w:ascii="Book Antiqua" w:eastAsia="SimSun" w:hAnsi="Book Antiqua" w:cs="SimSun"/>
          <w:kern w:val="0"/>
        </w:rPr>
        <w:t> </w:t>
      </w:r>
      <w:r w:rsidRPr="00087F3D">
        <w:rPr>
          <w:rFonts w:ascii="Book Antiqua" w:eastAsia="SimSun" w:hAnsi="Book Antiqua" w:cs="SimSun"/>
          <w:kern w:val="0"/>
        </w:rPr>
        <w:t>2004;</w:t>
      </w:r>
      <w:r w:rsidRPr="0052664C">
        <w:rPr>
          <w:rFonts w:ascii="Book Antiqua" w:eastAsia="SimSun" w:hAnsi="Book Antiqua" w:cs="SimSun"/>
          <w:kern w:val="0"/>
        </w:rPr>
        <w:t> </w:t>
      </w:r>
      <w:r w:rsidRPr="00087F3D">
        <w:rPr>
          <w:rFonts w:ascii="Book Antiqua" w:eastAsia="SimSun" w:hAnsi="Book Antiqua" w:cs="SimSun"/>
          <w:b/>
          <w:bCs/>
          <w:kern w:val="0"/>
        </w:rPr>
        <w:t>351</w:t>
      </w:r>
      <w:r w:rsidRPr="00087F3D">
        <w:rPr>
          <w:rFonts w:ascii="Book Antiqua" w:eastAsia="SimSun" w:hAnsi="Book Antiqua" w:cs="SimSun"/>
          <w:kern w:val="0"/>
        </w:rPr>
        <w:t>: 781-791 [PMID: 15317891 DOI: 10.1056/NEJMoa040766]</w:t>
      </w:r>
    </w:p>
    <w:p w14:paraId="183E3F37" w14:textId="42CB14D5" w:rsidR="00543CB7" w:rsidRPr="0052664C" w:rsidRDefault="00543CB7" w:rsidP="00543CB7">
      <w:pPr>
        <w:widowControl/>
        <w:spacing w:line="360" w:lineRule="auto"/>
        <w:rPr>
          <w:rFonts w:ascii="Book Antiqua" w:eastAsia="SimSun" w:hAnsi="Book Antiqua" w:cs="SimSun"/>
          <w:kern w:val="0"/>
          <w:lang w:eastAsia="zh-CN"/>
        </w:rPr>
      </w:pPr>
      <w:r w:rsidRPr="00087F3D">
        <w:rPr>
          <w:rFonts w:ascii="Book Antiqua" w:eastAsia="SimSun" w:hAnsi="Book Antiqua" w:cs="SimSun"/>
          <w:kern w:val="0"/>
        </w:rPr>
        <w:t>20</w:t>
      </w:r>
      <w:r w:rsidRPr="0052664C">
        <w:rPr>
          <w:rFonts w:ascii="Book Antiqua" w:eastAsia="SimSun" w:hAnsi="Book Antiqua" w:cs="SimSun"/>
          <w:kern w:val="0"/>
        </w:rPr>
        <w:t> </w:t>
      </w:r>
      <w:r w:rsidRPr="00087F3D">
        <w:rPr>
          <w:rFonts w:ascii="Book Antiqua" w:eastAsia="SimSun" w:hAnsi="Book Antiqua" w:cs="SimSun"/>
          <w:b/>
          <w:bCs/>
          <w:kern w:val="0"/>
        </w:rPr>
        <w:t>Moreno JG</w:t>
      </w:r>
      <w:r w:rsidRPr="00087F3D">
        <w:rPr>
          <w:rFonts w:ascii="Book Antiqua" w:eastAsia="SimSun" w:hAnsi="Book Antiqua" w:cs="SimSun"/>
          <w:kern w:val="0"/>
        </w:rPr>
        <w:t>, O'Hara SM, Gross S, Doyle G, Fritsche H, Gomella LG, Terstappen LW. Changes in circulating carcinoma cells in patients with metastatic prostate cancer correlate with disease status.</w:t>
      </w:r>
      <w:r w:rsidRPr="0052664C">
        <w:rPr>
          <w:rFonts w:ascii="Book Antiqua" w:eastAsia="SimSun" w:hAnsi="Book Antiqua" w:cs="SimSun"/>
          <w:kern w:val="0"/>
        </w:rPr>
        <w:t> </w:t>
      </w:r>
      <w:r w:rsidRPr="00087F3D">
        <w:rPr>
          <w:rFonts w:ascii="Book Antiqua" w:eastAsia="SimSun" w:hAnsi="Book Antiqua" w:cs="SimSun"/>
          <w:i/>
          <w:iCs/>
          <w:kern w:val="0"/>
        </w:rPr>
        <w:t>Urology</w:t>
      </w:r>
      <w:r w:rsidRPr="0052664C">
        <w:rPr>
          <w:rFonts w:ascii="Book Antiqua" w:eastAsia="SimSun" w:hAnsi="Book Antiqua" w:cs="SimSun"/>
          <w:kern w:val="0"/>
        </w:rPr>
        <w:t> </w:t>
      </w:r>
      <w:r w:rsidRPr="00087F3D">
        <w:rPr>
          <w:rFonts w:ascii="Book Antiqua" w:eastAsia="SimSun" w:hAnsi="Book Antiqua" w:cs="SimSun"/>
          <w:kern w:val="0"/>
        </w:rPr>
        <w:t>2001;</w:t>
      </w:r>
      <w:r w:rsidRPr="0052664C">
        <w:rPr>
          <w:rFonts w:ascii="Book Antiqua" w:eastAsia="SimSun" w:hAnsi="Book Antiqua" w:cs="SimSun"/>
          <w:kern w:val="0"/>
        </w:rPr>
        <w:t> </w:t>
      </w:r>
      <w:r w:rsidRPr="00087F3D">
        <w:rPr>
          <w:rFonts w:ascii="Book Antiqua" w:eastAsia="SimSun" w:hAnsi="Book Antiqua" w:cs="SimSun"/>
          <w:b/>
          <w:bCs/>
          <w:kern w:val="0"/>
        </w:rPr>
        <w:t>58</w:t>
      </w:r>
      <w:r w:rsidRPr="00087F3D">
        <w:rPr>
          <w:rFonts w:ascii="Book Antiqua" w:eastAsia="SimSun" w:hAnsi="Book Antiqua" w:cs="SimSun"/>
          <w:kern w:val="0"/>
        </w:rPr>
        <w:t>: 386-392 [PMID: 11549486 DOI: 10.1016/S0090-4295(01)01191-8]</w:t>
      </w:r>
    </w:p>
    <w:p w14:paraId="27577791" w14:textId="41AA5199" w:rsidR="001D6715" w:rsidRPr="0052664C" w:rsidRDefault="001D6715" w:rsidP="001D6715">
      <w:pPr>
        <w:pStyle w:val="ListParagraph"/>
        <w:wordWrap w:val="0"/>
        <w:spacing w:line="360" w:lineRule="auto"/>
        <w:ind w:left="360" w:right="120" w:firstLineChars="0" w:firstLine="0"/>
        <w:jc w:val="right"/>
        <w:rPr>
          <w:rFonts w:ascii="Book Antiqua" w:eastAsia="SimSun" w:hAnsi="Book Antiqua"/>
          <w:b/>
          <w:bCs/>
          <w:lang w:eastAsia="zh-CN"/>
        </w:rPr>
      </w:pPr>
      <w:bookmarkStart w:id="26" w:name="OLE_LINK277"/>
      <w:bookmarkStart w:id="27" w:name="OLE_LINK278"/>
      <w:bookmarkStart w:id="28" w:name="OLE_LINK279"/>
      <w:bookmarkStart w:id="29" w:name="OLE_LINK290"/>
      <w:bookmarkStart w:id="30" w:name="OLE_LINK301"/>
      <w:bookmarkStart w:id="31" w:name="OLE_LINK312"/>
      <w:bookmarkStart w:id="32" w:name="OLE_LINK315"/>
      <w:bookmarkStart w:id="33" w:name="OLE_LINK316"/>
      <w:bookmarkStart w:id="34" w:name="OLE_LINK317"/>
      <w:bookmarkStart w:id="35" w:name="OLE_LINK318"/>
      <w:bookmarkStart w:id="36" w:name="OLE_LINK326"/>
      <w:bookmarkStart w:id="37" w:name="OLE_LINK335"/>
      <w:bookmarkStart w:id="38" w:name="OLE_LINK339"/>
      <w:bookmarkStart w:id="39" w:name="OLE_LINK348"/>
      <w:bookmarkStart w:id="40" w:name="OLE_LINK399"/>
      <w:bookmarkStart w:id="41" w:name="OLE_LINK419"/>
      <w:bookmarkStart w:id="42" w:name="OLE_LINK420"/>
      <w:bookmarkStart w:id="43" w:name="OLE_LINK423"/>
      <w:bookmarkStart w:id="44" w:name="OLE_LINK449"/>
      <w:bookmarkStart w:id="45" w:name="OLE_LINK450"/>
      <w:bookmarkStart w:id="46" w:name="OLE_LINK454"/>
      <w:bookmarkStart w:id="47" w:name="OLE_LINK461"/>
      <w:bookmarkStart w:id="48" w:name="OLE_LINK471"/>
      <w:bookmarkStart w:id="49" w:name="OLE_LINK474"/>
      <w:bookmarkStart w:id="50" w:name="OLE_LINK407"/>
      <w:bookmarkStart w:id="51" w:name="OLE_LINK494"/>
      <w:bookmarkStart w:id="52" w:name="OLE_LINK506"/>
      <w:bookmarkStart w:id="53" w:name="OLE_LINK519"/>
      <w:bookmarkStart w:id="54" w:name="OLE_LINK8"/>
      <w:bookmarkStart w:id="55" w:name="OLE_LINK87"/>
      <w:bookmarkStart w:id="56" w:name="OLE_LINK556"/>
      <w:bookmarkStart w:id="57" w:name="OLE_LINK602"/>
      <w:bookmarkStart w:id="58" w:name="OLE_LINK576"/>
      <w:r w:rsidRPr="0052664C">
        <w:rPr>
          <w:rStyle w:val="Strong"/>
          <w:rFonts w:ascii="Book Antiqua" w:hAnsi="Book Antiqua" w:cs="Arial"/>
          <w:bCs w:val="0"/>
          <w:noProof/>
        </w:rPr>
        <w:t>P-Reviewer</w:t>
      </w:r>
      <w:r w:rsidRPr="0052664C">
        <w:rPr>
          <w:rStyle w:val="Strong"/>
          <w:rFonts w:ascii="Book Antiqua" w:eastAsia="SimSun" w:hAnsi="Book Antiqua" w:cs="Arial"/>
          <w:bCs w:val="0"/>
          <w:noProof/>
          <w:lang w:eastAsia="zh-CN"/>
        </w:rPr>
        <w:t>:</w:t>
      </w:r>
      <w:r w:rsidRPr="0052664C">
        <w:rPr>
          <w:rFonts w:ascii="Book Antiqua" w:hAnsi="Book Antiqua"/>
          <w:bCs/>
        </w:rPr>
        <w:t xml:space="preserve"> </w:t>
      </w:r>
      <w:r w:rsidR="00543CB7" w:rsidRPr="0052664C">
        <w:rPr>
          <w:rFonts w:ascii="Book Antiqua" w:hAnsi="Book Antiqua"/>
          <w:bCs/>
        </w:rPr>
        <w:t>Su</w:t>
      </w:r>
      <w:r w:rsidR="00543CB7" w:rsidRPr="0052664C">
        <w:rPr>
          <w:rFonts w:ascii="Book Antiqua" w:eastAsia="SimSun" w:hAnsi="Book Antiqua" w:hint="eastAsia"/>
          <w:bCs/>
          <w:lang w:eastAsia="zh-CN"/>
        </w:rPr>
        <w:t xml:space="preserve"> CC,</w:t>
      </w:r>
      <w:r w:rsidRPr="0052664C">
        <w:rPr>
          <w:rFonts w:ascii="Book Antiqua" w:hAnsi="Book Antiqua"/>
          <w:bCs/>
        </w:rPr>
        <w:t xml:space="preserve"> </w:t>
      </w:r>
      <w:r w:rsidR="00543CB7" w:rsidRPr="0052664C">
        <w:rPr>
          <w:rFonts w:ascii="Book Antiqua" w:hAnsi="Book Antiqua"/>
          <w:bCs/>
        </w:rPr>
        <w:t>Saydam</w:t>
      </w:r>
      <w:r w:rsidR="00543CB7" w:rsidRPr="0052664C">
        <w:rPr>
          <w:rFonts w:ascii="Book Antiqua" w:eastAsia="SimSun" w:hAnsi="Book Antiqua" w:hint="eastAsia"/>
          <w:bCs/>
          <w:lang w:eastAsia="zh-CN"/>
        </w:rPr>
        <w:t xml:space="preserve"> O</w:t>
      </w:r>
      <w:r w:rsidRPr="0052664C">
        <w:rPr>
          <w:rFonts w:ascii="Book Antiqua" w:hAnsi="Book Antiqua"/>
          <w:bCs/>
        </w:rPr>
        <w:t xml:space="preserve">  </w:t>
      </w:r>
      <w:r w:rsidRPr="0052664C">
        <w:rPr>
          <w:rFonts w:ascii="Book Antiqua" w:hAnsi="Book Antiqua"/>
          <w:b/>
          <w:bCs/>
        </w:rPr>
        <w:t>S-Editor</w:t>
      </w:r>
      <w:r w:rsidRPr="0052664C">
        <w:rPr>
          <w:rFonts w:ascii="Book Antiqua" w:eastAsia="SimSun" w:hAnsi="Book Antiqua"/>
          <w:b/>
          <w:bCs/>
          <w:lang w:eastAsia="zh-CN"/>
        </w:rPr>
        <w:t>:</w:t>
      </w:r>
      <w:r w:rsidRPr="0052664C">
        <w:rPr>
          <w:rFonts w:ascii="Book Antiqua" w:hAnsi="Book Antiqua"/>
          <w:bCs/>
        </w:rPr>
        <w:t xml:space="preserve"> </w:t>
      </w:r>
      <w:r w:rsidRPr="0052664C">
        <w:rPr>
          <w:rFonts w:ascii="Book Antiqua" w:eastAsia="SimSun" w:hAnsi="Book Antiqua"/>
          <w:bCs/>
          <w:lang w:eastAsia="zh-CN"/>
        </w:rPr>
        <w:t>Qi Y</w:t>
      </w:r>
      <w:r w:rsidRPr="0052664C">
        <w:rPr>
          <w:rFonts w:ascii="Book Antiqua" w:hAnsi="Book Antiqua"/>
          <w:b/>
          <w:bCs/>
        </w:rPr>
        <w:t xml:space="preserve">   L-Editor</w:t>
      </w:r>
      <w:r w:rsidRPr="0052664C">
        <w:rPr>
          <w:rFonts w:ascii="Book Antiqua" w:eastAsia="SimSun" w:hAnsi="Book Antiqua"/>
          <w:b/>
          <w:bCs/>
          <w:lang w:eastAsia="zh-CN"/>
        </w:rPr>
        <w:t>:</w:t>
      </w:r>
      <w:r w:rsidRPr="0052664C">
        <w:rPr>
          <w:rFonts w:ascii="Book Antiqua" w:hAnsi="Book Antiqua"/>
          <w:b/>
          <w:bCs/>
        </w:rPr>
        <w:t xml:space="preserve">   E-Editor</w:t>
      </w:r>
      <w:r w:rsidRPr="0052664C">
        <w:rPr>
          <w:rFonts w:ascii="Book Antiqua" w:eastAsia="SimSun" w:hAnsi="Book Antiqua"/>
          <w:b/>
          <w:bCs/>
          <w:lang w:eastAsia="zh-CN"/>
        </w:rPr>
        <w:t>:</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65DBE64A" w14:textId="09DCD1CF" w:rsidR="00650818" w:rsidRPr="0052664C" w:rsidRDefault="00543CB7" w:rsidP="00E11D9F">
      <w:pPr>
        <w:spacing w:line="360" w:lineRule="auto"/>
        <w:rPr>
          <w:rFonts w:ascii="Book Antiqua" w:hAnsi="Book Antiqua"/>
          <w:highlight w:val="yellow"/>
        </w:rPr>
      </w:pPr>
      <w:r w:rsidRPr="0052664C">
        <w:rPr>
          <w:rFonts w:ascii="Book Antiqua" w:hAnsi="Book Antiqua"/>
          <w:noProof/>
          <w:vertAlign w:val="superscript"/>
          <w:lang w:eastAsia="zh-CN"/>
        </w:rPr>
        <w:lastRenderedPageBreak/>
        <w:drawing>
          <wp:inline distT="0" distB="0" distL="0" distR="0" wp14:anchorId="7769A0A7" wp14:editId="18F42FA4">
            <wp:extent cx="5395595" cy="404649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95595" cy="4046491"/>
                    </a:xfrm>
                    <a:prstGeom prst="rect">
                      <a:avLst/>
                    </a:prstGeom>
                    <a:noFill/>
                    <a:ln w="9525">
                      <a:noFill/>
                      <a:miter lim="800000"/>
                      <a:headEnd/>
                      <a:tailEnd/>
                    </a:ln>
                  </pic:spPr>
                </pic:pic>
              </a:graphicData>
            </a:graphic>
          </wp:inline>
        </w:drawing>
      </w:r>
      <w:r w:rsidR="0091438E" w:rsidRPr="0052664C">
        <w:rPr>
          <w:rFonts w:ascii="Book Antiqua" w:hAnsi="Book Antiqua"/>
          <w:b/>
        </w:rPr>
        <w:t>Fig</w:t>
      </w:r>
      <w:r w:rsidR="001D6715" w:rsidRPr="0052664C">
        <w:rPr>
          <w:rFonts w:ascii="Book Antiqua" w:eastAsia="SimSun" w:hAnsi="Book Antiqua" w:hint="eastAsia"/>
          <w:b/>
          <w:lang w:eastAsia="zh-CN"/>
        </w:rPr>
        <w:t xml:space="preserve">ure </w:t>
      </w:r>
      <w:r w:rsidR="008D5CF4" w:rsidRPr="0052664C">
        <w:rPr>
          <w:rFonts w:ascii="Book Antiqua" w:hAnsi="Book Antiqua"/>
          <w:b/>
        </w:rPr>
        <w:t>1</w:t>
      </w:r>
      <w:r w:rsidR="008D5CF4" w:rsidRPr="0052664C">
        <w:rPr>
          <w:rFonts w:ascii="Book Antiqua" w:hAnsi="Book Antiqua"/>
        </w:rPr>
        <w:t xml:space="preserve"> </w:t>
      </w:r>
      <w:r w:rsidR="008D5CF4" w:rsidRPr="0052664C">
        <w:rPr>
          <w:rFonts w:ascii="Book Antiqua" w:hAnsi="Book Antiqua"/>
          <w:b/>
        </w:rPr>
        <w:t xml:space="preserve">Diffuse bone metastases </w:t>
      </w:r>
      <w:r w:rsidR="0091438E" w:rsidRPr="0052664C">
        <w:rPr>
          <w:rFonts w:ascii="Book Antiqua" w:hAnsi="Book Antiqua"/>
          <w:b/>
        </w:rPr>
        <w:t>with</w:t>
      </w:r>
      <w:r w:rsidR="008D5CF4" w:rsidRPr="0052664C">
        <w:rPr>
          <w:rFonts w:ascii="Book Antiqua" w:hAnsi="Book Antiqua"/>
          <w:b/>
        </w:rPr>
        <w:t xml:space="preserve"> specific gastric cancer</w:t>
      </w:r>
      <w:r w:rsidR="0091438E" w:rsidRPr="0052664C">
        <w:rPr>
          <w:rFonts w:ascii="Book Antiqua" w:hAnsi="Book Antiqua"/>
          <w:b/>
        </w:rPr>
        <w:t xml:space="preserve"> subtypes.</w:t>
      </w:r>
      <w:r w:rsidR="008D5CF4" w:rsidRPr="0052664C">
        <w:rPr>
          <w:rFonts w:ascii="Book Antiqua" w:hAnsi="Book Antiqua"/>
        </w:rPr>
        <w:t xml:space="preserve"> </w:t>
      </w:r>
      <w:r w:rsidR="0091438E" w:rsidRPr="0052664C">
        <w:rPr>
          <w:rFonts w:ascii="Book Antiqua" w:hAnsi="Book Antiqua"/>
        </w:rPr>
        <w:t>The results of bone scintigraphy</w:t>
      </w:r>
      <w:r w:rsidR="008D5CF4" w:rsidRPr="0052664C">
        <w:rPr>
          <w:rFonts w:ascii="Book Antiqua" w:hAnsi="Book Antiqua"/>
        </w:rPr>
        <w:t xml:space="preserve"> is presented</w:t>
      </w:r>
      <w:r w:rsidR="0091438E" w:rsidRPr="0052664C">
        <w:rPr>
          <w:rFonts w:ascii="Book Antiqua" w:hAnsi="Book Antiqua"/>
        </w:rPr>
        <w:t xml:space="preserve"> for each case (1</w:t>
      </w:r>
      <w:r w:rsidR="00497823" w:rsidRPr="0052664C">
        <w:rPr>
          <w:rFonts w:ascii="Book Antiqua" w:hAnsi="Book Antiqua"/>
        </w:rPr>
        <w:t>–</w:t>
      </w:r>
      <w:r w:rsidR="0091438E" w:rsidRPr="0052664C">
        <w:rPr>
          <w:rFonts w:ascii="Book Antiqua" w:hAnsi="Book Antiqua"/>
        </w:rPr>
        <w:t>5 corresponds to a</w:t>
      </w:r>
      <w:r w:rsidR="00497823" w:rsidRPr="0052664C">
        <w:rPr>
          <w:rFonts w:ascii="Book Antiqua" w:hAnsi="Book Antiqua"/>
        </w:rPr>
        <w:t>–</w:t>
      </w:r>
      <w:r w:rsidR="0091438E" w:rsidRPr="0052664C">
        <w:rPr>
          <w:rFonts w:ascii="Book Antiqua" w:hAnsi="Book Antiqua"/>
        </w:rPr>
        <w:t>e)</w:t>
      </w:r>
      <w:r w:rsidR="008D5CF4" w:rsidRPr="0052664C">
        <w:rPr>
          <w:rFonts w:ascii="Book Antiqua" w:hAnsi="Book Antiqua"/>
        </w:rPr>
        <w:t xml:space="preserve">. </w:t>
      </w:r>
      <w:r w:rsidR="0091438E" w:rsidRPr="0052664C">
        <w:rPr>
          <w:rFonts w:ascii="Book Antiqua" w:hAnsi="Book Antiqua"/>
        </w:rPr>
        <w:t xml:space="preserve">A red </w:t>
      </w:r>
      <w:r w:rsidR="008D5CF4" w:rsidRPr="0052664C">
        <w:rPr>
          <w:rFonts w:ascii="Book Antiqua" w:hAnsi="Book Antiqua"/>
        </w:rPr>
        <w:t xml:space="preserve">dot indicates </w:t>
      </w:r>
      <w:r w:rsidR="0091438E" w:rsidRPr="0052664C">
        <w:rPr>
          <w:rFonts w:ascii="Book Antiqua" w:hAnsi="Book Antiqua"/>
        </w:rPr>
        <w:t xml:space="preserve">a </w:t>
      </w:r>
      <w:r w:rsidR="008D5CF4" w:rsidRPr="0052664C">
        <w:rPr>
          <w:rFonts w:ascii="Book Antiqua" w:hAnsi="Book Antiqua"/>
        </w:rPr>
        <w:t xml:space="preserve">hot spot, </w:t>
      </w:r>
      <w:r w:rsidR="0091438E" w:rsidRPr="0052664C">
        <w:rPr>
          <w:rFonts w:ascii="Book Antiqua" w:hAnsi="Book Antiqua"/>
        </w:rPr>
        <w:t xml:space="preserve">with </w:t>
      </w:r>
      <w:r w:rsidR="008D5CF4" w:rsidRPr="0052664C">
        <w:rPr>
          <w:rFonts w:ascii="Book Antiqua" w:hAnsi="Book Antiqua"/>
        </w:rPr>
        <w:t xml:space="preserve">the number </w:t>
      </w:r>
      <w:r w:rsidR="0091438E" w:rsidRPr="0052664C">
        <w:rPr>
          <w:rFonts w:ascii="Book Antiqua" w:hAnsi="Book Antiqua"/>
        </w:rPr>
        <w:t xml:space="preserve">listed at </w:t>
      </w:r>
      <w:r w:rsidR="008D5CF4" w:rsidRPr="0052664C">
        <w:rPr>
          <w:rFonts w:ascii="Book Antiqua" w:hAnsi="Book Antiqua"/>
        </w:rPr>
        <w:t xml:space="preserve">the bottom. </w:t>
      </w:r>
      <w:r w:rsidR="00650818" w:rsidRPr="0052664C">
        <w:rPr>
          <w:rFonts w:ascii="Book Antiqua" w:hAnsi="Book Antiqua"/>
        </w:rPr>
        <w:t xml:space="preserve">The mean </w:t>
      </w:r>
      <w:r w:rsidR="00C131F4" w:rsidRPr="0052664C">
        <w:rPr>
          <w:rFonts w:ascii="Book Antiqua" w:hAnsi="Book Antiqua"/>
        </w:rPr>
        <w:t>±</w:t>
      </w:r>
      <w:r w:rsidR="001D6715" w:rsidRPr="0052664C">
        <w:rPr>
          <w:rFonts w:ascii="Book Antiqua" w:eastAsia="SimSun" w:hAnsi="Book Antiqua" w:hint="eastAsia"/>
          <w:lang w:eastAsia="zh-CN"/>
        </w:rPr>
        <w:t xml:space="preserve"> SD </w:t>
      </w:r>
      <w:r w:rsidR="00650818" w:rsidRPr="0052664C">
        <w:rPr>
          <w:rFonts w:ascii="Book Antiqua" w:hAnsi="Book Antiqua"/>
        </w:rPr>
        <w:t>number of hot spots was 89.6 ±</w:t>
      </w:r>
      <w:r w:rsidR="001D6715" w:rsidRPr="0052664C">
        <w:rPr>
          <w:rFonts w:ascii="Book Antiqua" w:eastAsia="SimSun" w:hAnsi="Book Antiqua" w:hint="eastAsia"/>
          <w:lang w:eastAsia="zh-CN"/>
        </w:rPr>
        <w:t xml:space="preserve"> </w:t>
      </w:r>
      <w:r w:rsidR="00650818" w:rsidRPr="0052664C">
        <w:rPr>
          <w:rFonts w:ascii="Book Antiqua" w:hAnsi="Book Antiqua"/>
        </w:rPr>
        <w:t xml:space="preserve">42.2. </w:t>
      </w:r>
    </w:p>
    <w:p w14:paraId="401E8EDF" w14:textId="1B6082E4" w:rsidR="008D5CF4" w:rsidRPr="0052664C" w:rsidRDefault="00543CB7" w:rsidP="00E11D9F">
      <w:pPr>
        <w:spacing w:line="360" w:lineRule="auto"/>
        <w:rPr>
          <w:rFonts w:ascii="Book Antiqua" w:hAnsi="Book Antiqua"/>
        </w:rPr>
      </w:pPr>
      <w:r w:rsidRPr="0052664C">
        <w:rPr>
          <w:rFonts w:ascii="Book Antiqua" w:hAnsi="Book Antiqua"/>
          <w:noProof/>
          <w:lang w:eastAsia="zh-CN"/>
        </w:rPr>
        <w:lastRenderedPageBreak/>
        <w:drawing>
          <wp:inline distT="0" distB="0" distL="0" distR="0" wp14:anchorId="608A3659" wp14:editId="62436AA4">
            <wp:extent cx="5395595" cy="30874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95595" cy="3087475"/>
                    </a:xfrm>
                    <a:prstGeom prst="rect">
                      <a:avLst/>
                    </a:prstGeom>
                    <a:noFill/>
                    <a:ln w="9525">
                      <a:noFill/>
                      <a:miter lim="800000"/>
                      <a:headEnd/>
                      <a:tailEnd/>
                    </a:ln>
                  </pic:spPr>
                </pic:pic>
              </a:graphicData>
            </a:graphic>
          </wp:inline>
        </w:drawing>
      </w:r>
    </w:p>
    <w:p w14:paraId="6F5BC50B" w14:textId="60CE53F4" w:rsidR="00514829" w:rsidRPr="0052664C" w:rsidRDefault="0091438E" w:rsidP="00E11D9F">
      <w:pPr>
        <w:spacing w:line="360" w:lineRule="auto"/>
        <w:rPr>
          <w:rFonts w:ascii="Book Antiqua" w:hAnsi="Book Antiqua"/>
        </w:rPr>
      </w:pPr>
      <w:r w:rsidRPr="0052664C">
        <w:rPr>
          <w:rFonts w:ascii="Book Antiqua" w:hAnsi="Book Antiqua"/>
          <w:b/>
        </w:rPr>
        <w:t>Fig</w:t>
      </w:r>
      <w:r w:rsidR="001D6715" w:rsidRPr="0052664C">
        <w:rPr>
          <w:rFonts w:ascii="Book Antiqua" w:eastAsia="SimSun" w:hAnsi="Book Antiqua" w:hint="eastAsia"/>
          <w:b/>
          <w:lang w:eastAsia="zh-CN"/>
        </w:rPr>
        <w:t>ure</w:t>
      </w:r>
      <w:r w:rsidRPr="0052664C">
        <w:rPr>
          <w:rFonts w:ascii="Book Antiqua" w:hAnsi="Book Antiqua"/>
          <w:b/>
        </w:rPr>
        <w:t xml:space="preserve"> </w:t>
      </w:r>
      <w:r w:rsidR="008D5CF4" w:rsidRPr="0052664C">
        <w:rPr>
          <w:rFonts w:ascii="Book Antiqua" w:hAnsi="Book Antiqua"/>
          <w:b/>
        </w:rPr>
        <w:t>2</w:t>
      </w:r>
      <w:r w:rsidR="00B413F5" w:rsidRPr="0052664C">
        <w:rPr>
          <w:rFonts w:ascii="Book Antiqua" w:hAnsi="Book Antiqua"/>
        </w:rPr>
        <w:t xml:space="preserve"> </w:t>
      </w:r>
      <w:r w:rsidR="00B413F5" w:rsidRPr="0052664C">
        <w:rPr>
          <w:rFonts w:ascii="Book Antiqua" w:hAnsi="Book Antiqua"/>
          <w:b/>
        </w:rPr>
        <w:t xml:space="preserve">Correlation between </w:t>
      </w:r>
      <w:r w:rsidR="00497823" w:rsidRPr="0052664C">
        <w:rPr>
          <w:rFonts w:ascii="Book Antiqua" w:hAnsi="Book Antiqua"/>
          <w:b/>
        </w:rPr>
        <w:t xml:space="preserve">the </w:t>
      </w:r>
      <w:r w:rsidR="001D6715" w:rsidRPr="0052664C">
        <w:rPr>
          <w:rFonts w:ascii="Book Antiqua" w:hAnsi="Book Antiqua"/>
          <w:b/>
        </w:rPr>
        <w:t xml:space="preserve">circulating tumor cells </w:t>
      </w:r>
      <w:r w:rsidR="00B413F5" w:rsidRPr="0052664C">
        <w:rPr>
          <w:rFonts w:ascii="Book Antiqua" w:hAnsi="Book Antiqua"/>
          <w:b/>
        </w:rPr>
        <w:t xml:space="preserve">count and survival time. </w:t>
      </w:r>
      <w:r w:rsidR="00FD49EB" w:rsidRPr="0052664C">
        <w:rPr>
          <w:rFonts w:ascii="Book Antiqua" w:hAnsi="Book Antiqua"/>
        </w:rPr>
        <w:t xml:space="preserve">Survival time </w:t>
      </w:r>
      <w:r w:rsidRPr="0052664C">
        <w:rPr>
          <w:rFonts w:ascii="Book Antiqua" w:hAnsi="Book Antiqua"/>
        </w:rPr>
        <w:t xml:space="preserve">likely correlates with </w:t>
      </w:r>
      <w:r w:rsidR="00497823" w:rsidRPr="0052664C">
        <w:rPr>
          <w:rFonts w:ascii="Book Antiqua" w:hAnsi="Book Antiqua"/>
        </w:rPr>
        <w:t xml:space="preserve">the </w:t>
      </w:r>
      <w:r w:rsidRPr="0052664C">
        <w:rPr>
          <w:rFonts w:ascii="Book Antiqua" w:hAnsi="Book Antiqua"/>
        </w:rPr>
        <w:t xml:space="preserve">initial </w:t>
      </w:r>
      <w:r w:rsidR="001D6715" w:rsidRPr="0052664C">
        <w:rPr>
          <w:rFonts w:ascii="Book Antiqua" w:hAnsi="Book Antiqua"/>
        </w:rPr>
        <w:t xml:space="preserve">circulating tumor cells </w:t>
      </w:r>
      <w:r w:rsidR="001D6715" w:rsidRPr="0052664C">
        <w:rPr>
          <w:rFonts w:ascii="Book Antiqua" w:eastAsia="SimSun" w:hAnsi="Book Antiqua" w:hint="eastAsia"/>
          <w:lang w:eastAsia="zh-CN"/>
        </w:rPr>
        <w:t>(</w:t>
      </w:r>
      <w:r w:rsidRPr="0052664C">
        <w:rPr>
          <w:rFonts w:ascii="Book Antiqua" w:hAnsi="Book Antiqua"/>
        </w:rPr>
        <w:t>CTC</w:t>
      </w:r>
      <w:r w:rsidR="001D6715" w:rsidRPr="0052664C">
        <w:rPr>
          <w:rFonts w:ascii="Book Antiqua" w:eastAsia="SimSun" w:hAnsi="Book Antiqua" w:hint="eastAsia"/>
          <w:lang w:eastAsia="zh-CN"/>
        </w:rPr>
        <w:t>)</w:t>
      </w:r>
      <w:r w:rsidRPr="0052664C">
        <w:rPr>
          <w:rFonts w:ascii="Book Antiqua" w:hAnsi="Book Antiqua"/>
        </w:rPr>
        <w:t xml:space="preserve"> count </w:t>
      </w:r>
      <w:r w:rsidR="00FD49EB" w:rsidRPr="0052664C">
        <w:rPr>
          <w:rFonts w:ascii="Book Antiqua" w:hAnsi="Book Antiqua"/>
        </w:rPr>
        <w:t>(</w:t>
      </w:r>
      <w:r w:rsidR="009E49E8" w:rsidRPr="0052664C">
        <w:rPr>
          <w:rFonts w:ascii="Book Antiqua" w:hAnsi="Book Antiqua"/>
          <w:i/>
        </w:rPr>
        <w:t>P</w:t>
      </w:r>
      <w:r w:rsidR="00FD49EB" w:rsidRPr="0052664C">
        <w:rPr>
          <w:rFonts w:ascii="Book Antiqua" w:hAnsi="Book Antiqua"/>
        </w:rPr>
        <w:t xml:space="preserve"> =</w:t>
      </w:r>
      <w:r w:rsidR="00B24A9C" w:rsidRPr="0052664C">
        <w:rPr>
          <w:rFonts w:ascii="Book Antiqua" w:hAnsi="Book Antiqua"/>
        </w:rPr>
        <w:t xml:space="preserve"> </w:t>
      </w:r>
      <w:r w:rsidR="008B76CF" w:rsidRPr="0052664C">
        <w:rPr>
          <w:rFonts w:ascii="Book Antiqua" w:hAnsi="Book Antiqua"/>
        </w:rPr>
        <w:t>0.085</w:t>
      </w:r>
      <w:r w:rsidR="00FD49EB" w:rsidRPr="0052664C">
        <w:rPr>
          <w:rFonts w:ascii="Book Antiqua" w:hAnsi="Book Antiqua"/>
        </w:rPr>
        <w:t>).</w:t>
      </w:r>
    </w:p>
    <w:p w14:paraId="2EA33481" w14:textId="17C3C2F0" w:rsidR="00514829" w:rsidRPr="0052664C" w:rsidRDefault="00514829" w:rsidP="00E11D9F">
      <w:pPr>
        <w:spacing w:line="360" w:lineRule="auto"/>
        <w:rPr>
          <w:rFonts w:ascii="Book Antiqua" w:hAnsi="Book Antiqua"/>
          <w:b/>
        </w:rPr>
      </w:pPr>
      <w:r w:rsidRPr="0052664C">
        <w:rPr>
          <w:rFonts w:ascii="Book Antiqua" w:hAnsi="Book Antiqua"/>
        </w:rPr>
        <w:br w:type="page"/>
      </w:r>
      <w:r w:rsidR="001D6715" w:rsidRPr="0052664C">
        <w:rPr>
          <w:rFonts w:ascii="Book Antiqua" w:hAnsi="Book Antiqua"/>
          <w:b/>
        </w:rPr>
        <w:lastRenderedPageBreak/>
        <w:t>Table 1</w:t>
      </w:r>
      <w:r w:rsidRPr="0052664C">
        <w:rPr>
          <w:rFonts w:ascii="Book Antiqua" w:hAnsi="Book Antiqua"/>
          <w:b/>
        </w:rPr>
        <w:t xml:space="preserve"> Participant characteristics</w:t>
      </w:r>
    </w:p>
    <w:p w14:paraId="4621F5EE" w14:textId="77777777" w:rsidR="00514829" w:rsidRPr="0052664C" w:rsidRDefault="00514829" w:rsidP="00E11D9F">
      <w:pPr>
        <w:spacing w:line="360" w:lineRule="auto"/>
        <w:rPr>
          <w:rFonts w:ascii="Book Antiqua" w:hAnsi="Book Antiqua"/>
        </w:rPr>
      </w:pPr>
    </w:p>
    <w:tbl>
      <w:tblPr>
        <w:tblStyle w:val="TableGrid"/>
        <w:tblW w:w="0" w:type="auto"/>
        <w:tblInd w:w="-1026"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92"/>
        <w:gridCol w:w="1276"/>
        <w:gridCol w:w="851"/>
        <w:gridCol w:w="1409"/>
        <w:gridCol w:w="691"/>
        <w:gridCol w:w="1534"/>
        <w:gridCol w:w="1493"/>
        <w:gridCol w:w="1493"/>
      </w:tblGrid>
      <w:tr w:rsidR="0052664C" w:rsidRPr="0052664C" w14:paraId="46E5A002" w14:textId="77777777" w:rsidTr="001D6715">
        <w:tc>
          <w:tcPr>
            <w:tcW w:w="992" w:type="dxa"/>
            <w:tcBorders>
              <w:top w:val="single" w:sz="4" w:space="0" w:color="000000" w:themeColor="text1"/>
              <w:bottom w:val="single" w:sz="4" w:space="0" w:color="000000" w:themeColor="text1"/>
            </w:tcBorders>
          </w:tcPr>
          <w:p w14:paraId="1FE486BA" w14:textId="77777777" w:rsidR="00514829" w:rsidRPr="0052664C" w:rsidRDefault="00514829" w:rsidP="00E11D9F">
            <w:pPr>
              <w:spacing w:line="360" w:lineRule="auto"/>
              <w:rPr>
                <w:rFonts w:ascii="Book Antiqua" w:hAnsi="Book Antiqua"/>
                <w:b/>
              </w:rPr>
            </w:pPr>
            <w:r w:rsidRPr="0052664C">
              <w:rPr>
                <w:rFonts w:ascii="Book Antiqua" w:hAnsi="Book Antiqua"/>
                <w:b/>
              </w:rPr>
              <w:t>Case</w:t>
            </w:r>
          </w:p>
        </w:tc>
        <w:tc>
          <w:tcPr>
            <w:tcW w:w="1276" w:type="dxa"/>
            <w:tcBorders>
              <w:top w:val="single" w:sz="4" w:space="0" w:color="000000" w:themeColor="text1"/>
              <w:bottom w:val="single" w:sz="4" w:space="0" w:color="000000" w:themeColor="text1"/>
            </w:tcBorders>
          </w:tcPr>
          <w:p w14:paraId="1D114A31" w14:textId="77777777" w:rsidR="00514829" w:rsidRPr="0052664C" w:rsidRDefault="00514829" w:rsidP="00E11D9F">
            <w:pPr>
              <w:spacing w:line="360" w:lineRule="auto"/>
              <w:rPr>
                <w:rFonts w:ascii="Book Antiqua" w:hAnsi="Book Antiqua"/>
                <w:b/>
              </w:rPr>
            </w:pPr>
            <w:r w:rsidRPr="0052664C">
              <w:rPr>
                <w:rFonts w:ascii="Book Antiqua" w:hAnsi="Book Antiqua"/>
                <w:b/>
              </w:rPr>
              <w:t>Gender</w:t>
            </w:r>
          </w:p>
        </w:tc>
        <w:tc>
          <w:tcPr>
            <w:tcW w:w="851" w:type="dxa"/>
            <w:tcBorders>
              <w:top w:val="single" w:sz="4" w:space="0" w:color="000000" w:themeColor="text1"/>
              <w:bottom w:val="single" w:sz="4" w:space="0" w:color="000000" w:themeColor="text1"/>
            </w:tcBorders>
          </w:tcPr>
          <w:p w14:paraId="3B57EB41" w14:textId="77777777" w:rsidR="00514829" w:rsidRPr="0052664C" w:rsidRDefault="00514829" w:rsidP="00E11D9F">
            <w:pPr>
              <w:spacing w:line="360" w:lineRule="auto"/>
              <w:rPr>
                <w:rFonts w:ascii="Book Antiqua" w:hAnsi="Book Antiqua"/>
                <w:b/>
              </w:rPr>
            </w:pPr>
            <w:r w:rsidRPr="0052664C">
              <w:rPr>
                <w:rFonts w:ascii="Book Antiqua" w:hAnsi="Book Antiqua"/>
                <w:b/>
              </w:rPr>
              <w:t>Age</w:t>
            </w:r>
          </w:p>
        </w:tc>
        <w:tc>
          <w:tcPr>
            <w:tcW w:w="1409" w:type="dxa"/>
            <w:tcBorders>
              <w:top w:val="single" w:sz="4" w:space="0" w:color="000000" w:themeColor="text1"/>
              <w:bottom w:val="single" w:sz="4" w:space="0" w:color="000000" w:themeColor="text1"/>
            </w:tcBorders>
          </w:tcPr>
          <w:p w14:paraId="36E8F1F5" w14:textId="77777777" w:rsidR="00514829" w:rsidRPr="0052664C" w:rsidRDefault="00514829" w:rsidP="00E11D9F">
            <w:pPr>
              <w:spacing w:line="360" w:lineRule="auto"/>
              <w:rPr>
                <w:rFonts w:ascii="Book Antiqua" w:hAnsi="Book Antiqua"/>
                <w:b/>
              </w:rPr>
            </w:pPr>
            <w:r w:rsidRPr="0052664C">
              <w:rPr>
                <w:rFonts w:ascii="Book Antiqua" w:hAnsi="Book Antiqua"/>
                <w:b/>
              </w:rPr>
              <w:t>Hist</w:t>
            </w:r>
          </w:p>
        </w:tc>
        <w:tc>
          <w:tcPr>
            <w:tcW w:w="691" w:type="dxa"/>
            <w:tcBorders>
              <w:top w:val="single" w:sz="4" w:space="0" w:color="000000" w:themeColor="text1"/>
              <w:bottom w:val="single" w:sz="4" w:space="0" w:color="000000" w:themeColor="text1"/>
            </w:tcBorders>
          </w:tcPr>
          <w:p w14:paraId="21971993" w14:textId="77777777" w:rsidR="00514829" w:rsidRPr="0052664C" w:rsidRDefault="00514829" w:rsidP="00E11D9F">
            <w:pPr>
              <w:spacing w:line="360" w:lineRule="auto"/>
              <w:rPr>
                <w:rFonts w:ascii="Book Antiqua" w:hAnsi="Book Antiqua"/>
                <w:b/>
              </w:rPr>
            </w:pPr>
            <w:r w:rsidRPr="0052664C">
              <w:rPr>
                <w:rFonts w:ascii="Book Antiqua" w:hAnsi="Book Antiqua"/>
                <w:b/>
              </w:rPr>
              <w:t>DIC</w:t>
            </w:r>
          </w:p>
        </w:tc>
        <w:tc>
          <w:tcPr>
            <w:tcW w:w="1534" w:type="dxa"/>
            <w:tcBorders>
              <w:top w:val="single" w:sz="4" w:space="0" w:color="000000" w:themeColor="text1"/>
              <w:bottom w:val="single" w:sz="4" w:space="0" w:color="000000" w:themeColor="text1"/>
            </w:tcBorders>
          </w:tcPr>
          <w:p w14:paraId="3CBCE083" w14:textId="77777777" w:rsidR="00514829" w:rsidRPr="0052664C" w:rsidRDefault="00514829" w:rsidP="00E11D9F">
            <w:pPr>
              <w:spacing w:line="360" w:lineRule="auto"/>
              <w:rPr>
                <w:rFonts w:ascii="Book Antiqua" w:hAnsi="Book Antiqua"/>
                <w:b/>
              </w:rPr>
            </w:pPr>
            <w:r w:rsidRPr="0052664C">
              <w:rPr>
                <w:rFonts w:ascii="Book Antiqua" w:hAnsi="Book Antiqua"/>
                <w:b/>
              </w:rPr>
              <w:t>Distant LN metstasisa</w:t>
            </w:r>
          </w:p>
        </w:tc>
        <w:tc>
          <w:tcPr>
            <w:tcW w:w="1493" w:type="dxa"/>
            <w:tcBorders>
              <w:top w:val="single" w:sz="4" w:space="0" w:color="000000" w:themeColor="text1"/>
              <w:bottom w:val="single" w:sz="4" w:space="0" w:color="000000" w:themeColor="text1"/>
            </w:tcBorders>
          </w:tcPr>
          <w:p w14:paraId="34FDDFB3" w14:textId="77777777" w:rsidR="00514829" w:rsidRPr="0052664C" w:rsidRDefault="00514829" w:rsidP="00E11D9F">
            <w:pPr>
              <w:spacing w:line="360" w:lineRule="auto"/>
              <w:rPr>
                <w:rFonts w:ascii="Book Antiqua" w:hAnsi="Book Antiqua"/>
                <w:b/>
              </w:rPr>
            </w:pPr>
            <w:r w:rsidRPr="0052664C">
              <w:rPr>
                <w:rFonts w:ascii="Book Antiqua" w:hAnsi="Book Antiqua"/>
                <w:b/>
              </w:rPr>
              <w:t xml:space="preserve">Visceral metastasis </w:t>
            </w:r>
          </w:p>
        </w:tc>
        <w:tc>
          <w:tcPr>
            <w:tcW w:w="1493" w:type="dxa"/>
            <w:tcBorders>
              <w:top w:val="single" w:sz="4" w:space="0" w:color="000000" w:themeColor="text1"/>
              <w:bottom w:val="single" w:sz="4" w:space="0" w:color="000000" w:themeColor="text1"/>
            </w:tcBorders>
          </w:tcPr>
          <w:p w14:paraId="0A7BB544" w14:textId="77777777" w:rsidR="00514829" w:rsidRPr="0052664C" w:rsidRDefault="00514829" w:rsidP="00E11D9F">
            <w:pPr>
              <w:spacing w:line="360" w:lineRule="auto"/>
              <w:rPr>
                <w:rFonts w:ascii="Book Antiqua" w:hAnsi="Book Antiqua"/>
                <w:b/>
              </w:rPr>
            </w:pPr>
            <w:r w:rsidRPr="0052664C">
              <w:rPr>
                <w:rFonts w:ascii="Book Antiqua" w:hAnsi="Book Antiqua"/>
                <w:b/>
              </w:rPr>
              <w:t>Treatment</w:t>
            </w:r>
          </w:p>
        </w:tc>
      </w:tr>
      <w:tr w:rsidR="0052664C" w:rsidRPr="0052664C" w14:paraId="7DF5723D" w14:textId="77777777" w:rsidTr="001D6715">
        <w:tc>
          <w:tcPr>
            <w:tcW w:w="992" w:type="dxa"/>
            <w:tcBorders>
              <w:top w:val="single" w:sz="4" w:space="0" w:color="000000" w:themeColor="text1"/>
            </w:tcBorders>
          </w:tcPr>
          <w:p w14:paraId="7238504E" w14:textId="77777777" w:rsidR="00514829" w:rsidRPr="0052664C" w:rsidRDefault="00514829" w:rsidP="00E11D9F">
            <w:pPr>
              <w:spacing w:line="360" w:lineRule="auto"/>
              <w:rPr>
                <w:rFonts w:ascii="Book Antiqua" w:hAnsi="Book Antiqua"/>
              </w:rPr>
            </w:pPr>
            <w:r w:rsidRPr="0052664C">
              <w:rPr>
                <w:rFonts w:ascii="Book Antiqua" w:hAnsi="Book Antiqua"/>
              </w:rPr>
              <w:t>1</w:t>
            </w:r>
          </w:p>
        </w:tc>
        <w:tc>
          <w:tcPr>
            <w:tcW w:w="1276" w:type="dxa"/>
            <w:tcBorders>
              <w:top w:val="single" w:sz="4" w:space="0" w:color="000000" w:themeColor="text1"/>
            </w:tcBorders>
          </w:tcPr>
          <w:p w14:paraId="756DA988" w14:textId="77777777" w:rsidR="00514829" w:rsidRPr="0052664C" w:rsidRDefault="00514829" w:rsidP="00E11D9F">
            <w:pPr>
              <w:spacing w:line="360" w:lineRule="auto"/>
              <w:rPr>
                <w:rFonts w:ascii="Book Antiqua" w:hAnsi="Book Antiqua"/>
              </w:rPr>
            </w:pPr>
            <w:r w:rsidRPr="0052664C">
              <w:rPr>
                <w:rFonts w:ascii="Book Antiqua" w:hAnsi="Book Antiqua"/>
              </w:rPr>
              <w:t xml:space="preserve">M </w:t>
            </w:r>
          </w:p>
        </w:tc>
        <w:tc>
          <w:tcPr>
            <w:tcW w:w="851" w:type="dxa"/>
            <w:tcBorders>
              <w:top w:val="single" w:sz="4" w:space="0" w:color="000000" w:themeColor="text1"/>
            </w:tcBorders>
          </w:tcPr>
          <w:p w14:paraId="0B0DC783" w14:textId="77777777" w:rsidR="00514829" w:rsidRPr="0052664C" w:rsidRDefault="00514829" w:rsidP="00E11D9F">
            <w:pPr>
              <w:spacing w:line="360" w:lineRule="auto"/>
              <w:rPr>
                <w:rFonts w:ascii="Book Antiqua" w:hAnsi="Book Antiqua"/>
              </w:rPr>
            </w:pPr>
            <w:r w:rsidRPr="0052664C">
              <w:rPr>
                <w:rFonts w:ascii="Book Antiqua" w:hAnsi="Book Antiqua"/>
              </w:rPr>
              <w:t>50</w:t>
            </w:r>
          </w:p>
        </w:tc>
        <w:tc>
          <w:tcPr>
            <w:tcW w:w="1409" w:type="dxa"/>
            <w:tcBorders>
              <w:top w:val="single" w:sz="4" w:space="0" w:color="000000" w:themeColor="text1"/>
            </w:tcBorders>
          </w:tcPr>
          <w:p w14:paraId="2AAB9EDE" w14:textId="77777777" w:rsidR="00514829" w:rsidRPr="0052664C" w:rsidRDefault="00514829" w:rsidP="00E11D9F">
            <w:pPr>
              <w:spacing w:line="360" w:lineRule="auto"/>
              <w:rPr>
                <w:rFonts w:ascii="Book Antiqua" w:hAnsi="Book Antiqua"/>
              </w:rPr>
            </w:pPr>
            <w:r w:rsidRPr="0052664C">
              <w:rPr>
                <w:rFonts w:ascii="Book Antiqua" w:hAnsi="Book Antiqua"/>
              </w:rPr>
              <w:t>por + sig</w:t>
            </w:r>
          </w:p>
        </w:tc>
        <w:tc>
          <w:tcPr>
            <w:tcW w:w="691" w:type="dxa"/>
            <w:tcBorders>
              <w:top w:val="single" w:sz="4" w:space="0" w:color="000000" w:themeColor="text1"/>
            </w:tcBorders>
          </w:tcPr>
          <w:p w14:paraId="14FA7FEB" w14:textId="77777777" w:rsidR="00514829" w:rsidRPr="0052664C" w:rsidRDefault="00514829" w:rsidP="00E11D9F">
            <w:pPr>
              <w:spacing w:line="360" w:lineRule="auto"/>
              <w:rPr>
                <w:rFonts w:ascii="Book Antiqua" w:hAnsi="Book Antiqua"/>
              </w:rPr>
            </w:pPr>
            <w:r w:rsidRPr="0052664C">
              <w:rPr>
                <w:rFonts w:ascii="Book Antiqua" w:hAnsi="Book Antiqua"/>
              </w:rPr>
              <w:t>+</w:t>
            </w:r>
          </w:p>
        </w:tc>
        <w:tc>
          <w:tcPr>
            <w:tcW w:w="1534" w:type="dxa"/>
            <w:tcBorders>
              <w:top w:val="single" w:sz="4" w:space="0" w:color="000000" w:themeColor="text1"/>
            </w:tcBorders>
          </w:tcPr>
          <w:p w14:paraId="690A28F8" w14:textId="77777777" w:rsidR="00514829" w:rsidRPr="0052664C" w:rsidRDefault="00514829" w:rsidP="00E11D9F">
            <w:pPr>
              <w:spacing w:line="360" w:lineRule="auto"/>
              <w:rPr>
                <w:rFonts w:ascii="Book Antiqua" w:hAnsi="Book Antiqua"/>
              </w:rPr>
            </w:pPr>
            <w:r w:rsidRPr="0052664C">
              <w:rPr>
                <w:rFonts w:ascii="Book Antiqua" w:hAnsi="Book Antiqua"/>
              </w:rPr>
              <w:t>-</w:t>
            </w:r>
          </w:p>
        </w:tc>
        <w:tc>
          <w:tcPr>
            <w:tcW w:w="1493" w:type="dxa"/>
            <w:tcBorders>
              <w:top w:val="single" w:sz="4" w:space="0" w:color="000000" w:themeColor="text1"/>
            </w:tcBorders>
          </w:tcPr>
          <w:p w14:paraId="45D2A0B0" w14:textId="77777777" w:rsidR="00514829" w:rsidRPr="0052664C" w:rsidRDefault="00514829" w:rsidP="00E11D9F">
            <w:pPr>
              <w:spacing w:line="360" w:lineRule="auto"/>
              <w:rPr>
                <w:rFonts w:ascii="Book Antiqua" w:hAnsi="Book Antiqua"/>
              </w:rPr>
            </w:pPr>
            <w:r w:rsidRPr="0052664C">
              <w:rPr>
                <w:rFonts w:ascii="Book Antiqua" w:hAnsi="Book Antiqua"/>
              </w:rPr>
              <w:t>PC</w:t>
            </w:r>
          </w:p>
        </w:tc>
        <w:tc>
          <w:tcPr>
            <w:tcW w:w="1493" w:type="dxa"/>
            <w:tcBorders>
              <w:top w:val="single" w:sz="4" w:space="0" w:color="000000" w:themeColor="text1"/>
            </w:tcBorders>
          </w:tcPr>
          <w:p w14:paraId="3C6B5DAC" w14:textId="59E37E4F" w:rsidR="00514829" w:rsidRPr="0052664C" w:rsidRDefault="00514829" w:rsidP="00E11D9F">
            <w:pPr>
              <w:spacing w:line="360" w:lineRule="auto"/>
              <w:rPr>
                <w:rFonts w:ascii="Book Antiqua" w:eastAsia="SimSun" w:hAnsi="Book Antiqua"/>
                <w:vertAlign w:val="superscript"/>
                <w:lang w:eastAsia="zh-CN"/>
              </w:rPr>
            </w:pPr>
            <w:r w:rsidRPr="0052664C">
              <w:rPr>
                <w:rFonts w:ascii="Book Antiqua" w:hAnsi="Book Antiqua"/>
              </w:rPr>
              <w:t>S1 + DTX</w:t>
            </w:r>
            <w:r w:rsidR="001D6715" w:rsidRPr="0052664C">
              <w:rPr>
                <w:rFonts w:ascii="Book Antiqua" w:eastAsia="SimSun" w:hAnsi="Book Antiqua" w:hint="eastAsia"/>
                <w:vertAlign w:val="superscript"/>
                <w:lang w:eastAsia="zh-CN"/>
              </w:rPr>
              <w:t>1</w:t>
            </w:r>
          </w:p>
        </w:tc>
      </w:tr>
      <w:tr w:rsidR="0052664C" w:rsidRPr="0052664C" w14:paraId="5B88C3B3" w14:textId="77777777" w:rsidTr="001D6715">
        <w:tc>
          <w:tcPr>
            <w:tcW w:w="992" w:type="dxa"/>
          </w:tcPr>
          <w:p w14:paraId="4C2C776F" w14:textId="77777777" w:rsidR="00514829" w:rsidRPr="0052664C" w:rsidRDefault="00514829" w:rsidP="00E11D9F">
            <w:pPr>
              <w:spacing w:line="360" w:lineRule="auto"/>
              <w:rPr>
                <w:rFonts w:ascii="Book Antiqua" w:hAnsi="Book Antiqua"/>
              </w:rPr>
            </w:pPr>
            <w:r w:rsidRPr="0052664C">
              <w:rPr>
                <w:rFonts w:ascii="Book Antiqua" w:hAnsi="Book Antiqua"/>
              </w:rPr>
              <w:t>2</w:t>
            </w:r>
          </w:p>
        </w:tc>
        <w:tc>
          <w:tcPr>
            <w:tcW w:w="1276" w:type="dxa"/>
          </w:tcPr>
          <w:p w14:paraId="60EEBF1B" w14:textId="77777777" w:rsidR="00514829" w:rsidRPr="0052664C" w:rsidRDefault="00514829" w:rsidP="00E11D9F">
            <w:pPr>
              <w:spacing w:line="360" w:lineRule="auto"/>
              <w:rPr>
                <w:rFonts w:ascii="Book Antiqua" w:hAnsi="Book Antiqua"/>
              </w:rPr>
            </w:pPr>
            <w:r w:rsidRPr="0052664C">
              <w:rPr>
                <w:rFonts w:ascii="Book Antiqua" w:hAnsi="Book Antiqua"/>
              </w:rPr>
              <w:t xml:space="preserve">F </w:t>
            </w:r>
          </w:p>
        </w:tc>
        <w:tc>
          <w:tcPr>
            <w:tcW w:w="851" w:type="dxa"/>
          </w:tcPr>
          <w:p w14:paraId="42264A39" w14:textId="77777777" w:rsidR="00514829" w:rsidRPr="0052664C" w:rsidRDefault="00514829" w:rsidP="00E11D9F">
            <w:pPr>
              <w:spacing w:line="360" w:lineRule="auto"/>
              <w:rPr>
                <w:rFonts w:ascii="Book Antiqua" w:hAnsi="Book Antiqua"/>
              </w:rPr>
            </w:pPr>
            <w:r w:rsidRPr="0052664C">
              <w:rPr>
                <w:rFonts w:ascii="Book Antiqua" w:hAnsi="Book Antiqua"/>
              </w:rPr>
              <w:t>59</w:t>
            </w:r>
          </w:p>
        </w:tc>
        <w:tc>
          <w:tcPr>
            <w:tcW w:w="1409" w:type="dxa"/>
          </w:tcPr>
          <w:p w14:paraId="51FA3743" w14:textId="77777777" w:rsidR="00514829" w:rsidRPr="0052664C" w:rsidRDefault="00514829" w:rsidP="00E11D9F">
            <w:pPr>
              <w:spacing w:line="360" w:lineRule="auto"/>
              <w:rPr>
                <w:rFonts w:ascii="Book Antiqua" w:hAnsi="Book Antiqua"/>
              </w:rPr>
            </w:pPr>
            <w:r w:rsidRPr="0052664C">
              <w:rPr>
                <w:rFonts w:ascii="Book Antiqua" w:hAnsi="Book Antiqua"/>
              </w:rPr>
              <w:t xml:space="preserve">por </w:t>
            </w:r>
          </w:p>
        </w:tc>
        <w:tc>
          <w:tcPr>
            <w:tcW w:w="691" w:type="dxa"/>
          </w:tcPr>
          <w:p w14:paraId="0726D4EB" w14:textId="77777777" w:rsidR="00514829" w:rsidRPr="0052664C" w:rsidRDefault="00514829" w:rsidP="00E11D9F">
            <w:pPr>
              <w:spacing w:line="360" w:lineRule="auto"/>
              <w:rPr>
                <w:rFonts w:ascii="Book Antiqua" w:hAnsi="Book Antiqua"/>
              </w:rPr>
            </w:pPr>
            <w:r w:rsidRPr="0052664C">
              <w:rPr>
                <w:rFonts w:ascii="Book Antiqua" w:hAnsi="Book Antiqua"/>
              </w:rPr>
              <w:t>-</w:t>
            </w:r>
          </w:p>
        </w:tc>
        <w:tc>
          <w:tcPr>
            <w:tcW w:w="1534" w:type="dxa"/>
          </w:tcPr>
          <w:p w14:paraId="77C2EB19" w14:textId="77777777" w:rsidR="00514829" w:rsidRPr="0052664C" w:rsidRDefault="00514829" w:rsidP="00E11D9F">
            <w:pPr>
              <w:spacing w:line="360" w:lineRule="auto"/>
              <w:rPr>
                <w:rFonts w:ascii="Book Antiqua" w:hAnsi="Book Antiqua"/>
              </w:rPr>
            </w:pPr>
            <w:r w:rsidRPr="0052664C">
              <w:rPr>
                <w:rFonts w:ascii="Book Antiqua" w:hAnsi="Book Antiqua"/>
              </w:rPr>
              <w:t>Para Aorta</w:t>
            </w:r>
          </w:p>
        </w:tc>
        <w:tc>
          <w:tcPr>
            <w:tcW w:w="1493" w:type="dxa"/>
          </w:tcPr>
          <w:p w14:paraId="0BC212F9" w14:textId="77777777" w:rsidR="00514829" w:rsidRPr="0052664C" w:rsidRDefault="00514829" w:rsidP="00E11D9F">
            <w:pPr>
              <w:spacing w:line="360" w:lineRule="auto"/>
              <w:rPr>
                <w:rFonts w:ascii="Book Antiqua" w:hAnsi="Book Antiqua"/>
              </w:rPr>
            </w:pPr>
            <w:r w:rsidRPr="0052664C">
              <w:rPr>
                <w:rFonts w:ascii="Book Antiqua" w:hAnsi="Book Antiqua"/>
              </w:rPr>
              <w:t>LC (lung)</w:t>
            </w:r>
          </w:p>
        </w:tc>
        <w:tc>
          <w:tcPr>
            <w:tcW w:w="1493" w:type="dxa"/>
          </w:tcPr>
          <w:p w14:paraId="2F5E9BB9" w14:textId="77777777" w:rsidR="00514829" w:rsidRPr="0052664C" w:rsidRDefault="00514829" w:rsidP="00E11D9F">
            <w:pPr>
              <w:spacing w:line="360" w:lineRule="auto"/>
              <w:rPr>
                <w:rFonts w:ascii="Book Antiqua" w:hAnsi="Book Antiqua"/>
              </w:rPr>
            </w:pPr>
            <w:r w:rsidRPr="0052664C">
              <w:rPr>
                <w:rFonts w:ascii="Book Antiqua" w:hAnsi="Book Antiqua"/>
              </w:rPr>
              <w:t>S1 + DTX</w:t>
            </w:r>
          </w:p>
        </w:tc>
      </w:tr>
      <w:tr w:rsidR="0052664C" w:rsidRPr="0052664C" w14:paraId="56F557FE" w14:textId="77777777" w:rsidTr="001D6715">
        <w:tc>
          <w:tcPr>
            <w:tcW w:w="992" w:type="dxa"/>
          </w:tcPr>
          <w:p w14:paraId="28C88C69" w14:textId="77777777" w:rsidR="00514829" w:rsidRPr="0052664C" w:rsidRDefault="00514829" w:rsidP="00E11D9F">
            <w:pPr>
              <w:spacing w:line="360" w:lineRule="auto"/>
              <w:rPr>
                <w:rFonts w:ascii="Book Antiqua" w:hAnsi="Book Antiqua"/>
              </w:rPr>
            </w:pPr>
            <w:r w:rsidRPr="0052664C">
              <w:rPr>
                <w:rFonts w:ascii="Book Antiqua" w:hAnsi="Book Antiqua"/>
              </w:rPr>
              <w:t>3</w:t>
            </w:r>
          </w:p>
        </w:tc>
        <w:tc>
          <w:tcPr>
            <w:tcW w:w="1276" w:type="dxa"/>
          </w:tcPr>
          <w:p w14:paraId="30BF5E94" w14:textId="77777777" w:rsidR="00514829" w:rsidRPr="0052664C" w:rsidRDefault="00514829" w:rsidP="00E11D9F">
            <w:pPr>
              <w:spacing w:line="360" w:lineRule="auto"/>
              <w:rPr>
                <w:rFonts w:ascii="Book Antiqua" w:hAnsi="Book Antiqua"/>
              </w:rPr>
            </w:pPr>
            <w:r w:rsidRPr="0052664C">
              <w:rPr>
                <w:rFonts w:ascii="Book Antiqua" w:hAnsi="Book Antiqua"/>
              </w:rPr>
              <w:t xml:space="preserve">M </w:t>
            </w:r>
          </w:p>
        </w:tc>
        <w:tc>
          <w:tcPr>
            <w:tcW w:w="851" w:type="dxa"/>
          </w:tcPr>
          <w:p w14:paraId="389C23B7" w14:textId="77777777" w:rsidR="00514829" w:rsidRPr="0052664C" w:rsidRDefault="00514829" w:rsidP="00E11D9F">
            <w:pPr>
              <w:spacing w:line="360" w:lineRule="auto"/>
              <w:rPr>
                <w:rFonts w:ascii="Book Antiqua" w:hAnsi="Book Antiqua"/>
              </w:rPr>
            </w:pPr>
            <w:r w:rsidRPr="0052664C">
              <w:rPr>
                <w:rFonts w:ascii="Book Antiqua" w:hAnsi="Book Antiqua"/>
              </w:rPr>
              <w:t>78</w:t>
            </w:r>
          </w:p>
        </w:tc>
        <w:tc>
          <w:tcPr>
            <w:tcW w:w="1409" w:type="dxa"/>
          </w:tcPr>
          <w:p w14:paraId="5912F60D" w14:textId="77777777" w:rsidR="00514829" w:rsidRPr="0052664C" w:rsidRDefault="00514829" w:rsidP="00E11D9F">
            <w:pPr>
              <w:spacing w:line="360" w:lineRule="auto"/>
              <w:rPr>
                <w:rFonts w:ascii="Book Antiqua" w:hAnsi="Book Antiqua"/>
              </w:rPr>
            </w:pPr>
            <w:r w:rsidRPr="0052664C">
              <w:rPr>
                <w:rFonts w:ascii="Book Antiqua" w:hAnsi="Book Antiqua"/>
              </w:rPr>
              <w:t>tub + por + sig</w:t>
            </w:r>
          </w:p>
        </w:tc>
        <w:tc>
          <w:tcPr>
            <w:tcW w:w="691" w:type="dxa"/>
          </w:tcPr>
          <w:p w14:paraId="47763101" w14:textId="77777777" w:rsidR="00514829" w:rsidRPr="0052664C" w:rsidRDefault="00514829" w:rsidP="00E11D9F">
            <w:pPr>
              <w:spacing w:line="360" w:lineRule="auto"/>
              <w:rPr>
                <w:rFonts w:ascii="Book Antiqua" w:hAnsi="Book Antiqua"/>
              </w:rPr>
            </w:pPr>
            <w:r w:rsidRPr="0052664C">
              <w:rPr>
                <w:rFonts w:ascii="Book Antiqua" w:hAnsi="Book Antiqua"/>
              </w:rPr>
              <w:t>+</w:t>
            </w:r>
          </w:p>
        </w:tc>
        <w:tc>
          <w:tcPr>
            <w:tcW w:w="1534" w:type="dxa"/>
          </w:tcPr>
          <w:p w14:paraId="1C42DCDD" w14:textId="77777777" w:rsidR="00514829" w:rsidRPr="0052664C" w:rsidRDefault="00514829" w:rsidP="00E11D9F">
            <w:pPr>
              <w:spacing w:line="360" w:lineRule="auto"/>
              <w:rPr>
                <w:rFonts w:ascii="Book Antiqua" w:hAnsi="Book Antiqua"/>
              </w:rPr>
            </w:pPr>
            <w:r w:rsidRPr="0052664C">
              <w:rPr>
                <w:rFonts w:ascii="Book Antiqua" w:hAnsi="Book Antiqua"/>
              </w:rPr>
              <w:t>Para Aorta</w:t>
            </w:r>
          </w:p>
        </w:tc>
        <w:tc>
          <w:tcPr>
            <w:tcW w:w="1493" w:type="dxa"/>
          </w:tcPr>
          <w:p w14:paraId="4C1FDA88" w14:textId="77777777" w:rsidR="00514829" w:rsidRPr="0052664C" w:rsidRDefault="00514829" w:rsidP="00E11D9F">
            <w:pPr>
              <w:widowControl/>
              <w:spacing w:line="360" w:lineRule="auto"/>
              <w:jc w:val="left"/>
              <w:rPr>
                <w:rFonts w:ascii="Book Antiqua" w:hAnsi="Book Antiqua"/>
              </w:rPr>
            </w:pPr>
            <w:r w:rsidRPr="0052664C">
              <w:rPr>
                <w:rFonts w:ascii="Book Antiqua" w:hAnsi="Book Antiqua"/>
              </w:rPr>
              <w:t>-</w:t>
            </w:r>
          </w:p>
        </w:tc>
        <w:tc>
          <w:tcPr>
            <w:tcW w:w="1493" w:type="dxa"/>
          </w:tcPr>
          <w:p w14:paraId="7D0F81D9" w14:textId="63493D02" w:rsidR="00514829" w:rsidRPr="0052664C" w:rsidRDefault="00514829" w:rsidP="00E11D9F">
            <w:pPr>
              <w:widowControl/>
              <w:spacing w:line="360" w:lineRule="auto"/>
              <w:jc w:val="left"/>
              <w:rPr>
                <w:rFonts w:ascii="Book Antiqua" w:eastAsia="SimSun" w:hAnsi="Book Antiqua"/>
                <w:vertAlign w:val="superscript"/>
                <w:lang w:eastAsia="zh-CN"/>
              </w:rPr>
            </w:pPr>
            <w:r w:rsidRPr="0052664C">
              <w:rPr>
                <w:rFonts w:ascii="Book Antiqua" w:hAnsi="Book Antiqua"/>
              </w:rPr>
              <w:t>wPTX</w:t>
            </w:r>
            <w:r w:rsidR="001D6715" w:rsidRPr="0052664C">
              <w:rPr>
                <w:rFonts w:ascii="Book Antiqua" w:eastAsia="SimSun" w:hAnsi="Book Antiqua" w:hint="eastAsia"/>
                <w:vertAlign w:val="superscript"/>
                <w:lang w:eastAsia="zh-CN"/>
              </w:rPr>
              <w:t>2</w:t>
            </w:r>
          </w:p>
        </w:tc>
      </w:tr>
      <w:tr w:rsidR="0052664C" w:rsidRPr="0052664C" w14:paraId="260E2557" w14:textId="77777777" w:rsidTr="001D6715">
        <w:tc>
          <w:tcPr>
            <w:tcW w:w="992" w:type="dxa"/>
          </w:tcPr>
          <w:p w14:paraId="1D3D9659" w14:textId="77777777" w:rsidR="00514829" w:rsidRPr="0052664C" w:rsidRDefault="00514829" w:rsidP="00E11D9F">
            <w:pPr>
              <w:spacing w:line="360" w:lineRule="auto"/>
              <w:rPr>
                <w:rFonts w:ascii="Book Antiqua" w:hAnsi="Book Antiqua"/>
              </w:rPr>
            </w:pPr>
            <w:r w:rsidRPr="0052664C">
              <w:rPr>
                <w:rFonts w:ascii="Book Antiqua" w:hAnsi="Book Antiqua"/>
              </w:rPr>
              <w:t>4</w:t>
            </w:r>
          </w:p>
        </w:tc>
        <w:tc>
          <w:tcPr>
            <w:tcW w:w="1276" w:type="dxa"/>
          </w:tcPr>
          <w:p w14:paraId="5EBD9D76" w14:textId="77777777" w:rsidR="00514829" w:rsidRPr="0052664C" w:rsidRDefault="00514829" w:rsidP="00E11D9F">
            <w:pPr>
              <w:spacing w:line="360" w:lineRule="auto"/>
              <w:rPr>
                <w:rFonts w:ascii="Book Antiqua" w:hAnsi="Book Antiqua"/>
              </w:rPr>
            </w:pPr>
            <w:r w:rsidRPr="0052664C">
              <w:rPr>
                <w:rFonts w:ascii="Book Antiqua" w:hAnsi="Book Antiqua"/>
              </w:rPr>
              <w:t>M</w:t>
            </w:r>
          </w:p>
        </w:tc>
        <w:tc>
          <w:tcPr>
            <w:tcW w:w="851" w:type="dxa"/>
          </w:tcPr>
          <w:p w14:paraId="2B4E9C7F" w14:textId="77777777" w:rsidR="00514829" w:rsidRPr="0052664C" w:rsidRDefault="00514829" w:rsidP="00E11D9F">
            <w:pPr>
              <w:spacing w:line="360" w:lineRule="auto"/>
              <w:rPr>
                <w:rFonts w:ascii="Book Antiqua" w:hAnsi="Book Antiqua"/>
              </w:rPr>
            </w:pPr>
            <w:r w:rsidRPr="0052664C">
              <w:rPr>
                <w:rFonts w:ascii="Book Antiqua" w:hAnsi="Book Antiqua"/>
              </w:rPr>
              <w:t>38</w:t>
            </w:r>
          </w:p>
        </w:tc>
        <w:tc>
          <w:tcPr>
            <w:tcW w:w="1409" w:type="dxa"/>
          </w:tcPr>
          <w:p w14:paraId="01D68BCF" w14:textId="77777777" w:rsidR="00514829" w:rsidRPr="0052664C" w:rsidRDefault="00514829" w:rsidP="00E11D9F">
            <w:pPr>
              <w:spacing w:line="360" w:lineRule="auto"/>
              <w:rPr>
                <w:rFonts w:ascii="Book Antiqua" w:hAnsi="Book Antiqua"/>
              </w:rPr>
            </w:pPr>
            <w:r w:rsidRPr="0052664C">
              <w:rPr>
                <w:rFonts w:ascii="Book Antiqua" w:hAnsi="Book Antiqua"/>
              </w:rPr>
              <w:t xml:space="preserve">por </w:t>
            </w:r>
          </w:p>
        </w:tc>
        <w:tc>
          <w:tcPr>
            <w:tcW w:w="691" w:type="dxa"/>
          </w:tcPr>
          <w:p w14:paraId="1EBE253F" w14:textId="77777777" w:rsidR="00514829" w:rsidRPr="0052664C" w:rsidRDefault="00514829" w:rsidP="00E11D9F">
            <w:pPr>
              <w:spacing w:line="360" w:lineRule="auto"/>
              <w:rPr>
                <w:rFonts w:ascii="Book Antiqua" w:hAnsi="Book Antiqua"/>
              </w:rPr>
            </w:pPr>
            <w:r w:rsidRPr="0052664C">
              <w:rPr>
                <w:rFonts w:ascii="Book Antiqua" w:hAnsi="Book Antiqua"/>
              </w:rPr>
              <w:t>-</w:t>
            </w:r>
          </w:p>
        </w:tc>
        <w:tc>
          <w:tcPr>
            <w:tcW w:w="1534" w:type="dxa"/>
          </w:tcPr>
          <w:p w14:paraId="7FA79955" w14:textId="77777777" w:rsidR="00514829" w:rsidRPr="0052664C" w:rsidRDefault="00514829" w:rsidP="00E11D9F">
            <w:pPr>
              <w:spacing w:line="360" w:lineRule="auto"/>
              <w:rPr>
                <w:rFonts w:ascii="Book Antiqua" w:hAnsi="Book Antiqua"/>
              </w:rPr>
            </w:pPr>
            <w:r w:rsidRPr="0052664C">
              <w:rPr>
                <w:rFonts w:ascii="Book Antiqua" w:hAnsi="Book Antiqua"/>
              </w:rPr>
              <w:t>Para Aorta</w:t>
            </w:r>
          </w:p>
        </w:tc>
        <w:tc>
          <w:tcPr>
            <w:tcW w:w="1493" w:type="dxa"/>
          </w:tcPr>
          <w:p w14:paraId="5BB2529B" w14:textId="77777777" w:rsidR="00514829" w:rsidRPr="0052664C" w:rsidRDefault="00514829" w:rsidP="00E11D9F">
            <w:pPr>
              <w:widowControl/>
              <w:spacing w:line="360" w:lineRule="auto"/>
              <w:jc w:val="left"/>
              <w:rPr>
                <w:rFonts w:ascii="Book Antiqua" w:hAnsi="Book Antiqua"/>
              </w:rPr>
            </w:pPr>
            <w:r w:rsidRPr="0052664C">
              <w:rPr>
                <w:rFonts w:ascii="Book Antiqua" w:hAnsi="Book Antiqua"/>
              </w:rPr>
              <w:t>-</w:t>
            </w:r>
          </w:p>
        </w:tc>
        <w:tc>
          <w:tcPr>
            <w:tcW w:w="1493" w:type="dxa"/>
          </w:tcPr>
          <w:p w14:paraId="6317E08B" w14:textId="0BB65DCE" w:rsidR="00514829" w:rsidRPr="0052664C" w:rsidRDefault="00514829" w:rsidP="00E11D9F">
            <w:pPr>
              <w:widowControl/>
              <w:spacing w:line="360" w:lineRule="auto"/>
              <w:jc w:val="left"/>
              <w:rPr>
                <w:rFonts w:ascii="Book Antiqua" w:eastAsia="SimSun" w:hAnsi="Book Antiqua"/>
                <w:vertAlign w:val="superscript"/>
                <w:lang w:eastAsia="zh-CN"/>
              </w:rPr>
            </w:pPr>
            <w:r w:rsidRPr="0052664C">
              <w:rPr>
                <w:rFonts w:ascii="Book Antiqua" w:hAnsi="Book Antiqua"/>
              </w:rPr>
              <w:t>S1 + CDDP</w:t>
            </w:r>
            <w:r w:rsidR="001D6715" w:rsidRPr="0052664C">
              <w:rPr>
                <w:rFonts w:ascii="Book Antiqua" w:eastAsia="SimSun" w:hAnsi="Book Antiqua" w:hint="eastAsia"/>
                <w:vertAlign w:val="superscript"/>
                <w:lang w:eastAsia="zh-CN"/>
              </w:rPr>
              <w:t>3</w:t>
            </w:r>
          </w:p>
        </w:tc>
      </w:tr>
      <w:tr w:rsidR="0052664C" w:rsidRPr="0052664C" w14:paraId="20469A9F" w14:textId="77777777" w:rsidTr="001D6715">
        <w:tc>
          <w:tcPr>
            <w:tcW w:w="992" w:type="dxa"/>
          </w:tcPr>
          <w:p w14:paraId="07BB4337" w14:textId="77777777" w:rsidR="00514829" w:rsidRPr="0052664C" w:rsidRDefault="00514829" w:rsidP="00E11D9F">
            <w:pPr>
              <w:spacing w:line="360" w:lineRule="auto"/>
              <w:rPr>
                <w:rFonts w:ascii="Book Antiqua" w:hAnsi="Book Antiqua"/>
              </w:rPr>
            </w:pPr>
            <w:r w:rsidRPr="0052664C">
              <w:rPr>
                <w:rFonts w:ascii="Book Antiqua" w:hAnsi="Book Antiqua"/>
              </w:rPr>
              <w:t>5</w:t>
            </w:r>
          </w:p>
        </w:tc>
        <w:tc>
          <w:tcPr>
            <w:tcW w:w="1276" w:type="dxa"/>
          </w:tcPr>
          <w:p w14:paraId="360E48D5" w14:textId="77777777" w:rsidR="00514829" w:rsidRPr="0052664C" w:rsidRDefault="00514829" w:rsidP="00E11D9F">
            <w:pPr>
              <w:spacing w:line="360" w:lineRule="auto"/>
              <w:rPr>
                <w:rFonts w:ascii="Book Antiqua" w:hAnsi="Book Antiqua"/>
              </w:rPr>
            </w:pPr>
            <w:r w:rsidRPr="0052664C">
              <w:rPr>
                <w:rFonts w:ascii="Book Antiqua" w:hAnsi="Book Antiqua"/>
              </w:rPr>
              <w:t>M</w:t>
            </w:r>
          </w:p>
        </w:tc>
        <w:tc>
          <w:tcPr>
            <w:tcW w:w="851" w:type="dxa"/>
          </w:tcPr>
          <w:p w14:paraId="5D0CE187" w14:textId="77777777" w:rsidR="00514829" w:rsidRPr="0052664C" w:rsidRDefault="00514829" w:rsidP="00E11D9F">
            <w:pPr>
              <w:spacing w:line="360" w:lineRule="auto"/>
              <w:rPr>
                <w:rFonts w:ascii="Book Antiqua" w:hAnsi="Book Antiqua"/>
              </w:rPr>
            </w:pPr>
            <w:r w:rsidRPr="0052664C">
              <w:rPr>
                <w:rFonts w:ascii="Book Antiqua" w:hAnsi="Book Antiqua"/>
              </w:rPr>
              <w:t>24</w:t>
            </w:r>
          </w:p>
        </w:tc>
        <w:tc>
          <w:tcPr>
            <w:tcW w:w="1409" w:type="dxa"/>
          </w:tcPr>
          <w:p w14:paraId="5234E331" w14:textId="77777777" w:rsidR="00514829" w:rsidRPr="0052664C" w:rsidRDefault="00514829" w:rsidP="00E11D9F">
            <w:pPr>
              <w:spacing w:line="360" w:lineRule="auto"/>
              <w:rPr>
                <w:rFonts w:ascii="Book Antiqua" w:hAnsi="Book Antiqua"/>
              </w:rPr>
            </w:pPr>
            <w:r w:rsidRPr="0052664C">
              <w:rPr>
                <w:rFonts w:ascii="Book Antiqua" w:hAnsi="Book Antiqua"/>
              </w:rPr>
              <w:t>por + sig</w:t>
            </w:r>
          </w:p>
        </w:tc>
        <w:tc>
          <w:tcPr>
            <w:tcW w:w="691" w:type="dxa"/>
          </w:tcPr>
          <w:p w14:paraId="51FC9EE6" w14:textId="77777777" w:rsidR="00514829" w:rsidRPr="0052664C" w:rsidRDefault="00514829" w:rsidP="00E11D9F">
            <w:pPr>
              <w:spacing w:line="360" w:lineRule="auto"/>
              <w:rPr>
                <w:rFonts w:ascii="Book Antiqua" w:hAnsi="Book Antiqua"/>
              </w:rPr>
            </w:pPr>
            <w:r w:rsidRPr="0052664C">
              <w:rPr>
                <w:rFonts w:ascii="Book Antiqua" w:hAnsi="Book Antiqua"/>
              </w:rPr>
              <w:t>-</w:t>
            </w:r>
          </w:p>
        </w:tc>
        <w:tc>
          <w:tcPr>
            <w:tcW w:w="1534" w:type="dxa"/>
          </w:tcPr>
          <w:p w14:paraId="6368BE0F" w14:textId="77777777" w:rsidR="00514829" w:rsidRPr="0052664C" w:rsidRDefault="00514829" w:rsidP="00E11D9F">
            <w:pPr>
              <w:spacing w:line="360" w:lineRule="auto"/>
              <w:rPr>
                <w:rFonts w:ascii="Book Antiqua" w:hAnsi="Book Antiqua"/>
              </w:rPr>
            </w:pPr>
            <w:r w:rsidRPr="0052664C">
              <w:rPr>
                <w:rFonts w:ascii="Book Antiqua" w:hAnsi="Book Antiqua"/>
              </w:rPr>
              <w:t>Para Aorta</w:t>
            </w:r>
          </w:p>
        </w:tc>
        <w:tc>
          <w:tcPr>
            <w:tcW w:w="1493" w:type="dxa"/>
          </w:tcPr>
          <w:p w14:paraId="445043DA" w14:textId="77777777" w:rsidR="00514829" w:rsidRPr="0052664C" w:rsidRDefault="00514829" w:rsidP="00E11D9F">
            <w:pPr>
              <w:spacing w:line="360" w:lineRule="auto"/>
              <w:rPr>
                <w:rFonts w:ascii="Book Antiqua" w:hAnsi="Book Antiqua"/>
              </w:rPr>
            </w:pPr>
            <w:r w:rsidRPr="0052664C">
              <w:rPr>
                <w:rFonts w:ascii="Book Antiqua" w:hAnsi="Book Antiqua"/>
              </w:rPr>
              <w:t>PC</w:t>
            </w:r>
          </w:p>
        </w:tc>
        <w:tc>
          <w:tcPr>
            <w:tcW w:w="1493" w:type="dxa"/>
          </w:tcPr>
          <w:p w14:paraId="5647EC71" w14:textId="77777777" w:rsidR="00514829" w:rsidRPr="0052664C" w:rsidRDefault="00514829" w:rsidP="00E11D9F">
            <w:pPr>
              <w:spacing w:line="360" w:lineRule="auto"/>
              <w:rPr>
                <w:rFonts w:ascii="Book Antiqua" w:hAnsi="Book Antiqua"/>
              </w:rPr>
            </w:pPr>
            <w:r w:rsidRPr="0052664C">
              <w:rPr>
                <w:rFonts w:ascii="Book Antiqua" w:hAnsi="Book Antiqua"/>
              </w:rPr>
              <w:t>S1</w:t>
            </w:r>
          </w:p>
        </w:tc>
      </w:tr>
    </w:tbl>
    <w:p w14:paraId="03BECEDC" w14:textId="1641529C" w:rsidR="00514829" w:rsidRPr="0052664C" w:rsidRDefault="00543CB7" w:rsidP="00E11D9F">
      <w:pPr>
        <w:spacing w:line="360" w:lineRule="auto"/>
        <w:rPr>
          <w:rFonts w:ascii="Book Antiqua" w:hAnsi="Book Antiqua"/>
        </w:rPr>
      </w:pPr>
      <w:r w:rsidRPr="0052664C">
        <w:rPr>
          <w:rFonts w:ascii="Book Antiqua" w:eastAsia="SimSun" w:hAnsi="Book Antiqua" w:hint="eastAsia"/>
          <w:vertAlign w:val="superscript"/>
          <w:lang w:eastAsia="zh-CN"/>
        </w:rPr>
        <w:t>1</w:t>
      </w:r>
      <w:r w:rsidRPr="0052664C">
        <w:rPr>
          <w:rFonts w:ascii="Book Antiqua" w:hAnsi="Book Antiqua"/>
        </w:rPr>
        <w:t>Administrated with S1 (40 mg/m</w:t>
      </w:r>
      <w:r w:rsidRPr="0052664C">
        <w:rPr>
          <w:rFonts w:ascii="Book Antiqua" w:hAnsi="Book Antiqua"/>
          <w:vertAlign w:val="superscript"/>
        </w:rPr>
        <w:t>2</w:t>
      </w:r>
      <w:r w:rsidRPr="0052664C">
        <w:rPr>
          <w:rFonts w:ascii="Book Antiqua" w:hAnsi="Book Antiqua"/>
        </w:rPr>
        <w:t xml:space="preserve">, twice daily for 14 </w:t>
      </w:r>
      <w:r w:rsidRPr="0052664C">
        <w:rPr>
          <w:rFonts w:ascii="Book Antiqua" w:eastAsia="SimSun" w:hAnsi="Book Antiqua" w:hint="eastAsia"/>
          <w:lang w:eastAsia="zh-CN"/>
        </w:rPr>
        <w:t>d</w:t>
      </w:r>
      <w:r w:rsidRPr="0052664C">
        <w:rPr>
          <w:rFonts w:ascii="Book Antiqua" w:hAnsi="Book Antiqua"/>
        </w:rPr>
        <w:t>) and DTX (33 – 40 mg/ m</w:t>
      </w:r>
      <w:r w:rsidRPr="0052664C">
        <w:rPr>
          <w:rFonts w:ascii="Book Antiqua" w:hAnsi="Book Antiqua"/>
          <w:vertAlign w:val="superscript"/>
        </w:rPr>
        <w:t>2</w:t>
      </w:r>
      <w:r w:rsidRPr="0052664C">
        <w:rPr>
          <w:rFonts w:ascii="Book Antiqua" w:hAnsi="Book Antiqua"/>
        </w:rPr>
        <w:t xml:space="preserve">) every 3 </w:t>
      </w:r>
      <w:r w:rsidRPr="0052664C">
        <w:rPr>
          <w:rFonts w:ascii="Book Antiqua" w:eastAsia="SimSun" w:hAnsi="Book Antiqua" w:hint="eastAsia"/>
          <w:lang w:eastAsia="zh-CN"/>
        </w:rPr>
        <w:t xml:space="preserve">wk; </w:t>
      </w:r>
      <w:r w:rsidRPr="0052664C">
        <w:rPr>
          <w:rFonts w:ascii="Book Antiqua" w:eastAsia="SimSun" w:hAnsi="Book Antiqua" w:hint="eastAsia"/>
          <w:vertAlign w:val="superscript"/>
          <w:lang w:eastAsia="zh-CN"/>
        </w:rPr>
        <w:t>2</w:t>
      </w:r>
      <w:r w:rsidRPr="0052664C">
        <w:rPr>
          <w:rFonts w:ascii="Book Antiqua" w:hAnsi="Book Antiqua"/>
        </w:rPr>
        <w:t>Administrated weekly with DTX (15 mg/m</w:t>
      </w:r>
      <w:r w:rsidRPr="0052664C">
        <w:rPr>
          <w:rFonts w:ascii="Book Antiqua" w:hAnsi="Book Antiqua"/>
          <w:vertAlign w:val="superscript"/>
        </w:rPr>
        <w:t>2</w:t>
      </w:r>
      <w:r w:rsidRPr="0052664C">
        <w:rPr>
          <w:rFonts w:ascii="Book Antiqua" w:hAnsi="Book Antiqua"/>
        </w:rPr>
        <w:t xml:space="preserve">) for 3 </w:t>
      </w:r>
      <w:r w:rsidRPr="0052664C">
        <w:rPr>
          <w:rFonts w:ascii="Book Antiqua" w:eastAsia="SimSun" w:hAnsi="Book Antiqua" w:hint="eastAsia"/>
          <w:lang w:eastAsia="zh-CN"/>
        </w:rPr>
        <w:t xml:space="preserve">wk; </w:t>
      </w:r>
      <w:r w:rsidRPr="0052664C">
        <w:rPr>
          <w:rFonts w:ascii="Book Antiqua" w:hAnsi="Book Antiqua"/>
        </w:rPr>
        <w:t xml:space="preserve"> </w:t>
      </w:r>
      <w:r w:rsidRPr="0052664C">
        <w:rPr>
          <w:rFonts w:ascii="Book Antiqua" w:eastAsia="SimSun" w:hAnsi="Book Antiqua" w:hint="eastAsia"/>
          <w:vertAlign w:val="superscript"/>
          <w:lang w:eastAsia="zh-CN"/>
        </w:rPr>
        <w:t>3</w:t>
      </w:r>
      <w:r w:rsidRPr="0052664C">
        <w:rPr>
          <w:rFonts w:ascii="Book Antiqua" w:hAnsi="Book Antiqua"/>
        </w:rPr>
        <w:t>Administrated with S1 (40 mg/m</w:t>
      </w:r>
      <w:r w:rsidRPr="0052664C">
        <w:rPr>
          <w:rFonts w:ascii="Book Antiqua" w:hAnsi="Book Antiqua"/>
          <w:vertAlign w:val="superscript"/>
        </w:rPr>
        <w:t>2</w:t>
      </w:r>
      <w:r w:rsidRPr="0052664C">
        <w:rPr>
          <w:rFonts w:ascii="Book Antiqua" w:hAnsi="Book Antiqua"/>
        </w:rPr>
        <w:t xml:space="preserve">, twice daily for 21 </w:t>
      </w:r>
      <w:r w:rsidRPr="0052664C">
        <w:rPr>
          <w:rFonts w:ascii="Book Antiqua" w:eastAsia="SimSun" w:hAnsi="Book Antiqua" w:hint="eastAsia"/>
          <w:lang w:eastAsia="zh-CN"/>
        </w:rPr>
        <w:t>d</w:t>
      </w:r>
      <w:r w:rsidRPr="0052664C">
        <w:rPr>
          <w:rFonts w:ascii="Book Antiqua" w:hAnsi="Book Antiqua"/>
        </w:rPr>
        <w:t>) and CDDP (60 mg/m</w:t>
      </w:r>
      <w:r w:rsidRPr="0052664C">
        <w:rPr>
          <w:rFonts w:ascii="Book Antiqua" w:hAnsi="Book Antiqua"/>
          <w:vertAlign w:val="superscript"/>
        </w:rPr>
        <w:t>2</w:t>
      </w:r>
      <w:r w:rsidRPr="0052664C">
        <w:rPr>
          <w:rFonts w:ascii="Book Antiqua" w:hAnsi="Book Antiqua"/>
        </w:rPr>
        <w:t xml:space="preserve">) every 5 </w:t>
      </w:r>
      <w:r w:rsidRPr="0052664C">
        <w:rPr>
          <w:rFonts w:ascii="Book Antiqua" w:eastAsia="SimSun" w:hAnsi="Book Antiqua" w:hint="eastAsia"/>
          <w:lang w:eastAsia="zh-CN"/>
        </w:rPr>
        <w:t>wk</w:t>
      </w:r>
      <w:r w:rsidRPr="0052664C">
        <w:rPr>
          <w:rFonts w:ascii="Book Antiqua" w:hAnsi="Book Antiqua"/>
        </w:rPr>
        <w:t>.</w:t>
      </w:r>
      <w:r w:rsidRPr="0052664C">
        <w:rPr>
          <w:rFonts w:ascii="Book Antiqua" w:eastAsia="SimSun" w:hAnsi="Book Antiqua" w:hint="eastAsia"/>
          <w:lang w:eastAsia="zh-CN"/>
        </w:rPr>
        <w:t xml:space="preserve"> </w:t>
      </w:r>
      <w:r w:rsidR="00514829" w:rsidRPr="0052664C">
        <w:rPr>
          <w:rFonts w:ascii="Book Antiqua" w:hAnsi="Book Antiqua"/>
        </w:rPr>
        <w:t>LN</w:t>
      </w:r>
      <w:r w:rsidR="001D6715" w:rsidRPr="0052664C">
        <w:rPr>
          <w:rFonts w:ascii="Book Antiqua" w:eastAsia="SimSun" w:hAnsi="Book Antiqua" w:hint="eastAsia"/>
          <w:lang w:eastAsia="zh-CN"/>
        </w:rPr>
        <w:t>:</w:t>
      </w:r>
      <w:r w:rsidR="00514829" w:rsidRPr="0052664C">
        <w:rPr>
          <w:rFonts w:ascii="Book Antiqua" w:hAnsi="Book Antiqua"/>
        </w:rPr>
        <w:t xml:space="preserve"> </w:t>
      </w:r>
      <w:r w:rsidR="001D6715" w:rsidRPr="0052664C">
        <w:rPr>
          <w:rFonts w:ascii="Book Antiqua" w:hAnsi="Book Antiqua"/>
        </w:rPr>
        <w:t xml:space="preserve">Lymph </w:t>
      </w:r>
      <w:r w:rsidR="00514829" w:rsidRPr="0052664C">
        <w:rPr>
          <w:rFonts w:ascii="Book Antiqua" w:hAnsi="Book Antiqua"/>
        </w:rPr>
        <w:t>node</w:t>
      </w:r>
      <w:r w:rsidR="001D6715" w:rsidRPr="0052664C">
        <w:rPr>
          <w:rFonts w:ascii="Book Antiqua" w:eastAsia="SimSun" w:hAnsi="Book Antiqua" w:hint="eastAsia"/>
          <w:lang w:eastAsia="zh-CN"/>
        </w:rPr>
        <w:t>;</w:t>
      </w:r>
      <w:r w:rsidR="00514829" w:rsidRPr="0052664C">
        <w:rPr>
          <w:rFonts w:ascii="Book Antiqua" w:hAnsi="Book Antiqua"/>
        </w:rPr>
        <w:t xml:space="preserve"> PC</w:t>
      </w:r>
      <w:r w:rsidR="001D6715" w:rsidRPr="0052664C">
        <w:rPr>
          <w:rFonts w:ascii="Book Antiqua" w:eastAsia="SimSun" w:hAnsi="Book Antiqua" w:hint="eastAsia"/>
          <w:lang w:eastAsia="zh-CN"/>
        </w:rPr>
        <w:t>:</w:t>
      </w:r>
      <w:r w:rsidR="00514829" w:rsidRPr="0052664C">
        <w:rPr>
          <w:rFonts w:ascii="Book Antiqua" w:hAnsi="Book Antiqua"/>
        </w:rPr>
        <w:t xml:space="preserve"> </w:t>
      </w:r>
      <w:r w:rsidR="001D6715" w:rsidRPr="0052664C">
        <w:rPr>
          <w:rFonts w:ascii="Book Antiqua" w:hAnsi="Book Antiqua"/>
        </w:rPr>
        <w:t xml:space="preserve">Peritonitis </w:t>
      </w:r>
      <w:r w:rsidR="00514829" w:rsidRPr="0052664C">
        <w:rPr>
          <w:rFonts w:ascii="Book Antiqua" w:hAnsi="Book Antiqua"/>
        </w:rPr>
        <w:t>carcinomatosa</w:t>
      </w:r>
      <w:r w:rsidR="001D6715" w:rsidRPr="0052664C">
        <w:rPr>
          <w:rFonts w:ascii="Book Antiqua" w:eastAsia="SimSun" w:hAnsi="Book Antiqua" w:hint="eastAsia"/>
          <w:lang w:eastAsia="zh-CN"/>
        </w:rPr>
        <w:t>;</w:t>
      </w:r>
      <w:r w:rsidR="00514829" w:rsidRPr="0052664C">
        <w:rPr>
          <w:rFonts w:ascii="Book Antiqua" w:hAnsi="Book Antiqua"/>
        </w:rPr>
        <w:t xml:space="preserve"> LC</w:t>
      </w:r>
      <w:r w:rsidR="001D6715" w:rsidRPr="0052664C">
        <w:rPr>
          <w:rFonts w:ascii="Book Antiqua" w:eastAsia="SimSun" w:hAnsi="Book Antiqua" w:hint="eastAsia"/>
          <w:lang w:eastAsia="zh-CN"/>
        </w:rPr>
        <w:t>:</w:t>
      </w:r>
      <w:r w:rsidR="00514829" w:rsidRPr="0052664C">
        <w:rPr>
          <w:rFonts w:ascii="Book Antiqua" w:hAnsi="Book Antiqua"/>
        </w:rPr>
        <w:t xml:space="preserve"> </w:t>
      </w:r>
      <w:r w:rsidR="001D6715" w:rsidRPr="0052664C">
        <w:rPr>
          <w:rFonts w:ascii="Book Antiqua" w:hAnsi="Book Antiqua"/>
        </w:rPr>
        <w:t xml:space="preserve">Lymphangitis </w:t>
      </w:r>
      <w:r w:rsidR="00514829" w:rsidRPr="0052664C">
        <w:rPr>
          <w:rFonts w:ascii="Book Antiqua" w:hAnsi="Book Antiqua"/>
        </w:rPr>
        <w:t>carcinomatosa</w:t>
      </w:r>
      <w:r w:rsidR="001D6715" w:rsidRPr="0052664C">
        <w:rPr>
          <w:rFonts w:ascii="Book Antiqua" w:eastAsia="SimSun" w:hAnsi="Book Antiqua" w:hint="eastAsia"/>
          <w:lang w:eastAsia="zh-CN"/>
        </w:rPr>
        <w:t xml:space="preserve">; </w:t>
      </w:r>
      <w:r w:rsidR="001D6715" w:rsidRPr="0052664C">
        <w:rPr>
          <w:rFonts w:ascii="Book Antiqua" w:hAnsi="Book Antiqua"/>
        </w:rPr>
        <w:t>Por</w:t>
      </w:r>
      <w:r w:rsidR="001D6715" w:rsidRPr="0052664C">
        <w:rPr>
          <w:rFonts w:ascii="Book Antiqua" w:eastAsia="SimSun" w:hAnsi="Book Antiqua" w:hint="eastAsia"/>
          <w:lang w:eastAsia="zh-CN"/>
        </w:rPr>
        <w:t>:</w:t>
      </w:r>
      <w:r w:rsidR="00514829" w:rsidRPr="0052664C">
        <w:rPr>
          <w:rFonts w:ascii="Book Antiqua" w:hAnsi="Book Antiqua"/>
        </w:rPr>
        <w:t xml:space="preserve"> </w:t>
      </w:r>
      <w:r w:rsidR="001D6715" w:rsidRPr="0052664C">
        <w:rPr>
          <w:rFonts w:ascii="Book Antiqua" w:hAnsi="Book Antiqua"/>
        </w:rPr>
        <w:t xml:space="preserve">Poorly </w:t>
      </w:r>
      <w:r w:rsidR="00514829" w:rsidRPr="0052664C">
        <w:rPr>
          <w:rFonts w:ascii="Book Antiqua" w:hAnsi="Book Antiqua"/>
        </w:rPr>
        <w:t>differentiated adenocarcinoma</w:t>
      </w:r>
      <w:r w:rsidR="001D6715" w:rsidRPr="0052664C">
        <w:rPr>
          <w:rFonts w:ascii="Book Antiqua" w:eastAsia="SimSun" w:hAnsi="Book Antiqua" w:hint="eastAsia"/>
          <w:lang w:eastAsia="zh-CN"/>
        </w:rPr>
        <w:t>;</w:t>
      </w:r>
      <w:r w:rsidR="00514829" w:rsidRPr="0052664C">
        <w:rPr>
          <w:rFonts w:ascii="Book Antiqua" w:hAnsi="Book Antiqua"/>
        </w:rPr>
        <w:t xml:space="preserve"> sig</w:t>
      </w:r>
      <w:r w:rsidR="001D6715" w:rsidRPr="0052664C">
        <w:rPr>
          <w:rFonts w:ascii="Book Antiqua" w:eastAsia="SimSun" w:hAnsi="Book Antiqua" w:hint="eastAsia"/>
          <w:lang w:eastAsia="zh-CN"/>
        </w:rPr>
        <w:t>:</w:t>
      </w:r>
      <w:r w:rsidR="00514829" w:rsidRPr="0052664C">
        <w:rPr>
          <w:rFonts w:ascii="Book Antiqua" w:hAnsi="Book Antiqua"/>
        </w:rPr>
        <w:t xml:space="preserve"> </w:t>
      </w:r>
      <w:r w:rsidR="001D6715" w:rsidRPr="0052664C">
        <w:rPr>
          <w:rFonts w:ascii="Book Antiqua" w:hAnsi="Book Antiqua"/>
        </w:rPr>
        <w:t xml:space="preserve">Signet </w:t>
      </w:r>
      <w:r w:rsidR="00514829" w:rsidRPr="0052664C">
        <w:rPr>
          <w:rFonts w:ascii="Book Antiqua" w:hAnsi="Book Antiqua"/>
        </w:rPr>
        <w:t>ring cell carcinoma</w:t>
      </w:r>
      <w:r w:rsidR="001D6715" w:rsidRPr="0052664C">
        <w:rPr>
          <w:rFonts w:ascii="Book Antiqua" w:eastAsia="SimSun" w:hAnsi="Book Antiqua" w:hint="eastAsia"/>
          <w:lang w:eastAsia="zh-CN"/>
        </w:rPr>
        <w:t>;</w:t>
      </w:r>
      <w:r w:rsidR="00514829" w:rsidRPr="0052664C">
        <w:rPr>
          <w:rFonts w:ascii="Book Antiqua" w:hAnsi="Book Antiqua"/>
        </w:rPr>
        <w:t xml:space="preserve"> tub</w:t>
      </w:r>
      <w:r w:rsidR="001D6715" w:rsidRPr="0052664C">
        <w:rPr>
          <w:rFonts w:ascii="Book Antiqua" w:eastAsia="SimSun" w:hAnsi="Book Antiqua" w:hint="eastAsia"/>
          <w:lang w:eastAsia="zh-CN"/>
        </w:rPr>
        <w:t>:</w:t>
      </w:r>
      <w:r w:rsidR="00514829" w:rsidRPr="0052664C">
        <w:rPr>
          <w:rFonts w:ascii="Book Antiqua" w:hAnsi="Book Antiqua"/>
        </w:rPr>
        <w:t xml:space="preserve"> </w:t>
      </w:r>
      <w:r w:rsidR="001D6715" w:rsidRPr="0052664C">
        <w:rPr>
          <w:rFonts w:ascii="Book Antiqua" w:hAnsi="Book Antiqua"/>
        </w:rPr>
        <w:t xml:space="preserve">Tubular </w:t>
      </w:r>
      <w:r w:rsidR="00514829" w:rsidRPr="0052664C">
        <w:rPr>
          <w:rFonts w:ascii="Book Antiqua" w:hAnsi="Book Antiqua"/>
        </w:rPr>
        <w:t>adenocarcinoma</w:t>
      </w:r>
      <w:r w:rsidR="001D6715" w:rsidRPr="0052664C">
        <w:rPr>
          <w:rFonts w:ascii="Book Antiqua" w:eastAsia="SimSun" w:hAnsi="Book Antiqua" w:hint="eastAsia"/>
          <w:lang w:eastAsia="zh-CN"/>
        </w:rPr>
        <w:t xml:space="preserve">; </w:t>
      </w:r>
      <w:r w:rsidR="00514829" w:rsidRPr="0052664C">
        <w:rPr>
          <w:rFonts w:ascii="Book Antiqua" w:hAnsi="Book Antiqua"/>
        </w:rPr>
        <w:t>DTX</w:t>
      </w:r>
      <w:r w:rsidR="001D6715" w:rsidRPr="0052664C">
        <w:rPr>
          <w:rFonts w:ascii="Book Antiqua" w:eastAsia="SimSun" w:hAnsi="Book Antiqua" w:hint="eastAsia"/>
          <w:lang w:eastAsia="zh-CN"/>
        </w:rPr>
        <w:t>:</w:t>
      </w:r>
      <w:r w:rsidR="00514829" w:rsidRPr="0052664C">
        <w:rPr>
          <w:rFonts w:ascii="Book Antiqua" w:hAnsi="Book Antiqua"/>
        </w:rPr>
        <w:t xml:space="preserve"> </w:t>
      </w:r>
      <w:r w:rsidR="001D6715" w:rsidRPr="0052664C">
        <w:rPr>
          <w:rFonts w:ascii="Book Antiqua" w:hAnsi="Book Antiqua"/>
        </w:rPr>
        <w:t>Docetaxel</w:t>
      </w:r>
      <w:r w:rsidR="001D6715" w:rsidRPr="0052664C">
        <w:rPr>
          <w:rFonts w:ascii="Book Antiqua" w:eastAsia="SimSun" w:hAnsi="Book Antiqua" w:hint="eastAsia"/>
          <w:lang w:eastAsia="zh-CN"/>
        </w:rPr>
        <w:t>;</w:t>
      </w:r>
      <w:r w:rsidR="00514829" w:rsidRPr="0052664C">
        <w:rPr>
          <w:rFonts w:ascii="Book Antiqua" w:hAnsi="Book Antiqua"/>
        </w:rPr>
        <w:t xml:space="preserve"> CDDP</w:t>
      </w:r>
      <w:r w:rsidR="001D6715" w:rsidRPr="0052664C">
        <w:rPr>
          <w:rFonts w:ascii="Book Antiqua" w:eastAsia="SimSun" w:hAnsi="Book Antiqua" w:hint="eastAsia"/>
          <w:lang w:eastAsia="zh-CN"/>
        </w:rPr>
        <w:t>:</w:t>
      </w:r>
      <w:r w:rsidR="00514829" w:rsidRPr="0052664C">
        <w:rPr>
          <w:rFonts w:ascii="Book Antiqua" w:hAnsi="Book Antiqua"/>
        </w:rPr>
        <w:t xml:space="preserve"> </w:t>
      </w:r>
      <w:r w:rsidR="001D6715" w:rsidRPr="0052664C">
        <w:rPr>
          <w:rFonts w:ascii="Book Antiqua" w:hAnsi="Book Antiqua"/>
        </w:rPr>
        <w:t>Cis</w:t>
      </w:r>
      <w:r w:rsidR="00514829" w:rsidRPr="0052664C">
        <w:rPr>
          <w:rFonts w:ascii="Book Antiqua" w:hAnsi="Book Antiqua"/>
        </w:rPr>
        <w:t>-platinum</w:t>
      </w:r>
      <w:r w:rsidR="001D6715" w:rsidRPr="0052664C">
        <w:rPr>
          <w:rFonts w:ascii="Book Antiqua" w:eastAsia="SimSun" w:hAnsi="Book Antiqua" w:hint="eastAsia"/>
          <w:lang w:eastAsia="zh-CN"/>
        </w:rPr>
        <w:t xml:space="preserve">. </w:t>
      </w:r>
      <w:r w:rsidR="00514829" w:rsidRPr="0052664C">
        <w:rPr>
          <w:rFonts w:ascii="Book Antiqua" w:hAnsi="Book Antiqua"/>
        </w:rPr>
        <w:t xml:space="preserve"> </w:t>
      </w:r>
    </w:p>
    <w:p w14:paraId="407D53CF" w14:textId="77777777" w:rsidR="00514829" w:rsidRPr="0052664C" w:rsidRDefault="00514829" w:rsidP="00E11D9F">
      <w:pPr>
        <w:spacing w:line="360" w:lineRule="auto"/>
        <w:rPr>
          <w:rFonts w:ascii="Book Antiqua" w:hAnsi="Book Antiqua"/>
        </w:rPr>
      </w:pPr>
      <w:r w:rsidRPr="0052664C">
        <w:rPr>
          <w:rFonts w:ascii="Book Antiqua" w:hAnsi="Book Antiqua"/>
        </w:rPr>
        <w:t xml:space="preserve">  </w:t>
      </w:r>
    </w:p>
    <w:p w14:paraId="23050930" w14:textId="77777777" w:rsidR="00514829" w:rsidRPr="0052664C" w:rsidRDefault="00514829" w:rsidP="00E11D9F">
      <w:pPr>
        <w:spacing w:line="360" w:lineRule="auto"/>
        <w:rPr>
          <w:rFonts w:ascii="Book Antiqua" w:hAnsi="Book Antiqua"/>
        </w:rPr>
      </w:pPr>
    </w:p>
    <w:p w14:paraId="133E39E0" w14:textId="77777777" w:rsidR="00514829" w:rsidRPr="0052664C" w:rsidRDefault="00514829" w:rsidP="00E11D9F">
      <w:pPr>
        <w:spacing w:line="360" w:lineRule="auto"/>
        <w:rPr>
          <w:rFonts w:ascii="Book Antiqua" w:hAnsi="Book Antiqua"/>
        </w:rPr>
      </w:pPr>
    </w:p>
    <w:p w14:paraId="7F04DE68" w14:textId="77777777" w:rsidR="00514829" w:rsidRPr="0052664C" w:rsidRDefault="00514829" w:rsidP="00E11D9F">
      <w:pPr>
        <w:spacing w:line="360" w:lineRule="auto"/>
        <w:rPr>
          <w:rFonts w:ascii="Book Antiqua" w:eastAsia="SimSun" w:hAnsi="Book Antiqua"/>
          <w:lang w:eastAsia="zh-CN"/>
        </w:rPr>
        <w:sectPr w:rsidR="00514829" w:rsidRPr="0052664C" w:rsidSect="001D6715">
          <w:headerReference w:type="default" r:id="rId9"/>
          <w:pgSz w:w="11899" w:h="16840"/>
          <w:pgMar w:top="1985" w:right="1701" w:bottom="1701" w:left="1701" w:header="851" w:footer="992" w:gutter="0"/>
          <w:cols w:space="425"/>
          <w:docGrid w:type="lines" w:linePitch="400"/>
        </w:sectPr>
      </w:pPr>
    </w:p>
    <w:p w14:paraId="240F8AE4" w14:textId="670DE02B" w:rsidR="00514829" w:rsidRPr="0052664C" w:rsidRDefault="00543CB7" w:rsidP="00E11D9F">
      <w:pPr>
        <w:spacing w:line="360" w:lineRule="auto"/>
        <w:rPr>
          <w:rFonts w:ascii="Book Antiqua" w:eastAsia="SimSun" w:hAnsi="Book Antiqua"/>
          <w:b/>
          <w:lang w:eastAsia="zh-CN"/>
        </w:rPr>
      </w:pPr>
      <w:r w:rsidRPr="0052664C">
        <w:rPr>
          <w:rFonts w:ascii="Book Antiqua" w:hAnsi="Book Antiqua"/>
          <w:b/>
        </w:rPr>
        <w:lastRenderedPageBreak/>
        <w:t>Table 2</w:t>
      </w:r>
      <w:r w:rsidR="00514829" w:rsidRPr="0052664C">
        <w:rPr>
          <w:rFonts w:ascii="Book Antiqua" w:hAnsi="Book Antiqua"/>
          <w:b/>
        </w:rPr>
        <w:t xml:space="preserve"> </w:t>
      </w:r>
      <w:r w:rsidRPr="0052664C">
        <w:rPr>
          <w:rFonts w:ascii="Book Antiqua" w:hAnsi="Book Antiqua"/>
          <w:b/>
        </w:rPr>
        <w:t xml:space="preserve">circulating tumor cells </w:t>
      </w:r>
      <w:r w:rsidR="00514829" w:rsidRPr="0052664C">
        <w:rPr>
          <w:rFonts w:ascii="Book Antiqua" w:hAnsi="Book Antiqua"/>
          <w:b/>
        </w:rPr>
        <w:t>count and therapeutic outcomes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1559"/>
        <w:gridCol w:w="2268"/>
        <w:gridCol w:w="1843"/>
        <w:gridCol w:w="1559"/>
        <w:gridCol w:w="1276"/>
        <w:gridCol w:w="1985"/>
      </w:tblGrid>
      <w:tr w:rsidR="0052664C" w:rsidRPr="0052664C" w14:paraId="5D7A4501" w14:textId="77777777" w:rsidTr="00543CB7">
        <w:trPr>
          <w:trHeight w:val="320"/>
        </w:trPr>
        <w:tc>
          <w:tcPr>
            <w:tcW w:w="817" w:type="dxa"/>
            <w:vMerge w:val="restart"/>
            <w:tcBorders>
              <w:top w:val="single" w:sz="4" w:space="0" w:color="000000" w:themeColor="text1"/>
              <w:bottom w:val="single" w:sz="4" w:space="0" w:color="000000" w:themeColor="text1"/>
            </w:tcBorders>
          </w:tcPr>
          <w:p w14:paraId="03500481" w14:textId="77777777" w:rsidR="00514829" w:rsidRPr="0052664C" w:rsidRDefault="00514829" w:rsidP="00E11D9F">
            <w:pPr>
              <w:spacing w:line="360" w:lineRule="auto"/>
              <w:rPr>
                <w:rFonts w:ascii="Book Antiqua" w:hAnsi="Book Antiqua"/>
                <w:b/>
              </w:rPr>
            </w:pPr>
            <w:r w:rsidRPr="0052664C">
              <w:rPr>
                <w:rFonts w:ascii="Book Antiqua" w:hAnsi="Book Antiqua"/>
                <w:b/>
              </w:rPr>
              <w:t>Case</w:t>
            </w:r>
          </w:p>
        </w:tc>
        <w:tc>
          <w:tcPr>
            <w:tcW w:w="3827" w:type="dxa"/>
            <w:gridSpan w:val="2"/>
            <w:tcBorders>
              <w:top w:val="single" w:sz="4" w:space="0" w:color="000000" w:themeColor="text1"/>
              <w:bottom w:val="single" w:sz="4" w:space="0" w:color="000000" w:themeColor="text1"/>
            </w:tcBorders>
          </w:tcPr>
          <w:p w14:paraId="2FC97AC4" w14:textId="77777777" w:rsidR="00514829" w:rsidRPr="0052664C" w:rsidRDefault="00514829" w:rsidP="00E11D9F">
            <w:pPr>
              <w:spacing w:line="360" w:lineRule="auto"/>
              <w:rPr>
                <w:rFonts w:ascii="Book Antiqua" w:hAnsi="Book Antiqua"/>
                <w:b/>
              </w:rPr>
            </w:pPr>
            <w:r w:rsidRPr="0052664C">
              <w:rPr>
                <w:rFonts w:ascii="Book Antiqua" w:hAnsi="Book Antiqua"/>
                <w:b/>
              </w:rPr>
              <w:t xml:space="preserve">      Tumor Markers</w:t>
            </w:r>
          </w:p>
        </w:tc>
        <w:tc>
          <w:tcPr>
            <w:tcW w:w="1843" w:type="dxa"/>
            <w:vMerge w:val="restart"/>
            <w:tcBorders>
              <w:top w:val="single" w:sz="4" w:space="0" w:color="000000" w:themeColor="text1"/>
              <w:bottom w:val="single" w:sz="4" w:space="0" w:color="000000" w:themeColor="text1"/>
            </w:tcBorders>
          </w:tcPr>
          <w:p w14:paraId="5F7789FE" w14:textId="77777777" w:rsidR="00514829" w:rsidRPr="0052664C" w:rsidRDefault="00514829" w:rsidP="00E11D9F">
            <w:pPr>
              <w:spacing w:line="360" w:lineRule="auto"/>
              <w:rPr>
                <w:rFonts w:ascii="Book Antiqua" w:hAnsi="Book Antiqua"/>
                <w:b/>
              </w:rPr>
            </w:pPr>
            <w:r w:rsidRPr="0052664C">
              <w:rPr>
                <w:rFonts w:ascii="Book Antiqua" w:hAnsi="Book Antiqua"/>
                <w:b/>
              </w:rPr>
              <w:t xml:space="preserve"> CTC count</w:t>
            </w:r>
          </w:p>
          <w:p w14:paraId="07F5CF7C" w14:textId="795B98D5" w:rsidR="00514829" w:rsidRPr="0052664C" w:rsidRDefault="00514829" w:rsidP="00E11D9F">
            <w:pPr>
              <w:spacing w:line="360" w:lineRule="auto"/>
              <w:rPr>
                <w:rFonts w:ascii="Book Antiqua" w:hAnsi="Book Antiqua"/>
                <w:b/>
              </w:rPr>
            </w:pPr>
            <w:r w:rsidRPr="0052664C">
              <w:rPr>
                <w:rFonts w:ascii="Book Antiqua" w:hAnsi="Book Antiqua"/>
                <w:b/>
              </w:rPr>
              <w:t xml:space="preserve">  pre (</w:t>
            </w:r>
            <w:r w:rsidR="00543CB7" w:rsidRPr="0052664C">
              <w:rPr>
                <w:rFonts w:ascii="Book Antiqua" w:eastAsia="SimSun" w:hAnsi="Book Antiqua" w:hint="eastAsia"/>
                <w:vertAlign w:val="superscript"/>
                <w:lang w:eastAsia="zh-CN"/>
              </w:rPr>
              <w:t>3</w:t>
            </w:r>
            <w:r w:rsidRPr="0052664C">
              <w:rPr>
                <w:rFonts w:ascii="Book Antiqua" w:hAnsi="Book Antiqua"/>
                <w:b/>
              </w:rPr>
              <w:t>) post</w:t>
            </w:r>
          </w:p>
        </w:tc>
        <w:tc>
          <w:tcPr>
            <w:tcW w:w="1559" w:type="dxa"/>
            <w:vMerge w:val="restart"/>
            <w:tcBorders>
              <w:top w:val="single" w:sz="4" w:space="0" w:color="000000" w:themeColor="text1"/>
              <w:bottom w:val="single" w:sz="4" w:space="0" w:color="000000" w:themeColor="text1"/>
            </w:tcBorders>
          </w:tcPr>
          <w:p w14:paraId="7C258556" w14:textId="4F17CC32" w:rsidR="00514829" w:rsidRPr="0052664C" w:rsidRDefault="00514829" w:rsidP="00E11D9F">
            <w:pPr>
              <w:spacing w:line="360" w:lineRule="auto"/>
              <w:rPr>
                <w:rFonts w:ascii="Book Antiqua" w:eastAsia="SimSun" w:hAnsi="Book Antiqua"/>
                <w:b/>
                <w:lang w:eastAsia="zh-CN"/>
              </w:rPr>
            </w:pPr>
            <w:r w:rsidRPr="0052664C">
              <w:rPr>
                <w:rFonts w:ascii="Book Antiqua" w:hAnsi="Book Antiqua"/>
                <w:b/>
              </w:rPr>
              <w:t xml:space="preserve"> Date</w:t>
            </w:r>
            <w:r w:rsidR="00543CB7" w:rsidRPr="0052664C">
              <w:rPr>
                <w:rFonts w:ascii="Book Antiqua" w:eastAsia="SimSun" w:hAnsi="Book Antiqua" w:hint="eastAsia"/>
                <w:b/>
                <w:vertAlign w:val="superscript"/>
                <w:lang w:eastAsia="zh-CN"/>
              </w:rPr>
              <w:t>1</w:t>
            </w:r>
          </w:p>
          <w:p w14:paraId="46792469" w14:textId="49EA81DA" w:rsidR="00514829" w:rsidRPr="0052664C" w:rsidRDefault="00514829" w:rsidP="00543CB7">
            <w:pPr>
              <w:spacing w:line="360" w:lineRule="auto"/>
              <w:rPr>
                <w:rFonts w:ascii="Book Antiqua" w:hAnsi="Book Antiqua"/>
                <w:b/>
              </w:rPr>
            </w:pPr>
            <w:r w:rsidRPr="0052664C">
              <w:rPr>
                <w:rFonts w:ascii="Book Antiqua" w:hAnsi="Book Antiqua"/>
                <w:b/>
              </w:rPr>
              <w:t xml:space="preserve">(the X </w:t>
            </w:r>
            <w:r w:rsidR="00543CB7" w:rsidRPr="0052664C">
              <w:rPr>
                <w:rFonts w:ascii="Book Antiqua" w:eastAsia="SimSun" w:hAnsi="Book Antiqua" w:hint="eastAsia"/>
                <w:b/>
                <w:lang w:eastAsia="zh-CN"/>
              </w:rPr>
              <w:t>d</w:t>
            </w:r>
            <w:r w:rsidRPr="0052664C">
              <w:rPr>
                <w:rFonts w:ascii="Book Antiqua" w:hAnsi="Book Antiqua"/>
                <w:b/>
              </w:rPr>
              <w:t>)</w:t>
            </w:r>
            <w:r w:rsidRPr="0052664C">
              <w:rPr>
                <w:rFonts w:ascii="Book Antiqua" w:hAnsi="Book Antiqua"/>
                <w:b/>
                <w:vertAlign w:val="superscript"/>
              </w:rPr>
              <w:t xml:space="preserve"> </w:t>
            </w:r>
          </w:p>
        </w:tc>
        <w:tc>
          <w:tcPr>
            <w:tcW w:w="1276" w:type="dxa"/>
            <w:vMerge w:val="restart"/>
            <w:tcBorders>
              <w:top w:val="single" w:sz="4" w:space="0" w:color="000000" w:themeColor="text1"/>
              <w:bottom w:val="single" w:sz="4" w:space="0" w:color="000000" w:themeColor="text1"/>
            </w:tcBorders>
          </w:tcPr>
          <w:p w14:paraId="3076A6D6" w14:textId="77777777" w:rsidR="00514829" w:rsidRPr="0052664C" w:rsidRDefault="00514829" w:rsidP="00E11D9F">
            <w:pPr>
              <w:spacing w:line="360" w:lineRule="auto"/>
              <w:rPr>
                <w:rFonts w:ascii="Book Antiqua" w:hAnsi="Book Antiqua"/>
                <w:b/>
              </w:rPr>
            </w:pPr>
            <w:r w:rsidRPr="0052664C">
              <w:rPr>
                <w:rFonts w:ascii="Book Antiqua" w:hAnsi="Book Antiqua"/>
                <w:b/>
              </w:rPr>
              <w:t>Effects</w:t>
            </w:r>
          </w:p>
        </w:tc>
        <w:tc>
          <w:tcPr>
            <w:tcW w:w="1985" w:type="dxa"/>
            <w:vMerge w:val="restart"/>
            <w:tcBorders>
              <w:top w:val="single" w:sz="4" w:space="0" w:color="000000" w:themeColor="text1"/>
              <w:bottom w:val="single" w:sz="4" w:space="0" w:color="000000" w:themeColor="text1"/>
            </w:tcBorders>
          </w:tcPr>
          <w:p w14:paraId="52EB3FA6" w14:textId="77777777" w:rsidR="00514829" w:rsidRPr="0052664C" w:rsidRDefault="00514829" w:rsidP="00E11D9F">
            <w:pPr>
              <w:spacing w:line="360" w:lineRule="auto"/>
              <w:rPr>
                <w:rFonts w:ascii="Book Antiqua" w:hAnsi="Book Antiqua"/>
                <w:b/>
                <w:vertAlign w:val="superscript"/>
              </w:rPr>
            </w:pPr>
            <w:r w:rsidRPr="0052664C">
              <w:rPr>
                <w:rFonts w:ascii="Book Antiqua" w:hAnsi="Book Antiqua"/>
                <w:b/>
              </w:rPr>
              <w:t>Survival</w:t>
            </w:r>
          </w:p>
          <w:p w14:paraId="25F5B054" w14:textId="0F6F45F5" w:rsidR="00514829" w:rsidRPr="0052664C" w:rsidRDefault="00514829" w:rsidP="00543CB7">
            <w:pPr>
              <w:spacing w:line="360" w:lineRule="auto"/>
              <w:rPr>
                <w:rFonts w:ascii="Book Antiqua" w:eastAsia="SimSun" w:hAnsi="Book Antiqua"/>
                <w:b/>
                <w:lang w:eastAsia="zh-CN"/>
              </w:rPr>
            </w:pPr>
            <w:r w:rsidRPr="0052664C">
              <w:rPr>
                <w:rFonts w:ascii="Book Antiqua" w:hAnsi="Book Antiqua"/>
                <w:b/>
              </w:rPr>
              <w:t>(</w:t>
            </w:r>
            <w:r w:rsidR="00543CB7" w:rsidRPr="0052664C">
              <w:rPr>
                <w:rFonts w:ascii="Book Antiqua" w:eastAsia="SimSun" w:hAnsi="Book Antiqua"/>
                <w:b/>
                <w:lang w:eastAsia="zh-CN"/>
              </w:rPr>
              <w:t>d</w:t>
            </w:r>
            <w:r w:rsidR="00543CB7" w:rsidRPr="0052664C">
              <w:rPr>
                <w:rFonts w:ascii="Book Antiqua" w:eastAsia="SimSun" w:hAnsi="Book Antiqua" w:hint="eastAsia"/>
                <w:b/>
                <w:lang w:eastAsia="zh-CN"/>
              </w:rPr>
              <w:t>)</w:t>
            </w:r>
            <w:r w:rsidR="00543CB7" w:rsidRPr="0052664C">
              <w:rPr>
                <w:rFonts w:ascii="Book Antiqua" w:eastAsia="SimSun" w:hAnsi="Book Antiqua" w:hint="eastAsia"/>
                <w:b/>
                <w:vertAlign w:val="superscript"/>
                <w:lang w:eastAsia="zh-CN"/>
              </w:rPr>
              <w:t xml:space="preserve"> 2</w:t>
            </w:r>
          </w:p>
        </w:tc>
      </w:tr>
      <w:tr w:rsidR="0052664C" w:rsidRPr="0052664C" w14:paraId="03DF7CD0" w14:textId="77777777" w:rsidTr="00543CB7">
        <w:trPr>
          <w:trHeight w:val="494"/>
        </w:trPr>
        <w:tc>
          <w:tcPr>
            <w:tcW w:w="817" w:type="dxa"/>
            <w:vMerge/>
            <w:tcBorders>
              <w:top w:val="single" w:sz="4" w:space="0" w:color="000000" w:themeColor="text1"/>
              <w:bottom w:val="single" w:sz="4" w:space="0" w:color="000000" w:themeColor="text1"/>
            </w:tcBorders>
          </w:tcPr>
          <w:p w14:paraId="36B623EF" w14:textId="77777777" w:rsidR="00514829" w:rsidRPr="0052664C" w:rsidRDefault="00514829" w:rsidP="00E11D9F">
            <w:pPr>
              <w:spacing w:line="360" w:lineRule="auto"/>
              <w:rPr>
                <w:rFonts w:ascii="Book Antiqua" w:hAnsi="Book Antiqua"/>
              </w:rPr>
            </w:pPr>
          </w:p>
        </w:tc>
        <w:tc>
          <w:tcPr>
            <w:tcW w:w="3827" w:type="dxa"/>
            <w:gridSpan w:val="2"/>
            <w:tcBorders>
              <w:top w:val="single" w:sz="4" w:space="0" w:color="000000" w:themeColor="text1"/>
              <w:bottom w:val="single" w:sz="4" w:space="0" w:color="000000" w:themeColor="text1"/>
            </w:tcBorders>
          </w:tcPr>
          <w:p w14:paraId="048D693C" w14:textId="3FB1AD45" w:rsidR="00514829" w:rsidRPr="0052664C" w:rsidRDefault="00514829" w:rsidP="00543CB7">
            <w:pPr>
              <w:spacing w:line="360" w:lineRule="auto"/>
              <w:rPr>
                <w:rFonts w:ascii="Book Antiqua" w:hAnsi="Book Antiqua"/>
                <w:b/>
              </w:rPr>
            </w:pPr>
            <w:r w:rsidRPr="0052664C">
              <w:rPr>
                <w:rFonts w:ascii="Book Antiqua" w:hAnsi="Book Antiqua"/>
              </w:rPr>
              <w:t xml:space="preserve">    </w:t>
            </w:r>
            <w:r w:rsidRPr="0052664C">
              <w:rPr>
                <w:rFonts w:ascii="Book Antiqua" w:hAnsi="Book Antiqua"/>
                <w:b/>
              </w:rPr>
              <w:t xml:space="preserve">    pre (</w:t>
            </w:r>
            <w:r w:rsidR="00543CB7" w:rsidRPr="0052664C">
              <w:rPr>
                <w:rFonts w:ascii="Book Antiqua" w:eastAsia="SimSun" w:hAnsi="Book Antiqua" w:hint="eastAsia"/>
                <w:b/>
                <w:vertAlign w:val="superscript"/>
                <w:lang w:eastAsia="zh-CN"/>
              </w:rPr>
              <w:t>3</w:t>
            </w:r>
            <w:r w:rsidRPr="0052664C">
              <w:rPr>
                <w:rFonts w:ascii="Book Antiqua" w:hAnsi="Book Antiqua"/>
                <w:b/>
              </w:rPr>
              <w:t>) post</w:t>
            </w:r>
          </w:p>
        </w:tc>
        <w:tc>
          <w:tcPr>
            <w:tcW w:w="1843" w:type="dxa"/>
            <w:vMerge/>
            <w:tcBorders>
              <w:top w:val="single" w:sz="4" w:space="0" w:color="000000" w:themeColor="text1"/>
              <w:bottom w:val="single" w:sz="4" w:space="0" w:color="000000" w:themeColor="text1"/>
            </w:tcBorders>
          </w:tcPr>
          <w:p w14:paraId="400ADB5E" w14:textId="77777777" w:rsidR="00514829" w:rsidRPr="0052664C" w:rsidRDefault="00514829" w:rsidP="00E11D9F">
            <w:pPr>
              <w:spacing w:line="360" w:lineRule="auto"/>
              <w:rPr>
                <w:rFonts w:ascii="Book Antiqua" w:hAnsi="Book Antiqua"/>
              </w:rPr>
            </w:pPr>
          </w:p>
        </w:tc>
        <w:tc>
          <w:tcPr>
            <w:tcW w:w="1559" w:type="dxa"/>
            <w:vMerge/>
            <w:tcBorders>
              <w:top w:val="single" w:sz="4" w:space="0" w:color="000000" w:themeColor="text1"/>
              <w:bottom w:val="single" w:sz="4" w:space="0" w:color="000000" w:themeColor="text1"/>
            </w:tcBorders>
          </w:tcPr>
          <w:p w14:paraId="7B8E844E" w14:textId="77777777" w:rsidR="00514829" w:rsidRPr="0052664C" w:rsidRDefault="00514829" w:rsidP="00E11D9F">
            <w:pPr>
              <w:spacing w:line="360" w:lineRule="auto"/>
              <w:rPr>
                <w:rFonts w:ascii="Book Antiqua" w:hAnsi="Book Antiqua"/>
              </w:rPr>
            </w:pPr>
          </w:p>
        </w:tc>
        <w:tc>
          <w:tcPr>
            <w:tcW w:w="1276" w:type="dxa"/>
            <w:vMerge/>
            <w:tcBorders>
              <w:top w:val="single" w:sz="4" w:space="0" w:color="000000" w:themeColor="text1"/>
              <w:bottom w:val="single" w:sz="4" w:space="0" w:color="000000" w:themeColor="text1"/>
            </w:tcBorders>
          </w:tcPr>
          <w:p w14:paraId="25769867" w14:textId="77777777" w:rsidR="00514829" w:rsidRPr="0052664C" w:rsidRDefault="00514829" w:rsidP="00E11D9F">
            <w:pPr>
              <w:spacing w:line="360" w:lineRule="auto"/>
              <w:rPr>
                <w:rFonts w:ascii="Book Antiqua" w:hAnsi="Book Antiqua"/>
              </w:rPr>
            </w:pPr>
          </w:p>
        </w:tc>
        <w:tc>
          <w:tcPr>
            <w:tcW w:w="1985" w:type="dxa"/>
            <w:vMerge/>
            <w:tcBorders>
              <w:top w:val="single" w:sz="4" w:space="0" w:color="000000" w:themeColor="text1"/>
              <w:bottom w:val="single" w:sz="4" w:space="0" w:color="000000" w:themeColor="text1"/>
            </w:tcBorders>
          </w:tcPr>
          <w:p w14:paraId="51C168D4" w14:textId="77777777" w:rsidR="00514829" w:rsidRPr="0052664C" w:rsidRDefault="00514829" w:rsidP="00E11D9F">
            <w:pPr>
              <w:spacing w:line="360" w:lineRule="auto"/>
              <w:rPr>
                <w:rFonts w:ascii="Book Antiqua" w:hAnsi="Book Antiqua"/>
              </w:rPr>
            </w:pPr>
          </w:p>
        </w:tc>
      </w:tr>
      <w:tr w:rsidR="0052664C" w:rsidRPr="0052664C" w14:paraId="147F9CE8" w14:textId="77777777" w:rsidTr="00543CB7">
        <w:trPr>
          <w:trHeight w:val="519"/>
        </w:trPr>
        <w:tc>
          <w:tcPr>
            <w:tcW w:w="817" w:type="dxa"/>
            <w:vMerge w:val="restart"/>
            <w:tcBorders>
              <w:top w:val="single" w:sz="4" w:space="0" w:color="000000" w:themeColor="text1"/>
            </w:tcBorders>
          </w:tcPr>
          <w:p w14:paraId="2FC3EB57" w14:textId="77777777" w:rsidR="00514829" w:rsidRPr="0052664C" w:rsidRDefault="00514829" w:rsidP="00E11D9F">
            <w:pPr>
              <w:spacing w:line="360" w:lineRule="auto"/>
              <w:rPr>
                <w:rFonts w:ascii="Book Antiqua" w:hAnsi="Book Antiqua"/>
              </w:rPr>
            </w:pPr>
            <w:r w:rsidRPr="0052664C">
              <w:rPr>
                <w:rFonts w:ascii="Book Antiqua" w:hAnsi="Book Antiqua"/>
              </w:rPr>
              <w:t>1</w:t>
            </w:r>
          </w:p>
        </w:tc>
        <w:tc>
          <w:tcPr>
            <w:tcW w:w="1559" w:type="dxa"/>
            <w:tcBorders>
              <w:top w:val="single" w:sz="4" w:space="0" w:color="000000" w:themeColor="text1"/>
            </w:tcBorders>
          </w:tcPr>
          <w:p w14:paraId="0A282FCA" w14:textId="77777777" w:rsidR="00514829" w:rsidRPr="0052664C" w:rsidRDefault="00514829" w:rsidP="00E11D9F">
            <w:pPr>
              <w:spacing w:line="360" w:lineRule="auto"/>
              <w:rPr>
                <w:rFonts w:ascii="Book Antiqua" w:hAnsi="Book Antiqua"/>
              </w:rPr>
            </w:pPr>
            <w:r w:rsidRPr="0052664C">
              <w:rPr>
                <w:rFonts w:ascii="Book Antiqua" w:hAnsi="Book Antiqua"/>
              </w:rPr>
              <w:t>CEA</w:t>
            </w:r>
          </w:p>
        </w:tc>
        <w:tc>
          <w:tcPr>
            <w:tcW w:w="2268" w:type="dxa"/>
            <w:tcBorders>
              <w:top w:val="single" w:sz="4" w:space="0" w:color="000000" w:themeColor="text1"/>
            </w:tcBorders>
          </w:tcPr>
          <w:p w14:paraId="42BE214A" w14:textId="77777777" w:rsidR="00514829" w:rsidRPr="0052664C" w:rsidRDefault="00514829" w:rsidP="00E11D9F">
            <w:pPr>
              <w:spacing w:line="360" w:lineRule="auto"/>
              <w:ind w:left="412"/>
              <w:rPr>
                <w:rFonts w:ascii="Book Antiqua" w:hAnsi="Book Antiqua"/>
              </w:rPr>
            </w:pPr>
            <w:r w:rsidRPr="0052664C">
              <w:rPr>
                <w:rFonts w:ascii="Book Antiqua" w:hAnsi="Book Antiqua"/>
              </w:rPr>
              <w:t>288 (</w:t>
            </w:r>
            <w:r w:rsidRPr="0052664C">
              <w:rPr>
                <w:rFonts w:ascii="Book Antiqua" w:eastAsia="MS Mincho" w:hAnsi="Book Antiqua"/>
              </w:rPr>
              <w:t></w:t>
            </w:r>
            <w:r w:rsidRPr="0052664C">
              <w:rPr>
                <w:rFonts w:ascii="Book Antiqua" w:hAnsi="Book Antiqua"/>
              </w:rPr>
              <w:t>) 160</w:t>
            </w:r>
          </w:p>
        </w:tc>
        <w:tc>
          <w:tcPr>
            <w:tcW w:w="1843" w:type="dxa"/>
            <w:vMerge w:val="restart"/>
            <w:tcBorders>
              <w:top w:val="single" w:sz="4" w:space="0" w:color="000000" w:themeColor="text1"/>
            </w:tcBorders>
          </w:tcPr>
          <w:p w14:paraId="130FE39C" w14:textId="77777777" w:rsidR="00514829" w:rsidRPr="0052664C" w:rsidRDefault="00514829" w:rsidP="00E11D9F">
            <w:pPr>
              <w:spacing w:line="360" w:lineRule="auto"/>
              <w:jc w:val="center"/>
              <w:rPr>
                <w:rFonts w:ascii="Book Antiqua" w:hAnsi="Book Antiqua"/>
              </w:rPr>
            </w:pPr>
            <w:r w:rsidRPr="0052664C">
              <w:rPr>
                <w:rFonts w:ascii="Book Antiqua" w:hAnsi="Book Antiqua"/>
              </w:rPr>
              <w:t>275 (</w:t>
            </w:r>
            <w:r w:rsidRPr="0052664C">
              <w:rPr>
                <w:rFonts w:ascii="Book Antiqua" w:eastAsia="MS Mincho" w:hAnsi="Book Antiqua"/>
              </w:rPr>
              <w:t></w:t>
            </w:r>
            <w:r w:rsidRPr="0052664C">
              <w:rPr>
                <w:rFonts w:ascii="Book Antiqua" w:hAnsi="Book Antiqua"/>
              </w:rPr>
              <w:t>) 2</w:t>
            </w:r>
          </w:p>
        </w:tc>
        <w:tc>
          <w:tcPr>
            <w:tcW w:w="1559" w:type="dxa"/>
            <w:vMerge w:val="restart"/>
            <w:tcBorders>
              <w:top w:val="single" w:sz="4" w:space="0" w:color="000000" w:themeColor="text1"/>
            </w:tcBorders>
          </w:tcPr>
          <w:p w14:paraId="639B9556" w14:textId="77777777" w:rsidR="00514829" w:rsidRPr="0052664C" w:rsidRDefault="00514829" w:rsidP="00E11D9F">
            <w:pPr>
              <w:spacing w:line="360" w:lineRule="auto"/>
              <w:jc w:val="center"/>
              <w:rPr>
                <w:rFonts w:ascii="Book Antiqua" w:hAnsi="Book Antiqua"/>
              </w:rPr>
            </w:pPr>
            <w:r w:rsidRPr="0052664C">
              <w:rPr>
                <w:rFonts w:ascii="Book Antiqua" w:hAnsi="Book Antiqua"/>
              </w:rPr>
              <w:t>16</w:t>
            </w:r>
          </w:p>
        </w:tc>
        <w:tc>
          <w:tcPr>
            <w:tcW w:w="1276" w:type="dxa"/>
            <w:vMerge w:val="restart"/>
            <w:tcBorders>
              <w:top w:val="single" w:sz="4" w:space="0" w:color="000000" w:themeColor="text1"/>
            </w:tcBorders>
          </w:tcPr>
          <w:p w14:paraId="62BCF0E3" w14:textId="77777777" w:rsidR="00514829" w:rsidRPr="0052664C" w:rsidRDefault="00514829" w:rsidP="00E11D9F">
            <w:pPr>
              <w:spacing w:line="360" w:lineRule="auto"/>
              <w:rPr>
                <w:rFonts w:ascii="Book Antiqua" w:hAnsi="Book Antiqua"/>
              </w:rPr>
            </w:pPr>
            <w:r w:rsidRPr="0052664C">
              <w:rPr>
                <w:rFonts w:ascii="Book Antiqua" w:hAnsi="Book Antiqua"/>
              </w:rPr>
              <w:t>non CR</w:t>
            </w:r>
          </w:p>
          <w:p w14:paraId="05721CD8" w14:textId="77777777" w:rsidR="00514829" w:rsidRPr="0052664C" w:rsidRDefault="00514829" w:rsidP="00E11D9F">
            <w:pPr>
              <w:spacing w:line="360" w:lineRule="auto"/>
              <w:jc w:val="center"/>
              <w:rPr>
                <w:rFonts w:ascii="Book Antiqua" w:hAnsi="Book Antiqua"/>
              </w:rPr>
            </w:pPr>
            <w:r w:rsidRPr="0052664C">
              <w:rPr>
                <w:rFonts w:ascii="Book Antiqua" w:hAnsi="Book Antiqua"/>
              </w:rPr>
              <w:t>/non PD</w:t>
            </w:r>
          </w:p>
        </w:tc>
        <w:tc>
          <w:tcPr>
            <w:tcW w:w="1985" w:type="dxa"/>
            <w:vMerge w:val="restart"/>
            <w:tcBorders>
              <w:top w:val="single" w:sz="4" w:space="0" w:color="000000" w:themeColor="text1"/>
            </w:tcBorders>
          </w:tcPr>
          <w:p w14:paraId="05C93EEC" w14:textId="77777777" w:rsidR="00514829" w:rsidRPr="0052664C" w:rsidRDefault="00514829" w:rsidP="00E11D9F">
            <w:pPr>
              <w:spacing w:line="360" w:lineRule="auto"/>
              <w:jc w:val="center"/>
              <w:rPr>
                <w:rFonts w:ascii="Book Antiqua" w:hAnsi="Book Antiqua"/>
              </w:rPr>
            </w:pPr>
            <w:r w:rsidRPr="0052664C">
              <w:rPr>
                <w:rFonts w:ascii="Book Antiqua" w:hAnsi="Book Antiqua"/>
              </w:rPr>
              <w:t>160</w:t>
            </w:r>
          </w:p>
        </w:tc>
      </w:tr>
      <w:tr w:rsidR="0052664C" w:rsidRPr="0052664C" w14:paraId="19A4A8BF" w14:textId="77777777" w:rsidTr="00543CB7">
        <w:trPr>
          <w:trHeight w:val="573"/>
        </w:trPr>
        <w:tc>
          <w:tcPr>
            <w:tcW w:w="817" w:type="dxa"/>
            <w:vMerge/>
          </w:tcPr>
          <w:p w14:paraId="7EB33A75" w14:textId="77777777" w:rsidR="00514829" w:rsidRPr="0052664C" w:rsidRDefault="00514829" w:rsidP="00E11D9F">
            <w:pPr>
              <w:spacing w:line="360" w:lineRule="auto"/>
              <w:rPr>
                <w:rFonts w:ascii="Book Antiqua" w:hAnsi="Book Antiqua"/>
              </w:rPr>
            </w:pPr>
          </w:p>
        </w:tc>
        <w:tc>
          <w:tcPr>
            <w:tcW w:w="1559" w:type="dxa"/>
          </w:tcPr>
          <w:p w14:paraId="3CD693F7" w14:textId="77777777" w:rsidR="00514829" w:rsidRPr="0052664C" w:rsidRDefault="00514829" w:rsidP="00E11D9F">
            <w:pPr>
              <w:spacing w:line="360" w:lineRule="auto"/>
              <w:rPr>
                <w:rFonts w:ascii="Book Antiqua" w:hAnsi="Book Antiqua"/>
              </w:rPr>
            </w:pPr>
            <w:r w:rsidRPr="0052664C">
              <w:rPr>
                <w:rFonts w:ascii="Book Antiqua" w:hAnsi="Book Antiqua"/>
              </w:rPr>
              <w:t>CA19-9</w:t>
            </w:r>
          </w:p>
        </w:tc>
        <w:tc>
          <w:tcPr>
            <w:tcW w:w="2268" w:type="dxa"/>
          </w:tcPr>
          <w:p w14:paraId="0EF72F25" w14:textId="77777777" w:rsidR="00514829" w:rsidRPr="0052664C" w:rsidRDefault="00514829" w:rsidP="00E11D9F">
            <w:pPr>
              <w:spacing w:line="360" w:lineRule="auto"/>
              <w:ind w:left="292"/>
              <w:rPr>
                <w:rFonts w:ascii="Book Antiqua" w:hAnsi="Book Antiqua"/>
              </w:rPr>
            </w:pPr>
            <w:r w:rsidRPr="0052664C">
              <w:rPr>
                <w:rFonts w:ascii="Book Antiqua" w:hAnsi="Book Antiqua"/>
              </w:rPr>
              <w:t xml:space="preserve"> 158 (</w:t>
            </w:r>
            <w:r w:rsidRPr="0052664C">
              <w:rPr>
                <w:rFonts w:ascii="Book Antiqua" w:eastAsia="MS Mincho" w:hAnsi="Book Antiqua"/>
              </w:rPr>
              <w:t></w:t>
            </w:r>
            <w:r w:rsidRPr="0052664C">
              <w:rPr>
                <w:rFonts w:ascii="Book Antiqua" w:hAnsi="Book Antiqua"/>
              </w:rPr>
              <w:t xml:space="preserve">) 690 </w:t>
            </w:r>
          </w:p>
        </w:tc>
        <w:tc>
          <w:tcPr>
            <w:tcW w:w="1843" w:type="dxa"/>
            <w:vMerge/>
          </w:tcPr>
          <w:p w14:paraId="3BD84BB3" w14:textId="77777777" w:rsidR="00514829" w:rsidRPr="0052664C" w:rsidRDefault="00514829" w:rsidP="00E11D9F">
            <w:pPr>
              <w:spacing w:line="360" w:lineRule="auto"/>
              <w:jc w:val="center"/>
              <w:rPr>
                <w:rFonts w:ascii="Book Antiqua" w:hAnsi="Book Antiqua"/>
              </w:rPr>
            </w:pPr>
          </w:p>
        </w:tc>
        <w:tc>
          <w:tcPr>
            <w:tcW w:w="1559" w:type="dxa"/>
            <w:vMerge/>
          </w:tcPr>
          <w:p w14:paraId="73DCE0C6" w14:textId="77777777" w:rsidR="00514829" w:rsidRPr="0052664C" w:rsidRDefault="00514829" w:rsidP="00E11D9F">
            <w:pPr>
              <w:spacing w:line="360" w:lineRule="auto"/>
              <w:jc w:val="center"/>
              <w:rPr>
                <w:rFonts w:ascii="Book Antiqua" w:hAnsi="Book Antiqua"/>
              </w:rPr>
            </w:pPr>
          </w:p>
        </w:tc>
        <w:tc>
          <w:tcPr>
            <w:tcW w:w="1276" w:type="dxa"/>
            <w:vMerge/>
          </w:tcPr>
          <w:p w14:paraId="7BA80875" w14:textId="77777777" w:rsidR="00514829" w:rsidRPr="0052664C" w:rsidRDefault="00514829" w:rsidP="00E11D9F">
            <w:pPr>
              <w:spacing w:line="360" w:lineRule="auto"/>
              <w:jc w:val="center"/>
              <w:rPr>
                <w:rFonts w:ascii="Book Antiqua" w:hAnsi="Book Antiqua"/>
              </w:rPr>
            </w:pPr>
          </w:p>
        </w:tc>
        <w:tc>
          <w:tcPr>
            <w:tcW w:w="1985" w:type="dxa"/>
            <w:vMerge/>
          </w:tcPr>
          <w:p w14:paraId="78596C82" w14:textId="77777777" w:rsidR="00514829" w:rsidRPr="0052664C" w:rsidRDefault="00514829" w:rsidP="00E11D9F">
            <w:pPr>
              <w:spacing w:line="360" w:lineRule="auto"/>
              <w:jc w:val="center"/>
              <w:rPr>
                <w:rFonts w:ascii="Book Antiqua" w:hAnsi="Book Antiqua"/>
              </w:rPr>
            </w:pPr>
          </w:p>
        </w:tc>
      </w:tr>
      <w:tr w:rsidR="0052664C" w:rsidRPr="0052664C" w14:paraId="4494AD28" w14:textId="77777777" w:rsidTr="00543CB7">
        <w:trPr>
          <w:trHeight w:val="627"/>
        </w:trPr>
        <w:tc>
          <w:tcPr>
            <w:tcW w:w="817" w:type="dxa"/>
            <w:vMerge w:val="restart"/>
          </w:tcPr>
          <w:p w14:paraId="5CEA620E" w14:textId="77777777" w:rsidR="00514829" w:rsidRPr="0052664C" w:rsidRDefault="00514829" w:rsidP="00E11D9F">
            <w:pPr>
              <w:spacing w:line="360" w:lineRule="auto"/>
              <w:rPr>
                <w:rFonts w:ascii="Book Antiqua" w:hAnsi="Book Antiqua"/>
              </w:rPr>
            </w:pPr>
            <w:r w:rsidRPr="0052664C">
              <w:rPr>
                <w:rFonts w:ascii="Book Antiqua" w:hAnsi="Book Antiqua"/>
              </w:rPr>
              <w:t>2</w:t>
            </w:r>
          </w:p>
        </w:tc>
        <w:tc>
          <w:tcPr>
            <w:tcW w:w="1559" w:type="dxa"/>
          </w:tcPr>
          <w:p w14:paraId="26C0958B" w14:textId="77777777" w:rsidR="00514829" w:rsidRPr="0052664C" w:rsidRDefault="00514829" w:rsidP="00E11D9F">
            <w:pPr>
              <w:spacing w:line="360" w:lineRule="auto"/>
              <w:rPr>
                <w:rFonts w:ascii="Book Antiqua" w:hAnsi="Book Antiqua"/>
              </w:rPr>
            </w:pPr>
            <w:r w:rsidRPr="0052664C">
              <w:rPr>
                <w:rFonts w:ascii="Book Antiqua" w:hAnsi="Book Antiqua"/>
              </w:rPr>
              <w:t>CEA</w:t>
            </w:r>
          </w:p>
        </w:tc>
        <w:tc>
          <w:tcPr>
            <w:tcW w:w="2268" w:type="dxa"/>
          </w:tcPr>
          <w:p w14:paraId="4535C2E6" w14:textId="77777777" w:rsidR="00514829" w:rsidRPr="0052664C" w:rsidRDefault="00514829" w:rsidP="00E11D9F">
            <w:pPr>
              <w:spacing w:line="360" w:lineRule="auto"/>
              <w:ind w:left="292"/>
              <w:rPr>
                <w:rFonts w:ascii="Book Antiqua" w:hAnsi="Book Antiqua"/>
              </w:rPr>
            </w:pPr>
            <w:r w:rsidRPr="0052664C">
              <w:rPr>
                <w:rFonts w:ascii="Book Antiqua" w:hAnsi="Book Antiqua"/>
              </w:rPr>
              <w:t xml:space="preserve"> 120 (</w:t>
            </w:r>
            <w:r w:rsidRPr="0052664C">
              <w:rPr>
                <w:rFonts w:ascii="Book Antiqua" w:eastAsia="MS Mincho" w:hAnsi="Book Antiqua"/>
              </w:rPr>
              <w:t></w:t>
            </w:r>
            <w:r w:rsidRPr="0052664C">
              <w:rPr>
                <w:rFonts w:ascii="Book Antiqua" w:hAnsi="Book Antiqua"/>
              </w:rPr>
              <w:t xml:space="preserve">) 83 </w:t>
            </w:r>
          </w:p>
        </w:tc>
        <w:tc>
          <w:tcPr>
            <w:tcW w:w="1843" w:type="dxa"/>
            <w:vMerge w:val="restart"/>
          </w:tcPr>
          <w:p w14:paraId="3A82BD62" w14:textId="77777777" w:rsidR="00514829" w:rsidRPr="0052664C" w:rsidRDefault="00514829" w:rsidP="00E11D9F">
            <w:pPr>
              <w:spacing w:line="360" w:lineRule="auto"/>
              <w:jc w:val="center"/>
              <w:rPr>
                <w:rFonts w:ascii="Book Antiqua" w:hAnsi="Book Antiqua"/>
              </w:rPr>
            </w:pPr>
            <w:r w:rsidRPr="0052664C">
              <w:rPr>
                <w:rFonts w:ascii="Book Antiqua" w:hAnsi="Book Antiqua"/>
              </w:rPr>
              <w:t>235 (</w:t>
            </w:r>
            <w:r w:rsidRPr="0052664C">
              <w:rPr>
                <w:rFonts w:ascii="Book Antiqua" w:eastAsia="MS Mincho" w:hAnsi="Book Antiqua"/>
              </w:rPr>
              <w:t></w:t>
            </w:r>
            <w:r w:rsidRPr="0052664C">
              <w:rPr>
                <w:rFonts w:ascii="Book Antiqua" w:hAnsi="Book Antiqua"/>
              </w:rPr>
              <w:t>) 7</w:t>
            </w:r>
          </w:p>
        </w:tc>
        <w:tc>
          <w:tcPr>
            <w:tcW w:w="1559" w:type="dxa"/>
            <w:vMerge w:val="restart"/>
          </w:tcPr>
          <w:p w14:paraId="44A82B8C" w14:textId="77777777" w:rsidR="00514829" w:rsidRPr="0052664C" w:rsidRDefault="00514829" w:rsidP="00E11D9F">
            <w:pPr>
              <w:spacing w:line="360" w:lineRule="auto"/>
              <w:jc w:val="center"/>
              <w:rPr>
                <w:rFonts w:ascii="Book Antiqua" w:hAnsi="Book Antiqua"/>
              </w:rPr>
            </w:pPr>
            <w:r w:rsidRPr="0052664C">
              <w:rPr>
                <w:rFonts w:ascii="Book Antiqua" w:hAnsi="Book Antiqua"/>
              </w:rPr>
              <w:t>11</w:t>
            </w:r>
          </w:p>
        </w:tc>
        <w:tc>
          <w:tcPr>
            <w:tcW w:w="1276" w:type="dxa"/>
            <w:vMerge w:val="restart"/>
          </w:tcPr>
          <w:p w14:paraId="029B76A0" w14:textId="77777777" w:rsidR="00514829" w:rsidRPr="0052664C" w:rsidRDefault="00514829" w:rsidP="00E11D9F">
            <w:pPr>
              <w:spacing w:line="360" w:lineRule="auto"/>
              <w:jc w:val="center"/>
              <w:rPr>
                <w:rFonts w:ascii="Book Antiqua" w:hAnsi="Book Antiqua"/>
              </w:rPr>
            </w:pPr>
            <w:r w:rsidRPr="0052664C">
              <w:rPr>
                <w:rFonts w:ascii="Book Antiqua" w:hAnsi="Book Antiqua"/>
              </w:rPr>
              <w:t>(+) PR</w:t>
            </w:r>
          </w:p>
        </w:tc>
        <w:tc>
          <w:tcPr>
            <w:tcW w:w="1985" w:type="dxa"/>
            <w:vMerge w:val="restart"/>
          </w:tcPr>
          <w:p w14:paraId="212286A8" w14:textId="77777777" w:rsidR="00514829" w:rsidRPr="0052664C" w:rsidRDefault="00514829" w:rsidP="00E11D9F">
            <w:pPr>
              <w:spacing w:line="360" w:lineRule="auto"/>
              <w:jc w:val="center"/>
              <w:rPr>
                <w:rFonts w:ascii="Book Antiqua" w:hAnsi="Book Antiqua"/>
              </w:rPr>
            </w:pPr>
            <w:r w:rsidRPr="0052664C">
              <w:rPr>
                <w:rFonts w:ascii="Book Antiqua" w:hAnsi="Book Antiqua"/>
              </w:rPr>
              <w:t>246</w:t>
            </w:r>
          </w:p>
        </w:tc>
      </w:tr>
      <w:tr w:rsidR="0052664C" w:rsidRPr="0052664C" w14:paraId="212276C2" w14:textId="77777777" w:rsidTr="00543CB7">
        <w:trPr>
          <w:trHeight w:val="539"/>
        </w:trPr>
        <w:tc>
          <w:tcPr>
            <w:tcW w:w="817" w:type="dxa"/>
            <w:vMerge/>
          </w:tcPr>
          <w:p w14:paraId="16C3A503" w14:textId="77777777" w:rsidR="00514829" w:rsidRPr="0052664C" w:rsidRDefault="00514829" w:rsidP="00E11D9F">
            <w:pPr>
              <w:spacing w:line="360" w:lineRule="auto"/>
              <w:rPr>
                <w:rFonts w:ascii="Book Antiqua" w:hAnsi="Book Antiqua"/>
              </w:rPr>
            </w:pPr>
          </w:p>
        </w:tc>
        <w:tc>
          <w:tcPr>
            <w:tcW w:w="1559" w:type="dxa"/>
          </w:tcPr>
          <w:p w14:paraId="6A9E1085" w14:textId="77777777" w:rsidR="00514829" w:rsidRPr="0052664C" w:rsidRDefault="00514829" w:rsidP="00E11D9F">
            <w:pPr>
              <w:spacing w:line="360" w:lineRule="auto"/>
              <w:rPr>
                <w:rFonts w:ascii="Book Antiqua" w:hAnsi="Book Antiqua"/>
              </w:rPr>
            </w:pPr>
            <w:r w:rsidRPr="0052664C">
              <w:rPr>
                <w:rFonts w:ascii="Book Antiqua" w:hAnsi="Book Antiqua"/>
              </w:rPr>
              <w:t>CA19-9</w:t>
            </w:r>
          </w:p>
        </w:tc>
        <w:tc>
          <w:tcPr>
            <w:tcW w:w="2268" w:type="dxa"/>
          </w:tcPr>
          <w:p w14:paraId="4CECB381" w14:textId="77777777" w:rsidR="00514829" w:rsidRPr="0052664C" w:rsidRDefault="00514829" w:rsidP="00E11D9F">
            <w:pPr>
              <w:spacing w:line="360" w:lineRule="auto"/>
              <w:ind w:left="52"/>
              <w:rPr>
                <w:rFonts w:ascii="Book Antiqua" w:hAnsi="Book Antiqua"/>
              </w:rPr>
            </w:pPr>
            <w:r w:rsidRPr="0052664C">
              <w:rPr>
                <w:rFonts w:ascii="Book Antiqua" w:hAnsi="Book Antiqua"/>
              </w:rPr>
              <w:t xml:space="preserve">  5201 (</w:t>
            </w:r>
            <w:r w:rsidRPr="0052664C">
              <w:rPr>
                <w:rFonts w:ascii="Book Antiqua" w:eastAsia="MS Mincho" w:hAnsi="Book Antiqua"/>
              </w:rPr>
              <w:t></w:t>
            </w:r>
            <w:r w:rsidRPr="0052664C">
              <w:rPr>
                <w:rFonts w:ascii="Book Antiqua" w:hAnsi="Book Antiqua"/>
              </w:rPr>
              <w:t xml:space="preserve">) 6543 </w:t>
            </w:r>
          </w:p>
        </w:tc>
        <w:tc>
          <w:tcPr>
            <w:tcW w:w="1843" w:type="dxa"/>
            <w:vMerge/>
          </w:tcPr>
          <w:p w14:paraId="2FAF3900" w14:textId="77777777" w:rsidR="00514829" w:rsidRPr="0052664C" w:rsidRDefault="00514829" w:rsidP="00E11D9F">
            <w:pPr>
              <w:spacing w:line="360" w:lineRule="auto"/>
              <w:jc w:val="center"/>
              <w:rPr>
                <w:rFonts w:ascii="Book Antiqua" w:hAnsi="Book Antiqua"/>
              </w:rPr>
            </w:pPr>
          </w:p>
        </w:tc>
        <w:tc>
          <w:tcPr>
            <w:tcW w:w="1559" w:type="dxa"/>
            <w:vMerge/>
          </w:tcPr>
          <w:p w14:paraId="702A865F" w14:textId="77777777" w:rsidR="00514829" w:rsidRPr="0052664C" w:rsidRDefault="00514829" w:rsidP="00E11D9F">
            <w:pPr>
              <w:spacing w:line="360" w:lineRule="auto"/>
              <w:jc w:val="center"/>
              <w:rPr>
                <w:rFonts w:ascii="Book Antiqua" w:hAnsi="Book Antiqua"/>
              </w:rPr>
            </w:pPr>
          </w:p>
        </w:tc>
        <w:tc>
          <w:tcPr>
            <w:tcW w:w="1276" w:type="dxa"/>
            <w:vMerge/>
          </w:tcPr>
          <w:p w14:paraId="2A71CE65" w14:textId="77777777" w:rsidR="00514829" w:rsidRPr="0052664C" w:rsidRDefault="00514829" w:rsidP="00E11D9F">
            <w:pPr>
              <w:spacing w:line="360" w:lineRule="auto"/>
              <w:jc w:val="center"/>
              <w:rPr>
                <w:rFonts w:ascii="Book Antiqua" w:hAnsi="Book Antiqua"/>
              </w:rPr>
            </w:pPr>
          </w:p>
        </w:tc>
        <w:tc>
          <w:tcPr>
            <w:tcW w:w="1985" w:type="dxa"/>
            <w:vMerge/>
          </w:tcPr>
          <w:p w14:paraId="6B07B11C" w14:textId="77777777" w:rsidR="00514829" w:rsidRPr="0052664C" w:rsidRDefault="00514829" w:rsidP="00E11D9F">
            <w:pPr>
              <w:spacing w:line="360" w:lineRule="auto"/>
              <w:jc w:val="center"/>
              <w:rPr>
                <w:rFonts w:ascii="Book Antiqua" w:hAnsi="Book Antiqua"/>
              </w:rPr>
            </w:pPr>
          </w:p>
        </w:tc>
      </w:tr>
      <w:tr w:rsidR="0052664C" w:rsidRPr="0052664C" w14:paraId="56DAA50C" w14:textId="77777777" w:rsidTr="00543CB7">
        <w:trPr>
          <w:trHeight w:val="579"/>
        </w:trPr>
        <w:tc>
          <w:tcPr>
            <w:tcW w:w="817" w:type="dxa"/>
            <w:vMerge w:val="restart"/>
          </w:tcPr>
          <w:p w14:paraId="4232C66B" w14:textId="77777777" w:rsidR="00514829" w:rsidRPr="0052664C" w:rsidRDefault="00514829" w:rsidP="00E11D9F">
            <w:pPr>
              <w:spacing w:line="360" w:lineRule="auto"/>
              <w:rPr>
                <w:rFonts w:ascii="Book Antiqua" w:hAnsi="Book Antiqua"/>
              </w:rPr>
            </w:pPr>
            <w:r w:rsidRPr="0052664C">
              <w:rPr>
                <w:rFonts w:ascii="Book Antiqua" w:hAnsi="Book Antiqua"/>
              </w:rPr>
              <w:t>3</w:t>
            </w:r>
          </w:p>
        </w:tc>
        <w:tc>
          <w:tcPr>
            <w:tcW w:w="1559" w:type="dxa"/>
          </w:tcPr>
          <w:p w14:paraId="30F2DDD3" w14:textId="77777777" w:rsidR="00514829" w:rsidRPr="0052664C" w:rsidRDefault="00514829" w:rsidP="00E11D9F">
            <w:pPr>
              <w:spacing w:line="360" w:lineRule="auto"/>
              <w:rPr>
                <w:rFonts w:ascii="Book Antiqua" w:hAnsi="Book Antiqua"/>
              </w:rPr>
            </w:pPr>
            <w:r w:rsidRPr="0052664C">
              <w:rPr>
                <w:rFonts w:ascii="Book Antiqua" w:hAnsi="Book Antiqua"/>
              </w:rPr>
              <w:t>CEA</w:t>
            </w:r>
          </w:p>
        </w:tc>
        <w:tc>
          <w:tcPr>
            <w:tcW w:w="2268" w:type="dxa"/>
          </w:tcPr>
          <w:p w14:paraId="7034B128" w14:textId="77777777" w:rsidR="00514829" w:rsidRPr="0052664C" w:rsidRDefault="00514829" w:rsidP="00E11D9F">
            <w:pPr>
              <w:spacing w:line="360" w:lineRule="auto"/>
              <w:ind w:left="292"/>
              <w:rPr>
                <w:rFonts w:ascii="Book Antiqua" w:hAnsi="Book Antiqua"/>
              </w:rPr>
            </w:pPr>
            <w:r w:rsidRPr="0052664C">
              <w:rPr>
                <w:rFonts w:ascii="Book Antiqua" w:hAnsi="Book Antiqua"/>
              </w:rPr>
              <w:t xml:space="preserve"> 1.4 (</w:t>
            </w:r>
            <w:r w:rsidRPr="0052664C">
              <w:rPr>
                <w:rFonts w:ascii="Book Antiqua" w:eastAsia="MS Mincho" w:hAnsi="Book Antiqua"/>
              </w:rPr>
              <w:t></w:t>
            </w:r>
            <w:r w:rsidRPr="0052664C">
              <w:rPr>
                <w:rFonts w:ascii="Book Antiqua" w:hAnsi="Book Antiqua"/>
              </w:rPr>
              <w:t xml:space="preserve">) 1.3 </w:t>
            </w:r>
          </w:p>
        </w:tc>
        <w:tc>
          <w:tcPr>
            <w:tcW w:w="1843" w:type="dxa"/>
            <w:vMerge w:val="restart"/>
          </w:tcPr>
          <w:p w14:paraId="307D2CA4" w14:textId="77777777" w:rsidR="00514829" w:rsidRPr="0052664C" w:rsidRDefault="00514829" w:rsidP="00E11D9F">
            <w:pPr>
              <w:spacing w:line="360" w:lineRule="auto"/>
              <w:jc w:val="center"/>
              <w:rPr>
                <w:rFonts w:ascii="Book Antiqua" w:hAnsi="Book Antiqua"/>
              </w:rPr>
            </w:pPr>
            <w:r w:rsidRPr="0052664C">
              <w:rPr>
                <w:rFonts w:ascii="Book Antiqua" w:hAnsi="Book Antiqua"/>
              </w:rPr>
              <w:t>6440 (</w:t>
            </w:r>
            <w:r w:rsidRPr="0052664C">
              <w:rPr>
                <w:rFonts w:ascii="Book Antiqua" w:eastAsia="MS Mincho" w:hAnsi="Book Antiqua"/>
              </w:rPr>
              <w:t></w:t>
            </w:r>
            <w:r w:rsidRPr="0052664C">
              <w:rPr>
                <w:rFonts w:ascii="Book Antiqua" w:hAnsi="Book Antiqua"/>
              </w:rPr>
              <w:t>) 7885</w:t>
            </w:r>
          </w:p>
        </w:tc>
        <w:tc>
          <w:tcPr>
            <w:tcW w:w="1559" w:type="dxa"/>
            <w:vMerge w:val="restart"/>
          </w:tcPr>
          <w:p w14:paraId="4D2652A3" w14:textId="77777777" w:rsidR="00514829" w:rsidRPr="0052664C" w:rsidRDefault="00514829" w:rsidP="00E11D9F">
            <w:pPr>
              <w:spacing w:line="360" w:lineRule="auto"/>
              <w:jc w:val="center"/>
              <w:rPr>
                <w:rFonts w:ascii="Book Antiqua" w:hAnsi="Book Antiqua"/>
              </w:rPr>
            </w:pPr>
            <w:r w:rsidRPr="0052664C">
              <w:rPr>
                <w:rFonts w:ascii="Book Antiqua" w:hAnsi="Book Antiqua"/>
              </w:rPr>
              <w:t>14</w:t>
            </w:r>
          </w:p>
        </w:tc>
        <w:tc>
          <w:tcPr>
            <w:tcW w:w="1276" w:type="dxa"/>
            <w:vMerge w:val="restart"/>
          </w:tcPr>
          <w:p w14:paraId="523D26DB" w14:textId="77777777" w:rsidR="00514829" w:rsidRPr="0052664C" w:rsidRDefault="00514829" w:rsidP="00E11D9F">
            <w:pPr>
              <w:spacing w:line="360" w:lineRule="auto"/>
              <w:jc w:val="center"/>
              <w:rPr>
                <w:rFonts w:ascii="Book Antiqua" w:hAnsi="Book Antiqua"/>
              </w:rPr>
            </w:pPr>
            <w:r w:rsidRPr="0052664C">
              <w:rPr>
                <w:rFonts w:ascii="Book Antiqua" w:hAnsi="Book Antiqua"/>
              </w:rPr>
              <w:t>(-) PD</w:t>
            </w:r>
          </w:p>
        </w:tc>
        <w:tc>
          <w:tcPr>
            <w:tcW w:w="1985" w:type="dxa"/>
            <w:vMerge w:val="restart"/>
          </w:tcPr>
          <w:p w14:paraId="0F089221" w14:textId="77777777" w:rsidR="00514829" w:rsidRPr="0052664C" w:rsidRDefault="00514829" w:rsidP="00E11D9F">
            <w:pPr>
              <w:spacing w:line="360" w:lineRule="auto"/>
              <w:jc w:val="center"/>
              <w:rPr>
                <w:rFonts w:ascii="Book Antiqua" w:hAnsi="Book Antiqua"/>
              </w:rPr>
            </w:pPr>
            <w:r w:rsidRPr="0052664C">
              <w:rPr>
                <w:rFonts w:ascii="Book Antiqua" w:hAnsi="Book Antiqua"/>
              </w:rPr>
              <w:t>30</w:t>
            </w:r>
          </w:p>
        </w:tc>
      </w:tr>
      <w:tr w:rsidR="0052664C" w:rsidRPr="0052664C" w14:paraId="408DC071" w14:textId="77777777" w:rsidTr="00543CB7">
        <w:trPr>
          <w:trHeight w:val="491"/>
        </w:trPr>
        <w:tc>
          <w:tcPr>
            <w:tcW w:w="817" w:type="dxa"/>
            <w:vMerge/>
          </w:tcPr>
          <w:p w14:paraId="1CFAABE2" w14:textId="77777777" w:rsidR="00514829" w:rsidRPr="0052664C" w:rsidRDefault="00514829" w:rsidP="00E11D9F">
            <w:pPr>
              <w:spacing w:line="360" w:lineRule="auto"/>
              <w:rPr>
                <w:rFonts w:ascii="Book Antiqua" w:hAnsi="Book Antiqua"/>
              </w:rPr>
            </w:pPr>
          </w:p>
        </w:tc>
        <w:tc>
          <w:tcPr>
            <w:tcW w:w="1559" w:type="dxa"/>
          </w:tcPr>
          <w:p w14:paraId="57A0AD81" w14:textId="77777777" w:rsidR="00514829" w:rsidRPr="0052664C" w:rsidRDefault="00514829" w:rsidP="00E11D9F">
            <w:pPr>
              <w:spacing w:line="360" w:lineRule="auto"/>
              <w:rPr>
                <w:rFonts w:ascii="Book Antiqua" w:hAnsi="Book Antiqua"/>
              </w:rPr>
            </w:pPr>
            <w:r w:rsidRPr="0052664C">
              <w:rPr>
                <w:rFonts w:ascii="Book Antiqua" w:hAnsi="Book Antiqua"/>
              </w:rPr>
              <w:t>CA19-9</w:t>
            </w:r>
          </w:p>
        </w:tc>
        <w:tc>
          <w:tcPr>
            <w:tcW w:w="2268" w:type="dxa"/>
          </w:tcPr>
          <w:p w14:paraId="4A2D14BD" w14:textId="77777777" w:rsidR="00514829" w:rsidRPr="0052664C" w:rsidRDefault="00514829" w:rsidP="00E11D9F">
            <w:pPr>
              <w:spacing w:line="360" w:lineRule="auto"/>
              <w:ind w:left="172"/>
              <w:rPr>
                <w:rFonts w:ascii="Book Antiqua" w:hAnsi="Book Antiqua"/>
              </w:rPr>
            </w:pPr>
            <w:r w:rsidRPr="0052664C">
              <w:rPr>
                <w:rFonts w:ascii="Book Antiqua" w:hAnsi="Book Antiqua"/>
              </w:rPr>
              <w:t xml:space="preserve">  7.6 (</w:t>
            </w:r>
            <w:r w:rsidRPr="0052664C">
              <w:rPr>
                <w:rFonts w:ascii="Book Antiqua" w:eastAsia="MS Mincho" w:hAnsi="Book Antiqua"/>
              </w:rPr>
              <w:t></w:t>
            </w:r>
            <w:r w:rsidRPr="0052664C">
              <w:rPr>
                <w:rFonts w:ascii="Book Antiqua" w:hAnsi="Book Antiqua"/>
              </w:rPr>
              <w:t xml:space="preserve">) 8.3 </w:t>
            </w:r>
          </w:p>
        </w:tc>
        <w:tc>
          <w:tcPr>
            <w:tcW w:w="1843" w:type="dxa"/>
            <w:vMerge/>
          </w:tcPr>
          <w:p w14:paraId="3E817F8F" w14:textId="77777777" w:rsidR="00514829" w:rsidRPr="0052664C" w:rsidRDefault="00514829" w:rsidP="00E11D9F">
            <w:pPr>
              <w:spacing w:line="360" w:lineRule="auto"/>
              <w:jc w:val="center"/>
              <w:rPr>
                <w:rFonts w:ascii="Book Antiqua" w:hAnsi="Book Antiqua"/>
              </w:rPr>
            </w:pPr>
          </w:p>
        </w:tc>
        <w:tc>
          <w:tcPr>
            <w:tcW w:w="1559" w:type="dxa"/>
            <w:vMerge/>
          </w:tcPr>
          <w:p w14:paraId="0907762E" w14:textId="77777777" w:rsidR="00514829" w:rsidRPr="0052664C" w:rsidRDefault="00514829" w:rsidP="00E11D9F">
            <w:pPr>
              <w:spacing w:line="360" w:lineRule="auto"/>
              <w:jc w:val="center"/>
              <w:rPr>
                <w:rFonts w:ascii="Book Antiqua" w:hAnsi="Book Antiqua"/>
              </w:rPr>
            </w:pPr>
          </w:p>
        </w:tc>
        <w:tc>
          <w:tcPr>
            <w:tcW w:w="1276" w:type="dxa"/>
            <w:vMerge/>
          </w:tcPr>
          <w:p w14:paraId="7E4D8565" w14:textId="77777777" w:rsidR="00514829" w:rsidRPr="0052664C" w:rsidRDefault="00514829" w:rsidP="00E11D9F">
            <w:pPr>
              <w:spacing w:line="360" w:lineRule="auto"/>
              <w:jc w:val="center"/>
              <w:rPr>
                <w:rFonts w:ascii="Book Antiqua" w:hAnsi="Book Antiqua"/>
              </w:rPr>
            </w:pPr>
          </w:p>
        </w:tc>
        <w:tc>
          <w:tcPr>
            <w:tcW w:w="1985" w:type="dxa"/>
            <w:vMerge/>
          </w:tcPr>
          <w:p w14:paraId="7F0366DA" w14:textId="77777777" w:rsidR="00514829" w:rsidRPr="0052664C" w:rsidRDefault="00514829" w:rsidP="00E11D9F">
            <w:pPr>
              <w:spacing w:line="360" w:lineRule="auto"/>
              <w:jc w:val="center"/>
              <w:rPr>
                <w:rFonts w:ascii="Book Antiqua" w:hAnsi="Book Antiqua"/>
              </w:rPr>
            </w:pPr>
          </w:p>
        </w:tc>
      </w:tr>
      <w:tr w:rsidR="0052664C" w:rsidRPr="0052664C" w14:paraId="1EC0A8F3" w14:textId="77777777" w:rsidTr="00543CB7">
        <w:trPr>
          <w:trHeight w:val="545"/>
        </w:trPr>
        <w:tc>
          <w:tcPr>
            <w:tcW w:w="817" w:type="dxa"/>
            <w:vMerge w:val="restart"/>
          </w:tcPr>
          <w:p w14:paraId="191C83A6" w14:textId="77777777" w:rsidR="00514829" w:rsidRPr="0052664C" w:rsidRDefault="00514829" w:rsidP="00E11D9F">
            <w:pPr>
              <w:spacing w:line="360" w:lineRule="auto"/>
              <w:rPr>
                <w:rFonts w:ascii="Book Antiqua" w:hAnsi="Book Antiqua"/>
              </w:rPr>
            </w:pPr>
            <w:r w:rsidRPr="0052664C">
              <w:rPr>
                <w:rFonts w:ascii="Book Antiqua" w:hAnsi="Book Antiqua"/>
              </w:rPr>
              <w:t>4</w:t>
            </w:r>
          </w:p>
        </w:tc>
        <w:tc>
          <w:tcPr>
            <w:tcW w:w="1559" w:type="dxa"/>
          </w:tcPr>
          <w:p w14:paraId="75F32D8D" w14:textId="77777777" w:rsidR="00514829" w:rsidRPr="0052664C" w:rsidRDefault="00514829" w:rsidP="00E11D9F">
            <w:pPr>
              <w:spacing w:line="360" w:lineRule="auto"/>
              <w:rPr>
                <w:rFonts w:ascii="Book Antiqua" w:hAnsi="Book Antiqua"/>
              </w:rPr>
            </w:pPr>
            <w:r w:rsidRPr="0052664C">
              <w:rPr>
                <w:rFonts w:ascii="Book Antiqua" w:hAnsi="Book Antiqua"/>
              </w:rPr>
              <w:t>CEA</w:t>
            </w:r>
          </w:p>
        </w:tc>
        <w:tc>
          <w:tcPr>
            <w:tcW w:w="2268" w:type="dxa"/>
          </w:tcPr>
          <w:p w14:paraId="0D27678C" w14:textId="77777777" w:rsidR="00514829" w:rsidRPr="0052664C" w:rsidRDefault="00514829" w:rsidP="00E11D9F">
            <w:pPr>
              <w:spacing w:line="360" w:lineRule="auto"/>
              <w:ind w:left="292"/>
              <w:rPr>
                <w:rFonts w:ascii="Book Antiqua" w:hAnsi="Book Antiqua"/>
              </w:rPr>
            </w:pPr>
            <w:r w:rsidRPr="0052664C">
              <w:rPr>
                <w:rFonts w:ascii="Book Antiqua" w:hAnsi="Book Antiqua"/>
              </w:rPr>
              <w:t xml:space="preserve"> 15 (</w:t>
            </w:r>
            <w:r w:rsidRPr="0052664C">
              <w:rPr>
                <w:rFonts w:ascii="Book Antiqua" w:eastAsia="MS Mincho" w:hAnsi="Book Antiqua"/>
              </w:rPr>
              <w:t></w:t>
            </w:r>
            <w:r w:rsidRPr="0052664C">
              <w:rPr>
                <w:rFonts w:ascii="Book Antiqua" w:hAnsi="Book Antiqua"/>
              </w:rPr>
              <w:t xml:space="preserve">) 1.1 </w:t>
            </w:r>
          </w:p>
        </w:tc>
        <w:tc>
          <w:tcPr>
            <w:tcW w:w="1843" w:type="dxa"/>
            <w:vMerge w:val="restart"/>
          </w:tcPr>
          <w:p w14:paraId="3BBC19EF" w14:textId="77777777" w:rsidR="00514829" w:rsidRPr="0052664C" w:rsidRDefault="00514829" w:rsidP="00E11D9F">
            <w:pPr>
              <w:spacing w:line="360" w:lineRule="auto"/>
              <w:rPr>
                <w:rFonts w:ascii="Book Antiqua" w:hAnsi="Book Antiqua"/>
              </w:rPr>
            </w:pPr>
            <w:r w:rsidRPr="0052664C">
              <w:rPr>
                <w:rFonts w:ascii="Book Antiqua" w:hAnsi="Book Antiqua"/>
              </w:rPr>
              <w:t xml:space="preserve"> 1724 (</w:t>
            </w:r>
            <w:r w:rsidRPr="0052664C">
              <w:rPr>
                <w:rFonts w:ascii="Book Antiqua" w:eastAsia="MS Mincho" w:hAnsi="Book Antiqua"/>
              </w:rPr>
              <w:t></w:t>
            </w:r>
            <w:r w:rsidRPr="0052664C">
              <w:rPr>
                <w:rFonts w:ascii="Book Antiqua" w:hAnsi="Book Antiqua"/>
              </w:rPr>
              <w:t>) 66</w:t>
            </w:r>
          </w:p>
        </w:tc>
        <w:tc>
          <w:tcPr>
            <w:tcW w:w="1559" w:type="dxa"/>
            <w:vMerge w:val="restart"/>
          </w:tcPr>
          <w:p w14:paraId="3A3BC8E1" w14:textId="77777777" w:rsidR="00514829" w:rsidRPr="0052664C" w:rsidRDefault="00514829" w:rsidP="00E11D9F">
            <w:pPr>
              <w:spacing w:line="360" w:lineRule="auto"/>
              <w:jc w:val="center"/>
              <w:rPr>
                <w:rFonts w:ascii="Book Antiqua" w:hAnsi="Book Antiqua"/>
              </w:rPr>
            </w:pPr>
            <w:r w:rsidRPr="0052664C">
              <w:rPr>
                <w:rFonts w:ascii="Book Antiqua" w:hAnsi="Book Antiqua"/>
              </w:rPr>
              <w:t>14</w:t>
            </w:r>
          </w:p>
        </w:tc>
        <w:tc>
          <w:tcPr>
            <w:tcW w:w="1276" w:type="dxa"/>
            <w:vMerge w:val="restart"/>
          </w:tcPr>
          <w:p w14:paraId="22963E86" w14:textId="77777777" w:rsidR="00514829" w:rsidRPr="0052664C" w:rsidRDefault="00514829" w:rsidP="00E11D9F">
            <w:pPr>
              <w:spacing w:line="360" w:lineRule="auto"/>
              <w:jc w:val="center"/>
              <w:rPr>
                <w:rFonts w:ascii="Book Antiqua" w:hAnsi="Book Antiqua"/>
              </w:rPr>
            </w:pPr>
            <w:r w:rsidRPr="0052664C">
              <w:rPr>
                <w:rFonts w:ascii="Book Antiqua" w:hAnsi="Book Antiqua"/>
              </w:rPr>
              <w:t>(+) PR</w:t>
            </w:r>
          </w:p>
        </w:tc>
        <w:tc>
          <w:tcPr>
            <w:tcW w:w="1985" w:type="dxa"/>
            <w:vMerge w:val="restart"/>
          </w:tcPr>
          <w:p w14:paraId="78E96BE6" w14:textId="77777777" w:rsidR="00514829" w:rsidRPr="0052664C" w:rsidRDefault="00514829" w:rsidP="00E11D9F">
            <w:pPr>
              <w:spacing w:line="360" w:lineRule="auto"/>
              <w:jc w:val="center"/>
              <w:rPr>
                <w:rFonts w:ascii="Book Antiqua" w:hAnsi="Book Antiqua"/>
              </w:rPr>
            </w:pPr>
            <w:r w:rsidRPr="0052664C">
              <w:rPr>
                <w:rFonts w:ascii="Book Antiqua" w:hAnsi="Book Antiqua"/>
              </w:rPr>
              <w:t>Alive</w:t>
            </w:r>
          </w:p>
          <w:p w14:paraId="2DDD52DD" w14:textId="77777777" w:rsidR="00514829" w:rsidRPr="0052664C" w:rsidRDefault="00514829" w:rsidP="00E11D9F">
            <w:pPr>
              <w:spacing w:line="360" w:lineRule="auto"/>
              <w:jc w:val="center"/>
              <w:rPr>
                <w:rFonts w:ascii="Book Antiqua" w:hAnsi="Book Antiqua"/>
              </w:rPr>
            </w:pPr>
            <w:r w:rsidRPr="0052664C">
              <w:rPr>
                <w:rFonts w:ascii="Book Antiqua" w:hAnsi="Book Antiqua"/>
              </w:rPr>
              <w:t>&gt; 120</w:t>
            </w:r>
          </w:p>
        </w:tc>
      </w:tr>
      <w:tr w:rsidR="0052664C" w:rsidRPr="0052664C" w14:paraId="4C451E59" w14:textId="77777777" w:rsidTr="00543CB7">
        <w:trPr>
          <w:trHeight w:val="457"/>
        </w:trPr>
        <w:tc>
          <w:tcPr>
            <w:tcW w:w="817" w:type="dxa"/>
            <w:vMerge/>
          </w:tcPr>
          <w:p w14:paraId="601E42C0" w14:textId="77777777" w:rsidR="00514829" w:rsidRPr="0052664C" w:rsidRDefault="00514829" w:rsidP="00E11D9F">
            <w:pPr>
              <w:spacing w:line="360" w:lineRule="auto"/>
              <w:rPr>
                <w:rFonts w:ascii="Book Antiqua" w:hAnsi="Book Antiqua"/>
              </w:rPr>
            </w:pPr>
          </w:p>
        </w:tc>
        <w:tc>
          <w:tcPr>
            <w:tcW w:w="1559" w:type="dxa"/>
          </w:tcPr>
          <w:p w14:paraId="03F39CBD" w14:textId="77777777" w:rsidR="00514829" w:rsidRPr="0052664C" w:rsidRDefault="00514829" w:rsidP="00E11D9F">
            <w:pPr>
              <w:spacing w:line="360" w:lineRule="auto"/>
              <w:rPr>
                <w:rFonts w:ascii="Book Antiqua" w:hAnsi="Book Antiqua"/>
              </w:rPr>
            </w:pPr>
            <w:r w:rsidRPr="0052664C">
              <w:rPr>
                <w:rFonts w:ascii="Book Antiqua" w:hAnsi="Book Antiqua"/>
              </w:rPr>
              <w:t>CA19-9</w:t>
            </w:r>
          </w:p>
        </w:tc>
        <w:tc>
          <w:tcPr>
            <w:tcW w:w="2268" w:type="dxa"/>
          </w:tcPr>
          <w:p w14:paraId="33D0C219" w14:textId="77777777" w:rsidR="00514829" w:rsidRPr="0052664C" w:rsidRDefault="00514829" w:rsidP="00E11D9F">
            <w:pPr>
              <w:spacing w:line="360" w:lineRule="auto"/>
              <w:ind w:left="292"/>
              <w:rPr>
                <w:rFonts w:ascii="Book Antiqua" w:hAnsi="Book Antiqua"/>
              </w:rPr>
            </w:pPr>
            <w:r w:rsidRPr="0052664C">
              <w:rPr>
                <w:rFonts w:ascii="Book Antiqua" w:hAnsi="Book Antiqua"/>
              </w:rPr>
              <w:t xml:space="preserve"> 4.2 (</w:t>
            </w:r>
            <w:r w:rsidRPr="0052664C">
              <w:rPr>
                <w:rFonts w:ascii="Book Antiqua" w:eastAsia="MS Mincho" w:hAnsi="Book Antiqua"/>
              </w:rPr>
              <w:t></w:t>
            </w:r>
            <w:r w:rsidRPr="0052664C">
              <w:rPr>
                <w:rFonts w:ascii="Book Antiqua" w:hAnsi="Book Antiqua"/>
              </w:rPr>
              <w:t>) 4.1</w:t>
            </w:r>
          </w:p>
        </w:tc>
        <w:tc>
          <w:tcPr>
            <w:tcW w:w="1843" w:type="dxa"/>
            <w:vMerge/>
          </w:tcPr>
          <w:p w14:paraId="6AB2FED7" w14:textId="77777777" w:rsidR="00514829" w:rsidRPr="0052664C" w:rsidRDefault="00514829" w:rsidP="00E11D9F">
            <w:pPr>
              <w:spacing w:line="360" w:lineRule="auto"/>
              <w:jc w:val="center"/>
              <w:rPr>
                <w:rFonts w:ascii="Book Antiqua" w:hAnsi="Book Antiqua"/>
              </w:rPr>
            </w:pPr>
          </w:p>
        </w:tc>
        <w:tc>
          <w:tcPr>
            <w:tcW w:w="1559" w:type="dxa"/>
            <w:vMerge/>
          </w:tcPr>
          <w:p w14:paraId="6FE75C10" w14:textId="77777777" w:rsidR="00514829" w:rsidRPr="0052664C" w:rsidRDefault="00514829" w:rsidP="00E11D9F">
            <w:pPr>
              <w:spacing w:line="360" w:lineRule="auto"/>
              <w:jc w:val="center"/>
              <w:rPr>
                <w:rFonts w:ascii="Book Antiqua" w:hAnsi="Book Antiqua"/>
              </w:rPr>
            </w:pPr>
          </w:p>
        </w:tc>
        <w:tc>
          <w:tcPr>
            <w:tcW w:w="1276" w:type="dxa"/>
            <w:vMerge/>
          </w:tcPr>
          <w:p w14:paraId="19C3C97A" w14:textId="77777777" w:rsidR="00514829" w:rsidRPr="0052664C" w:rsidRDefault="00514829" w:rsidP="00E11D9F">
            <w:pPr>
              <w:spacing w:line="360" w:lineRule="auto"/>
              <w:jc w:val="center"/>
              <w:rPr>
                <w:rFonts w:ascii="Book Antiqua" w:hAnsi="Book Antiqua"/>
              </w:rPr>
            </w:pPr>
          </w:p>
        </w:tc>
        <w:tc>
          <w:tcPr>
            <w:tcW w:w="1985" w:type="dxa"/>
            <w:vMerge/>
          </w:tcPr>
          <w:p w14:paraId="071503F2" w14:textId="77777777" w:rsidR="00514829" w:rsidRPr="0052664C" w:rsidRDefault="00514829" w:rsidP="00E11D9F">
            <w:pPr>
              <w:spacing w:line="360" w:lineRule="auto"/>
              <w:jc w:val="center"/>
              <w:rPr>
                <w:rFonts w:ascii="Book Antiqua" w:hAnsi="Book Antiqua"/>
              </w:rPr>
            </w:pPr>
          </w:p>
        </w:tc>
      </w:tr>
      <w:tr w:rsidR="0052664C" w:rsidRPr="0052664C" w14:paraId="0BAC6442" w14:textId="77777777" w:rsidTr="00543CB7">
        <w:trPr>
          <w:trHeight w:val="640"/>
        </w:trPr>
        <w:tc>
          <w:tcPr>
            <w:tcW w:w="817" w:type="dxa"/>
            <w:vMerge w:val="restart"/>
          </w:tcPr>
          <w:p w14:paraId="12AA2875" w14:textId="77777777" w:rsidR="00514829" w:rsidRPr="0052664C" w:rsidRDefault="00514829" w:rsidP="00E11D9F">
            <w:pPr>
              <w:spacing w:line="360" w:lineRule="auto"/>
              <w:rPr>
                <w:rFonts w:ascii="Book Antiqua" w:hAnsi="Book Antiqua"/>
              </w:rPr>
            </w:pPr>
            <w:r w:rsidRPr="0052664C">
              <w:rPr>
                <w:rFonts w:ascii="Book Antiqua" w:hAnsi="Book Antiqua"/>
              </w:rPr>
              <w:t>5</w:t>
            </w:r>
          </w:p>
        </w:tc>
        <w:tc>
          <w:tcPr>
            <w:tcW w:w="1559" w:type="dxa"/>
          </w:tcPr>
          <w:p w14:paraId="24DEC81A" w14:textId="77777777" w:rsidR="00514829" w:rsidRPr="0052664C" w:rsidRDefault="00514829" w:rsidP="00E11D9F">
            <w:pPr>
              <w:spacing w:line="360" w:lineRule="auto"/>
              <w:rPr>
                <w:rFonts w:ascii="Book Antiqua" w:hAnsi="Book Antiqua"/>
              </w:rPr>
            </w:pPr>
            <w:r w:rsidRPr="0052664C">
              <w:rPr>
                <w:rFonts w:ascii="Book Antiqua" w:hAnsi="Book Antiqua"/>
              </w:rPr>
              <w:t>CEA</w:t>
            </w:r>
          </w:p>
        </w:tc>
        <w:tc>
          <w:tcPr>
            <w:tcW w:w="2268" w:type="dxa"/>
          </w:tcPr>
          <w:p w14:paraId="11AF5EBF" w14:textId="77777777" w:rsidR="00514829" w:rsidRPr="0052664C" w:rsidRDefault="00514829" w:rsidP="00E11D9F">
            <w:pPr>
              <w:spacing w:line="360" w:lineRule="auto"/>
              <w:ind w:left="292"/>
              <w:rPr>
                <w:rFonts w:ascii="Book Antiqua" w:hAnsi="Book Antiqua"/>
              </w:rPr>
            </w:pPr>
            <w:r w:rsidRPr="0052664C">
              <w:rPr>
                <w:rFonts w:ascii="Book Antiqua" w:hAnsi="Book Antiqua"/>
              </w:rPr>
              <w:t xml:space="preserve"> 2.4 (</w:t>
            </w:r>
            <w:r w:rsidRPr="0052664C">
              <w:rPr>
                <w:rFonts w:ascii="Book Antiqua" w:eastAsia="MS Mincho" w:hAnsi="Book Antiqua"/>
              </w:rPr>
              <w:t></w:t>
            </w:r>
            <w:r w:rsidRPr="0052664C">
              <w:rPr>
                <w:rFonts w:ascii="Book Antiqua" w:hAnsi="Book Antiqua"/>
              </w:rPr>
              <w:t>) 12</w:t>
            </w:r>
          </w:p>
        </w:tc>
        <w:tc>
          <w:tcPr>
            <w:tcW w:w="1843" w:type="dxa"/>
            <w:vMerge w:val="restart"/>
          </w:tcPr>
          <w:p w14:paraId="0FD27BF0" w14:textId="77777777" w:rsidR="00514829" w:rsidRPr="0052664C" w:rsidRDefault="00514829" w:rsidP="00E11D9F">
            <w:pPr>
              <w:spacing w:line="360" w:lineRule="auto"/>
              <w:jc w:val="center"/>
              <w:rPr>
                <w:rFonts w:ascii="Book Antiqua" w:hAnsi="Book Antiqua"/>
              </w:rPr>
            </w:pPr>
            <w:r w:rsidRPr="0052664C">
              <w:rPr>
                <w:rFonts w:ascii="Book Antiqua" w:hAnsi="Book Antiqua"/>
              </w:rPr>
              <w:t>4197 –ND</w:t>
            </w:r>
          </w:p>
        </w:tc>
        <w:tc>
          <w:tcPr>
            <w:tcW w:w="1559" w:type="dxa"/>
            <w:vMerge w:val="restart"/>
          </w:tcPr>
          <w:p w14:paraId="18E962A8" w14:textId="77777777" w:rsidR="00514829" w:rsidRPr="0052664C" w:rsidRDefault="00514829" w:rsidP="00E11D9F">
            <w:pPr>
              <w:spacing w:line="360" w:lineRule="auto"/>
              <w:jc w:val="center"/>
              <w:rPr>
                <w:rFonts w:ascii="Book Antiqua" w:hAnsi="Book Antiqua"/>
              </w:rPr>
            </w:pPr>
            <w:r w:rsidRPr="0052664C">
              <w:rPr>
                <w:rFonts w:ascii="Book Antiqua" w:hAnsi="Book Antiqua"/>
              </w:rPr>
              <w:t>ND</w:t>
            </w:r>
          </w:p>
        </w:tc>
        <w:tc>
          <w:tcPr>
            <w:tcW w:w="1276" w:type="dxa"/>
            <w:vMerge w:val="restart"/>
          </w:tcPr>
          <w:p w14:paraId="4C7A90E9" w14:textId="77777777" w:rsidR="00514829" w:rsidRPr="0052664C" w:rsidRDefault="00514829" w:rsidP="00E11D9F">
            <w:pPr>
              <w:spacing w:line="360" w:lineRule="auto"/>
              <w:jc w:val="center"/>
              <w:rPr>
                <w:rFonts w:ascii="Book Antiqua" w:hAnsi="Book Antiqua"/>
              </w:rPr>
            </w:pPr>
            <w:r w:rsidRPr="0052664C">
              <w:rPr>
                <w:rFonts w:ascii="Book Antiqua" w:hAnsi="Book Antiqua"/>
              </w:rPr>
              <w:t>(+) PD</w:t>
            </w:r>
          </w:p>
        </w:tc>
        <w:tc>
          <w:tcPr>
            <w:tcW w:w="1985" w:type="dxa"/>
            <w:vMerge w:val="restart"/>
          </w:tcPr>
          <w:p w14:paraId="1516183C" w14:textId="77777777" w:rsidR="00514829" w:rsidRPr="0052664C" w:rsidRDefault="00514829" w:rsidP="00E11D9F">
            <w:pPr>
              <w:spacing w:line="360" w:lineRule="auto"/>
              <w:jc w:val="center"/>
              <w:rPr>
                <w:rFonts w:ascii="Book Antiqua" w:hAnsi="Book Antiqua"/>
              </w:rPr>
            </w:pPr>
            <w:r w:rsidRPr="0052664C">
              <w:rPr>
                <w:rFonts w:ascii="Book Antiqua" w:hAnsi="Book Antiqua"/>
              </w:rPr>
              <w:t>31</w:t>
            </w:r>
          </w:p>
        </w:tc>
      </w:tr>
      <w:tr w:rsidR="0052664C" w:rsidRPr="0052664C" w14:paraId="08B70B37" w14:textId="77777777" w:rsidTr="00543CB7">
        <w:trPr>
          <w:trHeight w:val="640"/>
        </w:trPr>
        <w:tc>
          <w:tcPr>
            <w:tcW w:w="817" w:type="dxa"/>
            <w:vMerge/>
          </w:tcPr>
          <w:p w14:paraId="6F8EDCC4" w14:textId="77777777" w:rsidR="00514829" w:rsidRPr="0052664C" w:rsidRDefault="00514829" w:rsidP="00E11D9F">
            <w:pPr>
              <w:spacing w:line="360" w:lineRule="auto"/>
              <w:rPr>
                <w:rFonts w:ascii="Book Antiqua" w:hAnsi="Book Antiqua"/>
              </w:rPr>
            </w:pPr>
          </w:p>
        </w:tc>
        <w:tc>
          <w:tcPr>
            <w:tcW w:w="1559" w:type="dxa"/>
          </w:tcPr>
          <w:p w14:paraId="56B82C29" w14:textId="77777777" w:rsidR="00514829" w:rsidRPr="0052664C" w:rsidRDefault="00514829" w:rsidP="00E11D9F">
            <w:pPr>
              <w:spacing w:line="360" w:lineRule="auto"/>
              <w:rPr>
                <w:rFonts w:ascii="Book Antiqua" w:hAnsi="Book Antiqua"/>
              </w:rPr>
            </w:pPr>
            <w:r w:rsidRPr="0052664C">
              <w:rPr>
                <w:rFonts w:ascii="Book Antiqua" w:hAnsi="Book Antiqua"/>
              </w:rPr>
              <w:t>CA19-9</w:t>
            </w:r>
          </w:p>
        </w:tc>
        <w:tc>
          <w:tcPr>
            <w:tcW w:w="2268" w:type="dxa"/>
          </w:tcPr>
          <w:p w14:paraId="7282FC87" w14:textId="77777777" w:rsidR="00514829" w:rsidRPr="0052664C" w:rsidRDefault="00514829" w:rsidP="00E11D9F">
            <w:pPr>
              <w:spacing w:line="360" w:lineRule="auto"/>
              <w:ind w:left="172"/>
              <w:rPr>
                <w:rFonts w:ascii="Book Antiqua" w:hAnsi="Book Antiqua"/>
              </w:rPr>
            </w:pPr>
            <w:r w:rsidRPr="0052664C">
              <w:rPr>
                <w:rFonts w:ascii="Book Antiqua" w:hAnsi="Book Antiqua"/>
              </w:rPr>
              <w:t xml:space="preserve">  205 (</w:t>
            </w:r>
            <w:r w:rsidRPr="0052664C">
              <w:rPr>
                <w:rFonts w:ascii="Book Antiqua" w:eastAsia="MS Mincho" w:hAnsi="Book Antiqua"/>
              </w:rPr>
              <w:t></w:t>
            </w:r>
            <w:r w:rsidRPr="0052664C">
              <w:rPr>
                <w:rFonts w:ascii="Book Antiqua" w:hAnsi="Book Antiqua"/>
              </w:rPr>
              <w:t>) 653</w:t>
            </w:r>
          </w:p>
        </w:tc>
        <w:tc>
          <w:tcPr>
            <w:tcW w:w="1843" w:type="dxa"/>
            <w:vMerge/>
          </w:tcPr>
          <w:p w14:paraId="261ECCDE" w14:textId="77777777" w:rsidR="00514829" w:rsidRPr="0052664C" w:rsidRDefault="00514829" w:rsidP="00E11D9F">
            <w:pPr>
              <w:spacing w:line="360" w:lineRule="auto"/>
              <w:rPr>
                <w:rFonts w:ascii="Book Antiqua" w:hAnsi="Book Antiqua"/>
              </w:rPr>
            </w:pPr>
          </w:p>
        </w:tc>
        <w:tc>
          <w:tcPr>
            <w:tcW w:w="1559" w:type="dxa"/>
            <w:vMerge/>
          </w:tcPr>
          <w:p w14:paraId="06A62403" w14:textId="77777777" w:rsidR="00514829" w:rsidRPr="0052664C" w:rsidRDefault="00514829" w:rsidP="00E11D9F">
            <w:pPr>
              <w:spacing w:line="360" w:lineRule="auto"/>
              <w:rPr>
                <w:rFonts w:ascii="Book Antiqua" w:hAnsi="Book Antiqua"/>
              </w:rPr>
            </w:pPr>
          </w:p>
        </w:tc>
        <w:tc>
          <w:tcPr>
            <w:tcW w:w="1276" w:type="dxa"/>
            <w:vMerge/>
          </w:tcPr>
          <w:p w14:paraId="2EC045E2" w14:textId="77777777" w:rsidR="00514829" w:rsidRPr="0052664C" w:rsidRDefault="00514829" w:rsidP="00E11D9F">
            <w:pPr>
              <w:spacing w:line="360" w:lineRule="auto"/>
              <w:rPr>
                <w:rFonts w:ascii="Book Antiqua" w:hAnsi="Book Antiqua"/>
              </w:rPr>
            </w:pPr>
          </w:p>
        </w:tc>
        <w:tc>
          <w:tcPr>
            <w:tcW w:w="1985" w:type="dxa"/>
            <w:vMerge/>
          </w:tcPr>
          <w:p w14:paraId="2145AAD2" w14:textId="77777777" w:rsidR="00514829" w:rsidRPr="0052664C" w:rsidRDefault="00514829" w:rsidP="00E11D9F">
            <w:pPr>
              <w:spacing w:line="360" w:lineRule="auto"/>
              <w:rPr>
                <w:rFonts w:ascii="Book Antiqua" w:hAnsi="Book Antiqua"/>
              </w:rPr>
            </w:pPr>
          </w:p>
        </w:tc>
      </w:tr>
    </w:tbl>
    <w:p w14:paraId="26138D79" w14:textId="674E28A7" w:rsidR="00514829" w:rsidRPr="0052664C" w:rsidRDefault="00543CB7" w:rsidP="00E11D9F">
      <w:pPr>
        <w:spacing w:line="360" w:lineRule="auto"/>
        <w:rPr>
          <w:rFonts w:ascii="Book Antiqua" w:hAnsi="Book Antiqua"/>
        </w:rPr>
      </w:pPr>
      <w:r w:rsidRPr="0052664C">
        <w:rPr>
          <w:rFonts w:ascii="Book Antiqua" w:eastAsia="SimSun" w:hAnsi="Book Antiqua" w:hint="eastAsia"/>
          <w:vertAlign w:val="superscript"/>
          <w:lang w:eastAsia="zh-CN"/>
        </w:rPr>
        <w:t>1</w:t>
      </w:r>
      <w:r w:rsidRPr="0052664C">
        <w:rPr>
          <w:rFonts w:ascii="Book Antiqua" w:hAnsi="Book Antiqua"/>
        </w:rPr>
        <w:t>T</w:t>
      </w:r>
      <w:r w:rsidR="00514829" w:rsidRPr="0052664C">
        <w:rPr>
          <w:rFonts w:ascii="Book Antiqua" w:hAnsi="Book Antiqua"/>
        </w:rPr>
        <w:t xml:space="preserve">he days of evaluation of tumor markers and CTC from the start of treatment. </w:t>
      </w:r>
      <w:r w:rsidRPr="0052664C">
        <w:rPr>
          <w:rFonts w:ascii="Book Antiqua" w:eastAsia="SimSun" w:hAnsi="Book Antiqua" w:hint="eastAsia"/>
          <w:vertAlign w:val="superscript"/>
          <w:lang w:eastAsia="zh-CN"/>
        </w:rPr>
        <w:t>2</w:t>
      </w:r>
      <w:r w:rsidRPr="0052664C">
        <w:rPr>
          <w:rFonts w:ascii="Book Antiqua" w:eastAsia="SimSun" w:hAnsi="Book Antiqua" w:hint="eastAsia"/>
          <w:lang w:eastAsia="zh-CN"/>
        </w:rPr>
        <w:t>T</w:t>
      </w:r>
      <w:r w:rsidR="00514829" w:rsidRPr="0052664C">
        <w:rPr>
          <w:rFonts w:ascii="Book Antiqua" w:hAnsi="Book Antiqua"/>
        </w:rPr>
        <w:t xml:space="preserve">he days from the start of the treatment to </w:t>
      </w:r>
      <w:r w:rsidR="00514829" w:rsidRPr="0052664C">
        <w:rPr>
          <w:rFonts w:ascii="Book Antiqua" w:hAnsi="Book Antiqua"/>
        </w:rPr>
        <w:lastRenderedPageBreak/>
        <w:t xml:space="preserve">death. </w:t>
      </w:r>
      <w:r w:rsidRPr="0052664C">
        <w:rPr>
          <w:rFonts w:ascii="Book Antiqua" w:hAnsi="Book Antiqua"/>
        </w:rPr>
        <w:t xml:space="preserve">CTC count is indicated as cells / 7.5 mL. The units of CEA and CA19-9 are ng / mL and U / mL, respectively. </w:t>
      </w:r>
      <w:r w:rsidRPr="0052664C">
        <w:rPr>
          <w:rFonts w:ascii="Book Antiqua" w:eastAsia="SimSun" w:hAnsi="Book Antiqua" w:hint="eastAsia"/>
          <w:vertAlign w:val="superscript"/>
          <w:lang w:eastAsia="zh-CN"/>
        </w:rPr>
        <w:t>3</w:t>
      </w:r>
      <w:r w:rsidRPr="0052664C">
        <w:rPr>
          <w:rFonts w:ascii="Book Antiqua" w:hAnsi="Book Antiqua"/>
        </w:rPr>
        <w:t>The previous and post treatment values are indicated as pre – post.</w:t>
      </w:r>
      <w:r w:rsidRPr="0052664C">
        <w:rPr>
          <w:rFonts w:ascii="Book Antiqua" w:eastAsia="SimSun" w:hAnsi="Book Antiqua" w:hint="eastAsia"/>
          <w:lang w:eastAsia="zh-CN"/>
        </w:rPr>
        <w:t xml:space="preserve"> </w:t>
      </w:r>
      <w:r w:rsidRPr="0052664C">
        <w:rPr>
          <w:rFonts w:ascii="Book Antiqua" w:hAnsi="Book Antiqua"/>
        </w:rPr>
        <w:t xml:space="preserve">The blue arrows indicate decrease, the red increase, and black no change. </w:t>
      </w:r>
      <w:r w:rsidR="00514829" w:rsidRPr="0052664C">
        <w:rPr>
          <w:rFonts w:ascii="Book Antiqua" w:hAnsi="Book Antiqua"/>
        </w:rPr>
        <w:t>ND</w:t>
      </w:r>
      <w:r w:rsidRPr="0052664C">
        <w:rPr>
          <w:rFonts w:ascii="Book Antiqua" w:eastAsia="SimSun" w:hAnsi="Book Antiqua" w:hint="eastAsia"/>
          <w:lang w:eastAsia="zh-CN"/>
        </w:rPr>
        <w:t>:</w:t>
      </w:r>
      <w:r w:rsidR="00514829" w:rsidRPr="0052664C">
        <w:rPr>
          <w:rFonts w:ascii="Book Antiqua" w:hAnsi="Book Antiqua"/>
        </w:rPr>
        <w:t xml:space="preserve"> </w:t>
      </w:r>
      <w:r w:rsidRPr="0052664C">
        <w:rPr>
          <w:rFonts w:ascii="Book Antiqua" w:hAnsi="Book Antiqua"/>
        </w:rPr>
        <w:t xml:space="preserve">Not </w:t>
      </w:r>
      <w:r w:rsidR="00514829" w:rsidRPr="0052664C">
        <w:rPr>
          <w:rFonts w:ascii="Book Antiqua" w:hAnsi="Book Antiqua"/>
        </w:rPr>
        <w:t>done</w:t>
      </w:r>
      <w:r w:rsidRPr="0052664C">
        <w:rPr>
          <w:rFonts w:ascii="Book Antiqua" w:eastAsia="SimSun" w:hAnsi="Book Antiqua" w:hint="eastAsia"/>
          <w:lang w:eastAsia="zh-CN"/>
        </w:rPr>
        <w:t xml:space="preserve">; </w:t>
      </w:r>
      <w:r w:rsidRPr="0052664C">
        <w:rPr>
          <w:rFonts w:ascii="Book Antiqua" w:hAnsi="Book Antiqua"/>
        </w:rPr>
        <w:t xml:space="preserve">Non </w:t>
      </w:r>
      <w:r w:rsidR="00514829" w:rsidRPr="0052664C">
        <w:rPr>
          <w:rFonts w:ascii="Book Antiqua" w:hAnsi="Book Antiqua"/>
        </w:rPr>
        <w:t>CR/non PD</w:t>
      </w:r>
      <w:r w:rsidRPr="0052664C">
        <w:rPr>
          <w:rFonts w:ascii="Book Antiqua" w:eastAsia="SimSun" w:hAnsi="Book Antiqua" w:hint="eastAsia"/>
          <w:lang w:eastAsia="zh-CN"/>
        </w:rPr>
        <w:t>:</w:t>
      </w:r>
      <w:r w:rsidR="00514829" w:rsidRPr="0052664C">
        <w:rPr>
          <w:rFonts w:ascii="Book Antiqua" w:hAnsi="Book Antiqua"/>
        </w:rPr>
        <w:t xml:space="preserve"> </w:t>
      </w:r>
      <w:r w:rsidRPr="0052664C">
        <w:rPr>
          <w:rFonts w:ascii="Book Antiqua" w:hAnsi="Book Antiqua"/>
        </w:rPr>
        <w:t xml:space="preserve">Case </w:t>
      </w:r>
      <w:r w:rsidR="00514829" w:rsidRPr="0052664C">
        <w:rPr>
          <w:rFonts w:ascii="Book Antiqua" w:hAnsi="Book Antiqua"/>
        </w:rPr>
        <w:t>1 has no target legions</w:t>
      </w:r>
      <w:r w:rsidRPr="0052664C">
        <w:rPr>
          <w:rFonts w:ascii="Book Antiqua" w:eastAsia="SimSun" w:hAnsi="Book Antiqua" w:hint="eastAsia"/>
          <w:lang w:eastAsia="zh-CN"/>
        </w:rPr>
        <w:t>;</w:t>
      </w:r>
      <w:r w:rsidR="00514829" w:rsidRPr="0052664C">
        <w:rPr>
          <w:rFonts w:ascii="Book Antiqua" w:hAnsi="Book Antiqua"/>
        </w:rPr>
        <w:t xml:space="preserve"> PR</w:t>
      </w:r>
      <w:r w:rsidRPr="0052664C">
        <w:rPr>
          <w:rFonts w:ascii="Book Antiqua" w:eastAsia="SimSun" w:hAnsi="Book Antiqua" w:hint="eastAsia"/>
          <w:lang w:eastAsia="zh-CN"/>
        </w:rPr>
        <w:t xml:space="preserve">: </w:t>
      </w:r>
      <w:r w:rsidRPr="0052664C">
        <w:rPr>
          <w:rFonts w:ascii="Book Antiqua" w:hAnsi="Book Antiqua"/>
        </w:rPr>
        <w:t xml:space="preserve">Partial </w:t>
      </w:r>
      <w:r w:rsidR="00514829" w:rsidRPr="0052664C">
        <w:rPr>
          <w:rFonts w:ascii="Book Antiqua" w:hAnsi="Book Antiqua"/>
        </w:rPr>
        <w:t>response</w:t>
      </w:r>
      <w:r w:rsidRPr="0052664C">
        <w:rPr>
          <w:rFonts w:ascii="Book Antiqua" w:eastAsia="SimSun" w:hAnsi="Book Antiqua" w:hint="eastAsia"/>
          <w:lang w:eastAsia="zh-CN"/>
        </w:rPr>
        <w:t>;</w:t>
      </w:r>
      <w:r w:rsidR="00514829" w:rsidRPr="0052664C">
        <w:rPr>
          <w:rFonts w:ascii="Book Antiqua" w:hAnsi="Book Antiqua"/>
        </w:rPr>
        <w:t xml:space="preserve"> PD</w:t>
      </w:r>
      <w:r w:rsidRPr="0052664C">
        <w:rPr>
          <w:rFonts w:ascii="Book Antiqua" w:eastAsia="SimSun" w:hAnsi="Book Antiqua" w:hint="eastAsia"/>
          <w:lang w:eastAsia="zh-CN"/>
        </w:rPr>
        <w:t xml:space="preserve">: </w:t>
      </w:r>
      <w:r w:rsidRPr="0052664C">
        <w:rPr>
          <w:rFonts w:ascii="Book Antiqua" w:hAnsi="Book Antiqua"/>
        </w:rPr>
        <w:t xml:space="preserve">Progressive </w:t>
      </w:r>
      <w:r w:rsidR="00514829" w:rsidRPr="0052664C">
        <w:rPr>
          <w:rFonts w:ascii="Book Antiqua" w:hAnsi="Book Antiqua"/>
        </w:rPr>
        <w:t>disease.</w:t>
      </w:r>
    </w:p>
    <w:p w14:paraId="12A62FE0" w14:textId="77777777" w:rsidR="00762491" w:rsidRPr="0052664C" w:rsidRDefault="00762491" w:rsidP="00E11D9F">
      <w:pPr>
        <w:spacing w:line="360" w:lineRule="auto"/>
        <w:rPr>
          <w:rFonts w:ascii="Book Antiqua" w:hAnsi="Book Antiqua"/>
          <w:vertAlign w:val="superscript"/>
        </w:rPr>
        <w:sectPr w:rsidR="00762491" w:rsidRPr="0052664C" w:rsidSect="001D6715">
          <w:pgSz w:w="16840" w:h="11899" w:orient="landscape"/>
          <w:pgMar w:top="1701" w:right="1701" w:bottom="1701" w:left="1985" w:header="851" w:footer="992" w:gutter="0"/>
          <w:cols w:space="425"/>
          <w:docGrid w:type="lines" w:linePitch="400"/>
        </w:sectPr>
      </w:pPr>
    </w:p>
    <w:p w14:paraId="0C8762F2" w14:textId="60111198" w:rsidR="00514829" w:rsidRPr="0052664C" w:rsidRDefault="00514829" w:rsidP="00E11D9F">
      <w:pPr>
        <w:spacing w:line="360" w:lineRule="auto"/>
        <w:rPr>
          <w:rFonts w:ascii="Book Antiqua" w:hAnsi="Book Antiqua"/>
          <w:vertAlign w:val="superscript"/>
        </w:rPr>
      </w:pPr>
    </w:p>
    <w:p w14:paraId="264FB0DC" w14:textId="0E1A2094" w:rsidR="00514829" w:rsidRPr="0052664C" w:rsidRDefault="00514829" w:rsidP="00E11D9F">
      <w:pPr>
        <w:spacing w:line="360" w:lineRule="auto"/>
        <w:rPr>
          <w:rFonts w:ascii="Book Antiqua" w:eastAsia="SimSun" w:hAnsi="Book Antiqua"/>
          <w:lang w:eastAsia="zh-CN"/>
        </w:rPr>
        <w:sectPr w:rsidR="00514829" w:rsidRPr="0052664C" w:rsidSect="001D6715">
          <w:type w:val="continuous"/>
          <w:pgSz w:w="16840" w:h="11899" w:orient="landscape"/>
          <w:pgMar w:top="1701" w:right="1701" w:bottom="1701" w:left="1985" w:header="851" w:footer="992" w:gutter="0"/>
          <w:cols w:space="425"/>
          <w:docGrid w:type="lines" w:linePitch="400"/>
        </w:sectPr>
      </w:pPr>
      <w:r w:rsidRPr="0052664C">
        <w:rPr>
          <w:rFonts w:ascii="Book Antiqua" w:hAnsi="Book Antiqua"/>
        </w:rPr>
        <w:t xml:space="preserve">  </w:t>
      </w:r>
    </w:p>
    <w:p w14:paraId="5A40A0DE" w14:textId="77777777" w:rsidR="00CD0FBC" w:rsidRPr="0052664C" w:rsidRDefault="00CD0FBC" w:rsidP="00E11D9F">
      <w:pPr>
        <w:spacing w:line="360" w:lineRule="auto"/>
        <w:rPr>
          <w:rFonts w:ascii="Book Antiqua" w:eastAsia="SimSun" w:hAnsi="Book Antiqua"/>
          <w:lang w:eastAsia="zh-CN"/>
        </w:rPr>
      </w:pPr>
    </w:p>
    <w:sectPr w:rsidR="00CD0FBC" w:rsidRPr="0052664C" w:rsidSect="001D6715">
      <w:pgSz w:w="11899"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3D3E8" w14:textId="77777777" w:rsidR="000C3C42" w:rsidRDefault="000C3C42" w:rsidP="00E238DB">
      <w:r>
        <w:separator/>
      </w:r>
    </w:p>
  </w:endnote>
  <w:endnote w:type="continuationSeparator" w:id="0">
    <w:p w14:paraId="03AF3D47" w14:textId="77777777" w:rsidR="000C3C42" w:rsidRDefault="000C3C42" w:rsidP="00E2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B238B" w14:textId="77777777" w:rsidR="000C3C42" w:rsidRDefault="000C3C42" w:rsidP="00E238DB">
      <w:r>
        <w:separator/>
      </w:r>
    </w:p>
  </w:footnote>
  <w:footnote w:type="continuationSeparator" w:id="0">
    <w:p w14:paraId="7D5C8A4B" w14:textId="77777777" w:rsidR="000C3C42" w:rsidRDefault="000C3C42" w:rsidP="00E23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859809"/>
      <w:docPartObj>
        <w:docPartGallery w:val="Page Numbers (Top of Page)"/>
        <w:docPartUnique/>
      </w:docPartObj>
    </w:sdtPr>
    <w:sdtEndPr>
      <w:rPr>
        <w:noProof/>
      </w:rPr>
    </w:sdtEndPr>
    <w:sdtContent>
      <w:p w14:paraId="47BC6D1D" w14:textId="77777777" w:rsidR="0052664C" w:rsidRDefault="0052664C">
        <w:pPr>
          <w:pStyle w:val="Header"/>
          <w:jc w:val="right"/>
        </w:pPr>
        <w:r>
          <w:fldChar w:fldCharType="begin"/>
        </w:r>
        <w:r>
          <w:instrText xml:space="preserve"> PAGE   \* MERGEFORMAT </w:instrText>
        </w:r>
        <w:r>
          <w:fldChar w:fldCharType="separate"/>
        </w:r>
        <w:r w:rsidR="00223056">
          <w:rPr>
            <w:noProof/>
          </w:rPr>
          <w:t>26</w:t>
        </w:r>
        <w:r>
          <w:rPr>
            <w:noProof/>
          </w:rPr>
          <w:fldChar w:fldCharType="end"/>
        </w:r>
      </w:p>
    </w:sdtContent>
  </w:sdt>
  <w:p w14:paraId="22B2C1A3" w14:textId="77777777" w:rsidR="0052664C" w:rsidRDefault="00526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A3"/>
    <w:rsid w:val="000009C0"/>
    <w:rsid w:val="00001F8B"/>
    <w:rsid w:val="00003B6E"/>
    <w:rsid w:val="000118CC"/>
    <w:rsid w:val="00014BCB"/>
    <w:rsid w:val="00015663"/>
    <w:rsid w:val="000177ED"/>
    <w:rsid w:val="00022EB8"/>
    <w:rsid w:val="00024E8B"/>
    <w:rsid w:val="00045B24"/>
    <w:rsid w:val="00046522"/>
    <w:rsid w:val="000466DA"/>
    <w:rsid w:val="00051520"/>
    <w:rsid w:val="0007434A"/>
    <w:rsid w:val="000804E4"/>
    <w:rsid w:val="000927F6"/>
    <w:rsid w:val="000A2D5B"/>
    <w:rsid w:val="000A526B"/>
    <w:rsid w:val="000B7758"/>
    <w:rsid w:val="000C3C42"/>
    <w:rsid w:val="000C3DCB"/>
    <w:rsid w:val="000C6E06"/>
    <w:rsid w:val="000C7217"/>
    <w:rsid w:val="000E0580"/>
    <w:rsid w:val="000E2C42"/>
    <w:rsid w:val="000E63A2"/>
    <w:rsid w:val="000F06DE"/>
    <w:rsid w:val="000F2562"/>
    <w:rsid w:val="000F5ECF"/>
    <w:rsid w:val="000F6E92"/>
    <w:rsid w:val="00103595"/>
    <w:rsid w:val="00111EF2"/>
    <w:rsid w:val="00115708"/>
    <w:rsid w:val="00117F6E"/>
    <w:rsid w:val="001247E5"/>
    <w:rsid w:val="001279A1"/>
    <w:rsid w:val="00130289"/>
    <w:rsid w:val="00131498"/>
    <w:rsid w:val="00136889"/>
    <w:rsid w:val="001369B8"/>
    <w:rsid w:val="00137D58"/>
    <w:rsid w:val="001450B3"/>
    <w:rsid w:val="001519C7"/>
    <w:rsid w:val="00152A0A"/>
    <w:rsid w:val="0016110C"/>
    <w:rsid w:val="00162547"/>
    <w:rsid w:val="00162DE4"/>
    <w:rsid w:val="00163E47"/>
    <w:rsid w:val="001651BA"/>
    <w:rsid w:val="001703F8"/>
    <w:rsid w:val="00170F1A"/>
    <w:rsid w:val="0018159C"/>
    <w:rsid w:val="00187B26"/>
    <w:rsid w:val="001A1B17"/>
    <w:rsid w:val="001A5FEE"/>
    <w:rsid w:val="001B3E37"/>
    <w:rsid w:val="001C3934"/>
    <w:rsid w:val="001D473A"/>
    <w:rsid w:val="001D5439"/>
    <w:rsid w:val="001D6715"/>
    <w:rsid w:val="001E3DAE"/>
    <w:rsid w:val="001E7D9E"/>
    <w:rsid w:val="001F2998"/>
    <w:rsid w:val="001F5C5B"/>
    <w:rsid w:val="001F5DD0"/>
    <w:rsid w:val="0020258A"/>
    <w:rsid w:val="002140A1"/>
    <w:rsid w:val="002163B9"/>
    <w:rsid w:val="00222D79"/>
    <w:rsid w:val="00223056"/>
    <w:rsid w:val="002255AB"/>
    <w:rsid w:val="00227181"/>
    <w:rsid w:val="00232950"/>
    <w:rsid w:val="00233D2C"/>
    <w:rsid w:val="00237FD7"/>
    <w:rsid w:val="00241802"/>
    <w:rsid w:val="00241DE7"/>
    <w:rsid w:val="00242386"/>
    <w:rsid w:val="00242953"/>
    <w:rsid w:val="002512BF"/>
    <w:rsid w:val="00251C9C"/>
    <w:rsid w:val="00251C9E"/>
    <w:rsid w:val="00254F96"/>
    <w:rsid w:val="00265C85"/>
    <w:rsid w:val="00266BC0"/>
    <w:rsid w:val="00273D71"/>
    <w:rsid w:val="00277706"/>
    <w:rsid w:val="0029451D"/>
    <w:rsid w:val="00295ACD"/>
    <w:rsid w:val="0029719B"/>
    <w:rsid w:val="002A0C31"/>
    <w:rsid w:val="002A1A48"/>
    <w:rsid w:val="002B1F26"/>
    <w:rsid w:val="002B5FFC"/>
    <w:rsid w:val="002B74C4"/>
    <w:rsid w:val="002C5EAF"/>
    <w:rsid w:val="002D75AE"/>
    <w:rsid w:val="002E01DD"/>
    <w:rsid w:val="002E5116"/>
    <w:rsid w:val="002E66CD"/>
    <w:rsid w:val="002F0C77"/>
    <w:rsid w:val="002F6E9A"/>
    <w:rsid w:val="002F7D20"/>
    <w:rsid w:val="00300AC0"/>
    <w:rsid w:val="00300EF4"/>
    <w:rsid w:val="00303358"/>
    <w:rsid w:val="00310B73"/>
    <w:rsid w:val="0031301A"/>
    <w:rsid w:val="003132CB"/>
    <w:rsid w:val="0031514B"/>
    <w:rsid w:val="003230A9"/>
    <w:rsid w:val="00335B90"/>
    <w:rsid w:val="00342FE5"/>
    <w:rsid w:val="00344F21"/>
    <w:rsid w:val="00346ED5"/>
    <w:rsid w:val="003526E1"/>
    <w:rsid w:val="00356628"/>
    <w:rsid w:val="00356740"/>
    <w:rsid w:val="00356EB4"/>
    <w:rsid w:val="00357112"/>
    <w:rsid w:val="00363698"/>
    <w:rsid w:val="0036395F"/>
    <w:rsid w:val="00366549"/>
    <w:rsid w:val="0038712B"/>
    <w:rsid w:val="00390ADB"/>
    <w:rsid w:val="00394E1C"/>
    <w:rsid w:val="003A30D0"/>
    <w:rsid w:val="003B0B6E"/>
    <w:rsid w:val="003B1A54"/>
    <w:rsid w:val="003D53C5"/>
    <w:rsid w:val="003F08B8"/>
    <w:rsid w:val="00401C24"/>
    <w:rsid w:val="004029C2"/>
    <w:rsid w:val="00410467"/>
    <w:rsid w:val="00413C8B"/>
    <w:rsid w:val="00415AE5"/>
    <w:rsid w:val="004165F4"/>
    <w:rsid w:val="004204E1"/>
    <w:rsid w:val="00424BCF"/>
    <w:rsid w:val="00435254"/>
    <w:rsid w:val="00437427"/>
    <w:rsid w:val="00442005"/>
    <w:rsid w:val="004469C8"/>
    <w:rsid w:val="004534F6"/>
    <w:rsid w:val="00465018"/>
    <w:rsid w:val="00467190"/>
    <w:rsid w:val="004723E2"/>
    <w:rsid w:val="00475D73"/>
    <w:rsid w:val="00481575"/>
    <w:rsid w:val="0048353B"/>
    <w:rsid w:val="00484305"/>
    <w:rsid w:val="00484512"/>
    <w:rsid w:val="004868D5"/>
    <w:rsid w:val="004879AA"/>
    <w:rsid w:val="00494FE1"/>
    <w:rsid w:val="00497823"/>
    <w:rsid w:val="004A0085"/>
    <w:rsid w:val="004A6FA6"/>
    <w:rsid w:val="004B719C"/>
    <w:rsid w:val="004C7AEB"/>
    <w:rsid w:val="004D3295"/>
    <w:rsid w:val="004E01C4"/>
    <w:rsid w:val="004E0E71"/>
    <w:rsid w:val="004E2EA1"/>
    <w:rsid w:val="004E2F35"/>
    <w:rsid w:val="004E5268"/>
    <w:rsid w:val="004F3E87"/>
    <w:rsid w:val="004F418E"/>
    <w:rsid w:val="00510362"/>
    <w:rsid w:val="00514829"/>
    <w:rsid w:val="00521D80"/>
    <w:rsid w:val="00522F39"/>
    <w:rsid w:val="005232A4"/>
    <w:rsid w:val="00524D56"/>
    <w:rsid w:val="0052539A"/>
    <w:rsid w:val="0052664C"/>
    <w:rsid w:val="00533CD1"/>
    <w:rsid w:val="00533DD0"/>
    <w:rsid w:val="00543CB7"/>
    <w:rsid w:val="0055004E"/>
    <w:rsid w:val="00557335"/>
    <w:rsid w:val="00572255"/>
    <w:rsid w:val="00585022"/>
    <w:rsid w:val="0059599C"/>
    <w:rsid w:val="005A617A"/>
    <w:rsid w:val="005C0B32"/>
    <w:rsid w:val="005D08FE"/>
    <w:rsid w:val="005D38FC"/>
    <w:rsid w:val="005D729E"/>
    <w:rsid w:val="005E022A"/>
    <w:rsid w:val="005F489D"/>
    <w:rsid w:val="005F5294"/>
    <w:rsid w:val="005F5BC9"/>
    <w:rsid w:val="005F7DF6"/>
    <w:rsid w:val="00603368"/>
    <w:rsid w:val="00610660"/>
    <w:rsid w:val="006108AA"/>
    <w:rsid w:val="00612D83"/>
    <w:rsid w:val="00613082"/>
    <w:rsid w:val="00614777"/>
    <w:rsid w:val="00617055"/>
    <w:rsid w:val="00620F4B"/>
    <w:rsid w:val="006241E0"/>
    <w:rsid w:val="0062439A"/>
    <w:rsid w:val="00627B17"/>
    <w:rsid w:val="00630932"/>
    <w:rsid w:val="00632F02"/>
    <w:rsid w:val="0064533B"/>
    <w:rsid w:val="006464D9"/>
    <w:rsid w:val="00650480"/>
    <w:rsid w:val="00650818"/>
    <w:rsid w:val="00660289"/>
    <w:rsid w:val="006639EC"/>
    <w:rsid w:val="006640B8"/>
    <w:rsid w:val="00664346"/>
    <w:rsid w:val="0066783C"/>
    <w:rsid w:val="0067113A"/>
    <w:rsid w:val="006720E1"/>
    <w:rsid w:val="0067375B"/>
    <w:rsid w:val="006768EF"/>
    <w:rsid w:val="00677F12"/>
    <w:rsid w:val="00681868"/>
    <w:rsid w:val="00681ADA"/>
    <w:rsid w:val="00686998"/>
    <w:rsid w:val="00691852"/>
    <w:rsid w:val="006922FF"/>
    <w:rsid w:val="00692C72"/>
    <w:rsid w:val="006A0B17"/>
    <w:rsid w:val="006B256E"/>
    <w:rsid w:val="006B376B"/>
    <w:rsid w:val="006D2BD7"/>
    <w:rsid w:val="006D614F"/>
    <w:rsid w:val="00702680"/>
    <w:rsid w:val="00703C0D"/>
    <w:rsid w:val="0070731C"/>
    <w:rsid w:val="00707D37"/>
    <w:rsid w:val="007132A9"/>
    <w:rsid w:val="007132F7"/>
    <w:rsid w:val="00713D7A"/>
    <w:rsid w:val="0072167D"/>
    <w:rsid w:val="007225B7"/>
    <w:rsid w:val="00743A76"/>
    <w:rsid w:val="00747265"/>
    <w:rsid w:val="0075674B"/>
    <w:rsid w:val="0075737F"/>
    <w:rsid w:val="00761599"/>
    <w:rsid w:val="00762491"/>
    <w:rsid w:val="00763404"/>
    <w:rsid w:val="0077048C"/>
    <w:rsid w:val="00781CE9"/>
    <w:rsid w:val="007879EB"/>
    <w:rsid w:val="00792B23"/>
    <w:rsid w:val="007A0DD1"/>
    <w:rsid w:val="007A1EAA"/>
    <w:rsid w:val="007B187D"/>
    <w:rsid w:val="007B5DEC"/>
    <w:rsid w:val="007C38C2"/>
    <w:rsid w:val="007C5EAC"/>
    <w:rsid w:val="007C651D"/>
    <w:rsid w:val="007C662A"/>
    <w:rsid w:val="007E11A9"/>
    <w:rsid w:val="007E2919"/>
    <w:rsid w:val="007E4161"/>
    <w:rsid w:val="007E49DB"/>
    <w:rsid w:val="007E6900"/>
    <w:rsid w:val="007E705D"/>
    <w:rsid w:val="007F454D"/>
    <w:rsid w:val="008032C7"/>
    <w:rsid w:val="0080377E"/>
    <w:rsid w:val="00803B48"/>
    <w:rsid w:val="0080556C"/>
    <w:rsid w:val="00814882"/>
    <w:rsid w:val="00826A0F"/>
    <w:rsid w:val="00830BE2"/>
    <w:rsid w:val="0083555B"/>
    <w:rsid w:val="0084492A"/>
    <w:rsid w:val="00845101"/>
    <w:rsid w:val="00852242"/>
    <w:rsid w:val="00853DEE"/>
    <w:rsid w:val="008620BB"/>
    <w:rsid w:val="0086396F"/>
    <w:rsid w:val="00863B0B"/>
    <w:rsid w:val="00865FC0"/>
    <w:rsid w:val="00872EF5"/>
    <w:rsid w:val="008760F7"/>
    <w:rsid w:val="00881B23"/>
    <w:rsid w:val="00886B1A"/>
    <w:rsid w:val="0089461C"/>
    <w:rsid w:val="00894C41"/>
    <w:rsid w:val="00897DB7"/>
    <w:rsid w:val="008B4CCC"/>
    <w:rsid w:val="008B5473"/>
    <w:rsid w:val="008B5A06"/>
    <w:rsid w:val="008B76CF"/>
    <w:rsid w:val="008D16D2"/>
    <w:rsid w:val="008D1AFF"/>
    <w:rsid w:val="008D5CF4"/>
    <w:rsid w:val="008E1B39"/>
    <w:rsid w:val="008E5C7A"/>
    <w:rsid w:val="008E5E90"/>
    <w:rsid w:val="00911E41"/>
    <w:rsid w:val="0091438E"/>
    <w:rsid w:val="00915972"/>
    <w:rsid w:val="00921A54"/>
    <w:rsid w:val="00922870"/>
    <w:rsid w:val="0093152A"/>
    <w:rsid w:val="009353E5"/>
    <w:rsid w:val="00950059"/>
    <w:rsid w:val="009642B4"/>
    <w:rsid w:val="00967AB7"/>
    <w:rsid w:val="00975C4A"/>
    <w:rsid w:val="00983387"/>
    <w:rsid w:val="00983AC8"/>
    <w:rsid w:val="00986FC7"/>
    <w:rsid w:val="009A25C3"/>
    <w:rsid w:val="009A3AB9"/>
    <w:rsid w:val="009A71FA"/>
    <w:rsid w:val="009A7BAD"/>
    <w:rsid w:val="009B1B68"/>
    <w:rsid w:val="009B1BF2"/>
    <w:rsid w:val="009C183D"/>
    <w:rsid w:val="009C21AC"/>
    <w:rsid w:val="009C6C0F"/>
    <w:rsid w:val="009D0112"/>
    <w:rsid w:val="009D3D4F"/>
    <w:rsid w:val="009D52E6"/>
    <w:rsid w:val="009D6617"/>
    <w:rsid w:val="009D7B07"/>
    <w:rsid w:val="009E0AA6"/>
    <w:rsid w:val="009E49E8"/>
    <w:rsid w:val="009F2440"/>
    <w:rsid w:val="00A03C48"/>
    <w:rsid w:val="00A04C8E"/>
    <w:rsid w:val="00A057B4"/>
    <w:rsid w:val="00A10F75"/>
    <w:rsid w:val="00A111BF"/>
    <w:rsid w:val="00A12E63"/>
    <w:rsid w:val="00A1338A"/>
    <w:rsid w:val="00A1437C"/>
    <w:rsid w:val="00A25834"/>
    <w:rsid w:val="00A267AA"/>
    <w:rsid w:val="00A30C66"/>
    <w:rsid w:val="00A5265D"/>
    <w:rsid w:val="00A52DD0"/>
    <w:rsid w:val="00A61538"/>
    <w:rsid w:val="00A64865"/>
    <w:rsid w:val="00A738EF"/>
    <w:rsid w:val="00A811D4"/>
    <w:rsid w:val="00A823F7"/>
    <w:rsid w:val="00A82761"/>
    <w:rsid w:val="00A84839"/>
    <w:rsid w:val="00A94374"/>
    <w:rsid w:val="00A97582"/>
    <w:rsid w:val="00A97D3E"/>
    <w:rsid w:val="00AA2F8B"/>
    <w:rsid w:val="00AA3685"/>
    <w:rsid w:val="00AA7CF5"/>
    <w:rsid w:val="00AA7F04"/>
    <w:rsid w:val="00AB30E8"/>
    <w:rsid w:val="00AC7090"/>
    <w:rsid w:val="00AD0671"/>
    <w:rsid w:val="00AD3991"/>
    <w:rsid w:val="00AD5218"/>
    <w:rsid w:val="00AE09D6"/>
    <w:rsid w:val="00AE641E"/>
    <w:rsid w:val="00AF309E"/>
    <w:rsid w:val="00AF44A4"/>
    <w:rsid w:val="00AF4E2E"/>
    <w:rsid w:val="00AF5883"/>
    <w:rsid w:val="00AF7ED4"/>
    <w:rsid w:val="00B04435"/>
    <w:rsid w:val="00B172C9"/>
    <w:rsid w:val="00B205D2"/>
    <w:rsid w:val="00B2198B"/>
    <w:rsid w:val="00B24A9C"/>
    <w:rsid w:val="00B2669E"/>
    <w:rsid w:val="00B27390"/>
    <w:rsid w:val="00B30A65"/>
    <w:rsid w:val="00B3434D"/>
    <w:rsid w:val="00B348B9"/>
    <w:rsid w:val="00B413F5"/>
    <w:rsid w:val="00B53C6C"/>
    <w:rsid w:val="00B621BA"/>
    <w:rsid w:val="00B71131"/>
    <w:rsid w:val="00B72E54"/>
    <w:rsid w:val="00B74E0D"/>
    <w:rsid w:val="00B75269"/>
    <w:rsid w:val="00B83C87"/>
    <w:rsid w:val="00B84010"/>
    <w:rsid w:val="00B84041"/>
    <w:rsid w:val="00B857B0"/>
    <w:rsid w:val="00B85FC1"/>
    <w:rsid w:val="00B93685"/>
    <w:rsid w:val="00B93DCC"/>
    <w:rsid w:val="00B95A93"/>
    <w:rsid w:val="00BA0C8C"/>
    <w:rsid w:val="00BA3BE4"/>
    <w:rsid w:val="00BA4C45"/>
    <w:rsid w:val="00BA5BBB"/>
    <w:rsid w:val="00BB2149"/>
    <w:rsid w:val="00BB3469"/>
    <w:rsid w:val="00BB6C98"/>
    <w:rsid w:val="00BD0227"/>
    <w:rsid w:val="00BD6056"/>
    <w:rsid w:val="00BE61E0"/>
    <w:rsid w:val="00BE6C88"/>
    <w:rsid w:val="00BF6FAE"/>
    <w:rsid w:val="00C0438D"/>
    <w:rsid w:val="00C04ADD"/>
    <w:rsid w:val="00C04CBF"/>
    <w:rsid w:val="00C131F4"/>
    <w:rsid w:val="00C13CC4"/>
    <w:rsid w:val="00C14964"/>
    <w:rsid w:val="00C37532"/>
    <w:rsid w:val="00C4004B"/>
    <w:rsid w:val="00C43891"/>
    <w:rsid w:val="00C46629"/>
    <w:rsid w:val="00C54530"/>
    <w:rsid w:val="00C56105"/>
    <w:rsid w:val="00C56A24"/>
    <w:rsid w:val="00C603F9"/>
    <w:rsid w:val="00C61276"/>
    <w:rsid w:val="00C7201F"/>
    <w:rsid w:val="00C74362"/>
    <w:rsid w:val="00C77470"/>
    <w:rsid w:val="00C850D2"/>
    <w:rsid w:val="00C87005"/>
    <w:rsid w:val="00C914D8"/>
    <w:rsid w:val="00C94273"/>
    <w:rsid w:val="00C96F0F"/>
    <w:rsid w:val="00CB1F22"/>
    <w:rsid w:val="00CB2196"/>
    <w:rsid w:val="00CB6170"/>
    <w:rsid w:val="00CC03FD"/>
    <w:rsid w:val="00CC33A2"/>
    <w:rsid w:val="00CC6DDA"/>
    <w:rsid w:val="00CD0FBC"/>
    <w:rsid w:val="00CD5AAB"/>
    <w:rsid w:val="00CD735C"/>
    <w:rsid w:val="00CF22CA"/>
    <w:rsid w:val="00CF6EB9"/>
    <w:rsid w:val="00CF6F12"/>
    <w:rsid w:val="00D02232"/>
    <w:rsid w:val="00D11038"/>
    <w:rsid w:val="00D132F2"/>
    <w:rsid w:val="00D15433"/>
    <w:rsid w:val="00D1671E"/>
    <w:rsid w:val="00D30551"/>
    <w:rsid w:val="00D32AA2"/>
    <w:rsid w:val="00D35591"/>
    <w:rsid w:val="00D37A34"/>
    <w:rsid w:val="00D4174E"/>
    <w:rsid w:val="00D43E26"/>
    <w:rsid w:val="00D44034"/>
    <w:rsid w:val="00D44CA7"/>
    <w:rsid w:val="00D45131"/>
    <w:rsid w:val="00D527CE"/>
    <w:rsid w:val="00D538BC"/>
    <w:rsid w:val="00D57079"/>
    <w:rsid w:val="00D675F5"/>
    <w:rsid w:val="00D708E7"/>
    <w:rsid w:val="00D7143B"/>
    <w:rsid w:val="00D72165"/>
    <w:rsid w:val="00D80D66"/>
    <w:rsid w:val="00D8165E"/>
    <w:rsid w:val="00D87F36"/>
    <w:rsid w:val="00D924EF"/>
    <w:rsid w:val="00D93BB6"/>
    <w:rsid w:val="00D94E48"/>
    <w:rsid w:val="00D96D16"/>
    <w:rsid w:val="00D972A5"/>
    <w:rsid w:val="00DA3B0E"/>
    <w:rsid w:val="00DA3CD0"/>
    <w:rsid w:val="00DA41D6"/>
    <w:rsid w:val="00DB187D"/>
    <w:rsid w:val="00DC6007"/>
    <w:rsid w:val="00DC66EE"/>
    <w:rsid w:val="00DC6FA1"/>
    <w:rsid w:val="00DC7CC2"/>
    <w:rsid w:val="00DD4912"/>
    <w:rsid w:val="00DD787A"/>
    <w:rsid w:val="00DE5DF8"/>
    <w:rsid w:val="00DF6A4F"/>
    <w:rsid w:val="00E11D9F"/>
    <w:rsid w:val="00E140FC"/>
    <w:rsid w:val="00E149DB"/>
    <w:rsid w:val="00E177DB"/>
    <w:rsid w:val="00E17D59"/>
    <w:rsid w:val="00E2149F"/>
    <w:rsid w:val="00E238DB"/>
    <w:rsid w:val="00E248B1"/>
    <w:rsid w:val="00E3339C"/>
    <w:rsid w:val="00E33B0B"/>
    <w:rsid w:val="00E41864"/>
    <w:rsid w:val="00E523A6"/>
    <w:rsid w:val="00E56AFC"/>
    <w:rsid w:val="00E63008"/>
    <w:rsid w:val="00E66313"/>
    <w:rsid w:val="00E70C94"/>
    <w:rsid w:val="00E82448"/>
    <w:rsid w:val="00E8484B"/>
    <w:rsid w:val="00E85925"/>
    <w:rsid w:val="00E90F1B"/>
    <w:rsid w:val="00E974EB"/>
    <w:rsid w:val="00EA472A"/>
    <w:rsid w:val="00EB20A0"/>
    <w:rsid w:val="00EB2BC6"/>
    <w:rsid w:val="00EC4400"/>
    <w:rsid w:val="00ED07CA"/>
    <w:rsid w:val="00ED40A3"/>
    <w:rsid w:val="00ED41F6"/>
    <w:rsid w:val="00ED6995"/>
    <w:rsid w:val="00ED766A"/>
    <w:rsid w:val="00EE19A2"/>
    <w:rsid w:val="00EE1FDA"/>
    <w:rsid w:val="00EF066F"/>
    <w:rsid w:val="00EF5E0A"/>
    <w:rsid w:val="00F03C5F"/>
    <w:rsid w:val="00F055C3"/>
    <w:rsid w:val="00F1201E"/>
    <w:rsid w:val="00F15124"/>
    <w:rsid w:val="00F177E9"/>
    <w:rsid w:val="00F22253"/>
    <w:rsid w:val="00F30738"/>
    <w:rsid w:val="00F30A2D"/>
    <w:rsid w:val="00F43C22"/>
    <w:rsid w:val="00F45C16"/>
    <w:rsid w:val="00F45D69"/>
    <w:rsid w:val="00F47B07"/>
    <w:rsid w:val="00F519A0"/>
    <w:rsid w:val="00F52D18"/>
    <w:rsid w:val="00F624F2"/>
    <w:rsid w:val="00F63217"/>
    <w:rsid w:val="00F64CE7"/>
    <w:rsid w:val="00F71C77"/>
    <w:rsid w:val="00F72270"/>
    <w:rsid w:val="00F803E2"/>
    <w:rsid w:val="00F864C9"/>
    <w:rsid w:val="00F916C6"/>
    <w:rsid w:val="00F93463"/>
    <w:rsid w:val="00FA4FEB"/>
    <w:rsid w:val="00FA58A7"/>
    <w:rsid w:val="00FB6E9F"/>
    <w:rsid w:val="00FC2381"/>
    <w:rsid w:val="00FC3512"/>
    <w:rsid w:val="00FC3C3B"/>
    <w:rsid w:val="00FC5F35"/>
    <w:rsid w:val="00FC67A9"/>
    <w:rsid w:val="00FD3943"/>
    <w:rsid w:val="00FD49EB"/>
    <w:rsid w:val="00FD4D90"/>
    <w:rsid w:val="00FD53C6"/>
    <w:rsid w:val="00FE4C4B"/>
    <w:rsid w:val="00FE4F8D"/>
    <w:rsid w:val="00FF0549"/>
    <w:rsid w:val="00FF0990"/>
    <w:rsid w:val="00FF4A62"/>
    <w:rsid w:val="00FF5CCA"/>
    <w:rsid w:val="00FF643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F04E9"/>
  <w15:docId w15:val="{18AFAD5B-3614-4F2B-9055-09E339FC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1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177ED"/>
    <w:rPr>
      <w:sz w:val="16"/>
      <w:szCs w:val="16"/>
    </w:rPr>
  </w:style>
  <w:style w:type="paragraph" w:styleId="CommentText">
    <w:name w:val="annotation text"/>
    <w:basedOn w:val="Normal"/>
    <w:link w:val="CommentTextChar"/>
    <w:rsid w:val="000177ED"/>
    <w:rPr>
      <w:sz w:val="20"/>
      <w:szCs w:val="20"/>
    </w:rPr>
  </w:style>
  <w:style w:type="character" w:customStyle="1" w:styleId="CommentTextChar">
    <w:name w:val="Comment Text Char"/>
    <w:basedOn w:val="DefaultParagraphFont"/>
    <w:link w:val="CommentText"/>
    <w:rsid w:val="000177ED"/>
    <w:rPr>
      <w:sz w:val="20"/>
      <w:szCs w:val="20"/>
    </w:rPr>
  </w:style>
  <w:style w:type="paragraph" w:styleId="CommentSubject">
    <w:name w:val="annotation subject"/>
    <w:basedOn w:val="CommentText"/>
    <w:next w:val="CommentText"/>
    <w:link w:val="CommentSubjectChar"/>
    <w:rsid w:val="000177ED"/>
    <w:rPr>
      <w:b/>
      <w:bCs/>
    </w:rPr>
  </w:style>
  <w:style w:type="character" w:customStyle="1" w:styleId="CommentSubjectChar">
    <w:name w:val="Comment Subject Char"/>
    <w:basedOn w:val="CommentTextChar"/>
    <w:link w:val="CommentSubject"/>
    <w:rsid w:val="000177ED"/>
    <w:rPr>
      <w:b/>
      <w:bCs/>
      <w:sz w:val="20"/>
      <w:szCs w:val="20"/>
    </w:rPr>
  </w:style>
  <w:style w:type="paragraph" w:styleId="BalloonText">
    <w:name w:val="Balloon Text"/>
    <w:basedOn w:val="Normal"/>
    <w:link w:val="BalloonTextChar"/>
    <w:rsid w:val="000177ED"/>
    <w:rPr>
      <w:rFonts w:ascii="Tahoma" w:hAnsi="Tahoma" w:cs="Tahoma"/>
      <w:sz w:val="16"/>
      <w:szCs w:val="16"/>
    </w:rPr>
  </w:style>
  <w:style w:type="character" w:customStyle="1" w:styleId="BalloonTextChar">
    <w:name w:val="Balloon Text Char"/>
    <w:basedOn w:val="DefaultParagraphFont"/>
    <w:link w:val="BalloonText"/>
    <w:rsid w:val="000177ED"/>
    <w:rPr>
      <w:rFonts w:ascii="Tahoma" w:hAnsi="Tahoma" w:cs="Tahoma"/>
      <w:sz w:val="16"/>
      <w:szCs w:val="16"/>
    </w:rPr>
  </w:style>
  <w:style w:type="paragraph" w:styleId="Revision">
    <w:name w:val="Revision"/>
    <w:hidden/>
    <w:rsid w:val="00F72270"/>
  </w:style>
  <w:style w:type="paragraph" w:styleId="Header">
    <w:name w:val="header"/>
    <w:basedOn w:val="Normal"/>
    <w:link w:val="HeaderChar"/>
    <w:uiPriority w:val="99"/>
    <w:rsid w:val="00E238DB"/>
    <w:pPr>
      <w:tabs>
        <w:tab w:val="center" w:pos="4680"/>
        <w:tab w:val="right" w:pos="9360"/>
      </w:tabs>
    </w:pPr>
  </w:style>
  <w:style w:type="character" w:customStyle="1" w:styleId="HeaderChar">
    <w:name w:val="Header Char"/>
    <w:basedOn w:val="DefaultParagraphFont"/>
    <w:link w:val="Header"/>
    <w:uiPriority w:val="99"/>
    <w:rsid w:val="00E238DB"/>
  </w:style>
  <w:style w:type="paragraph" w:styleId="Footer">
    <w:name w:val="footer"/>
    <w:basedOn w:val="Normal"/>
    <w:link w:val="FooterChar"/>
    <w:rsid w:val="00E238DB"/>
    <w:pPr>
      <w:tabs>
        <w:tab w:val="center" w:pos="4680"/>
        <w:tab w:val="right" w:pos="9360"/>
      </w:tabs>
    </w:pPr>
  </w:style>
  <w:style w:type="character" w:customStyle="1" w:styleId="FooterChar">
    <w:name w:val="Footer Char"/>
    <w:basedOn w:val="DefaultParagraphFont"/>
    <w:link w:val="Footer"/>
    <w:rsid w:val="00E238DB"/>
  </w:style>
  <w:style w:type="table" w:styleId="TableGrid">
    <w:name w:val="Table Grid"/>
    <w:basedOn w:val="TableNormal"/>
    <w:rsid w:val="00CD0F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8D5CF4"/>
    <w:pPr>
      <w:widowControl/>
      <w:spacing w:beforeLines="1" w:afterLines="1"/>
      <w:jc w:val="left"/>
    </w:pPr>
    <w:rPr>
      <w:rFonts w:ascii="Times" w:hAnsi="Times" w:cs="Times New Roman"/>
      <w:kern w:val="0"/>
      <w:sz w:val="20"/>
      <w:szCs w:val="20"/>
    </w:rPr>
  </w:style>
  <w:style w:type="paragraph" w:styleId="BodyTextIndent">
    <w:name w:val="Body Text Indent"/>
    <w:basedOn w:val="Normal"/>
    <w:link w:val="BodyTextIndentChar"/>
    <w:rsid w:val="00514829"/>
    <w:pPr>
      <w:ind w:leftChars="400" w:left="851"/>
    </w:pPr>
    <w:rPr>
      <w:rFonts w:ascii="MS Mincho" w:eastAsia="MS Mincho" w:hAnsi="MS Mincho" w:cs="Times New Roman"/>
      <w:sz w:val="22"/>
      <w:szCs w:val="20"/>
    </w:rPr>
  </w:style>
  <w:style w:type="character" w:customStyle="1" w:styleId="BodyTextIndentChar">
    <w:name w:val="Body Text Indent Char"/>
    <w:basedOn w:val="DefaultParagraphFont"/>
    <w:link w:val="BodyTextIndent"/>
    <w:rsid w:val="00514829"/>
    <w:rPr>
      <w:rFonts w:ascii="MS Mincho" w:eastAsia="MS Mincho" w:hAnsi="MS Mincho" w:cs="Times New Roman"/>
      <w:sz w:val="22"/>
      <w:szCs w:val="20"/>
    </w:rPr>
  </w:style>
  <w:style w:type="paragraph" w:styleId="FootnoteText">
    <w:name w:val="footnote text"/>
    <w:basedOn w:val="Normal"/>
    <w:link w:val="FootnoteTextChar"/>
    <w:rsid w:val="00763404"/>
    <w:pPr>
      <w:snapToGrid w:val="0"/>
      <w:jc w:val="left"/>
    </w:pPr>
  </w:style>
  <w:style w:type="character" w:customStyle="1" w:styleId="FootnoteTextChar">
    <w:name w:val="Footnote Text Char"/>
    <w:basedOn w:val="DefaultParagraphFont"/>
    <w:link w:val="FootnoteText"/>
    <w:rsid w:val="00763404"/>
  </w:style>
  <w:style w:type="character" w:styleId="FootnoteReference">
    <w:name w:val="footnote reference"/>
    <w:basedOn w:val="DefaultParagraphFont"/>
    <w:rsid w:val="00763404"/>
    <w:rPr>
      <w:vertAlign w:val="superscript"/>
    </w:rPr>
  </w:style>
  <w:style w:type="character" w:styleId="Strong">
    <w:name w:val="Strong"/>
    <w:uiPriority w:val="22"/>
    <w:qFormat/>
    <w:rsid w:val="001D6715"/>
    <w:rPr>
      <w:b/>
      <w:bCs/>
    </w:rPr>
  </w:style>
  <w:style w:type="paragraph" w:styleId="ListParagraph">
    <w:name w:val="List Paragraph"/>
    <w:basedOn w:val="Normal"/>
    <w:uiPriority w:val="34"/>
    <w:qFormat/>
    <w:rsid w:val="001D6715"/>
    <w:pPr>
      <w:widowControl/>
      <w:suppressAutoHyphens/>
      <w:ind w:firstLineChars="200" w:firstLine="420"/>
      <w:jc w:val="left"/>
    </w:pPr>
    <w:rPr>
      <w:rFonts w:ascii="Times New Roman" w:eastAsia="Lucida Sans Unicode"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86496">
      <w:bodyDiv w:val="1"/>
      <w:marLeft w:val="0"/>
      <w:marRight w:val="0"/>
      <w:marTop w:val="0"/>
      <w:marBottom w:val="0"/>
      <w:divBdr>
        <w:top w:val="none" w:sz="0" w:space="0" w:color="auto"/>
        <w:left w:val="none" w:sz="0" w:space="0" w:color="auto"/>
        <w:bottom w:val="none" w:sz="0" w:space="0" w:color="auto"/>
        <w:right w:val="none" w:sz="0" w:space="0" w:color="auto"/>
      </w:divBdr>
    </w:div>
    <w:div w:id="1770999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2866-273B-4630-A27A-9C96EE99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3958</Words>
  <Characters>22565</Characters>
  <Application>Microsoft Office Word</Application>
  <DocSecurity>0</DocSecurity>
  <Lines>188</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浩行</dc:creator>
  <cp:lastModifiedBy>LS Ma</cp:lastModifiedBy>
  <cp:revision>2</cp:revision>
  <cp:lastPrinted>2016-04-28T05:36:00Z</cp:lastPrinted>
  <dcterms:created xsi:type="dcterms:W3CDTF">2016-05-21T02:21:00Z</dcterms:created>
  <dcterms:modified xsi:type="dcterms:W3CDTF">2016-05-21T02:21:00Z</dcterms:modified>
</cp:coreProperties>
</file>